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0B371F" w:rsidP="007C3918">
            <w:pPr>
              <w:pStyle w:val="00bDBInfo"/>
              <w:rPr>
                <w:rFonts w:cs="Arial"/>
              </w:rPr>
            </w:pPr>
            <w:r>
              <w:rPr>
                <w:rFonts w:cs="Arial"/>
              </w:rPr>
              <w:t>15</w:t>
            </w:r>
            <w:r w:rsidR="003A5DAC">
              <w:rPr>
                <w:rFonts w:cs="Arial"/>
              </w:rPr>
              <w:t xml:space="preserve"> </w:t>
            </w:r>
            <w:r w:rsidR="007C3918">
              <w:rPr>
                <w:rFonts w:cs="Arial"/>
              </w:rPr>
              <w:t xml:space="preserve">February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BF28DA">
            <w:pPr>
              <w:pStyle w:val="01aDBTitle"/>
              <w:rPr>
                <w:rFonts w:cs="Arial"/>
                <w:sz w:val="32"/>
              </w:rPr>
            </w:pPr>
            <w:r w:rsidRPr="009C6CE1">
              <w:rPr>
                <w:rFonts w:cs="Arial"/>
                <w:sz w:val="32"/>
              </w:rPr>
              <w:t xml:space="preserve">Discussion Paper </w:t>
            </w:r>
            <w:r>
              <w:rPr>
                <w:rFonts w:cs="Arial"/>
                <w:sz w:val="32"/>
              </w:rPr>
              <w:t xml:space="preserve">on </w:t>
            </w:r>
            <w:r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0B371F">
            <w:pPr>
              <w:pStyle w:val="02Date"/>
              <w:rPr>
                <w:rFonts w:cs="Arial"/>
                <w:highlight w:val="red"/>
              </w:rPr>
            </w:pPr>
            <w:r w:rsidRPr="007C3918">
              <w:rPr>
                <w:rFonts w:cs="Arial"/>
              </w:rPr>
              <w:lastRenderedPageBreak/>
              <w:t>Date</w:t>
            </w:r>
            <w:r w:rsidR="007C3918" w:rsidRPr="007C3918">
              <w:rPr>
                <w:rFonts w:cs="Arial"/>
              </w:rPr>
              <w:t>: 1</w:t>
            </w:r>
            <w:r w:rsidR="000B371F">
              <w:rPr>
                <w:rFonts w:cs="Arial"/>
              </w:rPr>
              <w:t>5</w:t>
            </w:r>
            <w:r w:rsidR="007C3918" w:rsidRPr="007C3918">
              <w:rPr>
                <w:rFonts w:cs="Arial"/>
              </w:rPr>
              <w:t xml:space="preserve"> February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BE5F12">
        <w:rPr>
          <w:rFonts w:cs="Arial"/>
        </w:rPr>
        <w:t>31</w:t>
      </w:r>
      <w:r w:rsidRPr="007C3918">
        <w:rPr>
          <w:rFonts w:cs="Arial"/>
        </w:rPr>
        <w:t xml:space="preserve"> March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DP_BMR</w:t>
      </w:r>
      <w:r w:rsidR="00D61A37" w:rsidRPr="00176639">
        <w:t>_1</w:t>
      </w:r>
      <w:r w:rsidRPr="00176639">
        <w:t>&gt;</w:t>
      </w:r>
    </w:p>
    <w:p w:rsidR="00557DF6" w:rsidRPr="00557DF6" w:rsidRDefault="00557DF6" w:rsidP="009D616D">
      <w:pPr>
        <w:rPr>
          <w:rFonts w:eastAsia="Calibri" w:cs="Arial"/>
          <w:b/>
          <w:szCs w:val="20"/>
        </w:rPr>
      </w:pPr>
      <w:permStart w:id="1747934743" w:edGrp="everyone"/>
      <w:r w:rsidRPr="00557DF6">
        <w:rPr>
          <w:rFonts w:eastAsia="Calibri" w:cs="Arial"/>
          <w:b/>
          <w:szCs w:val="20"/>
        </w:rPr>
        <w:t>About PensionsEurope</w:t>
      </w:r>
    </w:p>
    <w:p w:rsidR="00557DF6" w:rsidRPr="00557DF6" w:rsidRDefault="00557DF6" w:rsidP="009D616D">
      <w:pPr>
        <w:rPr>
          <w:rFonts w:eastAsia="Calibri" w:cs="Arial"/>
          <w:szCs w:val="20"/>
        </w:rPr>
      </w:pPr>
    </w:p>
    <w:p w:rsidR="00557DF6" w:rsidRPr="00557DF6" w:rsidRDefault="00557DF6" w:rsidP="009D616D">
      <w:pPr>
        <w:jc w:val="both"/>
        <w:rPr>
          <w:rFonts w:eastAsia="Calibri" w:cs="Arial"/>
          <w:szCs w:val="20"/>
        </w:rPr>
      </w:pPr>
      <w:r w:rsidRPr="00557DF6">
        <w:rPr>
          <w:rFonts w:eastAsia="Calibri" w:cs="Arial"/>
          <w:b/>
          <w:szCs w:val="20"/>
        </w:rPr>
        <w:t>PensionsEurope</w:t>
      </w:r>
      <w:r w:rsidRPr="00557DF6">
        <w:rPr>
          <w:rFonts w:eastAsia="Calibri" w:cs="Arial"/>
          <w:szCs w:val="20"/>
        </w:rPr>
        <w:t xml:space="preserve"> represents national associations of pension funds and similar institutions for workplace pensions. Some members operate purely individual pension schemes. Pe</w:t>
      </w:r>
      <w:r w:rsidRPr="00557DF6">
        <w:rPr>
          <w:rFonts w:eastAsia="Calibri" w:cs="Arial"/>
          <w:szCs w:val="20"/>
        </w:rPr>
        <w:t>n</w:t>
      </w:r>
      <w:r w:rsidRPr="00557DF6">
        <w:rPr>
          <w:rFonts w:eastAsia="Calibri" w:cs="Arial"/>
          <w:szCs w:val="20"/>
        </w:rPr>
        <w:t xml:space="preserve">sionsEurope Members are large institutional investors representing the </w:t>
      </w:r>
      <w:r w:rsidRPr="00557DF6">
        <w:rPr>
          <w:rFonts w:eastAsia="Calibri" w:cs="Arial"/>
          <w:b/>
          <w:szCs w:val="20"/>
        </w:rPr>
        <w:t>buy-side</w:t>
      </w:r>
      <w:r w:rsidRPr="00557DF6">
        <w:rPr>
          <w:rFonts w:eastAsia="Calibri" w:cs="Arial"/>
          <w:szCs w:val="20"/>
        </w:rPr>
        <w:t xml:space="preserve"> on the fina</w:t>
      </w:r>
      <w:r w:rsidRPr="00557DF6">
        <w:rPr>
          <w:rFonts w:eastAsia="Calibri" w:cs="Arial"/>
          <w:szCs w:val="20"/>
        </w:rPr>
        <w:t>n</w:t>
      </w:r>
      <w:r w:rsidRPr="00557DF6">
        <w:rPr>
          <w:rFonts w:eastAsia="Calibri" w:cs="Arial"/>
          <w:szCs w:val="20"/>
        </w:rPr>
        <w:t>cial markets.</w:t>
      </w:r>
    </w:p>
    <w:p w:rsidR="00557DF6" w:rsidRPr="00557DF6" w:rsidRDefault="00557DF6" w:rsidP="009D616D">
      <w:pPr>
        <w:jc w:val="both"/>
        <w:rPr>
          <w:rFonts w:eastAsia="Calibri" w:cs="Arial"/>
          <w:szCs w:val="20"/>
        </w:rPr>
      </w:pPr>
    </w:p>
    <w:p w:rsidR="00557DF6" w:rsidRPr="00557DF6" w:rsidRDefault="00557DF6" w:rsidP="009D616D">
      <w:pPr>
        <w:jc w:val="both"/>
        <w:rPr>
          <w:rFonts w:eastAsia="Calibri" w:cs="Arial"/>
          <w:szCs w:val="20"/>
        </w:rPr>
      </w:pPr>
      <w:r w:rsidRPr="00557DF6">
        <w:rPr>
          <w:rFonts w:eastAsia="Calibri" w:cs="Arial"/>
          <w:szCs w:val="20"/>
        </w:rPr>
        <w:t xml:space="preserve">PensionsEurope has </w:t>
      </w:r>
      <w:r w:rsidRPr="00557DF6">
        <w:rPr>
          <w:rFonts w:eastAsia="Calibri" w:cs="Arial"/>
          <w:b/>
          <w:szCs w:val="20"/>
        </w:rPr>
        <w:t>24 member associations</w:t>
      </w:r>
      <w:r w:rsidRPr="00557DF6">
        <w:rPr>
          <w:rFonts w:eastAsia="Calibri" w:cs="Arial"/>
          <w:szCs w:val="20"/>
        </w:rPr>
        <w:t xml:space="preserve"> in EU Member States and other European cou</w:t>
      </w:r>
      <w:r w:rsidRPr="00557DF6">
        <w:rPr>
          <w:rFonts w:eastAsia="Calibri" w:cs="Arial"/>
          <w:szCs w:val="20"/>
        </w:rPr>
        <w:t>n</w:t>
      </w:r>
      <w:r w:rsidRPr="00557DF6">
        <w:rPr>
          <w:rFonts w:eastAsia="Calibri" w:cs="Arial"/>
          <w:szCs w:val="20"/>
        </w:rPr>
        <w:t>tries with significant – in size and relevance – workplace pension systems</w:t>
      </w:r>
      <w:r w:rsidRPr="00557DF6">
        <w:rPr>
          <w:rFonts w:eastAsia="Calibri" w:cs="Arial"/>
          <w:szCs w:val="20"/>
          <w:vertAlign w:val="superscript"/>
        </w:rPr>
        <w:footnoteReference w:id="2"/>
      </w:r>
      <w:r w:rsidRPr="00557DF6">
        <w:rPr>
          <w:rFonts w:eastAsia="Calibri" w:cs="Arial"/>
          <w:szCs w:val="20"/>
        </w:rPr>
        <w:t>.</w:t>
      </w:r>
    </w:p>
    <w:p w:rsidR="00557DF6" w:rsidRPr="00557DF6" w:rsidRDefault="00557DF6" w:rsidP="009D616D">
      <w:pPr>
        <w:jc w:val="both"/>
        <w:rPr>
          <w:rFonts w:eastAsia="Calibri" w:cs="Arial"/>
          <w:szCs w:val="20"/>
        </w:rPr>
      </w:pPr>
    </w:p>
    <w:p w:rsidR="00557DF6" w:rsidRPr="00557DF6" w:rsidRDefault="00557DF6" w:rsidP="009D616D">
      <w:pPr>
        <w:jc w:val="both"/>
        <w:rPr>
          <w:rFonts w:eastAsia="Calibri" w:cs="Arial"/>
          <w:szCs w:val="20"/>
        </w:rPr>
      </w:pPr>
      <w:r w:rsidRPr="00557DF6">
        <w:rPr>
          <w:rFonts w:eastAsia="Calibri" w:cs="Arial"/>
          <w:szCs w:val="20"/>
        </w:rPr>
        <w:t>PensionsEurope member organisations cover the workplace pensions of about</w:t>
      </w:r>
      <w:r w:rsidRPr="00557DF6">
        <w:rPr>
          <w:rFonts w:eastAsia="Calibri" w:cs="Arial"/>
          <w:b/>
          <w:szCs w:val="20"/>
        </w:rPr>
        <w:t xml:space="preserve"> 70 million Eur</w:t>
      </w:r>
      <w:r w:rsidRPr="00557DF6">
        <w:rPr>
          <w:rFonts w:eastAsia="Calibri" w:cs="Arial"/>
          <w:b/>
          <w:szCs w:val="20"/>
        </w:rPr>
        <w:t>o</w:t>
      </w:r>
      <w:r w:rsidRPr="00557DF6">
        <w:rPr>
          <w:rFonts w:eastAsia="Calibri" w:cs="Arial"/>
          <w:b/>
          <w:szCs w:val="20"/>
        </w:rPr>
        <w:t>pean citizens.</w:t>
      </w:r>
      <w:r w:rsidRPr="00557DF6">
        <w:rPr>
          <w:rFonts w:eastAsia="Calibri" w:cs="Arial"/>
          <w:szCs w:val="20"/>
        </w:rPr>
        <w:t xml:space="preserve"> Through its Member Associations Pens</w:t>
      </w:r>
      <w:r>
        <w:rPr>
          <w:rFonts w:eastAsia="Calibri" w:cs="Arial"/>
          <w:szCs w:val="20"/>
        </w:rPr>
        <w:t>ionsEurope represents more than</w:t>
      </w:r>
      <w:r w:rsidRPr="00557DF6">
        <w:rPr>
          <w:rFonts w:eastAsia="Calibri" w:cs="Arial"/>
          <w:szCs w:val="20"/>
        </w:rPr>
        <w:t xml:space="preserve"> </w:t>
      </w:r>
      <w:r w:rsidRPr="00557DF6">
        <w:rPr>
          <w:rFonts w:eastAsia="Calibri" w:cs="Arial"/>
          <w:b/>
          <w:szCs w:val="20"/>
        </w:rPr>
        <w:t>€ 3.5 trillion of a</w:t>
      </w:r>
      <w:r w:rsidRPr="00557DF6">
        <w:rPr>
          <w:rFonts w:eastAsia="Calibri" w:cs="Arial"/>
          <w:b/>
          <w:szCs w:val="20"/>
        </w:rPr>
        <w:t>s</w:t>
      </w:r>
      <w:r w:rsidRPr="00557DF6">
        <w:rPr>
          <w:rFonts w:eastAsia="Calibri" w:cs="Arial"/>
          <w:b/>
          <w:szCs w:val="20"/>
        </w:rPr>
        <w:t>sets</w:t>
      </w:r>
      <w:r w:rsidRPr="00557DF6">
        <w:rPr>
          <w:rFonts w:eastAsia="Calibri" w:cs="Arial"/>
          <w:szCs w:val="20"/>
        </w:rPr>
        <w:t xml:space="preserve"> managed for future pension payments.</w:t>
      </w:r>
    </w:p>
    <w:p w:rsidR="00557DF6" w:rsidRPr="00557DF6" w:rsidRDefault="00557DF6" w:rsidP="009D616D">
      <w:pPr>
        <w:jc w:val="both"/>
        <w:rPr>
          <w:rFonts w:eastAsia="Calibri" w:cs="Arial"/>
          <w:szCs w:val="20"/>
        </w:rPr>
      </w:pPr>
    </w:p>
    <w:p w:rsidR="00557DF6" w:rsidRPr="00557DF6" w:rsidRDefault="00557DF6" w:rsidP="009D616D">
      <w:pPr>
        <w:jc w:val="both"/>
        <w:rPr>
          <w:rFonts w:eastAsia="Calibri" w:cs="Arial"/>
          <w:szCs w:val="20"/>
        </w:rPr>
      </w:pPr>
      <w:r w:rsidRPr="00557DF6">
        <w:rPr>
          <w:rFonts w:eastAsia="Calibri" w:cs="Arial"/>
          <w:szCs w:val="20"/>
        </w:rPr>
        <w:t xml:space="preserve">PensionsEurope also has </w:t>
      </w:r>
      <w:r w:rsidRPr="00557DF6">
        <w:rPr>
          <w:rFonts w:eastAsia="Calibri" w:cs="Arial"/>
          <w:b/>
          <w:szCs w:val="20"/>
        </w:rPr>
        <w:t>27 Corporate and Supporter Members</w:t>
      </w:r>
      <w:r w:rsidRPr="00557DF6">
        <w:rPr>
          <w:rFonts w:eastAsia="Calibri" w:cs="Arial"/>
          <w:szCs w:val="20"/>
        </w:rPr>
        <w:t xml:space="preserve"> which are various service providers and stakehol</w:t>
      </w:r>
      <w:r w:rsidRPr="00557DF6">
        <w:rPr>
          <w:rFonts w:eastAsia="Calibri" w:cs="Arial"/>
          <w:szCs w:val="20"/>
        </w:rPr>
        <w:t>d</w:t>
      </w:r>
      <w:r w:rsidRPr="00557DF6">
        <w:rPr>
          <w:rFonts w:eastAsia="Calibri" w:cs="Arial"/>
          <w:szCs w:val="20"/>
        </w:rPr>
        <w:t>ers that work with IORPs.</w:t>
      </w:r>
    </w:p>
    <w:p w:rsidR="00557DF6" w:rsidRPr="00557DF6" w:rsidRDefault="00557DF6" w:rsidP="009D616D">
      <w:pPr>
        <w:jc w:val="both"/>
        <w:rPr>
          <w:rFonts w:eastAsia="Calibri" w:cs="Arial"/>
          <w:szCs w:val="20"/>
        </w:rPr>
      </w:pPr>
    </w:p>
    <w:p w:rsidR="00557DF6" w:rsidRPr="00557DF6" w:rsidRDefault="00557DF6" w:rsidP="009D616D">
      <w:pPr>
        <w:jc w:val="both"/>
        <w:rPr>
          <w:rFonts w:eastAsia="Calibri" w:cs="Arial"/>
          <w:szCs w:val="20"/>
        </w:rPr>
      </w:pPr>
      <w:r w:rsidRPr="00557DF6">
        <w:rPr>
          <w:rFonts w:eastAsia="Calibri" w:cs="Arial"/>
          <w:szCs w:val="20"/>
        </w:rPr>
        <w:t xml:space="preserve">PensionsEurope has established a </w:t>
      </w:r>
      <w:r w:rsidRPr="00557DF6">
        <w:rPr>
          <w:rFonts w:eastAsia="Calibri" w:cs="Arial"/>
          <w:b/>
          <w:szCs w:val="20"/>
        </w:rPr>
        <w:t>Central &amp; Eastern European Countries Forum (CEEC Forum)</w:t>
      </w:r>
      <w:r w:rsidRPr="00557DF6">
        <w:rPr>
          <w:rFonts w:eastAsia="Calibri" w:cs="Arial"/>
          <w:szCs w:val="20"/>
        </w:rPr>
        <w:t xml:space="preserve"> to discuss issues common to pension systems in that region.</w:t>
      </w:r>
    </w:p>
    <w:p w:rsidR="00557DF6" w:rsidRPr="00557DF6" w:rsidRDefault="00557DF6" w:rsidP="009D616D">
      <w:pPr>
        <w:jc w:val="both"/>
        <w:rPr>
          <w:rFonts w:eastAsia="Calibri" w:cs="Arial"/>
          <w:szCs w:val="20"/>
        </w:rPr>
      </w:pPr>
    </w:p>
    <w:p w:rsidR="00557DF6" w:rsidRPr="00557DF6" w:rsidRDefault="00557DF6" w:rsidP="009D616D">
      <w:pPr>
        <w:jc w:val="both"/>
        <w:rPr>
          <w:rFonts w:eastAsia="Calibri" w:cs="Arial"/>
          <w:szCs w:val="20"/>
        </w:rPr>
      </w:pPr>
      <w:r w:rsidRPr="00557DF6">
        <w:rPr>
          <w:rFonts w:eastAsia="Calibri" w:cs="Arial"/>
          <w:szCs w:val="20"/>
        </w:rPr>
        <w:t xml:space="preserve">PensionsEurope has established a </w:t>
      </w:r>
      <w:r w:rsidRPr="00557DF6">
        <w:rPr>
          <w:rFonts w:eastAsia="Calibri" w:cs="Arial"/>
          <w:b/>
          <w:szCs w:val="20"/>
        </w:rPr>
        <w:t>Multinational Advisory Group (MAG)</w:t>
      </w:r>
      <w:r w:rsidRPr="00557DF6">
        <w:rPr>
          <w:rFonts w:eastAsia="Calibri" w:cs="Arial"/>
          <w:szCs w:val="20"/>
        </w:rPr>
        <w:t xml:space="preserve"> which delivers advice on pension issues to PensionsEurope. It provides a collective voice and information sharing for the expertise and opinions of multin</w:t>
      </w:r>
      <w:r w:rsidRPr="00557DF6">
        <w:rPr>
          <w:rFonts w:eastAsia="Calibri" w:cs="Arial"/>
          <w:szCs w:val="20"/>
        </w:rPr>
        <w:t>a</w:t>
      </w:r>
      <w:r w:rsidRPr="00557DF6">
        <w:rPr>
          <w:rFonts w:eastAsia="Calibri" w:cs="Arial"/>
          <w:szCs w:val="20"/>
        </w:rPr>
        <w:t>tionals.</w:t>
      </w:r>
    </w:p>
    <w:p w:rsidR="00557DF6" w:rsidRPr="00557DF6" w:rsidRDefault="00557DF6" w:rsidP="009D616D">
      <w:pPr>
        <w:jc w:val="both"/>
        <w:rPr>
          <w:rFonts w:eastAsia="Calibri" w:cs="Arial"/>
          <w:szCs w:val="20"/>
        </w:rPr>
      </w:pPr>
    </w:p>
    <w:p w:rsidR="00557DF6" w:rsidRPr="00557DF6" w:rsidRDefault="00557DF6" w:rsidP="009D616D">
      <w:pPr>
        <w:rPr>
          <w:rFonts w:eastAsia="Calibri" w:cs="Arial"/>
          <w:i/>
          <w:szCs w:val="20"/>
        </w:rPr>
      </w:pPr>
      <w:r w:rsidRPr="00557DF6">
        <w:rPr>
          <w:rFonts w:eastAsia="Calibri" w:cs="Arial"/>
          <w:i/>
          <w:szCs w:val="20"/>
        </w:rPr>
        <w:t>Contact:</w:t>
      </w:r>
    </w:p>
    <w:p w:rsidR="00557DF6" w:rsidRPr="00557DF6" w:rsidRDefault="00557DF6" w:rsidP="009D616D">
      <w:pPr>
        <w:rPr>
          <w:rFonts w:eastAsia="Calibri" w:cs="Arial"/>
          <w:i/>
          <w:szCs w:val="20"/>
        </w:rPr>
      </w:pPr>
      <w:r w:rsidRPr="00557DF6">
        <w:rPr>
          <w:rFonts w:eastAsia="Calibri" w:cs="Arial"/>
          <w:b/>
          <w:i/>
          <w:szCs w:val="20"/>
        </w:rPr>
        <w:t xml:space="preserve">Mr Matti LEPPÄLÄ, </w:t>
      </w:r>
      <w:r w:rsidRPr="00557DF6">
        <w:rPr>
          <w:rFonts w:eastAsia="Calibri" w:cs="Arial"/>
          <w:i/>
          <w:szCs w:val="20"/>
        </w:rPr>
        <w:t>Secretary General/CEO</w:t>
      </w:r>
    </w:p>
    <w:p w:rsidR="00557DF6" w:rsidRPr="00557DF6" w:rsidRDefault="00557DF6" w:rsidP="009D616D">
      <w:pPr>
        <w:rPr>
          <w:rFonts w:eastAsia="Calibri" w:cs="Arial"/>
          <w:i/>
          <w:szCs w:val="20"/>
        </w:rPr>
      </w:pPr>
      <w:proofErr w:type="spellStart"/>
      <w:r w:rsidRPr="00557DF6">
        <w:rPr>
          <w:rFonts w:eastAsia="Calibri" w:cs="Arial"/>
          <w:i/>
          <w:szCs w:val="20"/>
        </w:rPr>
        <w:t>Koningsstraat</w:t>
      </w:r>
      <w:proofErr w:type="spellEnd"/>
      <w:r w:rsidRPr="00557DF6">
        <w:rPr>
          <w:rFonts w:eastAsia="Calibri" w:cs="Arial"/>
          <w:i/>
          <w:szCs w:val="20"/>
        </w:rPr>
        <w:t xml:space="preserve"> 97, rue </w:t>
      </w:r>
      <w:proofErr w:type="gramStart"/>
      <w:r w:rsidRPr="00557DF6">
        <w:rPr>
          <w:rFonts w:eastAsia="Calibri" w:cs="Arial"/>
          <w:i/>
          <w:szCs w:val="20"/>
        </w:rPr>
        <w:t>Royale  –</w:t>
      </w:r>
      <w:proofErr w:type="gramEnd"/>
      <w:r w:rsidRPr="00557DF6">
        <w:rPr>
          <w:rFonts w:eastAsia="Calibri" w:cs="Arial"/>
          <w:i/>
          <w:szCs w:val="20"/>
        </w:rPr>
        <w:t xml:space="preserve"> 1000 Brussels</w:t>
      </w:r>
    </w:p>
    <w:p w:rsidR="00557DF6" w:rsidRPr="00557DF6" w:rsidRDefault="00557DF6" w:rsidP="009D616D">
      <w:pPr>
        <w:rPr>
          <w:rFonts w:eastAsia="Calibri" w:cs="Arial"/>
          <w:i/>
          <w:szCs w:val="20"/>
        </w:rPr>
      </w:pPr>
      <w:r w:rsidRPr="00557DF6">
        <w:rPr>
          <w:rFonts w:eastAsia="Calibri" w:cs="Arial"/>
          <w:i/>
          <w:szCs w:val="20"/>
        </w:rPr>
        <w:t>Belgium</w:t>
      </w:r>
    </w:p>
    <w:p w:rsidR="00557DF6" w:rsidRPr="00557DF6" w:rsidRDefault="00557DF6" w:rsidP="009D616D">
      <w:pPr>
        <w:rPr>
          <w:rFonts w:eastAsia="Calibri" w:cs="Arial"/>
          <w:i/>
          <w:szCs w:val="20"/>
        </w:rPr>
      </w:pPr>
      <w:r w:rsidRPr="00557DF6">
        <w:rPr>
          <w:rFonts w:eastAsia="Calibri" w:cs="Arial"/>
          <w:i/>
          <w:szCs w:val="20"/>
        </w:rPr>
        <w:t>Tel: +32 (0)2 289 14 14 – Fax: +32 (0) 289 14 15</w:t>
      </w:r>
    </w:p>
    <w:p w:rsidR="00557DF6" w:rsidRPr="00557DF6" w:rsidRDefault="00557DF6" w:rsidP="009D616D">
      <w:pPr>
        <w:rPr>
          <w:rFonts w:eastAsia="Calibri" w:cs="Arial"/>
          <w:i/>
          <w:szCs w:val="20"/>
        </w:rPr>
      </w:pPr>
      <w:hyperlink r:id="rId15" w:history="1">
        <w:r w:rsidRPr="00557DF6">
          <w:rPr>
            <w:rStyle w:val="Hyperlink"/>
            <w:rFonts w:eastAsia="Calibri" w:cs="Arial"/>
            <w:i/>
            <w:szCs w:val="20"/>
          </w:rPr>
          <w:t>matti.leppala@pensionseurope.eu</w:t>
        </w:r>
      </w:hyperlink>
    </w:p>
    <w:p w:rsidR="00D34282" w:rsidRPr="00BF28DA" w:rsidRDefault="00557DF6" w:rsidP="00D34282">
      <w:hyperlink r:id="rId16" w:history="1">
        <w:r w:rsidRPr="00557DF6">
          <w:rPr>
            <w:rFonts w:eastAsia="Calibri" w:cs="Arial"/>
            <w:i/>
            <w:color w:val="0000FF"/>
            <w:szCs w:val="20"/>
            <w:u w:val="single"/>
          </w:rPr>
          <w:t>www.pensionseurope.eu</w:t>
        </w:r>
      </w:hyperlink>
      <w:permEnd w:id="1747934743"/>
      <w:r w:rsidR="00D34282" w:rsidRPr="00BF28DA">
        <w:t>&lt;</w:t>
      </w:r>
      <w:r w:rsidR="00D61A37" w:rsidRPr="00BF28DA">
        <w:t>ESMA_COMMENT_</w:t>
      </w:r>
      <w:r w:rsidR="00176639" w:rsidRPr="00176639">
        <w:t xml:space="preserve"> </w:t>
      </w:r>
      <w:r w:rsidR="00176639">
        <w:t>DP_BMR</w:t>
      </w:r>
      <w:r w:rsidR="00D61A37" w:rsidRPr="00BF28DA">
        <w:t>_1</w:t>
      </w:r>
      <w:r w:rsidR="00D34282"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A2624" w:rsidP="002342EC">
      <w:pPr>
        <w:pStyle w:val="Questionstyle"/>
      </w:pPr>
      <w:r w:rsidRPr="007F44BF">
        <w:lastRenderedPageBreak/>
        <w:t>Do you agree that an index’s characteristic of being “made available to the public” should be defined in an open manner, possibly reflecting the current channels and modalities of publication of existing benchmarks, in order not to unduly restrict the number of benchmarks in scope?</w:t>
      </w:r>
    </w:p>
    <w:p w:rsidR="009A2624" w:rsidRDefault="009A2624" w:rsidP="009A2624">
      <w:r>
        <w:t>&lt;ESMA_QUESTION_DP_BMR_1&gt;</w:t>
      </w:r>
    </w:p>
    <w:p w:rsidR="000A5E84" w:rsidRDefault="000A5E84" w:rsidP="000A5E84">
      <w:permStart w:id="330183393" w:edGrp="everyone"/>
      <w:r>
        <w:t>This is typically an area where we feel that due to a certain level of ambiguity, benchmark users can inadvertently wind up as benchmark administrators. This particularly applies to the widespread use of customized benchmarks and smart Beta strategies. The provision of a benchmark is defined as:</w:t>
      </w:r>
    </w:p>
    <w:p w:rsidR="000A5E84" w:rsidRDefault="000A5E84" w:rsidP="000A5E84">
      <w:r>
        <w:t xml:space="preserve"> </w:t>
      </w:r>
    </w:p>
    <w:p w:rsidR="000A5E84" w:rsidRDefault="000A5E84" w:rsidP="000A5E84">
      <w:r>
        <w:t>“(a) administering the arrangements for determining a benchmark;</w:t>
      </w:r>
    </w:p>
    <w:p w:rsidR="000A5E84" w:rsidRDefault="000A5E84" w:rsidP="000A5E84">
      <w:r>
        <w:t xml:space="preserve">(b) </w:t>
      </w:r>
      <w:proofErr w:type="gramStart"/>
      <w:r>
        <w:t>collecting</w:t>
      </w:r>
      <w:proofErr w:type="gramEnd"/>
      <w:r>
        <w:t xml:space="preserve">, analysing or processing input data for the purpose of determining a benchmark; and </w:t>
      </w:r>
    </w:p>
    <w:p w:rsidR="000A5E84" w:rsidRDefault="000A5E84" w:rsidP="000A5E84">
      <w:r>
        <w:t xml:space="preserve"> (c) </w:t>
      </w:r>
      <w:proofErr w:type="gramStart"/>
      <w:r>
        <w:t>determining</w:t>
      </w:r>
      <w:proofErr w:type="gramEnd"/>
      <w:r>
        <w:t xml:space="preserve"> a benchmark through the application of a formula or other method of calculation or by an assessment of input data provided for that purpose;”</w:t>
      </w:r>
    </w:p>
    <w:p w:rsidR="000A5E84" w:rsidRDefault="000A5E84" w:rsidP="000A5E84">
      <w:r>
        <w:t xml:space="preserve"> </w:t>
      </w:r>
    </w:p>
    <w:p w:rsidR="000A5E84" w:rsidRDefault="000A5E84" w:rsidP="000A5E84">
      <w:r>
        <w:t>If we draw further into</w:t>
      </w:r>
      <w:r w:rsidR="00863986">
        <w:t xml:space="preserve"> the definition of “benchmark”, a </w:t>
      </w:r>
      <w:r>
        <w:t xml:space="preserve">“‘benchmark’ </w:t>
      </w:r>
      <w:r w:rsidR="00863986">
        <w:t>is</w:t>
      </w:r>
      <w:r>
        <w:t xml:space="preserve"> any index by reference to which the amount payable under a financial instrument or a financial contract, or the value of a financial instr</w:t>
      </w:r>
      <w:r>
        <w:t>u</w:t>
      </w:r>
      <w:r>
        <w:t>ment is determined or an index that is used to measure the performance of an investment fund with the purpo</w:t>
      </w:r>
      <w:r>
        <w:t>s</w:t>
      </w:r>
      <w:r>
        <w:t>es to track the return of such index or to define the asset allocation of a portfolio or to compute the perfo</w:t>
      </w:r>
      <w:r>
        <w:t>r</w:t>
      </w:r>
      <w:r>
        <w:t>mance fees;”</w:t>
      </w:r>
    </w:p>
    <w:p w:rsidR="000A5E84" w:rsidRDefault="000A5E84" w:rsidP="000A5E84">
      <w:r>
        <w:t xml:space="preserve"> </w:t>
      </w:r>
    </w:p>
    <w:p w:rsidR="000A5E84" w:rsidRDefault="000A5E84" w:rsidP="000A5E84">
      <w:r>
        <w:t>Finally, focusi</w:t>
      </w:r>
      <w:r w:rsidR="00863986">
        <w:t>ng on the definition of “index”, “‘index”</w:t>
      </w:r>
      <w:r>
        <w:t xml:space="preserve"> means any figure:</w:t>
      </w:r>
    </w:p>
    <w:p w:rsidR="000A5E84" w:rsidRDefault="000A5E84" w:rsidP="000A5E84">
      <w:r>
        <w:t>(</w:t>
      </w:r>
      <w:proofErr w:type="gramStart"/>
      <w:r>
        <w:t>a</w:t>
      </w:r>
      <w:proofErr w:type="gramEnd"/>
      <w:r>
        <w:t>) that is published or made available to the public;</w:t>
      </w:r>
    </w:p>
    <w:p w:rsidR="000A5E84" w:rsidRDefault="000A5E84" w:rsidP="000A5E84">
      <w:r>
        <w:t>(</w:t>
      </w:r>
      <w:proofErr w:type="gramStart"/>
      <w:r>
        <w:t>b</w:t>
      </w:r>
      <w:proofErr w:type="gramEnd"/>
      <w:r>
        <w:t>) that is regularly determined, entirely or partially, by the application of a formula or any other method of calculation, or by an assessment; and</w:t>
      </w:r>
    </w:p>
    <w:p w:rsidR="000A5E84" w:rsidRDefault="000A5E84" w:rsidP="000A5E84">
      <w:r>
        <w:t>(c) where this determination is made on the basis of the value of one or more underlying assets, or prices, including estimated prices, actual or estimated interest rates, quotes and committed quotes, or other values or surveys.”</w:t>
      </w:r>
    </w:p>
    <w:p w:rsidR="000A5E84" w:rsidRDefault="000A5E84" w:rsidP="000A5E84">
      <w:r>
        <w:t xml:space="preserve"> </w:t>
      </w:r>
    </w:p>
    <w:p w:rsidR="000A5E84" w:rsidRDefault="000A5E84" w:rsidP="000A5E84">
      <w:r>
        <w:t xml:space="preserve">Given the multiple layers of definitions mentioned above, the perception is that the use of a customized benchmark - where one draws upon an existing benchmark with the ability to adjust certain elements in order for it to better fit clients’ needs- could result in the user simultaneously qualifying as administrator. </w:t>
      </w:r>
    </w:p>
    <w:p w:rsidR="000A5E84" w:rsidRDefault="000A5E84" w:rsidP="000A5E84">
      <w:r>
        <w:t xml:space="preserve"> </w:t>
      </w:r>
    </w:p>
    <w:p w:rsidR="000A5E84" w:rsidRDefault="000A5E84" w:rsidP="000A5E84">
      <w:r>
        <w:t>Ultimately it seems that to a large extent the scope of the public availability can be considered vital in determining whether the use of customized benchmark could be interpreted as the provision of a benc</w:t>
      </w:r>
      <w:r>
        <w:t>h</w:t>
      </w:r>
      <w:r>
        <w:t xml:space="preserve">mark. The Discussion Paper seems to suggest that publication or public availability of a benchmark is to be interpreted broadly. Limited distribution could therefore be considered public availability as well. As such, an institutional investor (user) that shares information </w:t>
      </w:r>
      <w:proofErr w:type="gramStart"/>
      <w:r>
        <w:t>about a</w:t>
      </w:r>
      <w:proofErr w:type="gramEnd"/>
      <w:r>
        <w:t xml:space="preserve"> particular customized benchmarks with its clients, might already be seen to publish this benchmark and qualify as its administrator. We feel this is an undesirable side-effect, predominantly caused by a lack of a clear definition. Especially when dissemination among a wide audience is deliberately being avoided, it should not be designated as “made available to the public” after all.</w:t>
      </w:r>
    </w:p>
    <w:p w:rsidR="000A5E84" w:rsidRDefault="000A5E84" w:rsidP="000A5E84">
      <w:r>
        <w:t xml:space="preserve">        </w:t>
      </w:r>
    </w:p>
    <w:p w:rsidR="009A2624" w:rsidRDefault="000A5E84" w:rsidP="009A2624">
      <w:r>
        <w:t xml:space="preserve">The Benchmark Regulation is deliberately aimed at protecting benchmark users. The current lack of a clear definition on what should be considered the public </w:t>
      </w:r>
      <w:proofErr w:type="gramStart"/>
      <w:r>
        <w:t>domain,</w:t>
      </w:r>
      <w:proofErr w:type="gramEnd"/>
      <w:r>
        <w:t xml:space="preserve"> is in our view not particularly helpful to benchmark users. We would either suggest </w:t>
      </w:r>
      <w:proofErr w:type="gramStart"/>
      <w:r>
        <w:t>to adopt a clear definition or explicitly indicate</w:t>
      </w:r>
      <w:proofErr w:type="gramEnd"/>
      <w:r>
        <w:t xml:space="preserve"> that public availability is assessed on a case-by-case basis</w:t>
      </w:r>
      <w:r>
        <w:t xml:space="preserve"> </w:t>
      </w:r>
      <w:permEnd w:id="330183393"/>
      <w:r w:rsidR="009A2624">
        <w:t>&lt;E</w:t>
      </w:r>
      <w:r w:rsidR="009A2624">
        <w:t>S</w:t>
      </w:r>
      <w:r w:rsidR="009A2624">
        <w:t>MA_QUESTION_DP_BMR_1&gt;</w:t>
      </w:r>
    </w:p>
    <w:p w:rsidR="009A2624" w:rsidRDefault="009A2624" w:rsidP="009A2624"/>
    <w:p w:rsidR="009A2624" w:rsidRPr="007F44BF" w:rsidRDefault="009A2624" w:rsidP="002342EC">
      <w:pPr>
        <w:pStyle w:val="Questionstyle"/>
      </w:pPr>
      <w:r w:rsidRPr="007F44BF">
        <w:t>Do you have any proposals on which aspects of the publication process of an index should be considered in order for it to be deemed as having made the index available to the public, for the pu</w:t>
      </w:r>
      <w:r w:rsidRPr="007F44BF">
        <w:t>r</w:t>
      </w:r>
      <w:r w:rsidRPr="007F44BF">
        <w:t>pose of the BMR?</w:t>
      </w:r>
    </w:p>
    <w:p w:rsidR="009A2624" w:rsidRDefault="009A2624" w:rsidP="009A2624">
      <w:r>
        <w:t>&lt;ESMA_QUESTION_DP_BMR_2&gt;</w:t>
      </w:r>
    </w:p>
    <w:p w:rsidR="009A2624" w:rsidRDefault="009A2624" w:rsidP="009A2624">
      <w:permStart w:id="2025011776" w:edGrp="everyone"/>
      <w:r>
        <w:t>TYPE YOUR TEXT HERE</w:t>
      </w:r>
    </w:p>
    <w:permEnd w:id="2025011776"/>
    <w:p w:rsidR="009A2624" w:rsidRDefault="009A2624" w:rsidP="009A2624">
      <w:r>
        <w:t>&lt;ESMA_QUESTION_DP_BMR_2&gt;</w:t>
      </w:r>
    </w:p>
    <w:p w:rsidR="009A2624" w:rsidRDefault="009A2624" w:rsidP="009A2624"/>
    <w:p w:rsidR="009A2624" w:rsidRDefault="009A2624" w:rsidP="002342EC">
      <w:pPr>
        <w:pStyle w:val="Questionstyle"/>
        <w:rPr>
          <w:rFonts w:cstheme="minorHAnsi"/>
        </w:rPr>
      </w:pPr>
      <w:r w:rsidRPr="0088067A">
        <w:lastRenderedPageBreak/>
        <w:t>Do you agree with ESMA’s proposal to align the administering the arrangements for determi</w:t>
      </w:r>
      <w:r w:rsidRPr="0088067A">
        <w:t>n</w:t>
      </w:r>
      <w:r w:rsidRPr="0088067A">
        <w:t>ing a benchmark with the IOSCO principle on the overall responsibility of the administrator?</w:t>
      </w:r>
      <w:r>
        <w:t xml:space="preserve"> Which other characteristics/activities would you regard as covered by Article 3(1) point 3(a)?</w:t>
      </w:r>
    </w:p>
    <w:p w:rsidR="009A2624" w:rsidRDefault="009A2624" w:rsidP="009A2624">
      <w:r>
        <w:t>&lt;ESMA_QUESTION_DP_BMR_3&gt;</w:t>
      </w:r>
    </w:p>
    <w:p w:rsidR="009A2624" w:rsidRDefault="009A2624" w:rsidP="009A2624">
      <w:permStart w:id="1312240478" w:edGrp="everyone"/>
      <w:r>
        <w:t>TYPE YOUR TEXT HERE</w:t>
      </w:r>
    </w:p>
    <w:permEnd w:id="1312240478"/>
    <w:p w:rsidR="009A2624" w:rsidRDefault="009A2624" w:rsidP="009A2624">
      <w:r>
        <w:t>&lt;ESMA_QUESTION_DP_BMR_3&gt;</w:t>
      </w:r>
    </w:p>
    <w:p w:rsidR="009A2624" w:rsidRDefault="009A2624" w:rsidP="009A2624"/>
    <w:p w:rsidR="009A2624" w:rsidRPr="00B37C5D" w:rsidRDefault="009A2624" w:rsidP="002342EC">
      <w:pPr>
        <w:pStyle w:val="Questionstyle"/>
      </w:pPr>
      <w:r>
        <w:t xml:space="preserve">Do you agree with ESMA’s </w:t>
      </w:r>
      <w:r w:rsidRPr="00B37C5D">
        <w:t>proposal for a definition of issuance of a financial instrument? Are there additional aspects that this definition should cover?</w:t>
      </w:r>
    </w:p>
    <w:p w:rsidR="009A2624" w:rsidRDefault="009A2624" w:rsidP="009A2624">
      <w:r>
        <w:t>&lt;ESMA_QUESTION_DP_BMR_4&gt;</w:t>
      </w:r>
    </w:p>
    <w:p w:rsidR="000A5E84" w:rsidRPr="000A5E84" w:rsidRDefault="000A5E84" w:rsidP="009D616D">
      <w:pPr>
        <w:jc w:val="both"/>
      </w:pPr>
      <w:permStart w:id="19950278" w:edGrp="everyone"/>
      <w:r>
        <w:t xml:space="preserve">Recital (8) states that the scope of this Regulation should be as broad as necessary to create a preventive regulatory framework (…). However, neither the object established in art.1 or the definition for “use of a benchmark” (Art.3.1.5) covers, in any of the actions mentioned, the use of a benchmark by pension funds. </w:t>
      </w:r>
      <w:r w:rsidRPr="000A5E84">
        <w:t>Pension funds do not have the nature of financial instruments or Investment Funds as defined under BMR (art.3.1.16), which only includes explicitly UCITS or AIF.</w:t>
      </w:r>
    </w:p>
    <w:p w:rsidR="000A5E84" w:rsidRPr="000A5E84" w:rsidRDefault="000A5E84" w:rsidP="009D616D">
      <w:pPr>
        <w:jc w:val="both"/>
      </w:pPr>
    </w:p>
    <w:p w:rsidR="000A5E84" w:rsidRPr="000A5E84" w:rsidRDefault="000A5E84" w:rsidP="009D616D">
      <w:pPr>
        <w:jc w:val="both"/>
      </w:pPr>
      <w:r w:rsidRPr="000A5E84">
        <w:t>Furthermore, among the obligations arising from the use of benchmarks, the Regulation states that:</w:t>
      </w:r>
    </w:p>
    <w:p w:rsidR="000A5E84" w:rsidRPr="000A5E84" w:rsidRDefault="000A5E84" w:rsidP="009D616D">
      <w:pPr>
        <w:jc w:val="both"/>
      </w:pPr>
    </w:p>
    <w:p w:rsidR="000A5E84" w:rsidRPr="000A5E84" w:rsidRDefault="000A5E84" w:rsidP="009D616D">
      <w:pPr>
        <w:pStyle w:val="ListParagraph"/>
        <w:ind w:left="1428" w:hanging="360"/>
        <w:jc w:val="both"/>
      </w:pPr>
      <w:r w:rsidRPr="000A5E84">
        <w:rPr>
          <w:rFonts w:ascii="Symbol" w:hAnsi="Symbol"/>
        </w:rPr>
        <w:t></w:t>
      </w:r>
      <w:r w:rsidRPr="000A5E84">
        <w:rPr>
          <w:rFonts w:ascii="Times New Roman" w:hAnsi="Times New Roman"/>
          <w:sz w:val="14"/>
          <w:szCs w:val="14"/>
        </w:rPr>
        <w:t xml:space="preserve">         </w:t>
      </w:r>
      <w:r w:rsidRPr="000A5E84">
        <w:t>Supervised entities may only use registered benchmarks (Article 19.1)</w:t>
      </w:r>
    </w:p>
    <w:p w:rsidR="000A5E84" w:rsidRPr="000A5E84" w:rsidRDefault="000A5E84" w:rsidP="009D616D">
      <w:pPr>
        <w:pStyle w:val="ListParagraph"/>
        <w:ind w:left="1428" w:hanging="360"/>
        <w:jc w:val="both"/>
      </w:pPr>
      <w:r w:rsidRPr="000A5E84">
        <w:rPr>
          <w:rFonts w:ascii="Symbol" w:hAnsi="Symbol"/>
        </w:rPr>
        <w:t></w:t>
      </w:r>
      <w:r w:rsidRPr="000A5E84">
        <w:rPr>
          <w:rFonts w:ascii="Times New Roman" w:hAnsi="Times New Roman"/>
          <w:sz w:val="14"/>
          <w:szCs w:val="14"/>
        </w:rPr>
        <w:t xml:space="preserve">         </w:t>
      </w:r>
      <w:r w:rsidRPr="000A5E84">
        <w:t>Supervised entities must have written plans setting out the actions that they would take in the event that a benchmark materially changes or ceases to be provided (A</w:t>
      </w:r>
      <w:r w:rsidRPr="000A5E84">
        <w:t>r</w:t>
      </w:r>
      <w:r w:rsidRPr="000A5E84">
        <w:t>ticle 17.2.)</w:t>
      </w:r>
    </w:p>
    <w:p w:rsidR="000A5E84" w:rsidRPr="000A5E84" w:rsidRDefault="000A5E84" w:rsidP="009D616D">
      <w:pPr>
        <w:jc w:val="both"/>
      </w:pPr>
    </w:p>
    <w:p w:rsidR="000A5E84" w:rsidRPr="000A5E84" w:rsidRDefault="000A5E84" w:rsidP="009D616D">
      <w:pPr>
        <w:jc w:val="both"/>
      </w:pPr>
      <w:r w:rsidRPr="000A5E84">
        <w:t>As for "supervised entities", BMR foresees: Investment Funds UCITS (3.14.e), AIF</w:t>
      </w:r>
      <w:r w:rsidR="00863986">
        <w:t xml:space="preserve"> </w:t>
      </w:r>
      <w:r w:rsidRPr="000A5E84">
        <w:t>​​Managers (3.14.f) and Institutions for Occupational Retirement Provisions as defined in Article 6(a) of Directive 2003/41/EC (3.14.fa). Only with respect to</w:t>
      </w:r>
      <w:r w:rsidR="00863986">
        <w:t xml:space="preserve"> the</w:t>
      </w:r>
      <w:r w:rsidRPr="000A5E84">
        <w:t xml:space="preserve"> two requirements mentioned above it does make sense to treat pension funds as “supervised entities”</w:t>
      </w:r>
      <w:r w:rsidR="00863986">
        <w:t>,</w:t>
      </w:r>
      <w:r w:rsidRPr="000A5E84">
        <w:t xml:space="preserve"> but not with </w:t>
      </w:r>
      <w:r w:rsidR="00863986">
        <w:t xml:space="preserve">any </w:t>
      </w:r>
      <w:r w:rsidRPr="000A5E84">
        <w:t>other obligations</w:t>
      </w:r>
      <w:r w:rsidR="00863986">
        <w:t xml:space="preserve"> </w:t>
      </w:r>
      <w:r w:rsidRPr="000A5E84">
        <w:t>for “supervised entities” under the Benchmarks Regulation, such as creating publicly available indices or delive</w:t>
      </w:r>
      <w:r w:rsidRPr="000A5E84">
        <w:t>r</w:t>
      </w:r>
      <w:r w:rsidRPr="000A5E84">
        <w:t xml:space="preserve">ing data input. </w:t>
      </w:r>
    </w:p>
    <w:p w:rsidR="000A5E84" w:rsidRPr="000A5E84" w:rsidRDefault="000A5E84" w:rsidP="009D616D">
      <w:pPr>
        <w:jc w:val="both"/>
      </w:pPr>
    </w:p>
    <w:p w:rsidR="000A5E84" w:rsidRPr="000A5E84" w:rsidRDefault="000A5E84" w:rsidP="009D616D">
      <w:pPr>
        <w:jc w:val="both"/>
      </w:pPr>
      <w:r w:rsidRPr="000A5E84">
        <w:t>And so, the combination of all these provisions raises some issues of legal consistency:</w:t>
      </w:r>
    </w:p>
    <w:p w:rsidR="000A5E84" w:rsidRPr="000A5E84" w:rsidRDefault="000A5E84" w:rsidP="009D616D">
      <w:pPr>
        <w:ind w:left="708"/>
        <w:jc w:val="both"/>
      </w:pPr>
    </w:p>
    <w:p w:rsidR="000A5E84" w:rsidRPr="000A5E84" w:rsidRDefault="000A5E84" w:rsidP="009D616D">
      <w:pPr>
        <w:pStyle w:val="ListParagraph"/>
        <w:ind w:left="1276" w:hanging="360"/>
        <w:jc w:val="both"/>
      </w:pPr>
      <w:proofErr w:type="gramStart"/>
      <w:r w:rsidRPr="000A5E84">
        <w:rPr>
          <w:rFonts w:ascii="Symbol" w:hAnsi="Symbol"/>
        </w:rPr>
        <w:t></w:t>
      </w:r>
      <w:r w:rsidRPr="000A5E84">
        <w:rPr>
          <w:rFonts w:ascii="Times New Roman" w:hAnsi="Times New Roman"/>
          <w:sz w:val="14"/>
          <w:szCs w:val="14"/>
        </w:rPr>
        <w:t xml:space="preserve">         </w:t>
      </w:r>
      <w:r w:rsidRPr="000A5E84">
        <w:t>First of all, if the use of a benchmark by Institutions for Occupational Retirement Provisions must be considered subject to the Regulation.</w:t>
      </w:r>
      <w:proofErr w:type="gramEnd"/>
    </w:p>
    <w:p w:rsidR="000A5E84" w:rsidRPr="000A5E84" w:rsidRDefault="000A5E84" w:rsidP="009D616D">
      <w:pPr>
        <w:pStyle w:val="ListParagraph"/>
        <w:ind w:left="1276" w:hanging="360"/>
        <w:jc w:val="both"/>
      </w:pPr>
      <w:r w:rsidRPr="000A5E84">
        <w:rPr>
          <w:rFonts w:ascii="Symbol" w:hAnsi="Symbol"/>
        </w:rPr>
        <w:t></w:t>
      </w:r>
      <w:r w:rsidRPr="000A5E84">
        <w:rPr>
          <w:rFonts w:ascii="Times New Roman" w:hAnsi="Times New Roman"/>
          <w:sz w:val="14"/>
          <w:szCs w:val="14"/>
        </w:rPr>
        <w:t xml:space="preserve">         </w:t>
      </w:r>
      <w:r w:rsidRPr="000A5E84">
        <w:t>If so, whether or not, other pension funds would also be subject to this regulation (</w:t>
      </w:r>
      <w:proofErr w:type="spellStart"/>
      <w:r w:rsidRPr="000A5E84">
        <w:t>eg</w:t>
      </w:r>
      <w:proofErr w:type="spellEnd"/>
      <w:r w:rsidRPr="000A5E84">
        <w:t xml:space="preserve"> other institutions authorized and supervised operating at national level, provided they are reco</w:t>
      </w:r>
      <w:r w:rsidRPr="000A5E84">
        <w:t>g</w:t>
      </w:r>
      <w:r w:rsidRPr="000A5E84">
        <w:t>nized under national law and their primary purpose is to provide se</w:t>
      </w:r>
      <w:r w:rsidRPr="000A5E84">
        <w:t>r</w:t>
      </w:r>
      <w:r w:rsidRPr="000A5E84">
        <w:t>vices retirement, in line with the provisions of Article 10.2 of Regulation EMIR).</w:t>
      </w:r>
    </w:p>
    <w:p w:rsidR="000A5E84" w:rsidRPr="000A5E84" w:rsidRDefault="000A5E84" w:rsidP="009D616D">
      <w:pPr>
        <w:pStyle w:val="ListParagraph"/>
        <w:ind w:left="1276"/>
        <w:jc w:val="both"/>
      </w:pPr>
    </w:p>
    <w:p w:rsidR="009A2624" w:rsidRDefault="000A5E84" w:rsidP="009A2624">
      <w:r w:rsidRPr="000A5E84">
        <w:rPr>
          <w:bCs/>
        </w:rPr>
        <w:t xml:space="preserve">Therefore, we would see merit if ESMA could specify whether or not </w:t>
      </w:r>
      <w:r w:rsidR="00557DF6">
        <w:rPr>
          <w:bCs/>
        </w:rPr>
        <w:t xml:space="preserve">providers of </w:t>
      </w:r>
      <w:r w:rsidRPr="000A5E84">
        <w:rPr>
          <w:bCs/>
        </w:rPr>
        <w:t>individual and occup</w:t>
      </w:r>
      <w:r w:rsidRPr="000A5E84">
        <w:rPr>
          <w:bCs/>
        </w:rPr>
        <w:t>a</w:t>
      </w:r>
      <w:r w:rsidRPr="000A5E84">
        <w:rPr>
          <w:bCs/>
        </w:rPr>
        <w:t>tional pe</w:t>
      </w:r>
      <w:r w:rsidRPr="000A5E84">
        <w:rPr>
          <w:bCs/>
        </w:rPr>
        <w:t>n</w:t>
      </w:r>
      <w:r w:rsidRPr="000A5E84">
        <w:rPr>
          <w:bCs/>
        </w:rPr>
        <w:t xml:space="preserve">sion products could be considered users of benchmarks. ESMA should clarify that IORPs are not subject to certain kinds of Benchmarks Regulation requirements even if </w:t>
      </w:r>
      <w:r w:rsidR="00863986" w:rsidRPr="000A5E84">
        <w:rPr>
          <w:bCs/>
        </w:rPr>
        <w:t>labelled</w:t>
      </w:r>
      <w:r w:rsidRPr="000A5E84">
        <w:rPr>
          <w:bCs/>
        </w:rPr>
        <w:t xml:space="preserve"> as “supervised entity” as the application does not make sense and provides for practical and legal </w:t>
      </w:r>
      <w:proofErr w:type="spellStart"/>
      <w:r w:rsidRPr="000A5E84">
        <w:rPr>
          <w:bCs/>
        </w:rPr>
        <w:t>unce</w:t>
      </w:r>
      <w:r w:rsidR="00863986">
        <w:rPr>
          <w:bCs/>
        </w:rPr>
        <w:t>r</w:t>
      </w:r>
      <w:r w:rsidRPr="000A5E84">
        <w:rPr>
          <w:bCs/>
        </w:rPr>
        <w:t>taity</w:t>
      </w:r>
      <w:permEnd w:id="19950278"/>
      <w:proofErr w:type="spellEnd"/>
      <w:r w:rsidR="009A2624">
        <w:t>&lt;ESMA_QUESTION_DP_BMR_4&gt;</w:t>
      </w:r>
    </w:p>
    <w:p w:rsidR="009A2624" w:rsidRDefault="009A2624" w:rsidP="009A2624"/>
    <w:p w:rsidR="009A2624" w:rsidRDefault="009A2624" w:rsidP="002342EC">
      <w:pPr>
        <w:pStyle w:val="Questionstyle"/>
      </w:pPr>
      <w:r w:rsidRPr="003E0464">
        <w:t xml:space="preserve">Do you </w:t>
      </w:r>
      <w:r>
        <w:t>think that the business activities of market operators and CCPs in connection with possible creation of financial instruments for trading could fall under the specification of “</w:t>
      </w:r>
      <w:r w:rsidRPr="004431E7">
        <w:t>issuance of a financial instrument which references an index or a combination of indices</w:t>
      </w:r>
      <w:r>
        <w:t>”?</w:t>
      </w:r>
      <w:r w:rsidRPr="004431E7" w:rsidDel="006C285E">
        <w:t xml:space="preserve"> </w:t>
      </w:r>
      <w:r>
        <w:t xml:space="preserve">If not, which element of the “use of benchmark” definition could cover these business activities? </w:t>
      </w:r>
    </w:p>
    <w:p w:rsidR="009A2624" w:rsidRDefault="009A2624" w:rsidP="009A2624">
      <w:r>
        <w:t>&lt;ESMA_QUESTION_DP_BMR_5&gt;</w:t>
      </w:r>
    </w:p>
    <w:p w:rsidR="009A2624" w:rsidRDefault="009A2624" w:rsidP="009A2624">
      <w:permStart w:id="403849213" w:edGrp="everyone"/>
      <w:r>
        <w:t>TYPE YOUR TEXT HERE</w:t>
      </w:r>
    </w:p>
    <w:permEnd w:id="403849213"/>
    <w:p w:rsidR="009A2624" w:rsidRDefault="009A2624" w:rsidP="009A2624">
      <w:r>
        <w:t>&lt;ESMA_QUESTION_DP_BMR_5&gt;</w:t>
      </w:r>
    </w:p>
    <w:p w:rsidR="009A2624" w:rsidRDefault="009A2624" w:rsidP="009A2624"/>
    <w:p w:rsidR="009A2624" w:rsidRPr="007F44BF" w:rsidRDefault="009A2624" w:rsidP="002342EC">
      <w:pPr>
        <w:pStyle w:val="Questionstyle"/>
      </w:pPr>
      <w:r w:rsidRPr="007F44BF">
        <w:lastRenderedPageBreak/>
        <w:t>Do you agree with the proposed list of appropriate governance arrangements for the oversight function? Would you propose any additional structure or changes to the proposed structures?</w:t>
      </w:r>
    </w:p>
    <w:p w:rsidR="009A2624" w:rsidRDefault="009A2624" w:rsidP="009A2624">
      <w:r>
        <w:t>&lt;ESMA_QUESTION_DP_BMR_6&gt;</w:t>
      </w:r>
    </w:p>
    <w:p w:rsidR="009A2624" w:rsidRDefault="009A2624" w:rsidP="009A2624">
      <w:permStart w:id="21237209" w:edGrp="everyone"/>
      <w:r>
        <w:t>TYPE YOUR TEXT HERE</w:t>
      </w:r>
    </w:p>
    <w:permEnd w:id="21237209"/>
    <w:p w:rsidR="009A2624" w:rsidRDefault="009A2624" w:rsidP="009A2624">
      <w:r>
        <w:t>&lt;ESMA_QUESTION_DP_BMR_6&gt;</w:t>
      </w:r>
    </w:p>
    <w:p w:rsidR="009A2624" w:rsidRDefault="009A2624" w:rsidP="009A2624"/>
    <w:p w:rsidR="009A2624" w:rsidRPr="007F44BF" w:rsidRDefault="009A2624" w:rsidP="002342EC">
      <w:pPr>
        <w:pStyle w:val="Questionstyle"/>
      </w:pPr>
      <w:r w:rsidRPr="007F44BF">
        <w:t>Do you believe these proposals sufficiently address the needs of all types of benchmarks and administrators? If not, what characteristics do such benchmarks have that would need to be addressed in the proposals?</w:t>
      </w:r>
    </w:p>
    <w:p w:rsidR="009A2624" w:rsidRDefault="009A2624" w:rsidP="009A2624">
      <w:r>
        <w:t>&lt;ESMA_QUESTION_DP_BMR_7&gt;</w:t>
      </w:r>
    </w:p>
    <w:p w:rsidR="009A2624" w:rsidRDefault="009A2624" w:rsidP="009A2624">
      <w:permStart w:id="899297063" w:edGrp="everyone"/>
      <w:r>
        <w:t>TYPE YOUR TEXT HERE</w:t>
      </w:r>
    </w:p>
    <w:permEnd w:id="899297063"/>
    <w:p w:rsidR="009A2624" w:rsidRDefault="009A2624" w:rsidP="009A2624">
      <w:r>
        <w:t>&lt;ESMA_QUESTION_DP_BMR_7&gt;</w:t>
      </w:r>
    </w:p>
    <w:p w:rsidR="009A2624" w:rsidRDefault="009A2624" w:rsidP="009A2624"/>
    <w:p w:rsidR="009A2624" w:rsidRPr="007F44BF" w:rsidRDefault="009A2624" w:rsidP="002342EC">
      <w:pPr>
        <w:pStyle w:val="Questionstyle"/>
      </w:pPr>
      <w:r w:rsidRPr="007F44BF">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rsidR="009A2624" w:rsidRDefault="009A2624" w:rsidP="009A2624">
      <w:r>
        <w:t>&lt;ESMA_QUESTION_DP_BMR_8&gt;</w:t>
      </w:r>
    </w:p>
    <w:p w:rsidR="009A2624" w:rsidRDefault="009A2624" w:rsidP="009A2624">
      <w:permStart w:id="1216159000" w:edGrp="everyone"/>
      <w:r>
        <w:t>TYPE YOUR TEXT HERE</w:t>
      </w:r>
    </w:p>
    <w:permEnd w:id="1216159000"/>
    <w:p w:rsidR="009A2624" w:rsidRDefault="009A2624" w:rsidP="009A2624">
      <w:r>
        <w:t>&lt;ESMA_QUESTION_DP_BMR_8&gt;</w:t>
      </w:r>
    </w:p>
    <w:p w:rsidR="009A2624" w:rsidRDefault="009A2624" w:rsidP="009A2624"/>
    <w:p w:rsidR="009A2624" w:rsidRPr="007F44BF" w:rsidRDefault="009A2624" w:rsidP="002342EC">
      <w:pPr>
        <w:pStyle w:val="Questionstyle"/>
      </w:pPr>
      <w:r w:rsidRPr="007F44BF">
        <w:t>Do you agree that an administrator could establish one oversight function for all the benc</w:t>
      </w:r>
      <w:r w:rsidRPr="007F44BF">
        <w:t>h</w:t>
      </w:r>
      <w:r w:rsidRPr="007F44BF">
        <w:t>marks it provides? Do you think it is appropriate for an administrator to have multiple oversight fun</w:t>
      </w:r>
      <w:r w:rsidRPr="007F44BF">
        <w:t>c</w:t>
      </w:r>
      <w:r w:rsidRPr="007F44BF">
        <w:t>tions where it provides benchmarks that have different methodologies, users or seek to measure very different markets or economic realities?</w:t>
      </w:r>
    </w:p>
    <w:p w:rsidR="009A2624" w:rsidRDefault="009A2624" w:rsidP="009A2624">
      <w:r>
        <w:t>&lt;ESMA_QUESTION_DP_BMR_9&gt;</w:t>
      </w:r>
    </w:p>
    <w:p w:rsidR="009A2624" w:rsidRDefault="009A2624" w:rsidP="009A2624">
      <w:permStart w:id="2135635057" w:edGrp="everyone"/>
      <w:r>
        <w:t>TYPE YOUR TEXT HERE</w:t>
      </w:r>
    </w:p>
    <w:permEnd w:id="2135635057"/>
    <w:p w:rsidR="009A2624" w:rsidRDefault="009A2624" w:rsidP="009A2624">
      <w:r>
        <w:t>&lt;ESMA_QUESTION_DP_BMR_9&gt;</w:t>
      </w:r>
    </w:p>
    <w:p w:rsidR="009A2624" w:rsidRDefault="009A2624" w:rsidP="009A2624"/>
    <w:p w:rsidR="009A2624" w:rsidRPr="007F44BF" w:rsidRDefault="009A2624" w:rsidP="002342EC">
      <w:pPr>
        <w:pStyle w:val="Questionstyle"/>
      </w:pPr>
      <w:r w:rsidRPr="007F44BF">
        <w:t>If an administrator provides more than one critical benchmark, do you support the approach of one oversight function exercising oversight over all the critical benchmarks? Do you think it is nece</w:t>
      </w:r>
      <w:r w:rsidRPr="007F44BF">
        <w:t>s</w:t>
      </w:r>
      <w:r w:rsidRPr="007F44BF">
        <w:t xml:space="preserve">sary for an oversight function to have sub-functions, to account for the different needs of different types of benchmarks? </w:t>
      </w:r>
    </w:p>
    <w:p w:rsidR="009A2624" w:rsidRDefault="009A2624" w:rsidP="009A2624">
      <w:r>
        <w:t>&lt;ESMA_QUESTION_DP_BMR_10&gt;</w:t>
      </w:r>
    </w:p>
    <w:p w:rsidR="009A2624" w:rsidRDefault="009A2624" w:rsidP="009A2624">
      <w:permStart w:id="551889089" w:edGrp="everyone"/>
      <w:r>
        <w:t>TYPE YOUR TEXT HERE</w:t>
      </w:r>
    </w:p>
    <w:permEnd w:id="551889089"/>
    <w:p w:rsidR="009A2624" w:rsidRDefault="009A2624" w:rsidP="009A2624">
      <w:r>
        <w:t>&lt;ESMA_QUESTION_DP_BMR_10&gt;</w:t>
      </w:r>
    </w:p>
    <w:p w:rsidR="009A2624" w:rsidRDefault="009A2624" w:rsidP="009A2624"/>
    <w:p w:rsidR="009A2624" w:rsidRPr="007F44BF" w:rsidRDefault="009A2624" w:rsidP="002342EC">
      <w:pPr>
        <w:pStyle w:val="Questionstyle"/>
      </w:pPr>
      <w:r w:rsidRPr="007F44BF">
        <w:t>Where an administrator provides critical benchmarks and significant or non-significant benc</w:t>
      </w:r>
      <w:r w:rsidRPr="007F44BF">
        <w:t>h</w:t>
      </w:r>
      <w:r w:rsidRPr="007F44BF">
        <w:t xml:space="preserve">marks, do you think it should establish different oversight functions depending on the nature, scale and complexity of the critical benchmarks versus the significant or non-significant benchmarks? </w:t>
      </w:r>
    </w:p>
    <w:p w:rsidR="009A2624" w:rsidRDefault="009A2624" w:rsidP="009A2624">
      <w:r>
        <w:t>&lt;ESMA_QUESTION_DP_BMR_11&gt;</w:t>
      </w:r>
    </w:p>
    <w:p w:rsidR="009A2624" w:rsidRDefault="009A2624" w:rsidP="009A2624">
      <w:permStart w:id="1481323481" w:edGrp="everyone"/>
      <w:r>
        <w:t>TYPE YOUR TEXT HERE</w:t>
      </w:r>
    </w:p>
    <w:permEnd w:id="1481323481"/>
    <w:p w:rsidR="009A2624" w:rsidRDefault="009A2624" w:rsidP="009A2624">
      <w:r>
        <w:t>&lt;ESMA_QUESTION_DP_BMR_11&gt;</w:t>
      </w:r>
    </w:p>
    <w:p w:rsidR="009A2624" w:rsidRDefault="009A2624" w:rsidP="009A2624"/>
    <w:p w:rsidR="009A2624" w:rsidRPr="007F44BF" w:rsidRDefault="009A2624" w:rsidP="002342EC">
      <w:pPr>
        <w:pStyle w:val="Questionstyle"/>
      </w:pPr>
      <w:r w:rsidRPr="007F44BF">
        <w:lastRenderedPageBreak/>
        <w:t xml:space="preserve">In which cases would you agree that contributors should be prevented from participating in oversight committees? </w:t>
      </w:r>
    </w:p>
    <w:p w:rsidR="009A2624" w:rsidRDefault="009A2624" w:rsidP="009A2624">
      <w:r>
        <w:t>&lt;ESMA_QUESTION_DP_BMR_12&gt;</w:t>
      </w:r>
    </w:p>
    <w:p w:rsidR="009A2624" w:rsidRDefault="009A2624" w:rsidP="009A2624">
      <w:permStart w:id="39285440" w:edGrp="everyone"/>
      <w:r>
        <w:t>TYPE YOUR TEXT HERE</w:t>
      </w:r>
    </w:p>
    <w:permEnd w:id="39285440"/>
    <w:p w:rsidR="009A2624" w:rsidRDefault="009A2624" w:rsidP="009A2624">
      <w:r>
        <w:t>&lt;ESMA_QUESTION_DP_BMR_12&gt;</w:t>
      </w:r>
    </w:p>
    <w:p w:rsidR="009A2624" w:rsidRDefault="009A2624" w:rsidP="009A2624"/>
    <w:p w:rsidR="009A2624" w:rsidRPr="007F44BF" w:rsidRDefault="009A2624" w:rsidP="002342EC">
      <w:pPr>
        <w:pStyle w:val="Questionstyle"/>
      </w:pPr>
      <w:r w:rsidRPr="007F44BF">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provi</w:t>
      </w:r>
      <w:r w:rsidRPr="007F44BF">
        <w:t>d</w:t>
      </w:r>
      <w:r w:rsidRPr="007F44BF">
        <w:t>ed? Please describe the nature, and where possible provide estimates, of these costs.</w:t>
      </w:r>
    </w:p>
    <w:p w:rsidR="009A2624" w:rsidRDefault="009A2624" w:rsidP="009A2624">
      <w:r>
        <w:t>&lt;ESMA_QUESTION_DP_BMR_13&gt;</w:t>
      </w:r>
    </w:p>
    <w:p w:rsidR="009A2624" w:rsidRDefault="009A2624" w:rsidP="009A2624">
      <w:permStart w:id="978977662" w:edGrp="everyone"/>
      <w:r>
        <w:t>TYPE YOUR TEXT HERE</w:t>
      </w:r>
    </w:p>
    <w:permEnd w:id="978977662"/>
    <w:p w:rsidR="009A2624" w:rsidRDefault="009A2624" w:rsidP="009A2624">
      <w:r>
        <w:t>&lt;ESMA_QUESTION_DP_BMR_13&gt;</w:t>
      </w:r>
    </w:p>
    <w:p w:rsidR="009A2624" w:rsidRDefault="009A2624" w:rsidP="009A2624"/>
    <w:p w:rsidR="009A2624" w:rsidRPr="007F44BF" w:rsidRDefault="009A2624" w:rsidP="002342EC">
      <w:pPr>
        <w:pStyle w:val="Questionstyle"/>
      </w:pPr>
      <w:r w:rsidRPr="007F44BF">
        <w:t xml:space="preserve">Do you agree that, in all cases, an oversight function should not be responsible for overseeing the business decisions of the management body? </w:t>
      </w:r>
    </w:p>
    <w:p w:rsidR="009A2624" w:rsidRDefault="009A2624" w:rsidP="009A2624">
      <w:r>
        <w:t>&lt;ESMA_QUESTION_DP_BMR_14&gt;</w:t>
      </w:r>
    </w:p>
    <w:p w:rsidR="009A2624" w:rsidRDefault="009A2624" w:rsidP="009A2624">
      <w:permStart w:id="376126638" w:edGrp="everyone"/>
      <w:r>
        <w:t>TYPE YOUR TEXT HERE</w:t>
      </w:r>
    </w:p>
    <w:permEnd w:id="376126638"/>
    <w:p w:rsidR="009A2624" w:rsidRDefault="009A2624" w:rsidP="009A2624">
      <w:r>
        <w:t>&lt;ESMA_QUESTION_DP_BMR_14&gt;</w:t>
      </w:r>
    </w:p>
    <w:p w:rsidR="009A2624" w:rsidRDefault="009A2624" w:rsidP="009A2624"/>
    <w:p w:rsidR="009A2624" w:rsidRPr="007F44BF" w:rsidRDefault="009A2624" w:rsidP="002342EC">
      <w:pPr>
        <w:pStyle w:val="Questionstyle"/>
      </w:pPr>
      <w:r w:rsidRPr="007F44BF">
        <w:t>Do you support the proposed positioning of the oversight function of an administrator? If not, please explain your reasons why this positioning may not be appropriate.</w:t>
      </w:r>
    </w:p>
    <w:p w:rsidR="009A2624" w:rsidRDefault="009A2624" w:rsidP="009A2624">
      <w:r>
        <w:t>&lt;ESMA_QUESTION_DP_BMR_15&gt;</w:t>
      </w:r>
    </w:p>
    <w:p w:rsidR="009A2624" w:rsidRDefault="009A2624" w:rsidP="009A2624">
      <w:permStart w:id="1727344885" w:edGrp="everyone"/>
      <w:r>
        <w:t>TYPE YOUR TEXT HERE</w:t>
      </w:r>
    </w:p>
    <w:permEnd w:id="1727344885"/>
    <w:p w:rsidR="009A2624" w:rsidRDefault="009A2624" w:rsidP="009A2624">
      <w:r>
        <w:t>&lt;ESMA_QUESTION_DP_BMR_15&gt;</w:t>
      </w:r>
    </w:p>
    <w:p w:rsidR="009A2624" w:rsidRDefault="009A2624" w:rsidP="009A2624"/>
    <w:p w:rsidR="009A2624" w:rsidRPr="007F44BF" w:rsidRDefault="009A2624" w:rsidP="002342EC">
      <w:pPr>
        <w:pStyle w:val="Questionstyle"/>
      </w:pPr>
      <w:r w:rsidRPr="007F44BF">
        <w:t>Do you have any additional comments with regard to the procedures for the oversight function as well as the composition and positioning of the oversight function within an administrator’s organ</w:t>
      </w:r>
      <w:r w:rsidRPr="007F44BF">
        <w:t>i</w:t>
      </w:r>
      <w:r w:rsidRPr="007F44BF">
        <w:t>sation?</w:t>
      </w:r>
    </w:p>
    <w:p w:rsidR="009A2624" w:rsidRDefault="009A2624" w:rsidP="009A2624">
      <w:r>
        <w:t>&lt;ESMA_QUESTION_DP_BMR_16&gt;</w:t>
      </w:r>
    </w:p>
    <w:p w:rsidR="009A2624" w:rsidRDefault="009A2624" w:rsidP="009A2624">
      <w:permStart w:id="964628201" w:edGrp="everyone"/>
      <w:r>
        <w:t>TYPE YOUR TEXT HERE</w:t>
      </w:r>
    </w:p>
    <w:permEnd w:id="964628201"/>
    <w:p w:rsidR="009A2624" w:rsidRDefault="009A2624" w:rsidP="009A2624">
      <w:r>
        <w:t>&lt;ESMA_QUESTION_DP_BMR_16&gt;</w:t>
      </w:r>
    </w:p>
    <w:p w:rsidR="009A2624" w:rsidRDefault="009A2624" w:rsidP="009A2624"/>
    <w:p w:rsidR="009A2624" w:rsidRPr="007F44BF" w:rsidRDefault="009A2624" w:rsidP="002342EC">
      <w:pPr>
        <w:pStyle w:val="Questionstyle"/>
      </w:pPr>
      <w:r w:rsidRPr="007F44BF">
        <w:t>Do you agree with the proposed list of elements of procedures required for all oversight fun</w:t>
      </w:r>
      <w:r w:rsidRPr="007F44BF">
        <w:t>c</w:t>
      </w:r>
      <w:r w:rsidRPr="007F44BF">
        <w:t>tions? Should different procedures be employed for different types of benchmarks?</w:t>
      </w:r>
    </w:p>
    <w:p w:rsidR="009A2624" w:rsidRDefault="009A2624" w:rsidP="009A2624">
      <w:r>
        <w:t>&lt;ESMA_QUESTION_DP_BMR_17&gt;</w:t>
      </w:r>
    </w:p>
    <w:p w:rsidR="009A2624" w:rsidRDefault="009A2624" w:rsidP="009A2624">
      <w:permStart w:id="939461460" w:edGrp="everyone"/>
      <w:r>
        <w:t>TYPE YOUR TEXT HERE</w:t>
      </w:r>
    </w:p>
    <w:permEnd w:id="939461460"/>
    <w:p w:rsidR="009A2624" w:rsidRDefault="009A2624" w:rsidP="009A2624">
      <w:r>
        <w:t>&lt;ESMA_QUESTION_DP_BMR_17&gt;</w:t>
      </w:r>
    </w:p>
    <w:p w:rsidR="009A2624" w:rsidRDefault="009A2624" w:rsidP="009A2624"/>
    <w:p w:rsidR="009A2624" w:rsidRPr="007F44BF" w:rsidRDefault="009A2624" w:rsidP="002342EC">
      <w:pPr>
        <w:pStyle w:val="Questionstyle"/>
      </w:pPr>
      <w:r w:rsidRPr="007F44BF">
        <w:t>Do you agree with the proposed treatment of conflicts of interest arising from the composition of an oversight function? Have you identified any additional conflicts which ESMA should consider in drafting the RTS?</w:t>
      </w:r>
    </w:p>
    <w:p w:rsidR="009A2624" w:rsidRDefault="009A2624" w:rsidP="009A2624">
      <w:r>
        <w:t>&lt;ESMA_QUESTION_DP_BMR_18&gt;</w:t>
      </w:r>
    </w:p>
    <w:p w:rsidR="009A2624" w:rsidRDefault="009A2624" w:rsidP="009A2624">
      <w:permStart w:id="1377724031" w:edGrp="everyone"/>
      <w:r>
        <w:t>TYPE YOUR TEXT HERE</w:t>
      </w:r>
    </w:p>
    <w:permEnd w:id="1377724031"/>
    <w:p w:rsidR="009A2624" w:rsidRDefault="009A2624" w:rsidP="009A2624">
      <w:r>
        <w:lastRenderedPageBreak/>
        <w:t>&lt;ESMA_QUESTION_DP_BMR_18&gt;</w:t>
      </w:r>
    </w:p>
    <w:p w:rsidR="009A2624" w:rsidRDefault="009A2624" w:rsidP="009A2624"/>
    <w:p w:rsidR="009A2624" w:rsidRPr="007F44BF" w:rsidRDefault="009A2624" w:rsidP="002342EC">
      <w:pPr>
        <w:pStyle w:val="Questionstyle"/>
      </w:pPr>
      <w:r w:rsidRPr="007F44BF">
        <w:t>Do you agree with the list of records to be kept by the administrator for input data verific</w:t>
      </w:r>
      <w:r w:rsidRPr="007F44BF">
        <w:t>a</w:t>
      </w:r>
      <w:r w:rsidRPr="007F44BF">
        <w:t>tion? If not, please specify which information is superfluous / which additional information is needed and why.</w:t>
      </w:r>
    </w:p>
    <w:p w:rsidR="009A2624" w:rsidRDefault="009A2624" w:rsidP="009A2624">
      <w:r>
        <w:t>&lt;ESMA_QUESTION_DP_BMR_19&gt;</w:t>
      </w:r>
    </w:p>
    <w:p w:rsidR="009A2624" w:rsidRDefault="009A2624" w:rsidP="009A2624">
      <w:permStart w:id="1274943470" w:edGrp="everyone"/>
      <w:r>
        <w:t>TYPE YOUR TEXT HERE</w:t>
      </w:r>
    </w:p>
    <w:permEnd w:id="1274943470"/>
    <w:p w:rsidR="009A2624" w:rsidRDefault="009A2624" w:rsidP="009A2624">
      <w:r>
        <w:t>&lt;ESMA_QUESTION_DP_BMR_19&gt;</w:t>
      </w:r>
    </w:p>
    <w:p w:rsidR="009A2624" w:rsidRDefault="009A2624" w:rsidP="009A2624"/>
    <w:p w:rsidR="009A2624" w:rsidRPr="007F44BF" w:rsidRDefault="009A2624" w:rsidP="002342EC">
      <w:pPr>
        <w:pStyle w:val="Questionstyle"/>
      </w:pPr>
      <w:r w:rsidRPr="007F44BF">
        <w:t>Do you agree that, for the information to be transmitted to the administrator in view of ensu</w:t>
      </w:r>
      <w:r w:rsidRPr="007F44BF">
        <w:t>r</w:t>
      </w:r>
      <w:r w:rsidRPr="007F44BF">
        <w:t>ing the verifiability of input data, weekly transmission is sufficient? Would you instead consider it appropriate to leave the frequency of transmission to be defined by the administrator (i.e. in the code of conduct)?</w:t>
      </w:r>
    </w:p>
    <w:p w:rsidR="009A2624" w:rsidRDefault="009A2624" w:rsidP="009A2624">
      <w:r>
        <w:t>&lt;ESMA_QUESTION_DP_BMR_20&gt;</w:t>
      </w:r>
    </w:p>
    <w:p w:rsidR="009A2624" w:rsidRDefault="009A2624" w:rsidP="009A2624">
      <w:permStart w:id="1547838054" w:edGrp="everyone"/>
      <w:r>
        <w:t>TYPE YOUR TEXT HERE</w:t>
      </w:r>
    </w:p>
    <w:permEnd w:id="1547838054"/>
    <w:p w:rsidR="009A2624" w:rsidRDefault="009A2624" w:rsidP="009A2624">
      <w:r>
        <w:t>&lt;ESMA_QUESTION_DP_BMR_20&gt;</w:t>
      </w:r>
    </w:p>
    <w:p w:rsidR="009A2624" w:rsidRDefault="009A2624" w:rsidP="009A2624"/>
    <w:p w:rsidR="009A2624" w:rsidRPr="007F44BF" w:rsidRDefault="009A2624" w:rsidP="002342EC">
      <w:pPr>
        <w:pStyle w:val="Questionstyle"/>
      </w:pPr>
      <w:r w:rsidRPr="007F44BF">
        <w:t>Do you agree with the concept of appropriateness as elaborated in this section?</w:t>
      </w:r>
    </w:p>
    <w:p w:rsidR="009A2624" w:rsidRDefault="009A2624" w:rsidP="009A2624">
      <w:r>
        <w:t>&lt;ESMA_QUESTION_DP_BMR_21&gt;</w:t>
      </w:r>
    </w:p>
    <w:p w:rsidR="009A2624" w:rsidRDefault="009A2624" w:rsidP="009A2624">
      <w:permStart w:id="1005785133" w:edGrp="everyone"/>
      <w:r>
        <w:t>TYPE YOUR TEXT HERE</w:t>
      </w:r>
    </w:p>
    <w:permEnd w:id="1005785133"/>
    <w:p w:rsidR="009A2624" w:rsidRDefault="009A2624" w:rsidP="009A2624">
      <w:r>
        <w:t>&lt;ESMA_QUESTION_DP_BMR_21&gt;</w:t>
      </w:r>
    </w:p>
    <w:p w:rsidR="009A2624" w:rsidRDefault="009A2624" w:rsidP="009A2624"/>
    <w:p w:rsidR="009A2624" w:rsidRPr="007F44BF" w:rsidRDefault="009A2624" w:rsidP="002342EC">
      <w:pPr>
        <w:pStyle w:val="Questionstyle"/>
      </w:pPr>
      <w:r w:rsidRPr="007F44BF">
        <w:t>Do you see any other checks an administrator could use to verify the appropriateness of input data?</w:t>
      </w:r>
    </w:p>
    <w:p w:rsidR="009A2624" w:rsidRDefault="009A2624" w:rsidP="009A2624">
      <w:r>
        <w:t>&lt;ESMA_QUESTION_DP_BMR_22&gt;</w:t>
      </w:r>
    </w:p>
    <w:p w:rsidR="009A2624" w:rsidRDefault="009A2624" w:rsidP="009A2624">
      <w:permStart w:id="1950420661" w:edGrp="everyone"/>
      <w:r>
        <w:t>TYPE YOUR TEXT HERE</w:t>
      </w:r>
    </w:p>
    <w:permEnd w:id="1950420661"/>
    <w:p w:rsidR="009A2624" w:rsidRDefault="009A2624" w:rsidP="009A2624">
      <w:r>
        <w:t>&lt;ESMA_QUESTION_DP_BMR_22&gt;</w:t>
      </w:r>
    </w:p>
    <w:p w:rsidR="009A2624" w:rsidRDefault="009A2624" w:rsidP="009A2624"/>
    <w:p w:rsidR="009A2624" w:rsidRPr="007F44BF" w:rsidRDefault="009A2624" w:rsidP="002342EC">
      <w:pPr>
        <w:pStyle w:val="Questionstyle"/>
      </w:pPr>
      <w:r w:rsidRPr="007F44BF">
        <w:t>Would you consider it useful that the administrator maintains records of the analyses pe</w:t>
      </w:r>
      <w:r w:rsidRPr="007F44BF">
        <w:t>r</w:t>
      </w:r>
      <w:r w:rsidRPr="007F44BF">
        <w:t>formed to evaluate the appropriateness of input data?</w:t>
      </w:r>
    </w:p>
    <w:p w:rsidR="009A2624" w:rsidRDefault="009A2624" w:rsidP="009A2624">
      <w:r>
        <w:t>&lt;ESMA_QUESTION_DP_BMR_23&gt;</w:t>
      </w:r>
    </w:p>
    <w:p w:rsidR="009A2624" w:rsidRDefault="009A2624" w:rsidP="009A2624">
      <w:permStart w:id="131017850" w:edGrp="everyone"/>
      <w:r>
        <w:t>TYPE YOUR TEXT HERE</w:t>
      </w:r>
    </w:p>
    <w:permEnd w:id="131017850"/>
    <w:p w:rsidR="009A2624" w:rsidRDefault="009A2624" w:rsidP="009A2624">
      <w:r>
        <w:t>&lt;ESMA_QUESTION_DP_BMR_23&gt;</w:t>
      </w:r>
    </w:p>
    <w:p w:rsidR="009A2624" w:rsidRDefault="009A2624" w:rsidP="009A2624"/>
    <w:p w:rsidR="009A2624" w:rsidRPr="007F44BF" w:rsidRDefault="009A2624" w:rsidP="002342EC">
      <w:pPr>
        <w:pStyle w:val="Questionstyle"/>
      </w:pPr>
      <w:r w:rsidRPr="007F44BF">
        <w:t>Do you see other possible measures to ensure verifiability of input data?</w:t>
      </w:r>
    </w:p>
    <w:p w:rsidR="009A2624" w:rsidRDefault="009A2624" w:rsidP="009A2624">
      <w:r>
        <w:t>&lt;ESMA_QUESTION_DP_BMR_24&gt;</w:t>
      </w:r>
    </w:p>
    <w:p w:rsidR="009A2624" w:rsidRDefault="009A2624" w:rsidP="009A2624">
      <w:permStart w:id="1946235980" w:edGrp="everyone"/>
      <w:r>
        <w:t>TYPE YOUR TEXT HERE</w:t>
      </w:r>
    </w:p>
    <w:permEnd w:id="1946235980"/>
    <w:p w:rsidR="009A2624" w:rsidRDefault="009A2624" w:rsidP="009A2624">
      <w:r>
        <w:t>&lt;ESMA_QUESTION_DP_BMR_24&gt;</w:t>
      </w:r>
    </w:p>
    <w:p w:rsidR="009A2624" w:rsidRDefault="009A2624" w:rsidP="009A2624"/>
    <w:p w:rsidR="009A2624" w:rsidRPr="007F44BF" w:rsidRDefault="009A2624" w:rsidP="002342EC">
      <w:pPr>
        <w:pStyle w:val="Questionstyle"/>
      </w:pPr>
      <w:r w:rsidRPr="007F44BF">
        <w:t>Do you agree with the identification of the concepts and underpinning activities of evaluation, validation and verifiability, as used in this section?</w:t>
      </w:r>
    </w:p>
    <w:p w:rsidR="009A2624" w:rsidRDefault="009A2624" w:rsidP="009A2624">
      <w:r>
        <w:t>&lt;ESMA_QUESTION_DP_BMR_25&gt;</w:t>
      </w:r>
    </w:p>
    <w:p w:rsidR="009A2624" w:rsidRDefault="009A2624" w:rsidP="009A2624">
      <w:permStart w:id="1850223244" w:edGrp="everyone"/>
      <w:r>
        <w:t>TYPE YOUR TEXT HERE</w:t>
      </w:r>
    </w:p>
    <w:permEnd w:id="1850223244"/>
    <w:p w:rsidR="009A2624" w:rsidRDefault="009A2624" w:rsidP="009A2624">
      <w:r>
        <w:t>&lt;ESMA_QUESTION_DP_BMR_25&gt;</w:t>
      </w:r>
    </w:p>
    <w:p w:rsidR="009A2624" w:rsidRDefault="009A2624" w:rsidP="009A2624"/>
    <w:p w:rsidR="009A2624" w:rsidRPr="007F44BF" w:rsidRDefault="009A2624" w:rsidP="002342EC">
      <w:pPr>
        <w:pStyle w:val="Questionstyle"/>
      </w:pPr>
      <w:r w:rsidRPr="007F44BF">
        <w:lastRenderedPageBreak/>
        <w:t>Do you agree that all staff involved in input data submission should undergo training, but that such training should be more elaborate / should be repeated more frequently where it concerns front office staff contributing to benchmarks?</w:t>
      </w:r>
    </w:p>
    <w:p w:rsidR="009A2624" w:rsidRDefault="009A2624" w:rsidP="009A2624">
      <w:r>
        <w:t>&lt;ESMA_QUESTION_DP_BMR_26&gt;</w:t>
      </w:r>
    </w:p>
    <w:p w:rsidR="009A2624" w:rsidRDefault="009A2624" w:rsidP="009A2624">
      <w:permStart w:id="609944603" w:edGrp="everyone"/>
      <w:r>
        <w:t>TYPE YOUR TEXT HERE</w:t>
      </w:r>
    </w:p>
    <w:permEnd w:id="609944603"/>
    <w:p w:rsidR="009A2624" w:rsidRDefault="009A2624" w:rsidP="009A2624">
      <w:r>
        <w:t>&lt;ESMA_QUESTION_DP_BMR_26&gt;</w:t>
      </w:r>
    </w:p>
    <w:p w:rsidR="009A2624" w:rsidRDefault="009A2624" w:rsidP="009A2624"/>
    <w:p w:rsidR="009A2624" w:rsidRPr="007F44BF" w:rsidRDefault="009A2624" w:rsidP="002342EC">
      <w:pPr>
        <w:pStyle w:val="Questionstyle"/>
      </w:pPr>
      <w:r w:rsidRPr="007F44BF">
        <w:t>Do you agree to the three lines of defence-principle as an ideal type of internal oversight architecture?</w:t>
      </w:r>
    </w:p>
    <w:p w:rsidR="009A2624" w:rsidRDefault="009A2624" w:rsidP="009A2624">
      <w:r>
        <w:t>&lt;ESMA_QUESTION_DP_BMR_27&gt;</w:t>
      </w:r>
    </w:p>
    <w:p w:rsidR="009A2624" w:rsidRDefault="009A2624" w:rsidP="009A2624">
      <w:permStart w:id="1138586683" w:edGrp="everyone"/>
      <w:r>
        <w:t>TYPE YOUR TEXT HERE</w:t>
      </w:r>
    </w:p>
    <w:permEnd w:id="1138586683"/>
    <w:p w:rsidR="009A2624" w:rsidRDefault="009A2624" w:rsidP="009A2624">
      <w:r>
        <w:t>&lt;ESMA_QUESTION_DP_BMR_27&gt;</w:t>
      </w:r>
    </w:p>
    <w:p w:rsidR="009A2624" w:rsidRDefault="009A2624" w:rsidP="009A2624"/>
    <w:p w:rsidR="009A2624" w:rsidRPr="007F44BF" w:rsidRDefault="009A2624" w:rsidP="002342EC">
      <w:pPr>
        <w:pStyle w:val="Questionstyle"/>
      </w:pPr>
      <w:r w:rsidRPr="007F44BF">
        <w:t>Do you identify other elements that could improve oversight at contributor level?</w:t>
      </w:r>
    </w:p>
    <w:p w:rsidR="009A2624" w:rsidRDefault="009A2624" w:rsidP="009A2624">
      <w:r>
        <w:t>&lt;ESMA_QUESTION_DP_BMR_28&gt;</w:t>
      </w:r>
    </w:p>
    <w:p w:rsidR="009A2624" w:rsidRDefault="009A2624" w:rsidP="009A2624">
      <w:permStart w:id="779561060" w:edGrp="everyone"/>
      <w:r>
        <w:t>TYPE YOUR TEXT HERE</w:t>
      </w:r>
    </w:p>
    <w:permEnd w:id="779561060"/>
    <w:p w:rsidR="009A2624" w:rsidRDefault="009A2624" w:rsidP="009A2624">
      <w:r>
        <w:t>&lt;ESMA_QUESTION_DP_BMR_28&gt;</w:t>
      </w:r>
    </w:p>
    <w:p w:rsidR="009A2624" w:rsidRDefault="009A2624" w:rsidP="009A2624"/>
    <w:p w:rsidR="009A2624" w:rsidRPr="007F44BF" w:rsidRDefault="009A2624" w:rsidP="002342EC">
      <w:pPr>
        <w:pStyle w:val="Questionstyle"/>
      </w:pPr>
      <w:r w:rsidRPr="007F44BF">
        <w:t>Do you agree with the list of elements contained in a conflict of interest policy? If not, please state which elements should be added / which elements you consider superfluous and why.</w:t>
      </w:r>
    </w:p>
    <w:p w:rsidR="009A2624" w:rsidRDefault="009A2624" w:rsidP="009A2624">
      <w:r>
        <w:t>&lt;ESMA_QUESTION_DP_BMR_29&gt;</w:t>
      </w:r>
    </w:p>
    <w:p w:rsidR="009A2624" w:rsidRDefault="009A2624" w:rsidP="009A2624">
      <w:permStart w:id="1340619174" w:edGrp="everyone"/>
      <w:r>
        <w:t>TYPE YOUR TEXT HERE</w:t>
      </w:r>
    </w:p>
    <w:permEnd w:id="1340619174"/>
    <w:p w:rsidR="009A2624" w:rsidRDefault="009A2624" w:rsidP="009A2624">
      <w:r>
        <w:t>&lt;ESMA_QUESTION_DP_BMR_29&gt;</w:t>
      </w:r>
    </w:p>
    <w:p w:rsidR="009A2624" w:rsidRDefault="009A2624" w:rsidP="009A2624"/>
    <w:p w:rsidR="009A2624" w:rsidRPr="007F44BF" w:rsidRDefault="009A2624" w:rsidP="002342EC">
      <w:pPr>
        <w:pStyle w:val="Questionstyle"/>
      </w:pPr>
      <w:r w:rsidRPr="007F44BF">
        <w:t>Do you agree that where expert judgement is relied on and/or discretion is used additional appropriate measures to ensure verifiability of input data should be imposed? If not, please specify examples and reasons why you disagree.</w:t>
      </w:r>
    </w:p>
    <w:p w:rsidR="009A2624" w:rsidRDefault="009A2624" w:rsidP="009A2624">
      <w:r>
        <w:t>&lt;ESMA_QUESTION_DP_BMR_30&gt;</w:t>
      </w:r>
    </w:p>
    <w:p w:rsidR="009A2624" w:rsidRDefault="009A2624" w:rsidP="009A2624">
      <w:permStart w:id="460139906" w:edGrp="everyone"/>
      <w:r>
        <w:t>TYPE YOUR TEXT HERE</w:t>
      </w:r>
    </w:p>
    <w:permEnd w:id="460139906"/>
    <w:p w:rsidR="009A2624" w:rsidRDefault="009A2624" w:rsidP="009A2624">
      <w:r>
        <w:t>&lt;ESMA_QUESTION_DP_BMR_30&gt;</w:t>
      </w:r>
    </w:p>
    <w:p w:rsidR="009A2624" w:rsidRDefault="009A2624" w:rsidP="009A2624"/>
    <w:p w:rsidR="009A2624" w:rsidRPr="007F44BF" w:rsidRDefault="009A2624" w:rsidP="002342EC">
      <w:pPr>
        <w:pStyle w:val="Questionstyle"/>
      </w:pPr>
      <w:r w:rsidRPr="007F44BF">
        <w:t xml:space="preserve">Do you agree to the list of criteria that can justify differentiation? If not, please specify why you disagree. </w:t>
      </w:r>
    </w:p>
    <w:p w:rsidR="009A2624" w:rsidRDefault="009A2624" w:rsidP="009A2624">
      <w:r>
        <w:t>&lt;ESMA_QUESTION_DP_BMR_31&gt;</w:t>
      </w:r>
    </w:p>
    <w:p w:rsidR="009A2624" w:rsidRDefault="009A2624" w:rsidP="009A2624">
      <w:permStart w:id="1250580404" w:edGrp="everyone"/>
      <w:r>
        <w:t>TYPE YOUR TEXT HERE</w:t>
      </w:r>
    </w:p>
    <w:permEnd w:id="1250580404"/>
    <w:p w:rsidR="009A2624" w:rsidRDefault="009A2624" w:rsidP="009A2624">
      <w:r>
        <w:t>&lt;ESMA_QUESTION_DP_BMR_31&gt;</w:t>
      </w:r>
    </w:p>
    <w:p w:rsidR="009A2624" w:rsidRDefault="009A2624" w:rsidP="009A2624"/>
    <w:p w:rsidR="009A2624" w:rsidRPr="007F44BF" w:rsidRDefault="009A2624" w:rsidP="002342EC">
      <w:pPr>
        <w:pStyle w:val="Questionstyle"/>
      </w:pPr>
      <w:r w:rsidRPr="007F44BF">
        <w:t>Do you agree to the list of elements that are amenable to proportional implementation? If not, please specify why you disagree.</w:t>
      </w:r>
    </w:p>
    <w:p w:rsidR="009A2624" w:rsidRDefault="009A2624" w:rsidP="009A2624">
      <w:r>
        <w:t>&lt;ESMA_QUESTION_DP_BMR_32&gt;</w:t>
      </w:r>
    </w:p>
    <w:p w:rsidR="009A2624" w:rsidRDefault="009A2624" w:rsidP="009A2624">
      <w:permStart w:id="91183556" w:edGrp="everyone"/>
      <w:r>
        <w:t>TYPE YOUR TEXT HERE</w:t>
      </w:r>
    </w:p>
    <w:permEnd w:id="91183556"/>
    <w:p w:rsidR="009A2624" w:rsidRDefault="009A2624" w:rsidP="009A2624">
      <w:r>
        <w:t>&lt;ESMA_QUESTION_DP_BMR_32&gt;</w:t>
      </w:r>
    </w:p>
    <w:p w:rsidR="009A2624" w:rsidRDefault="009A2624" w:rsidP="009A2624"/>
    <w:p w:rsidR="009A2624" w:rsidRPr="007F44BF" w:rsidRDefault="009A2624" w:rsidP="002342EC">
      <w:pPr>
        <w:pStyle w:val="Questionstyle"/>
      </w:pPr>
      <w:r w:rsidRPr="007F44BF">
        <w:lastRenderedPageBreak/>
        <w:t>Do you agree to the list of elements that are not amenable to proportional implementation? If not, please specify why you disagree.</w:t>
      </w:r>
    </w:p>
    <w:p w:rsidR="009A2624" w:rsidRDefault="009A2624" w:rsidP="009A2624">
      <w:r>
        <w:t>&lt;ESMA_QUESTION_DP_BMR_33&gt;</w:t>
      </w:r>
    </w:p>
    <w:p w:rsidR="009A2624" w:rsidRDefault="009A2624" w:rsidP="009A2624">
      <w:permStart w:id="1139290646" w:edGrp="everyone"/>
      <w:r>
        <w:t>TYPE YOUR TEXT HERE</w:t>
      </w:r>
    </w:p>
    <w:permEnd w:id="1139290646"/>
    <w:p w:rsidR="009A2624" w:rsidRDefault="009A2624" w:rsidP="009A2624">
      <w:r>
        <w:t>&lt;ESMA_QUESTION_DP_BMR_33&gt;</w:t>
      </w:r>
    </w:p>
    <w:p w:rsidR="009A2624" w:rsidRDefault="009A2624" w:rsidP="009A2624"/>
    <w:p w:rsidR="009A2624" w:rsidRPr="007F44BF" w:rsidRDefault="009A2624" w:rsidP="002342EC">
      <w:pPr>
        <w:pStyle w:val="Questionstyle"/>
      </w:pPr>
      <w:r w:rsidRPr="007F44BF">
        <w:t>Do you consider the proposed list of key elements sufficiently granular “</w:t>
      </w:r>
      <w:r w:rsidRPr="007F44BF">
        <w:rPr>
          <w:i/>
        </w:rPr>
        <w:t>to allow users to understand how a benchmark is provided and to assess its representativeness, its relevance to partic</w:t>
      </w:r>
      <w:r w:rsidRPr="007F44BF">
        <w:rPr>
          <w:i/>
        </w:rPr>
        <w:t>u</w:t>
      </w:r>
      <w:r w:rsidRPr="007F44BF">
        <w:rPr>
          <w:i/>
        </w:rPr>
        <w:t>lar users and its appropriateness as a reference for financial instruments and contracts</w:t>
      </w:r>
      <w:r w:rsidRPr="007F44BF">
        <w:t>”?</w:t>
      </w:r>
    </w:p>
    <w:p w:rsidR="009A2624" w:rsidRDefault="009A2624" w:rsidP="009A2624">
      <w:r>
        <w:t>&lt;ESMA_QUESTION_DP_BMR_34&gt;</w:t>
      </w:r>
    </w:p>
    <w:p w:rsidR="009A2624" w:rsidRDefault="009A2624" w:rsidP="009A2624">
      <w:permStart w:id="396322623" w:edGrp="everyone"/>
      <w:r>
        <w:t>TYPE YOUR TEXT HERE</w:t>
      </w:r>
    </w:p>
    <w:permEnd w:id="396322623"/>
    <w:p w:rsidR="009A2624" w:rsidRDefault="009A2624" w:rsidP="009A2624">
      <w:r>
        <w:t>&lt;ESMA_QUESTION_DP_BMR_34&gt;</w:t>
      </w:r>
    </w:p>
    <w:p w:rsidR="009A2624" w:rsidRDefault="009A2624" w:rsidP="009A2624"/>
    <w:p w:rsidR="009A2624" w:rsidRPr="007F44BF" w:rsidRDefault="009A2624" w:rsidP="002342EC">
      <w:pPr>
        <w:pStyle w:val="Questionstyle"/>
      </w:pPr>
      <w:r w:rsidRPr="007F44BF">
        <w:t>Beyond the list of key elements, could you identify other elements of benchmark methodology that should be disclosed? If yes, please explain the reason why these elements should be disclosed.</w:t>
      </w:r>
    </w:p>
    <w:p w:rsidR="009A2624" w:rsidRDefault="009A2624" w:rsidP="009A2624">
      <w:r>
        <w:t>&lt;ESMA_QUESTION_DP_BMR_35&gt;</w:t>
      </w:r>
    </w:p>
    <w:p w:rsidR="009A2624" w:rsidRDefault="009A2624" w:rsidP="009A2624">
      <w:permStart w:id="3174237" w:edGrp="everyone"/>
      <w:r>
        <w:t>TYPE YOUR TEXT HERE</w:t>
      </w:r>
    </w:p>
    <w:permEnd w:id="3174237"/>
    <w:p w:rsidR="009A2624" w:rsidRDefault="009A2624" w:rsidP="009A2624">
      <w:r>
        <w:t>&lt;ESMA_QUESTION_DP_BMR_35&gt;</w:t>
      </w:r>
    </w:p>
    <w:p w:rsidR="009A2624" w:rsidRDefault="009A2624" w:rsidP="009A2624"/>
    <w:p w:rsidR="009A2624" w:rsidRPr="007F44BF" w:rsidRDefault="009A2624" w:rsidP="002342EC">
      <w:pPr>
        <w:pStyle w:val="Questionstyle"/>
      </w:pPr>
      <w:r w:rsidRPr="007F44BF">
        <w:t xml:space="preserve">Do you agree that the proposed key elements must be disclosed </w:t>
      </w:r>
      <w:r w:rsidRPr="007F44BF">
        <w:rPr>
          <w:i/>
        </w:rPr>
        <w:t>to the public</w:t>
      </w:r>
      <w:r w:rsidRPr="007F44BF">
        <w:t xml:space="preserve"> (linked to Article 3, para 1, subpara 1, point (a))? If not, please specify why not.</w:t>
      </w:r>
    </w:p>
    <w:p w:rsidR="009A2624" w:rsidRDefault="009A2624" w:rsidP="009A2624">
      <w:r>
        <w:t>&lt;ESMA_QUESTION_DP_BMR_36&gt;</w:t>
      </w:r>
    </w:p>
    <w:p w:rsidR="009A2624" w:rsidRDefault="009A2624" w:rsidP="009A2624">
      <w:permStart w:id="814637700" w:edGrp="everyone"/>
      <w:r>
        <w:t>TYPE YOUR TEXT HERE</w:t>
      </w:r>
    </w:p>
    <w:permEnd w:id="814637700"/>
    <w:p w:rsidR="009A2624" w:rsidRDefault="009A2624" w:rsidP="009A2624">
      <w:r>
        <w:t>&lt;ESMA_QUESTION_DP_BMR_36&gt;</w:t>
      </w:r>
    </w:p>
    <w:p w:rsidR="009A2624" w:rsidRDefault="009A2624" w:rsidP="009A2624"/>
    <w:p w:rsidR="009A2624" w:rsidRPr="007F44BF" w:rsidRDefault="009A2624" w:rsidP="002342EC">
      <w:pPr>
        <w:pStyle w:val="Questionstyle"/>
        <w:rPr>
          <w:noProof/>
        </w:rPr>
      </w:pPr>
      <w:r w:rsidRPr="007F44BF">
        <w:rPr>
          <w:noProof/>
        </w:rPr>
        <w:t>Do you agree with ESMA’s proposal about the information to be made public concerning the internal review of the methodology? Please suggest any other information you consider useful to disclose on the topic.</w:t>
      </w:r>
    </w:p>
    <w:p w:rsidR="009A2624" w:rsidRDefault="009A2624" w:rsidP="009A2624">
      <w:r>
        <w:t>&lt;ESMA_QUESTION_DP_BMR_37&gt;</w:t>
      </w:r>
    </w:p>
    <w:p w:rsidR="009A2624" w:rsidRDefault="009A2624" w:rsidP="009A2624">
      <w:permStart w:id="494824395" w:edGrp="everyone"/>
      <w:r>
        <w:t>TYPE YOUR TEXT HERE</w:t>
      </w:r>
    </w:p>
    <w:permEnd w:id="494824395"/>
    <w:p w:rsidR="009A2624" w:rsidRDefault="009A2624" w:rsidP="009A2624">
      <w:r>
        <w:t>&lt;ESMA_QUESTION_DP_BMR_37&gt;</w:t>
      </w:r>
    </w:p>
    <w:p w:rsidR="009A2624" w:rsidRDefault="009A2624" w:rsidP="009A2624"/>
    <w:p w:rsidR="009A2624" w:rsidRPr="007F44BF" w:rsidRDefault="009A2624" w:rsidP="002342EC">
      <w:pPr>
        <w:pStyle w:val="Questionstyle"/>
        <w:rPr>
          <w:noProof/>
        </w:rPr>
      </w:pPr>
      <w:r w:rsidRPr="007F44BF">
        <w:rPr>
          <w:noProof/>
        </w:rPr>
        <w:t>Do you agree with the above proposals to specify the information to be provided to benchmark users and, more in general, stakeholders regarding material changes in benchmark methodology?</w:t>
      </w:r>
    </w:p>
    <w:p w:rsidR="009A2624" w:rsidRDefault="009A2624" w:rsidP="009A2624">
      <w:r>
        <w:t>&lt;ESMA_QUESTION_DP_BMR_38&gt;</w:t>
      </w:r>
    </w:p>
    <w:p w:rsidR="009A2624" w:rsidRDefault="009A2624" w:rsidP="009A2624">
      <w:permStart w:id="338239633" w:edGrp="everyone"/>
      <w:r>
        <w:t>TYPE YOUR TEXT HERE</w:t>
      </w:r>
    </w:p>
    <w:permEnd w:id="338239633"/>
    <w:p w:rsidR="009A2624" w:rsidRDefault="009A2624" w:rsidP="009A2624">
      <w:r>
        <w:t>&lt;ESMA_QUESTION_DP_BMR_38&gt;</w:t>
      </w:r>
    </w:p>
    <w:p w:rsidR="009A2624" w:rsidRDefault="009A2624" w:rsidP="009A2624"/>
    <w:p w:rsidR="009A2624" w:rsidRPr="007F44BF" w:rsidRDefault="009A2624" w:rsidP="002342EC">
      <w:pPr>
        <w:pStyle w:val="Questionstyle"/>
        <w:rPr>
          <w:noProof/>
        </w:rPr>
      </w:pPr>
      <w:r w:rsidRPr="007F44BF">
        <w:rPr>
          <w:noProof/>
        </w:rPr>
        <w:t xml:space="preserve">Do you agree, in particular, on the opportunity that also the replies received in response to the consultation are made available to the public, where allowed by respondents? </w:t>
      </w:r>
    </w:p>
    <w:p w:rsidR="009A2624" w:rsidRDefault="009A2624" w:rsidP="009A2624">
      <w:r>
        <w:t>&lt;ESMA_QUESTION_DP_BMR_39&gt;</w:t>
      </w:r>
    </w:p>
    <w:p w:rsidR="009A2624" w:rsidRDefault="009A2624" w:rsidP="009A2624">
      <w:permStart w:id="1680090053" w:edGrp="everyone"/>
      <w:r>
        <w:t>TYPE YOUR TEXT HERE</w:t>
      </w:r>
    </w:p>
    <w:permEnd w:id="1680090053"/>
    <w:p w:rsidR="009A2624" w:rsidRDefault="009A2624" w:rsidP="009A2624">
      <w:r>
        <w:t>&lt;ESMA_QUESTION_DP_BMR_39&gt;</w:t>
      </w:r>
    </w:p>
    <w:p w:rsidR="009A2624" w:rsidRDefault="009A2624" w:rsidP="009A2624"/>
    <w:p w:rsidR="009A2624" w:rsidRPr="007F44BF" w:rsidRDefault="009A2624" w:rsidP="002342EC">
      <w:pPr>
        <w:pStyle w:val="Questionstyle"/>
      </w:pPr>
      <w:r w:rsidRPr="007F44BF">
        <w:t>Do you agree that the publication requirements for key elements of methodology apply r</w:t>
      </w:r>
      <w:r w:rsidRPr="007F44BF">
        <w:t>e</w:t>
      </w:r>
      <w:r w:rsidRPr="007F44BF">
        <w:t>gardless of benchmark type? If not, please state which type of benchmark would be exempt / which elements of methodology would be exempt and why.</w:t>
      </w:r>
    </w:p>
    <w:p w:rsidR="009A2624" w:rsidRDefault="009A2624" w:rsidP="009A2624">
      <w:r>
        <w:t>&lt;ESMA_QUESTION_DP_BMR_40&gt;</w:t>
      </w:r>
    </w:p>
    <w:p w:rsidR="009A2624" w:rsidRDefault="009A2624" w:rsidP="009A2624">
      <w:permStart w:id="1300854099" w:edGrp="everyone"/>
      <w:r>
        <w:t>TYPE YOUR TEXT HERE</w:t>
      </w:r>
    </w:p>
    <w:permEnd w:id="1300854099"/>
    <w:p w:rsidR="009A2624" w:rsidRDefault="009A2624" w:rsidP="009A2624">
      <w:r>
        <w:t>&lt;ESMA_QUESTION_DP_BMR_40&gt;</w:t>
      </w:r>
    </w:p>
    <w:p w:rsidR="009A2624" w:rsidRDefault="009A2624" w:rsidP="009A2624"/>
    <w:p w:rsidR="009A2624" w:rsidRPr="007F44BF" w:rsidRDefault="009A2624" w:rsidP="002342EC">
      <w:pPr>
        <w:pStyle w:val="Questionstyle"/>
      </w:pPr>
      <w:r w:rsidRPr="007F44BF">
        <w:t>Do you agree that the publication requirements for the internal review of methodology apply regardless of benchmark type? If not, please state which information regarding the internal review could be differentiated and according to which characteristic of the benchmark or of its input data or of its methodology.</w:t>
      </w:r>
    </w:p>
    <w:p w:rsidR="009A2624" w:rsidRDefault="009A2624" w:rsidP="009A2624">
      <w:r>
        <w:t>&lt;ESMA_QUESTION_DP_BMR_41&gt;</w:t>
      </w:r>
    </w:p>
    <w:p w:rsidR="009A2624" w:rsidRDefault="009A2624" w:rsidP="009A2624">
      <w:permStart w:id="244011547" w:edGrp="everyone"/>
      <w:r>
        <w:t>TYPE YOUR TEXT HERE</w:t>
      </w:r>
    </w:p>
    <w:permEnd w:id="244011547"/>
    <w:p w:rsidR="009A2624" w:rsidRDefault="009A2624" w:rsidP="009A2624">
      <w:r>
        <w:t>&lt;ESMA_QUESTION_DP_BMR_41&gt;</w:t>
      </w:r>
    </w:p>
    <w:p w:rsidR="009A2624" w:rsidRDefault="009A2624" w:rsidP="009A2624"/>
    <w:p w:rsidR="009A2624" w:rsidRPr="007F44BF" w:rsidRDefault="009A2624" w:rsidP="002342EC">
      <w:pPr>
        <w:pStyle w:val="Questionstyle"/>
      </w:pPr>
      <w:r w:rsidRPr="007F44BF">
        <w:t>Do you agree that, in the requirements regarding the procedure for material change, the pr</w:t>
      </w:r>
      <w:r w:rsidRPr="007F44BF">
        <w:t>o</w:t>
      </w:r>
      <w:r w:rsidRPr="007F44BF">
        <w:t>portionality built into the Level 1 text covers all needs for proportional application?</w:t>
      </w:r>
    </w:p>
    <w:p w:rsidR="009A2624" w:rsidRDefault="009A2624" w:rsidP="009A2624">
      <w:r>
        <w:t>&lt;ESMA_QUESTION_DP_BMR_42&gt;</w:t>
      </w:r>
    </w:p>
    <w:p w:rsidR="009A2624" w:rsidRDefault="009A2624" w:rsidP="009A2624">
      <w:permStart w:id="906234411" w:edGrp="everyone"/>
      <w:r>
        <w:t>TYPE YOUR TEXT HERE</w:t>
      </w:r>
    </w:p>
    <w:permEnd w:id="906234411"/>
    <w:p w:rsidR="009A2624" w:rsidRDefault="009A2624" w:rsidP="009A2624">
      <w:r>
        <w:t>&lt;ESMA_QUESTION_DP_BMR_42&gt;</w:t>
      </w:r>
    </w:p>
    <w:p w:rsidR="009A2624" w:rsidRDefault="009A2624" w:rsidP="009A2624"/>
    <w:p w:rsidR="009A2624" w:rsidRPr="007F44BF" w:rsidRDefault="009A2624" w:rsidP="002342EC">
      <w:pPr>
        <w:pStyle w:val="Questionstyle"/>
      </w:pPr>
      <w:r w:rsidRPr="007F44BF">
        <w:t>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w:t>
      </w:r>
    </w:p>
    <w:p w:rsidR="009A2624" w:rsidRDefault="009A2624" w:rsidP="009A2624">
      <w:r>
        <w:t>&lt;ESMA_QUESTION_DP_BMR_43&gt;</w:t>
      </w:r>
    </w:p>
    <w:p w:rsidR="009A2624" w:rsidRDefault="009A2624" w:rsidP="009A2624">
      <w:permStart w:id="542474179" w:edGrp="everyone"/>
      <w:r>
        <w:t>TYPE YOUR TEXT HERE</w:t>
      </w:r>
    </w:p>
    <w:permEnd w:id="542474179"/>
    <w:p w:rsidR="009A2624" w:rsidRDefault="009A2624" w:rsidP="009A2624">
      <w:r>
        <w:t>&lt;ESMA_QUESTION_DP_BMR_43&gt;</w:t>
      </w:r>
    </w:p>
    <w:p w:rsidR="009A2624" w:rsidRDefault="009A2624" w:rsidP="009A2624"/>
    <w:p w:rsidR="009A2624" w:rsidRPr="007F44BF" w:rsidRDefault="009A2624" w:rsidP="002342EC">
      <w:pPr>
        <w:pStyle w:val="Questionstyle"/>
      </w:pPr>
      <w:r w:rsidRPr="007F44BF">
        <w:t>Do you believe that an administrator should be mandated to tailor a code of conduct, depen</w:t>
      </w:r>
      <w:r w:rsidRPr="007F44BF">
        <w:t>d</w:t>
      </w:r>
      <w:r w:rsidRPr="007F44BF">
        <w:t>ing on the market or economic reality it seeks to measure and/or the methodology applied for the determination of the benchmark? Please explain your answer using examples of different categories or sectors of benchmarks, where applicable.</w:t>
      </w:r>
    </w:p>
    <w:p w:rsidR="009A2624" w:rsidRDefault="009A2624" w:rsidP="009A2624">
      <w:r>
        <w:t>&lt;ESMA_QUESTION_DP_BMR_44&gt;</w:t>
      </w:r>
    </w:p>
    <w:p w:rsidR="009A2624" w:rsidRDefault="009A2624" w:rsidP="009A2624">
      <w:permStart w:id="1310136619" w:edGrp="everyone"/>
      <w:r>
        <w:t>TYPE YOUR TEXT HERE</w:t>
      </w:r>
    </w:p>
    <w:permEnd w:id="1310136619"/>
    <w:p w:rsidR="009A2624" w:rsidRDefault="009A2624" w:rsidP="009A2624">
      <w:r>
        <w:t>&lt;ESMA_QUESTION_DP_BMR_44&gt;</w:t>
      </w:r>
    </w:p>
    <w:p w:rsidR="009A2624" w:rsidRDefault="009A2624" w:rsidP="009A2624"/>
    <w:p w:rsidR="009A2624" w:rsidRPr="007F44BF" w:rsidRDefault="009A2624" w:rsidP="002342EC">
      <w:pPr>
        <w:pStyle w:val="Questionstyle"/>
      </w:pPr>
      <w:r w:rsidRPr="007F44BF">
        <w:t>Do you agree with the above requirements for a contributor’s contribution process? Is there anything else that should be included?</w:t>
      </w:r>
    </w:p>
    <w:p w:rsidR="009A2624" w:rsidRDefault="009A2624" w:rsidP="009A2624">
      <w:r>
        <w:t>&lt;ESMA_QUESTION_DP_BMR_45&gt;</w:t>
      </w:r>
    </w:p>
    <w:p w:rsidR="009A2624" w:rsidRDefault="009A2624" w:rsidP="009A2624">
      <w:permStart w:id="430053367" w:edGrp="everyone"/>
      <w:r>
        <w:t>TYPE YOUR TEXT HERE</w:t>
      </w:r>
    </w:p>
    <w:permEnd w:id="430053367"/>
    <w:p w:rsidR="009A2624" w:rsidRDefault="009A2624" w:rsidP="009A2624">
      <w:r>
        <w:t>&lt;ESMA_QUESTION_DP_BMR_45&gt;</w:t>
      </w:r>
    </w:p>
    <w:p w:rsidR="009A2624" w:rsidRDefault="009A2624" w:rsidP="009A2624"/>
    <w:p w:rsidR="009A2624" w:rsidRPr="007F44BF" w:rsidRDefault="009A2624" w:rsidP="002342EC">
      <w:pPr>
        <w:pStyle w:val="Questionstyle"/>
      </w:pPr>
      <w:r w:rsidRPr="007F44BF">
        <w:lastRenderedPageBreak/>
        <w:t>Do you agree that the details of the code of conduct to be specified by ESMA may still allow administrators to tailor the details of their codes of conduct with respect to the specific benchmarks provided?</w:t>
      </w:r>
    </w:p>
    <w:p w:rsidR="009A2624" w:rsidRDefault="009A2624" w:rsidP="009A2624">
      <w:r>
        <w:t>&lt;ESMA_QUESTION_DP_BMR_46&gt;</w:t>
      </w:r>
    </w:p>
    <w:p w:rsidR="009A2624" w:rsidRDefault="009A2624" w:rsidP="009A2624">
      <w:permStart w:id="1668553194" w:edGrp="everyone"/>
      <w:r>
        <w:t>TYPE YOUR TEXT HERE</w:t>
      </w:r>
    </w:p>
    <w:permEnd w:id="1668553194"/>
    <w:p w:rsidR="009A2624" w:rsidRDefault="009A2624" w:rsidP="009A2624">
      <w:r>
        <w:t>&lt;ESMA_QUESTION_DP_BMR_46&gt;</w:t>
      </w:r>
    </w:p>
    <w:p w:rsidR="009A2624" w:rsidRDefault="009A2624" w:rsidP="009A2624"/>
    <w:p w:rsidR="009A2624" w:rsidRPr="007F44BF" w:rsidRDefault="009A2624" w:rsidP="002342EC">
      <w:pPr>
        <w:pStyle w:val="Questionstyle"/>
      </w:pPr>
      <w:r w:rsidRPr="007F44BF">
        <w:t>Do you agree that such information should be required from contributors under the code of conduct? Should any additional information be requested?</w:t>
      </w:r>
    </w:p>
    <w:p w:rsidR="009A2624" w:rsidRDefault="009A2624" w:rsidP="009A2624">
      <w:r>
        <w:t>&lt;ESMA_QUESTION_DP_BMR_47&gt;</w:t>
      </w:r>
    </w:p>
    <w:p w:rsidR="009A2624" w:rsidRDefault="009A2624" w:rsidP="009A2624">
      <w:permStart w:id="912143908" w:edGrp="everyone"/>
      <w:r>
        <w:t>TYPE YOUR TEXT HERE</w:t>
      </w:r>
    </w:p>
    <w:permEnd w:id="912143908"/>
    <w:p w:rsidR="009A2624" w:rsidRDefault="009A2624" w:rsidP="009A2624">
      <w:r>
        <w:t>&lt;ESMA_QUESTION_DP_BMR_47&gt;</w:t>
      </w:r>
    </w:p>
    <w:p w:rsidR="009A2624" w:rsidRDefault="009A2624" w:rsidP="009A2624"/>
    <w:p w:rsidR="009A2624" w:rsidRPr="007F44BF" w:rsidRDefault="009A2624" w:rsidP="002342EC">
      <w:pPr>
        <w:pStyle w:val="Questionstyle"/>
      </w:pPr>
      <w:r w:rsidRPr="007F44BF">
        <w:t>Are their ways in which contributors may manage possible conflicts of interest at the level of the submitters? Should those conflicts, where managed, be disclosed to the administrator?</w:t>
      </w:r>
    </w:p>
    <w:p w:rsidR="009A2624" w:rsidRDefault="009A2624" w:rsidP="009A2624">
      <w:r>
        <w:t>&lt;ESMA_QUESTION_DP_BMR_48&gt;</w:t>
      </w:r>
    </w:p>
    <w:p w:rsidR="009A2624" w:rsidRDefault="009A2624" w:rsidP="009A2624">
      <w:permStart w:id="1710978872" w:edGrp="everyone"/>
      <w:r>
        <w:t>TYPE YOUR TEXT HERE</w:t>
      </w:r>
    </w:p>
    <w:permEnd w:id="1710978872"/>
    <w:p w:rsidR="009A2624" w:rsidRDefault="009A2624" w:rsidP="009A2624">
      <w:r>
        <w:t>&lt;ESMA_QUESTION_DP_BMR_48&gt;</w:t>
      </w:r>
    </w:p>
    <w:p w:rsidR="009A2624" w:rsidRDefault="009A2624" w:rsidP="009A2624"/>
    <w:p w:rsidR="009A2624" w:rsidRPr="007F44BF" w:rsidRDefault="009A2624" w:rsidP="002342EC">
      <w:pPr>
        <w:pStyle w:val="Questionstyle"/>
      </w:pPr>
      <w:r w:rsidRPr="007F44BF">
        <w:t>Do you foresee any obstacles to the administrator’s ability to evaluate the authorisation of any submitters to contribute input data on behalf of a contributor?</w:t>
      </w:r>
    </w:p>
    <w:p w:rsidR="009A2624" w:rsidRDefault="009A2624" w:rsidP="009A2624">
      <w:r>
        <w:t>&lt;ESMA_QUESTION_DP_BMR_49&gt;</w:t>
      </w:r>
    </w:p>
    <w:p w:rsidR="009A2624" w:rsidRDefault="009A2624" w:rsidP="009A2624">
      <w:permStart w:id="1356796583" w:edGrp="everyone"/>
      <w:r>
        <w:t>TYPE YOUR TEXT HERE</w:t>
      </w:r>
    </w:p>
    <w:permEnd w:id="1356796583"/>
    <w:p w:rsidR="009A2624" w:rsidRDefault="009A2624" w:rsidP="009A2624">
      <w:r>
        <w:t>&lt;ESMA_QUESTION_DP_BMR_49&gt;</w:t>
      </w:r>
    </w:p>
    <w:p w:rsidR="009A2624" w:rsidRDefault="009A2624" w:rsidP="009A2624"/>
    <w:p w:rsidR="009A2624" w:rsidRPr="007F44BF" w:rsidRDefault="009A2624" w:rsidP="002342EC">
      <w:pPr>
        <w:pStyle w:val="Questionstyle"/>
      </w:pPr>
      <w:r w:rsidRPr="007F44BF">
        <w:t>Do you agree that a contributor’s contribution process should foresee clear rules for the excl</w:t>
      </w:r>
      <w:r w:rsidRPr="007F44BF">
        <w:t>u</w:t>
      </w:r>
      <w:r w:rsidRPr="007F44BF">
        <w:t>sion of data sources? Should any other information be supplied to administrators to allow them to ensure contributors have provided all relevant input data?</w:t>
      </w:r>
    </w:p>
    <w:p w:rsidR="009A2624" w:rsidRDefault="009A2624" w:rsidP="009A2624">
      <w:r>
        <w:t>&lt;ESMA_QUESTION_DP_BMR_50&gt;</w:t>
      </w:r>
    </w:p>
    <w:p w:rsidR="009A2624" w:rsidRDefault="009A2624" w:rsidP="009A2624">
      <w:permStart w:id="2008106134" w:edGrp="everyone"/>
      <w:r>
        <w:t>TYPE YOUR TEXT HERE</w:t>
      </w:r>
    </w:p>
    <w:permEnd w:id="2008106134"/>
    <w:p w:rsidR="009A2624" w:rsidRDefault="009A2624" w:rsidP="009A2624">
      <w:r>
        <w:t>&lt;ESMA_QUESTION_DP_BMR_50&gt;</w:t>
      </w:r>
    </w:p>
    <w:p w:rsidR="009A2624" w:rsidRDefault="009A2624" w:rsidP="009A2624"/>
    <w:p w:rsidR="009A2624" w:rsidRPr="007F44BF" w:rsidRDefault="009A2624" w:rsidP="002342EC">
      <w:pPr>
        <w:pStyle w:val="Questionstyle"/>
      </w:pPr>
      <w:r w:rsidRPr="007F44BF">
        <w:t>Do you think that the listed procedures for submitting input data are comprehensive? If not, what is missing?</w:t>
      </w:r>
    </w:p>
    <w:p w:rsidR="009A2624" w:rsidRDefault="009A2624" w:rsidP="009A2624">
      <w:r>
        <w:t>&lt;ESMA_QUESTION_DP_BMR_51&gt;</w:t>
      </w:r>
    </w:p>
    <w:p w:rsidR="009A2624" w:rsidRDefault="009A2624" w:rsidP="009A2624">
      <w:permStart w:id="736500961" w:edGrp="everyone"/>
      <w:r>
        <w:t>TYPE YOUR TEXT HERE</w:t>
      </w:r>
    </w:p>
    <w:permEnd w:id="736500961"/>
    <w:p w:rsidR="009A2624" w:rsidRDefault="009A2624" w:rsidP="009A2624">
      <w:r>
        <w:t>&lt;ESMA_QUESTION_DP_BMR_51&gt;</w:t>
      </w:r>
    </w:p>
    <w:p w:rsidR="009A2624" w:rsidRDefault="009A2624" w:rsidP="009A2624"/>
    <w:p w:rsidR="009A2624" w:rsidRPr="007F44BF" w:rsidRDefault="009A2624" w:rsidP="002342EC">
      <w:pPr>
        <w:pStyle w:val="Questionstyle"/>
      </w:pPr>
      <w:r w:rsidRPr="007F44BF">
        <w:t>Do you agree that rules are necessary to provide consistency of contributors’ behaviour over the time? Should this be set out in the code of conduct or in the benchmark methodology, or both?</w:t>
      </w:r>
    </w:p>
    <w:p w:rsidR="009A2624" w:rsidRDefault="009A2624" w:rsidP="009A2624">
      <w:r>
        <w:t>&lt;ESMA_QUESTION_DP_BMR_52&gt;</w:t>
      </w:r>
    </w:p>
    <w:p w:rsidR="009A2624" w:rsidRDefault="009A2624" w:rsidP="009A2624">
      <w:permStart w:id="1052589998" w:edGrp="everyone"/>
      <w:r>
        <w:t>TYPE YOUR TEXT HERE</w:t>
      </w:r>
    </w:p>
    <w:permEnd w:id="1052589998"/>
    <w:p w:rsidR="009A2624" w:rsidRDefault="009A2624" w:rsidP="009A2624">
      <w:r>
        <w:t>&lt;ESMA_QUESTION_DP_BMR_52&gt;</w:t>
      </w:r>
    </w:p>
    <w:p w:rsidR="009A2624" w:rsidRDefault="009A2624" w:rsidP="009A2624"/>
    <w:p w:rsidR="009A2624" w:rsidRPr="007F44BF" w:rsidRDefault="009A2624" w:rsidP="002342EC">
      <w:pPr>
        <w:pStyle w:val="Questionstyle"/>
      </w:pPr>
      <w:r w:rsidRPr="007F44BF">
        <w:lastRenderedPageBreak/>
        <w:t xml:space="preserve">Should policies, in addition to those set out in the methodology, be in place at the level of the contributors, regarding the use of discretion in providing input data? </w:t>
      </w:r>
    </w:p>
    <w:p w:rsidR="009A2624" w:rsidRDefault="009A2624" w:rsidP="009A2624">
      <w:r>
        <w:t>&lt;ESMA_QUESTION_DP_BMR_53&gt;</w:t>
      </w:r>
    </w:p>
    <w:p w:rsidR="009A2624" w:rsidRDefault="009A2624" w:rsidP="009A2624">
      <w:permStart w:id="2019830422" w:edGrp="everyone"/>
      <w:r>
        <w:t>TYPE YOUR TEXT HERE</w:t>
      </w:r>
    </w:p>
    <w:permEnd w:id="2019830422"/>
    <w:p w:rsidR="009A2624" w:rsidRDefault="009A2624" w:rsidP="009A2624">
      <w:r>
        <w:t>&lt;ESMA_QUESTION_DP_BMR_53&gt;</w:t>
      </w:r>
    </w:p>
    <w:p w:rsidR="009A2624" w:rsidRDefault="009A2624" w:rsidP="009A2624"/>
    <w:p w:rsidR="009A2624" w:rsidRPr="007F44BF" w:rsidRDefault="009A2624" w:rsidP="002342EC">
      <w:pPr>
        <w:pStyle w:val="Questionstyle"/>
      </w:pPr>
      <w:r w:rsidRPr="007F44BF">
        <w:t xml:space="preserve">Do you agree with the list of checks for validation purposes? What other methods could be included? </w:t>
      </w:r>
    </w:p>
    <w:p w:rsidR="009A2624" w:rsidRDefault="009A2624" w:rsidP="009A2624">
      <w:r>
        <w:t>&lt;ESMA_QUESTION_DP_BMR_54&gt;</w:t>
      </w:r>
    </w:p>
    <w:p w:rsidR="009A2624" w:rsidRDefault="009A2624" w:rsidP="009A2624">
      <w:permStart w:id="936014246" w:edGrp="everyone"/>
      <w:r>
        <w:t>TYPE YOUR TEXT HERE</w:t>
      </w:r>
    </w:p>
    <w:permEnd w:id="936014246"/>
    <w:p w:rsidR="009A2624" w:rsidRDefault="009A2624" w:rsidP="009A2624">
      <w:r>
        <w:t>&lt;ESMA_QUESTION_DP_BMR_54&gt;</w:t>
      </w:r>
    </w:p>
    <w:p w:rsidR="009A2624" w:rsidRDefault="009A2624" w:rsidP="009A2624"/>
    <w:p w:rsidR="009A2624" w:rsidRPr="007F44BF" w:rsidRDefault="009A2624" w:rsidP="002342EC">
      <w:pPr>
        <w:pStyle w:val="Questionstyle"/>
      </w:pPr>
      <w:r w:rsidRPr="007F44BF">
        <w:t>Do you agree with the minimum information requirement for record keeping? If not would you propose additional/alternative information?</w:t>
      </w:r>
    </w:p>
    <w:p w:rsidR="009A2624" w:rsidRDefault="009A2624" w:rsidP="009A2624">
      <w:r>
        <w:t>&lt;ESMA_QUESTION_DP_BMR_55&gt;</w:t>
      </w:r>
    </w:p>
    <w:p w:rsidR="009A2624" w:rsidRDefault="009A2624" w:rsidP="009A2624">
      <w:permStart w:id="175506782" w:edGrp="everyone"/>
      <w:r>
        <w:t>TYPE YOUR TEXT HERE</w:t>
      </w:r>
    </w:p>
    <w:permEnd w:id="175506782"/>
    <w:p w:rsidR="009A2624" w:rsidRDefault="009A2624" w:rsidP="009A2624">
      <w:r>
        <w:t>&lt;ESMA_QUESTION_DP_BMR_55&gt;</w:t>
      </w:r>
    </w:p>
    <w:p w:rsidR="009A2624" w:rsidRDefault="009A2624" w:rsidP="009A2624"/>
    <w:p w:rsidR="009A2624" w:rsidRPr="007F44BF" w:rsidRDefault="009A2624" w:rsidP="002342EC">
      <w:pPr>
        <w:pStyle w:val="Questionstyle"/>
      </w:pPr>
      <w:r w:rsidRPr="007F44BF">
        <w:t>Do you support the recording of the use of expert judgement and of discretion? Should admi</w:t>
      </w:r>
      <w:r w:rsidRPr="007F44BF">
        <w:t>n</w:t>
      </w:r>
      <w:r w:rsidRPr="007F44BF">
        <w:t>istrators require the same records for all types of benchmarks?</w:t>
      </w:r>
    </w:p>
    <w:p w:rsidR="009A2624" w:rsidRDefault="009A2624" w:rsidP="009A2624">
      <w:r>
        <w:t>&lt;ESMA_QUESTION_DP_BMR_56&gt;</w:t>
      </w:r>
    </w:p>
    <w:p w:rsidR="009A2624" w:rsidRDefault="009A2624" w:rsidP="009A2624">
      <w:permStart w:id="428833910" w:edGrp="everyone"/>
      <w:r>
        <w:t>TYPE YOUR TEXT HERE</w:t>
      </w:r>
    </w:p>
    <w:permEnd w:id="428833910"/>
    <w:p w:rsidR="009A2624" w:rsidRDefault="009A2624" w:rsidP="009A2624">
      <w:r>
        <w:t>&lt;ESMA_QUESTION_DP_BMR_56&gt;</w:t>
      </w:r>
    </w:p>
    <w:p w:rsidR="009A2624" w:rsidRDefault="009A2624" w:rsidP="009A2624"/>
    <w:p w:rsidR="009A2624" w:rsidRPr="007F44BF" w:rsidRDefault="009A2624" w:rsidP="002342EC">
      <w:pPr>
        <w:pStyle w:val="Questionstyle"/>
      </w:pPr>
      <w:r w:rsidRPr="007F44BF">
        <w:t xml:space="preserve">Do you agree that an administrator could require contributors to have in place a documented   escalation process to report suspicious transactions?  </w:t>
      </w:r>
    </w:p>
    <w:p w:rsidR="009A2624" w:rsidRDefault="009A2624" w:rsidP="009A2624">
      <w:r>
        <w:t>&lt;ESMA_QUESTION_DP_BMR_57&gt;</w:t>
      </w:r>
    </w:p>
    <w:p w:rsidR="009A2624" w:rsidRDefault="009A2624" w:rsidP="009A2624">
      <w:permStart w:id="494153828" w:edGrp="everyone"/>
      <w:r>
        <w:t>TYPE YOUR TEXT HERE</w:t>
      </w:r>
    </w:p>
    <w:permEnd w:id="494153828"/>
    <w:p w:rsidR="009A2624" w:rsidRDefault="009A2624" w:rsidP="009A2624">
      <w:r>
        <w:t>&lt;ESMA_QUESTION_DP_BMR_57&gt;</w:t>
      </w:r>
    </w:p>
    <w:p w:rsidR="009A2624" w:rsidRDefault="009A2624" w:rsidP="009A2624"/>
    <w:p w:rsidR="009A2624" w:rsidRPr="007F44BF" w:rsidRDefault="009A2624" w:rsidP="002342EC">
      <w:pPr>
        <w:pStyle w:val="Questionstyle"/>
      </w:pPr>
      <w:r w:rsidRPr="007F44BF">
        <w:t>Do you agree with the list of policies, procedures and controls that would allow the identific</w:t>
      </w:r>
      <w:r w:rsidRPr="007F44BF">
        <w:t>a</w:t>
      </w:r>
      <w:r w:rsidRPr="007F44BF">
        <w:t>tion and management of conflicts of interest? Should other requirements be included?</w:t>
      </w:r>
    </w:p>
    <w:p w:rsidR="009A2624" w:rsidRDefault="009A2624" w:rsidP="009A2624">
      <w:r>
        <w:t>&lt;ESMA_QUESTION_DP_BMR_58&gt;</w:t>
      </w:r>
    </w:p>
    <w:p w:rsidR="009A2624" w:rsidRDefault="009A2624" w:rsidP="009A2624">
      <w:permStart w:id="592848919" w:edGrp="everyone"/>
      <w:r>
        <w:t>TYPE YOUR TEXT HERE</w:t>
      </w:r>
    </w:p>
    <w:permEnd w:id="592848919"/>
    <w:p w:rsidR="009A2624" w:rsidRDefault="009A2624" w:rsidP="009A2624">
      <w:r>
        <w:t>&lt;ESMA_QUESTION_DP_BMR_58&gt;</w:t>
      </w:r>
    </w:p>
    <w:p w:rsidR="009A2624" w:rsidRDefault="009A2624" w:rsidP="009A2624"/>
    <w:p w:rsidR="009A2624" w:rsidRPr="007F44BF" w:rsidRDefault="009A2624" w:rsidP="002342EC">
      <w:pPr>
        <w:pStyle w:val="Questionstyle"/>
      </w:pPr>
      <w:r w:rsidRPr="007F44BF">
        <w:t>Do you have any additional comments with regard to the contents of a code of conduct in accordance with Article 9(2)?</w:t>
      </w:r>
    </w:p>
    <w:p w:rsidR="009A2624" w:rsidRDefault="009A2624" w:rsidP="009A2624">
      <w:r>
        <w:t>&lt;ESMA_QUESTION_DP_BMR_59&gt;</w:t>
      </w:r>
    </w:p>
    <w:p w:rsidR="009A2624" w:rsidRDefault="009A2624" w:rsidP="009A2624">
      <w:permStart w:id="290935790" w:edGrp="everyone"/>
      <w:r>
        <w:t>TYPE YOUR TEXT HERE</w:t>
      </w:r>
    </w:p>
    <w:permEnd w:id="290935790"/>
    <w:p w:rsidR="009A2624" w:rsidRDefault="009A2624" w:rsidP="009A2624">
      <w:r>
        <w:t>&lt;ESMA_QUESTION_DP_BMR_59&gt;</w:t>
      </w:r>
    </w:p>
    <w:p w:rsidR="009A2624" w:rsidRDefault="009A2624" w:rsidP="009A2624"/>
    <w:p w:rsidR="009A2624" w:rsidRPr="007F44BF" w:rsidRDefault="009A2624" w:rsidP="002342EC">
      <w:pPr>
        <w:pStyle w:val="Questionstyle"/>
      </w:pPr>
      <w:r w:rsidRPr="007F44BF">
        <w:t>Do you agree with the above list of requirements? Do you think that those requirements are appropriate for all benchmarks? If not what do you think should be the criteria we should use?</w:t>
      </w:r>
    </w:p>
    <w:p w:rsidR="009A2624" w:rsidRDefault="009A2624" w:rsidP="009A2624">
      <w:r>
        <w:lastRenderedPageBreak/>
        <w:t>&lt;ESMA_QUESTION_DP_BMR_60&gt;</w:t>
      </w:r>
    </w:p>
    <w:p w:rsidR="009A2624" w:rsidRDefault="009A2624" w:rsidP="009A2624">
      <w:permStart w:id="406678899" w:edGrp="everyone"/>
      <w:r>
        <w:t>TYPE YOUR TEXT HERE</w:t>
      </w:r>
    </w:p>
    <w:permEnd w:id="406678899"/>
    <w:p w:rsidR="009A2624" w:rsidRDefault="009A2624" w:rsidP="009A2624">
      <w:r>
        <w:t>&lt;ESMA_QUESTION_DP_BMR_60&gt;</w:t>
      </w:r>
    </w:p>
    <w:p w:rsidR="009A2624" w:rsidRDefault="009A2624" w:rsidP="009A2624"/>
    <w:p w:rsidR="009A2624" w:rsidRPr="007F44BF" w:rsidRDefault="009A2624" w:rsidP="002342EC">
      <w:pPr>
        <w:pStyle w:val="Questionstyle"/>
      </w:pPr>
      <w:r w:rsidRPr="007F44BF">
        <w:t xml:space="preserve">Do you agree that information regarding breaches to the BMR or to Code of Conduct should also be made available to the Benchmark Administrator? </w:t>
      </w:r>
    </w:p>
    <w:p w:rsidR="009A2624" w:rsidRDefault="009A2624" w:rsidP="009A2624">
      <w:r>
        <w:t>&lt;ESMA_QUESTION_DP_BMR_61&gt;</w:t>
      </w:r>
    </w:p>
    <w:p w:rsidR="009A2624" w:rsidRDefault="009A2624" w:rsidP="009A2624">
      <w:permStart w:id="981145435" w:edGrp="everyone"/>
      <w:r>
        <w:t>TYPE YOUR TEXT HERE</w:t>
      </w:r>
    </w:p>
    <w:permEnd w:id="981145435"/>
    <w:p w:rsidR="009A2624" w:rsidRDefault="009A2624" w:rsidP="009A2624">
      <w:r>
        <w:t>&lt;ESMA_QUESTION_DP_BMR_61&gt;</w:t>
      </w:r>
    </w:p>
    <w:p w:rsidR="009A2624" w:rsidRDefault="009A2624" w:rsidP="009A2624"/>
    <w:p w:rsidR="009A2624" w:rsidRPr="007F44BF" w:rsidRDefault="009A2624" w:rsidP="002342EC">
      <w:pPr>
        <w:pStyle w:val="Questionstyle"/>
      </w:pPr>
      <w:r w:rsidRPr="007F44BF">
        <w:t>Do you think that the external audit covering benchmark activities, where available, should also be made available, on request, to the Benchmark Administrator?</w:t>
      </w:r>
    </w:p>
    <w:p w:rsidR="009A2624" w:rsidRDefault="009A2624" w:rsidP="009A2624">
      <w:r>
        <w:t>&lt;ESMA_QUESTION_DP_BMR_62&gt;</w:t>
      </w:r>
    </w:p>
    <w:p w:rsidR="009A2624" w:rsidRDefault="009A2624" w:rsidP="009A2624">
      <w:permStart w:id="2031568816" w:edGrp="everyone"/>
      <w:r>
        <w:t>TYPE YOUR TEXT HERE</w:t>
      </w:r>
    </w:p>
    <w:permEnd w:id="2031568816"/>
    <w:p w:rsidR="009A2624" w:rsidRDefault="009A2624" w:rsidP="009A2624">
      <w:r>
        <w:t>&lt;ESMA_QUESTION_DP_BMR_62&gt;</w:t>
      </w:r>
    </w:p>
    <w:p w:rsidR="009A2624" w:rsidRDefault="009A2624" w:rsidP="009A2624"/>
    <w:p w:rsidR="009A2624" w:rsidRPr="007F44BF" w:rsidRDefault="009A2624" w:rsidP="002342EC">
      <w:pPr>
        <w:pStyle w:val="Questionstyle"/>
      </w:pPr>
      <w:r w:rsidRPr="007F44BF">
        <w:t>Do you agree with the proposed criteria for the specific elements of systems and controls as listed in Article 11(2)(a) to (c)?  If not, what should be alternative criteria to substantiate these el</w:t>
      </w:r>
      <w:r w:rsidRPr="007F44BF">
        <w:t>e</w:t>
      </w:r>
      <w:r w:rsidRPr="007F44BF">
        <w:t xml:space="preserve">ments? </w:t>
      </w:r>
    </w:p>
    <w:p w:rsidR="009A2624" w:rsidRDefault="009A2624" w:rsidP="009A2624">
      <w:r>
        <w:t>&lt;ESMA_QUESTION_DP_BMR_63&gt;</w:t>
      </w:r>
    </w:p>
    <w:p w:rsidR="009A2624" w:rsidRDefault="009A2624" w:rsidP="009A2624">
      <w:permStart w:id="1391737000" w:edGrp="everyone"/>
      <w:r>
        <w:t>TYPE YOUR TEXT HERE</w:t>
      </w:r>
    </w:p>
    <w:permEnd w:id="1391737000"/>
    <w:p w:rsidR="009A2624" w:rsidRDefault="009A2624" w:rsidP="009A2624">
      <w:r>
        <w:t>&lt;ESMA_QUESTION_DP_BMR_63&gt;</w:t>
      </w:r>
    </w:p>
    <w:p w:rsidR="009A2624" w:rsidRDefault="009A2624" w:rsidP="009A2624"/>
    <w:p w:rsidR="009A2624" w:rsidRPr="007F44BF" w:rsidRDefault="009A2624" w:rsidP="002342EC">
      <w:pPr>
        <w:pStyle w:val="Questionstyle"/>
      </w:pPr>
      <w:r w:rsidRPr="007F44BF">
        <w:t>Do you agree that the submitters should not be remunerated for the level of their contribution but could be remunerated for the quality of input and their ability to manage the conflicts of interest instead?</w:t>
      </w:r>
    </w:p>
    <w:p w:rsidR="009A2624" w:rsidRDefault="009A2624" w:rsidP="009A2624">
      <w:r>
        <w:t>&lt;ESMA_QUESTION_DP_BMR_64&gt;</w:t>
      </w:r>
    </w:p>
    <w:p w:rsidR="009A2624" w:rsidRDefault="009A2624" w:rsidP="009A2624">
      <w:permStart w:id="2138975581" w:edGrp="everyone"/>
      <w:r>
        <w:t>TYPE YOUR TEXT HERE</w:t>
      </w:r>
    </w:p>
    <w:permEnd w:id="2138975581"/>
    <w:p w:rsidR="009A2624" w:rsidRDefault="009A2624" w:rsidP="009A2624">
      <w:r>
        <w:t>&lt;ESMA_QUESTION_DP_BMR_64&gt;</w:t>
      </w:r>
    </w:p>
    <w:p w:rsidR="009A2624" w:rsidRDefault="009A2624" w:rsidP="009A2624"/>
    <w:p w:rsidR="009A2624" w:rsidRPr="007F44BF" w:rsidRDefault="009A2624" w:rsidP="002342EC">
      <w:pPr>
        <w:pStyle w:val="Questionstyle"/>
      </w:pPr>
      <w:r w:rsidRPr="007F44BF">
        <w:t>What would be a reasonable delay for signing-off on the contribution? What are the reasons that would justify a delay in the sign off?</w:t>
      </w:r>
    </w:p>
    <w:p w:rsidR="009A2624" w:rsidRDefault="009A2624" w:rsidP="009A2624">
      <w:r>
        <w:t>&lt;ESMA_QUESTION_DP_BMR_65&gt;</w:t>
      </w:r>
    </w:p>
    <w:p w:rsidR="009A2624" w:rsidRDefault="009A2624" w:rsidP="009A2624">
      <w:permStart w:id="1319654380" w:edGrp="everyone"/>
      <w:r>
        <w:t>TYPE YOUR TEXT HERE</w:t>
      </w:r>
    </w:p>
    <w:permEnd w:id="1319654380"/>
    <w:p w:rsidR="009A2624" w:rsidRDefault="009A2624" w:rsidP="009A2624">
      <w:r>
        <w:t>&lt;ESMA_QUESTION_DP_BMR_65&gt;</w:t>
      </w:r>
    </w:p>
    <w:p w:rsidR="009A2624" w:rsidRDefault="009A2624" w:rsidP="009A2624"/>
    <w:p w:rsidR="009A2624" w:rsidRPr="007F44BF" w:rsidRDefault="009A2624" w:rsidP="002342EC">
      <w:pPr>
        <w:pStyle w:val="Questionstyle"/>
      </w:pPr>
      <w:r w:rsidRPr="007F44BF">
        <w:t>Is the mentioned delay an element that may be established by the administrator in line with the applicable methodology and in consideration of the underlying, of the type of input data and of supervised contributors?</w:t>
      </w:r>
      <w:r w:rsidRPr="007F44BF" w:rsidDel="00866898">
        <w:t xml:space="preserve"> </w:t>
      </w:r>
    </w:p>
    <w:p w:rsidR="009A2624" w:rsidRDefault="009A2624" w:rsidP="009A2624">
      <w:r>
        <w:t>&lt;ESMA_QUESTION_DP_BMR_66&gt;</w:t>
      </w:r>
    </w:p>
    <w:p w:rsidR="009A2624" w:rsidRDefault="009A2624" w:rsidP="009A2624">
      <w:permStart w:id="1815107775" w:edGrp="everyone"/>
      <w:r>
        <w:t>TYPE YOUR TEXT HERE</w:t>
      </w:r>
    </w:p>
    <w:permEnd w:id="1815107775"/>
    <w:p w:rsidR="009A2624" w:rsidRDefault="009A2624" w:rsidP="009A2624">
      <w:r>
        <w:t>&lt;ESMA_QUESTION_DP_BMR_66&gt;</w:t>
      </w:r>
    </w:p>
    <w:p w:rsidR="009A2624" w:rsidRDefault="009A2624" w:rsidP="009A2624"/>
    <w:p w:rsidR="009A2624" w:rsidRPr="007F44BF" w:rsidRDefault="009A2624" w:rsidP="002342EC">
      <w:pPr>
        <w:pStyle w:val="Questionstyle"/>
      </w:pPr>
      <w:r w:rsidRPr="007F44BF">
        <w:t xml:space="preserve">In case of a contribution made through an automated process what should be the adequate level of seniority for signing-off? </w:t>
      </w:r>
    </w:p>
    <w:p w:rsidR="009A2624" w:rsidRDefault="009A2624" w:rsidP="009A2624">
      <w:r>
        <w:lastRenderedPageBreak/>
        <w:t>&lt;ESMA_QUESTION_DP_BMR_67&gt;</w:t>
      </w:r>
    </w:p>
    <w:p w:rsidR="009A2624" w:rsidRDefault="009A2624" w:rsidP="009A2624">
      <w:permStart w:id="312884705" w:edGrp="everyone"/>
      <w:r>
        <w:t>TYPE YOUR TEXT HERE</w:t>
      </w:r>
    </w:p>
    <w:permEnd w:id="312884705"/>
    <w:p w:rsidR="009A2624" w:rsidRDefault="009A2624" w:rsidP="009A2624">
      <w:r>
        <w:t>&lt;ESMA_QUESTION_DP_BMR_67&gt;</w:t>
      </w:r>
    </w:p>
    <w:p w:rsidR="009A2624" w:rsidRDefault="009A2624" w:rsidP="009A2624"/>
    <w:p w:rsidR="009A2624" w:rsidRPr="007F44BF" w:rsidRDefault="009A2624" w:rsidP="002342EC">
      <w:pPr>
        <w:pStyle w:val="Questionstyle"/>
      </w:pPr>
      <w:r w:rsidRPr="007F44BF">
        <w:t xml:space="preserve">Do you agree with the above policies? Are there any other policies that should be in place at contributor’s level when expert judgement is used? </w:t>
      </w:r>
    </w:p>
    <w:p w:rsidR="009A2624" w:rsidRDefault="009A2624" w:rsidP="009A2624">
      <w:r>
        <w:t>&lt;ESMA_QUESTION_DP_BMR_68&gt;</w:t>
      </w:r>
    </w:p>
    <w:p w:rsidR="009A2624" w:rsidRDefault="009A2624" w:rsidP="009A2624">
      <w:permStart w:id="1146168383" w:edGrp="everyone"/>
      <w:r>
        <w:t>TYPE YOUR TEXT HERE</w:t>
      </w:r>
    </w:p>
    <w:permEnd w:id="1146168383"/>
    <w:p w:rsidR="009A2624" w:rsidRDefault="009A2624" w:rsidP="009A2624">
      <w:r>
        <w:t>&lt;ESMA_QUESTION_DP_BMR_68&gt;</w:t>
      </w:r>
    </w:p>
    <w:p w:rsidR="009A2624" w:rsidRDefault="009A2624" w:rsidP="009A2624"/>
    <w:p w:rsidR="009A2624" w:rsidRPr="007F44BF" w:rsidRDefault="009A2624" w:rsidP="002342EC">
      <w:pPr>
        <w:pStyle w:val="Questionstyle"/>
      </w:pPr>
      <w:r w:rsidRPr="007F44BF">
        <w:t>Do you agree with this approach? If so, what do you think are the main distinctions – amid the identified detailed measures that a supervised contributor will be required to put in place - that it is possible to introduce to cater for the different types, characteristics of benchmarks and of supervised contributors?</w:t>
      </w:r>
    </w:p>
    <w:p w:rsidR="009A2624" w:rsidRDefault="009A2624" w:rsidP="009A2624">
      <w:r>
        <w:t>&lt;ESMA_QUESTION_DP_BMR_69&gt;</w:t>
      </w:r>
    </w:p>
    <w:p w:rsidR="009A2624" w:rsidRDefault="009A2624" w:rsidP="009A2624">
      <w:permStart w:id="991693969" w:edGrp="everyone"/>
      <w:r>
        <w:t>TYPE YOUR TEXT HERE</w:t>
      </w:r>
    </w:p>
    <w:permEnd w:id="991693969"/>
    <w:p w:rsidR="009A2624" w:rsidRDefault="009A2624" w:rsidP="009A2624">
      <w:r>
        <w:t>&lt;ESMA_QUESTION_DP_BMR_69&gt;</w:t>
      </w:r>
    </w:p>
    <w:p w:rsidR="009A2624" w:rsidRDefault="009A2624" w:rsidP="009A2624"/>
    <w:p w:rsidR="009A2624" w:rsidRPr="007F44BF" w:rsidRDefault="009A2624" w:rsidP="002342EC">
      <w:pPr>
        <w:pStyle w:val="Questionstyle"/>
      </w:pPr>
      <w:r w:rsidRPr="007F44BF">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rsidR="009A2624" w:rsidRDefault="009A2624" w:rsidP="009A2624">
      <w:r>
        <w:t>&lt;ESMA_QUESTION_DP_BMR_70&gt;</w:t>
      </w:r>
    </w:p>
    <w:p w:rsidR="009A2624" w:rsidRDefault="009A2624" w:rsidP="009A2624">
      <w:permStart w:id="144989817" w:edGrp="everyone"/>
      <w:r>
        <w:t>TYPE YOUR TEXT HERE</w:t>
      </w:r>
    </w:p>
    <w:permEnd w:id="144989817"/>
    <w:p w:rsidR="009A2624" w:rsidRDefault="009A2624" w:rsidP="009A2624">
      <w:r>
        <w:t>&lt;ESMA_QUESTION_DP_BMR_70&gt;</w:t>
      </w:r>
    </w:p>
    <w:p w:rsidR="009A2624" w:rsidRDefault="009A2624" w:rsidP="009A2624"/>
    <w:p w:rsidR="009A2624" w:rsidRPr="007F44BF" w:rsidRDefault="009A2624" w:rsidP="002342EC">
      <w:pPr>
        <w:pStyle w:val="Questionstyle"/>
      </w:pPr>
      <w:r w:rsidRPr="007F44BF">
        <w:t>Could the approach proposed, i.e. the use of the field total issued nominal amount in the context of MiFIR / MAR reference data, be used for the assessment of the  “nominal amount” under BMR Article 13(1)(i) for bonds, other forms of securitised debt and money-market instruments? If not, please suggest alternative approaches</w:t>
      </w:r>
    </w:p>
    <w:p w:rsidR="009A2624" w:rsidRDefault="009A2624" w:rsidP="009A2624">
      <w:r>
        <w:t>&lt;ESMA_QUESTION_DP_BMR_71&gt;</w:t>
      </w:r>
    </w:p>
    <w:p w:rsidR="009A2624" w:rsidRDefault="009A2624" w:rsidP="009A2624">
      <w:permStart w:id="325071892" w:edGrp="everyone"/>
      <w:r>
        <w:t>TYPE YOUR TEXT HERE</w:t>
      </w:r>
    </w:p>
    <w:permEnd w:id="325071892"/>
    <w:p w:rsidR="009A2624" w:rsidRDefault="009A2624" w:rsidP="009A2624">
      <w:r>
        <w:t>&lt;ESMA_QUESTION_DP_BMR_71&gt;</w:t>
      </w:r>
    </w:p>
    <w:p w:rsidR="009A2624" w:rsidRDefault="009A2624" w:rsidP="009A2624"/>
    <w:p w:rsidR="009A2624" w:rsidRPr="007F44BF" w:rsidRDefault="009A2624" w:rsidP="002342EC">
      <w:pPr>
        <w:pStyle w:val="Questionstyle"/>
      </w:pPr>
      <w:r>
        <w:t xml:space="preserve">Are you aware of any </w:t>
      </w:r>
      <w:r w:rsidRPr="00520FE9">
        <w:t>shares in companies,</w:t>
      </w:r>
      <w:r>
        <w:t xml:space="preserve"> </w:t>
      </w:r>
      <w:r w:rsidRPr="00520FE9">
        <w:t>other securities equivalent to shares in companies, partnerships or other entities,</w:t>
      </w:r>
      <w:r>
        <w:t xml:space="preserve"> </w:t>
      </w:r>
      <w:r w:rsidRPr="00520FE9">
        <w:t>depositary receipts in respect of shares,</w:t>
      </w:r>
      <w:r>
        <w:t xml:space="preserve"> </w:t>
      </w:r>
      <w:r w:rsidRPr="00520FE9">
        <w:t xml:space="preserve">emission allowances </w:t>
      </w:r>
      <w:r w:rsidRPr="007F44BF">
        <w:t>for which a benchmark</w:t>
      </w:r>
      <w:r w:rsidRPr="007F44BF" w:rsidDel="00452693">
        <w:t xml:space="preserve"> </w:t>
      </w:r>
      <w:r w:rsidRPr="007F44BF">
        <w:t xml:space="preserve">is used as a reference? </w:t>
      </w:r>
    </w:p>
    <w:p w:rsidR="009A2624" w:rsidRDefault="009A2624" w:rsidP="009A2624">
      <w:r>
        <w:t>&lt;ESMA_QUESTION_DP_BMR_72&gt;</w:t>
      </w:r>
    </w:p>
    <w:p w:rsidR="009A2624" w:rsidRDefault="009A2624" w:rsidP="009A2624">
      <w:permStart w:id="2146924685" w:edGrp="everyone"/>
      <w:r>
        <w:t>TYPE YOUR TEXT HERE</w:t>
      </w:r>
    </w:p>
    <w:permEnd w:id="2146924685"/>
    <w:p w:rsidR="009A2624" w:rsidRDefault="009A2624" w:rsidP="009A2624">
      <w:r>
        <w:t>&lt;ESMA_QUESTION_DP_BMR_72&gt;</w:t>
      </w:r>
    </w:p>
    <w:p w:rsidR="009A2624" w:rsidRDefault="009A2624" w:rsidP="009A2624"/>
    <w:p w:rsidR="009A2624" w:rsidRPr="007F44BF" w:rsidRDefault="009A2624" w:rsidP="002342EC">
      <w:pPr>
        <w:pStyle w:val="Questionstyle"/>
      </w:pPr>
      <w:r w:rsidRPr="007F44BF">
        <w:t>Do you have any suggestion for defining the assessment of the nominal amount of these fina</w:t>
      </w:r>
      <w:r w:rsidRPr="007F44BF">
        <w:t>n</w:t>
      </w:r>
      <w:r w:rsidRPr="007F44BF">
        <w:t>cial instruments when they refer to a benchmark?</w:t>
      </w:r>
    </w:p>
    <w:p w:rsidR="009A2624" w:rsidRDefault="009A2624" w:rsidP="009A2624">
      <w:r>
        <w:t>&lt;ESMA_QUESTION_DP_BMR_73&gt;</w:t>
      </w:r>
    </w:p>
    <w:p w:rsidR="009A2624" w:rsidRDefault="009A2624" w:rsidP="009A2624">
      <w:permStart w:id="1174236365" w:edGrp="everyone"/>
      <w:r>
        <w:t>TYPE YOUR TEXT HERE</w:t>
      </w:r>
    </w:p>
    <w:permEnd w:id="1174236365"/>
    <w:p w:rsidR="009A2624" w:rsidRDefault="009A2624" w:rsidP="009A2624">
      <w:r>
        <w:t>&lt;ESMA_QUESTION_DP_BMR_73&gt;</w:t>
      </w:r>
    </w:p>
    <w:p w:rsidR="009A2624" w:rsidRDefault="009A2624" w:rsidP="009A2624"/>
    <w:p w:rsidR="009A2624" w:rsidRPr="007F44BF" w:rsidRDefault="009A2624" w:rsidP="002342EC">
      <w:pPr>
        <w:pStyle w:val="Questionstyle"/>
      </w:pPr>
      <w:r w:rsidRPr="007F44BF">
        <w:t>Do you agree with ESMA proposal in relation to the value of units in collective investment undertakings? If not, please explain why</w:t>
      </w:r>
    </w:p>
    <w:p w:rsidR="009A2624" w:rsidRDefault="009A2624" w:rsidP="009A2624">
      <w:r>
        <w:t>&lt;ESMA_QUESTION_DP_BMR_74&gt;</w:t>
      </w:r>
    </w:p>
    <w:p w:rsidR="009A2624" w:rsidRDefault="009A2624" w:rsidP="009A2624">
      <w:permStart w:id="989284074" w:edGrp="everyone"/>
      <w:r>
        <w:t>TYPE YOUR TEXT HERE</w:t>
      </w:r>
    </w:p>
    <w:permEnd w:id="989284074"/>
    <w:p w:rsidR="009A2624" w:rsidRDefault="009A2624" w:rsidP="009A2624">
      <w:r>
        <w:t>&lt;ESMA_QUESTION_DP_BMR_74&gt;</w:t>
      </w:r>
    </w:p>
    <w:p w:rsidR="009A2624" w:rsidRDefault="009A2624" w:rsidP="009A2624"/>
    <w:p w:rsidR="009A2624" w:rsidRPr="007F44BF" w:rsidRDefault="009A2624" w:rsidP="002342EC">
      <w:pPr>
        <w:pStyle w:val="Questionstyle"/>
      </w:pPr>
      <w:r w:rsidRPr="007F44BF">
        <w:t>Do you agree with the approach of using the notional amount, as used and defined in the EMIR reporting regime, for the assessment of notional amount of derivatives under BMR Article 13(1)(i)? If not, please suggest alternative approaches.</w:t>
      </w:r>
    </w:p>
    <w:p w:rsidR="009A2624" w:rsidRDefault="009A2624" w:rsidP="009A2624">
      <w:r>
        <w:t>&lt;ESMA_QUESTION_DP_BMR_75&gt;</w:t>
      </w:r>
    </w:p>
    <w:p w:rsidR="009A2624" w:rsidRDefault="009A2624" w:rsidP="009A2624">
      <w:permStart w:id="321087678" w:edGrp="everyone"/>
      <w:r>
        <w:t>TYPE YOUR TEXT HERE</w:t>
      </w:r>
    </w:p>
    <w:permEnd w:id="321087678"/>
    <w:p w:rsidR="009A2624" w:rsidRDefault="009A2624" w:rsidP="009A2624">
      <w:r>
        <w:t>&lt;ESMA_QUESTION_DP_BMR_75&gt;</w:t>
      </w:r>
    </w:p>
    <w:p w:rsidR="009A2624" w:rsidRDefault="009A2624" w:rsidP="009A2624"/>
    <w:p w:rsidR="009A2624" w:rsidRPr="007F44BF" w:rsidRDefault="009A2624" w:rsidP="002342EC">
      <w:pPr>
        <w:pStyle w:val="Questionstyle"/>
      </w:pPr>
      <w:r w:rsidRPr="007F44BF">
        <w:t>Which are your views on the two options proposed to assess the net asset value of investment funds? Should you have a preference for an alternative option, please provide details and explain the reasons for your preference.</w:t>
      </w:r>
    </w:p>
    <w:p w:rsidR="009A2624" w:rsidRDefault="009A2624" w:rsidP="009A2624">
      <w:r>
        <w:t>&lt;ESMA_QUESTION_DP_BMR_76&gt;</w:t>
      </w:r>
    </w:p>
    <w:p w:rsidR="009A2624" w:rsidRDefault="009A2624" w:rsidP="009A2624">
      <w:permStart w:id="478043789" w:edGrp="everyone"/>
      <w:r>
        <w:t>TYPE YOUR TEXT HERE</w:t>
      </w:r>
    </w:p>
    <w:permEnd w:id="478043789"/>
    <w:p w:rsidR="009A2624" w:rsidRDefault="009A2624" w:rsidP="009A2624">
      <w:r>
        <w:t>&lt;ESMA_QUESTION_DP_BMR_76&gt;</w:t>
      </w:r>
    </w:p>
    <w:p w:rsidR="009A2624" w:rsidRDefault="009A2624" w:rsidP="009A2624"/>
    <w:p w:rsidR="009A2624" w:rsidRPr="007F44BF" w:rsidRDefault="009A2624" w:rsidP="002342EC">
      <w:pPr>
        <w:pStyle w:val="Questionstyle"/>
      </w:pPr>
      <w:r w:rsidRPr="007F44BF">
        <w:t xml:space="preserve">Which are your views on the two approaches proposed to assess the </w:t>
      </w:r>
      <w:r w:rsidRPr="00DB2E46">
        <w:t>nominal amount of fina</w:t>
      </w:r>
      <w:r w:rsidRPr="00DB2E46">
        <w:t>n</w:t>
      </w:r>
      <w:r w:rsidRPr="00DB2E46">
        <w:t xml:space="preserve">cial instruments other than derivatives, the notional amount of derivatives </w:t>
      </w:r>
      <w:r>
        <w:t xml:space="preserve">and the </w:t>
      </w:r>
      <w:r w:rsidRPr="007F44BF">
        <w:t xml:space="preserve">net asset value of an investment fund referencing a benchmark within a combination of </w:t>
      </w:r>
      <w:r>
        <w:t>benchmarks</w:t>
      </w:r>
      <w:r w:rsidRPr="007F44BF">
        <w:t>? Please provide details and explain the reasons for your preference. Do you think there are other possible approaches? If yes, please explain.</w:t>
      </w:r>
    </w:p>
    <w:p w:rsidR="009A2624" w:rsidRDefault="009A2624" w:rsidP="009A2624">
      <w:r>
        <w:t>&lt;ESMA_QUESTION_DP_BMR_77&gt;</w:t>
      </w:r>
    </w:p>
    <w:p w:rsidR="009A2624" w:rsidRDefault="009A2624" w:rsidP="009A2624">
      <w:permStart w:id="1037382537" w:edGrp="everyone"/>
      <w:r>
        <w:t>TYPE YOUR TEXT HERE</w:t>
      </w:r>
    </w:p>
    <w:permEnd w:id="1037382537"/>
    <w:p w:rsidR="009A2624" w:rsidRDefault="009A2624" w:rsidP="009A2624">
      <w:r>
        <w:t>&lt;ESMA_QUESTION_DP_BMR_77&gt;</w:t>
      </w:r>
    </w:p>
    <w:p w:rsidR="009A2624" w:rsidRDefault="009A2624" w:rsidP="009A2624"/>
    <w:p w:rsidR="009A2624" w:rsidRPr="007F44BF" w:rsidRDefault="009A2624" w:rsidP="002342EC">
      <w:pPr>
        <w:pStyle w:val="Questionstyle"/>
      </w:pPr>
      <w:r w:rsidRPr="007F44BF">
        <w:rPr>
          <w:bCs/>
          <w:iCs/>
        </w:rPr>
        <w:t xml:space="preserve">Do you agree with the ‘relative impact’ approach, i.e. define one or more value and “ratios” for each of the five areas (markets integrity; or financial stability; or consumers; or the real economy; or the financing of households and corporations) that need to be assessed according to </w:t>
      </w:r>
      <w:r w:rsidRPr="007F44BF">
        <w:t>Article 13(1)(c), subparagraph (iii)? If not, please elaborate on other options that you consider more suitable.</w:t>
      </w:r>
    </w:p>
    <w:p w:rsidR="009A2624" w:rsidRDefault="009A2624" w:rsidP="009A2624">
      <w:r>
        <w:t>&lt;ESMA_QUESTION_DP_BMR_78&gt;</w:t>
      </w:r>
    </w:p>
    <w:p w:rsidR="009A2624" w:rsidRDefault="009A2624" w:rsidP="009A2624">
      <w:permStart w:id="1782664569" w:edGrp="everyone"/>
      <w:r>
        <w:t>TYPE YOUR TEXT HERE</w:t>
      </w:r>
    </w:p>
    <w:permEnd w:id="1782664569"/>
    <w:p w:rsidR="009A2624" w:rsidRDefault="009A2624" w:rsidP="009A2624">
      <w:r>
        <w:t>&lt;ESMA_QUESTION_DP_BMR_78&gt;</w:t>
      </w:r>
    </w:p>
    <w:p w:rsidR="009A2624" w:rsidRDefault="009A2624" w:rsidP="009A2624"/>
    <w:p w:rsidR="009A2624" w:rsidRPr="007F44BF" w:rsidRDefault="009A2624" w:rsidP="002342EC">
      <w:pPr>
        <w:pStyle w:val="Questionstyle"/>
        <w:rPr>
          <w:bCs/>
          <w:iCs/>
        </w:rPr>
      </w:pPr>
      <w:r w:rsidRPr="007F44BF">
        <w:t xml:space="preserve">What kind of other objective grounds could be used to assess the potential impact of the discontinuity or unreliability of the benchmark besides the ones mentioned above (e.g. GDP, consumer credit agreement etc.)? </w:t>
      </w:r>
    </w:p>
    <w:p w:rsidR="009A2624" w:rsidRDefault="009A2624" w:rsidP="009A2624">
      <w:r>
        <w:t>&lt;ESMA_QUESTION_DP_BMR_79&gt;</w:t>
      </w:r>
    </w:p>
    <w:p w:rsidR="009A2624" w:rsidRDefault="009A2624" w:rsidP="009A2624">
      <w:permStart w:id="2024146456" w:edGrp="everyone"/>
      <w:r>
        <w:t>TYPE YOUR TEXT HERE</w:t>
      </w:r>
    </w:p>
    <w:permEnd w:id="2024146456"/>
    <w:p w:rsidR="009A2624" w:rsidRDefault="009A2624" w:rsidP="009A2624">
      <w:r>
        <w:t>&lt;ESMA_QUESTION_DP_BMR_79&gt;</w:t>
      </w:r>
    </w:p>
    <w:p w:rsidR="009A2624" w:rsidRDefault="009A2624" w:rsidP="009A2624"/>
    <w:p w:rsidR="009A2624" w:rsidRPr="007F44BF" w:rsidRDefault="009A2624" w:rsidP="002342EC">
      <w:pPr>
        <w:pStyle w:val="Questionstyle"/>
      </w:pPr>
      <w:r w:rsidRPr="007F44BF">
        <w:t>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rsidR="009A2624" w:rsidRDefault="009A2624" w:rsidP="009A2624">
      <w:r>
        <w:t>&lt;ESMA_QUESTION_DP_BMR_80&gt;</w:t>
      </w:r>
    </w:p>
    <w:p w:rsidR="009A2624" w:rsidRDefault="009A2624" w:rsidP="009A2624">
      <w:permStart w:id="1566982670" w:edGrp="everyone"/>
      <w:r>
        <w:t>TYPE YOUR TEXT HERE</w:t>
      </w:r>
    </w:p>
    <w:permEnd w:id="1566982670"/>
    <w:p w:rsidR="009A2624" w:rsidRDefault="009A2624" w:rsidP="009A2624">
      <w:r>
        <w:t>&lt;ESMA_QUESTION_DP_BMR_80&gt;</w:t>
      </w:r>
    </w:p>
    <w:p w:rsidR="009A2624" w:rsidRDefault="009A2624" w:rsidP="009A2624"/>
    <w:p w:rsidR="009A2624" w:rsidRPr="007F44BF" w:rsidRDefault="009A2624" w:rsidP="002342EC">
      <w:pPr>
        <w:pStyle w:val="Questionstyle"/>
      </w:pPr>
      <w:r w:rsidRPr="007F44BF">
        <w:t>Do you think that the fields identified for the template are sufficient for the competent autho</w:t>
      </w:r>
      <w:r w:rsidRPr="007F44BF">
        <w:t>r</w:t>
      </w:r>
      <w:r w:rsidRPr="007F44BF">
        <w:t>ity and the stakeholders to form an opinion on the representativeness, reliability and integrity of a benchmark, notwithstanding the non-application of some material requirements? Could you suggest additional fields?</w:t>
      </w:r>
    </w:p>
    <w:p w:rsidR="009A2624" w:rsidRDefault="009A2624" w:rsidP="009A2624">
      <w:r>
        <w:t>&lt;ESMA_QUESTION_DP_BMR_81&gt;</w:t>
      </w:r>
    </w:p>
    <w:p w:rsidR="009A2624" w:rsidRDefault="009A2624" w:rsidP="009A2624">
      <w:permStart w:id="737303455" w:edGrp="everyone"/>
      <w:r>
        <w:t>TYPE YOUR TEXT HERE</w:t>
      </w:r>
    </w:p>
    <w:permEnd w:id="737303455"/>
    <w:p w:rsidR="009A2624" w:rsidRDefault="009A2624" w:rsidP="009A2624">
      <w:r>
        <w:t>&lt;ESMA_QUESTION_DP_BMR_81&gt;</w:t>
      </w:r>
    </w:p>
    <w:p w:rsidR="009A2624" w:rsidRDefault="009A2624" w:rsidP="009A2624"/>
    <w:p w:rsidR="009A2624" w:rsidRPr="007F44BF" w:rsidRDefault="009A2624" w:rsidP="002342EC">
      <w:pPr>
        <w:pStyle w:val="Questionstyle"/>
      </w:pPr>
      <w:r w:rsidRPr="007F44BF">
        <w:t>Do you agree with the suggested minimum aspects for defining the market or economic reality measured by the benchmark?</w:t>
      </w:r>
    </w:p>
    <w:p w:rsidR="009A2624" w:rsidRDefault="009A2624" w:rsidP="009A2624">
      <w:r>
        <w:t>&lt;ESMA_QUESTION_DP_BMR_82&gt;</w:t>
      </w:r>
    </w:p>
    <w:p w:rsidR="009A2624" w:rsidRDefault="009A2624" w:rsidP="009A2624">
      <w:permStart w:id="681251207" w:edGrp="everyone"/>
      <w:r>
        <w:t>TYPE YOUR TEXT HERE</w:t>
      </w:r>
    </w:p>
    <w:permEnd w:id="681251207"/>
    <w:p w:rsidR="009A2624" w:rsidRDefault="009A2624" w:rsidP="009A2624">
      <w:r>
        <w:t>&lt;ESMA_QUESTION_DP_BMR_82&gt;</w:t>
      </w:r>
    </w:p>
    <w:p w:rsidR="009A2624" w:rsidRDefault="009A2624" w:rsidP="009A2624"/>
    <w:p w:rsidR="009A2624" w:rsidRPr="007F44BF" w:rsidRDefault="009A2624" w:rsidP="002342EC">
      <w:pPr>
        <w:pStyle w:val="Questionstyle"/>
      </w:pPr>
      <w:r w:rsidRPr="007F44BF">
        <w:t>Do you think the circumstances under which a benchmark determination may become unreli</w:t>
      </w:r>
      <w:r w:rsidRPr="007F44BF">
        <w:t>a</w:t>
      </w:r>
      <w:r w:rsidRPr="007F44BF">
        <w:t>ble can be sufficiently described by the suggested aspects?</w:t>
      </w:r>
    </w:p>
    <w:p w:rsidR="009A2624" w:rsidRDefault="009A2624" w:rsidP="009A2624">
      <w:r>
        <w:t>&lt;ESMA_QUESTION_DP_BMR_83&gt;</w:t>
      </w:r>
    </w:p>
    <w:p w:rsidR="009A2624" w:rsidRDefault="009A2624" w:rsidP="009A2624">
      <w:permStart w:id="928646225" w:edGrp="everyone"/>
      <w:r>
        <w:t>TYPE YOUR TEXT HERE</w:t>
      </w:r>
    </w:p>
    <w:permEnd w:id="928646225"/>
    <w:p w:rsidR="009A2624" w:rsidRDefault="009A2624" w:rsidP="009A2624">
      <w:r>
        <w:t>&lt;ESMA_QUESTION_DP_BMR_83&gt;</w:t>
      </w:r>
    </w:p>
    <w:p w:rsidR="009A2624" w:rsidRDefault="009A2624" w:rsidP="009A2624"/>
    <w:p w:rsidR="009A2624" w:rsidRPr="007F44BF" w:rsidRDefault="009A2624" w:rsidP="002342EC">
      <w:pPr>
        <w:pStyle w:val="Questionstyle"/>
      </w:pPr>
      <w:r w:rsidRPr="007F44BF">
        <w:rPr>
          <w:bCs/>
        </w:rPr>
        <w:t>Do you agree with the minimum information on the exercise of discretion to be included in the benchmark statement?</w:t>
      </w:r>
    </w:p>
    <w:p w:rsidR="009A2624" w:rsidRDefault="009A2624" w:rsidP="009A2624">
      <w:r>
        <w:t>&lt;ESMA_QUESTION_DP_BMR_84&gt;</w:t>
      </w:r>
    </w:p>
    <w:p w:rsidR="009A2624" w:rsidRDefault="009A2624" w:rsidP="009A2624">
      <w:permStart w:id="656747606" w:edGrp="everyone"/>
      <w:r>
        <w:t>TYPE YOUR TEXT HERE</w:t>
      </w:r>
    </w:p>
    <w:permEnd w:id="656747606"/>
    <w:p w:rsidR="009A2624" w:rsidRDefault="009A2624" w:rsidP="009A2624">
      <w:r>
        <w:t>&lt;ESMA_QUESTION_DP_BMR_84&gt;</w:t>
      </w:r>
    </w:p>
    <w:p w:rsidR="009A2624" w:rsidRDefault="009A2624" w:rsidP="009A2624"/>
    <w:p w:rsidR="009A2624" w:rsidRPr="007F44BF" w:rsidRDefault="009A2624" w:rsidP="002342EC">
      <w:pPr>
        <w:pStyle w:val="Questionstyle"/>
        <w:rPr>
          <w:bCs/>
        </w:rPr>
      </w:pPr>
      <w:r w:rsidRPr="007F44BF">
        <w:rPr>
          <w:bCs/>
        </w:rPr>
        <w:t>Are there any further precise minimum contents for a benchmark statement that should apply to each benchmark beyond those stated in Art. 15(2) points (a) to (g) BMR?</w:t>
      </w:r>
    </w:p>
    <w:p w:rsidR="009A2624" w:rsidRDefault="009A2624" w:rsidP="009A2624">
      <w:r>
        <w:t>&lt;ESMA_QUESTION_DP_BMR_85&gt;</w:t>
      </w:r>
    </w:p>
    <w:p w:rsidR="009A2624" w:rsidRDefault="009A2624" w:rsidP="009A2624">
      <w:permStart w:id="530609887" w:edGrp="everyone"/>
      <w:r>
        <w:t>TYPE YOUR TEXT HERE</w:t>
      </w:r>
    </w:p>
    <w:permEnd w:id="530609887"/>
    <w:p w:rsidR="009A2624" w:rsidRDefault="009A2624" w:rsidP="009A2624">
      <w:r>
        <w:t>&lt;ESMA_QUESTION_DP_BMR_85&gt;</w:t>
      </w:r>
    </w:p>
    <w:p w:rsidR="009A2624" w:rsidRDefault="009A2624" w:rsidP="009A2624"/>
    <w:p w:rsidR="009A2624" w:rsidRPr="007F44BF" w:rsidRDefault="009A2624" w:rsidP="002342EC">
      <w:pPr>
        <w:pStyle w:val="Questionstyle"/>
        <w:rPr>
          <w:bCs/>
        </w:rPr>
      </w:pPr>
      <w:r w:rsidRPr="007F44BF">
        <w:rPr>
          <w:bCs/>
        </w:rPr>
        <w:t>Do you agree that a concise description of the additional requirements including references, if any, would be sufficient for the information purposes of the benchmark statement for interest rate benchmarks?</w:t>
      </w:r>
    </w:p>
    <w:p w:rsidR="009A2624" w:rsidRDefault="009A2624" w:rsidP="009A2624">
      <w:r>
        <w:lastRenderedPageBreak/>
        <w:t>&lt;ESMA_QUESTION_DP_BMR_86&gt;</w:t>
      </w:r>
    </w:p>
    <w:p w:rsidR="009A2624" w:rsidRDefault="009A2624" w:rsidP="009A2624">
      <w:permStart w:id="2013298399" w:edGrp="everyone"/>
      <w:r>
        <w:t>TYPE YOUR TEXT HERE</w:t>
      </w:r>
    </w:p>
    <w:permEnd w:id="2013298399"/>
    <w:p w:rsidR="009A2624" w:rsidRDefault="009A2624" w:rsidP="009A2624">
      <w:r>
        <w:t>&lt;ESMA_QUESTION_DP_BMR_86&gt;</w:t>
      </w:r>
    </w:p>
    <w:p w:rsidR="009A2624" w:rsidRDefault="009A2624" w:rsidP="009A2624"/>
    <w:p w:rsidR="009A2624" w:rsidRPr="007F44BF" w:rsidRDefault="009A2624" w:rsidP="002342EC">
      <w:pPr>
        <w:pStyle w:val="Questionstyle"/>
      </w:pPr>
      <w:r w:rsidRPr="007F44BF">
        <w:t>Do you agree that the statement for commodity benchmarks should be delimited as d</w:t>
      </w:r>
      <w:r w:rsidRPr="007F44BF">
        <w:t>e</w:t>
      </w:r>
      <w:r w:rsidRPr="007F44BF">
        <w:t>scribed? Otherwise, what other information would be essential in your opinion?</w:t>
      </w:r>
    </w:p>
    <w:p w:rsidR="009A2624" w:rsidRDefault="009A2624" w:rsidP="009A2624">
      <w:r>
        <w:t>&lt;ESMA_QUESTION_DP_BMR_87&gt;</w:t>
      </w:r>
    </w:p>
    <w:p w:rsidR="009A2624" w:rsidRDefault="009A2624" w:rsidP="009A2624">
      <w:permStart w:id="149713754" w:edGrp="everyone"/>
      <w:r>
        <w:t>TYPE YOUR TEXT HERE</w:t>
      </w:r>
    </w:p>
    <w:permEnd w:id="149713754"/>
    <w:p w:rsidR="009A2624" w:rsidRDefault="009A2624" w:rsidP="009A2624">
      <w:r>
        <w:t>&lt;ESMA_QUESTION_DP_BMR_87&gt;</w:t>
      </w:r>
    </w:p>
    <w:p w:rsidR="009A2624" w:rsidRDefault="009A2624" w:rsidP="009A2624"/>
    <w:p w:rsidR="009A2624" w:rsidRPr="007F44BF" w:rsidRDefault="009A2624" w:rsidP="002342EC">
      <w:pPr>
        <w:pStyle w:val="Questionstyle"/>
        <w:rPr>
          <w:bCs/>
        </w:rPr>
      </w:pPr>
      <w:r w:rsidRPr="007F44BF">
        <w:rPr>
          <w:bCs/>
        </w:rPr>
        <w:t>Do you agree with ESMA's approach not to include further material requirements for the content of benchmark statements regarding regulated-data benchmarks?</w:t>
      </w:r>
    </w:p>
    <w:p w:rsidR="009A2624" w:rsidRDefault="009A2624" w:rsidP="009A2624">
      <w:r>
        <w:t>&lt;ESMA_QUESTION_DP_BMR_88&gt;</w:t>
      </w:r>
    </w:p>
    <w:p w:rsidR="009A2624" w:rsidRDefault="009A2624" w:rsidP="009A2624">
      <w:permStart w:id="1917483022" w:edGrp="everyone"/>
      <w:r>
        <w:t>TYPE YOUR TEXT HERE</w:t>
      </w:r>
    </w:p>
    <w:permEnd w:id="1917483022"/>
    <w:p w:rsidR="009A2624" w:rsidRDefault="009A2624" w:rsidP="009A2624">
      <w:r>
        <w:t>&lt;ESMA_QUESTION_DP_BMR_88&gt;</w:t>
      </w:r>
    </w:p>
    <w:p w:rsidR="009A2624" w:rsidRDefault="009A2624" w:rsidP="009A2624"/>
    <w:p w:rsidR="009A2624" w:rsidRPr="007F44BF" w:rsidRDefault="009A2624" w:rsidP="002342EC">
      <w:pPr>
        <w:pStyle w:val="Questionstyle"/>
        <w:rPr>
          <w:bCs/>
        </w:rPr>
      </w:pPr>
      <w:r w:rsidRPr="007F44BF">
        <w:rPr>
          <w:bCs/>
        </w:rPr>
        <w:t>Do you agree with the suggested additional content required for statements regarding critical benchmarks? If not, please precise why and indicate what alternative or additional information you consider appropriate in case a benchmark qualifies as critical.</w:t>
      </w:r>
    </w:p>
    <w:p w:rsidR="009A2624" w:rsidRDefault="009A2624" w:rsidP="009A2624">
      <w:r>
        <w:t>&lt;ESMA_QUESTION_DP_BMR_89&gt;</w:t>
      </w:r>
    </w:p>
    <w:p w:rsidR="009A2624" w:rsidRDefault="009A2624" w:rsidP="009A2624">
      <w:permStart w:id="1430608620" w:edGrp="everyone"/>
      <w:r>
        <w:t>TYPE YOUR TEXT HERE</w:t>
      </w:r>
    </w:p>
    <w:permEnd w:id="1430608620"/>
    <w:p w:rsidR="009A2624" w:rsidRDefault="009A2624" w:rsidP="009A2624">
      <w:r>
        <w:t>&lt;ESMA_QUESTION_DP_BMR_89&gt;</w:t>
      </w:r>
    </w:p>
    <w:p w:rsidR="009A2624" w:rsidRDefault="009A2624" w:rsidP="009A2624"/>
    <w:p w:rsidR="009A2624" w:rsidRPr="007F44BF" w:rsidRDefault="009A2624" w:rsidP="002342EC">
      <w:pPr>
        <w:pStyle w:val="Questionstyle"/>
      </w:pPr>
      <w:r w:rsidRPr="007F44BF">
        <w:t>Do you agree with the suggested additional requirements for significant benchmarks? Which of the three options proposed you prefer, and why?</w:t>
      </w:r>
    </w:p>
    <w:p w:rsidR="009A2624" w:rsidRDefault="009A2624" w:rsidP="009A2624">
      <w:r>
        <w:t>&lt;ESMA_QUESTION_DP_BMR_90&gt;</w:t>
      </w:r>
    </w:p>
    <w:p w:rsidR="009A2624" w:rsidRDefault="009A2624" w:rsidP="009A2624">
      <w:permStart w:id="1244529692" w:edGrp="everyone"/>
      <w:r>
        <w:t>TYPE YOUR TEXT HERE</w:t>
      </w:r>
    </w:p>
    <w:permEnd w:id="1244529692"/>
    <w:p w:rsidR="009A2624" w:rsidRDefault="009A2624" w:rsidP="009A2624">
      <w:r>
        <w:t>&lt;ESMA_QUESTION_DP_BMR_90&gt;</w:t>
      </w:r>
    </w:p>
    <w:p w:rsidR="009A2624" w:rsidRDefault="009A2624" w:rsidP="009A2624"/>
    <w:p w:rsidR="009A2624" w:rsidRPr="007F44BF" w:rsidRDefault="009A2624" w:rsidP="002342EC">
      <w:pPr>
        <w:pStyle w:val="Questionstyle"/>
      </w:pPr>
      <w:r w:rsidRPr="007F44BF">
        <w:t>Do you agree with the suggested additional requirements for non-significant benchmarks? If not, please explain why and indicate what alternative or additional information you consider appr</w:t>
      </w:r>
      <w:r w:rsidRPr="007F44BF">
        <w:t>o</w:t>
      </w:r>
      <w:r w:rsidRPr="007F44BF">
        <w:t xml:space="preserve">priate in case a benchmark is non-significant.  </w:t>
      </w:r>
    </w:p>
    <w:p w:rsidR="009A2624" w:rsidRDefault="009A2624" w:rsidP="009A2624">
      <w:r>
        <w:t>&lt;ESMA_QUESTION_DP_BMR_91&gt;</w:t>
      </w:r>
    </w:p>
    <w:p w:rsidR="009A2624" w:rsidRDefault="009A2624" w:rsidP="009A2624">
      <w:permStart w:id="887819759" w:edGrp="everyone"/>
      <w:r>
        <w:t>TYPE YOUR TEXT HERE</w:t>
      </w:r>
    </w:p>
    <w:permEnd w:id="887819759"/>
    <w:p w:rsidR="009A2624" w:rsidRDefault="009A2624" w:rsidP="009A2624">
      <w:r>
        <w:t>&lt;ESMA_QUESTION_DP_BMR_91&gt;</w:t>
      </w:r>
    </w:p>
    <w:p w:rsidR="009A2624" w:rsidRDefault="009A2624" w:rsidP="009A2624"/>
    <w:p w:rsidR="009A2624" w:rsidRPr="007F44BF" w:rsidRDefault="009A2624" w:rsidP="002342EC">
      <w:pPr>
        <w:pStyle w:val="Questionstyle"/>
      </w:pPr>
      <w:r w:rsidRPr="007F44BF">
        <w:t>Are there any further contents for a benchmark statement that should apply to the various classes of benchmarks identified in this chapter?</w:t>
      </w:r>
    </w:p>
    <w:p w:rsidR="009A2624" w:rsidRDefault="009A2624" w:rsidP="009A2624">
      <w:r>
        <w:t>&lt;ESMA_QUESTION_DP_BMR_92&gt;</w:t>
      </w:r>
    </w:p>
    <w:p w:rsidR="009A2624" w:rsidRDefault="009A2624" w:rsidP="009A2624">
      <w:permStart w:id="1583302682" w:edGrp="everyone"/>
      <w:r>
        <w:t>TYPE YOUR TEXT HERE</w:t>
      </w:r>
    </w:p>
    <w:permEnd w:id="1583302682"/>
    <w:p w:rsidR="009A2624" w:rsidRDefault="009A2624" w:rsidP="009A2624">
      <w:r>
        <w:t>&lt;ESMA_QUESTION_DP_BMR_92&gt;</w:t>
      </w:r>
    </w:p>
    <w:p w:rsidR="009A2624" w:rsidRDefault="009A2624" w:rsidP="009A2624"/>
    <w:p w:rsidR="009A2624" w:rsidRPr="007F44BF" w:rsidRDefault="009A2624" w:rsidP="002342EC">
      <w:pPr>
        <w:pStyle w:val="Questionstyle"/>
      </w:pPr>
      <w:r w:rsidRPr="007F44BF">
        <w:rPr>
          <w:rFonts w:eastAsia="Times New Roman"/>
        </w:rPr>
        <w:t xml:space="preserve">Do you </w:t>
      </w:r>
      <w:r w:rsidRPr="007F44BF">
        <w:t>agree with the approach outlined above regarding information of a general nature and financial information? Do you see any particular cases, such as certain types of providers, for which these requirements need to be adapted?</w:t>
      </w:r>
    </w:p>
    <w:p w:rsidR="009A2624" w:rsidRDefault="009A2624" w:rsidP="009A2624">
      <w:r>
        <w:lastRenderedPageBreak/>
        <w:t>&lt;ESMA_QUESTION_DP_BMR_93&gt;</w:t>
      </w:r>
    </w:p>
    <w:p w:rsidR="009A2624" w:rsidRDefault="009A2624" w:rsidP="009A2624">
      <w:permStart w:id="1855007729" w:edGrp="everyone"/>
      <w:r>
        <w:t>TYPE YOUR TEXT HERE</w:t>
      </w:r>
    </w:p>
    <w:permEnd w:id="1855007729"/>
    <w:p w:rsidR="009A2624" w:rsidRDefault="009A2624" w:rsidP="009A2624">
      <w:r>
        <w:t>&lt;ESMA_QUESTION_DP_BMR_93&gt;</w:t>
      </w:r>
    </w:p>
    <w:p w:rsidR="009A2624" w:rsidRDefault="009A2624" w:rsidP="009A2624"/>
    <w:p w:rsidR="009A2624" w:rsidRPr="007F44BF" w:rsidRDefault="009A2624" w:rsidP="002342EC">
      <w:pPr>
        <w:pStyle w:val="Questionstyle"/>
      </w:pPr>
      <w:r w:rsidRPr="007F44BF">
        <w:t>Do you agree with ESMA’s approach to the above points? Do you believe that any specific cases exist, related either to the type of provider or the type of conflict of interest, that require specific information to be provided in addition to what initially identified by ESMA?</w:t>
      </w:r>
    </w:p>
    <w:p w:rsidR="009A2624" w:rsidRDefault="009A2624" w:rsidP="009A2624">
      <w:r>
        <w:t>&lt;ESMA_QUESTION_DP_BMR_94&gt;</w:t>
      </w:r>
    </w:p>
    <w:p w:rsidR="009A2624" w:rsidRDefault="009A2624" w:rsidP="009A2624">
      <w:permStart w:id="2029323216" w:edGrp="everyone"/>
      <w:r>
        <w:t>TYPE YOUR TEXT HERE</w:t>
      </w:r>
    </w:p>
    <w:permEnd w:id="2029323216"/>
    <w:p w:rsidR="009A2624" w:rsidRDefault="009A2624" w:rsidP="009A2624">
      <w:r>
        <w:t>&lt;ESMA_QUESTION_DP_BMR_94&gt;</w:t>
      </w:r>
    </w:p>
    <w:p w:rsidR="009A2624" w:rsidRDefault="009A2624" w:rsidP="009A2624"/>
    <w:p w:rsidR="009A2624" w:rsidRPr="007F44BF" w:rsidRDefault="009A2624" w:rsidP="002342EC">
      <w:pPr>
        <w:pStyle w:val="Questionstyle"/>
      </w:pPr>
      <w:r w:rsidRPr="007F44BF">
        <w:t>Do you agree with the proposals outlined for the above points? Do you see any areas requiring particular attention or adaptation?</w:t>
      </w:r>
    </w:p>
    <w:p w:rsidR="009A2624" w:rsidRDefault="009A2624" w:rsidP="009A2624">
      <w:r>
        <w:t>&lt;ESMA_QUESTION_DP_BMR_95&gt;</w:t>
      </w:r>
    </w:p>
    <w:p w:rsidR="009A2624" w:rsidRDefault="009A2624" w:rsidP="009A2624">
      <w:permStart w:id="1878143892" w:edGrp="everyone"/>
      <w:r>
        <w:t>TYPE YOUR TEXT HERE</w:t>
      </w:r>
    </w:p>
    <w:permEnd w:id="1878143892"/>
    <w:p w:rsidR="009A2624" w:rsidRDefault="009A2624" w:rsidP="009A2624">
      <w:r>
        <w:t>&lt;ESMA_QUESTION_DP_BMR_95&gt;</w:t>
      </w:r>
    </w:p>
    <w:p w:rsidR="009A2624" w:rsidRDefault="009A2624" w:rsidP="009A2624"/>
    <w:p w:rsidR="009A2624" w:rsidRPr="007F44BF" w:rsidRDefault="009A2624" w:rsidP="002342EC">
      <w:pPr>
        <w:pStyle w:val="Questionstyle"/>
      </w:pPr>
      <w:r w:rsidRPr="007F44BF">
        <w:t>Can you suggest other specific situations for which it is important to identify the information elements to be provided in the authorisation application?</w:t>
      </w:r>
    </w:p>
    <w:p w:rsidR="009A2624" w:rsidRDefault="009A2624" w:rsidP="009A2624">
      <w:r>
        <w:t>&lt;ESMA_QUESTION_DP_BMR_96&gt;</w:t>
      </w:r>
    </w:p>
    <w:p w:rsidR="009A2624" w:rsidRDefault="009A2624" w:rsidP="009A2624">
      <w:permStart w:id="1597140904" w:edGrp="everyone"/>
      <w:r>
        <w:t>TYPE YOUR TEXT HERE</w:t>
      </w:r>
    </w:p>
    <w:permEnd w:id="1597140904"/>
    <w:p w:rsidR="009A2624" w:rsidRDefault="009A2624" w:rsidP="009A2624">
      <w:r>
        <w:t>&lt;ESMA_QUESTION_DP_BMR_96&gt;</w:t>
      </w:r>
    </w:p>
    <w:p w:rsidR="009A2624" w:rsidRDefault="009A2624" w:rsidP="009A2624"/>
    <w:p w:rsidR="009A2624" w:rsidRPr="007F44BF" w:rsidRDefault="009A2624" w:rsidP="002342EC">
      <w:pPr>
        <w:pStyle w:val="Questionstyle"/>
      </w:pPr>
      <w:r w:rsidRPr="007F44BF">
        <w:t xml:space="preserve">Do you agree with the proposed approach towards registration? How should the information requirements for registration deviate from the requirements for authorisation? </w:t>
      </w:r>
    </w:p>
    <w:p w:rsidR="009A2624" w:rsidRDefault="009A2624" w:rsidP="009A2624">
      <w:r>
        <w:t>&lt;ESMA_QUESTION_DP_BMR_97&gt;</w:t>
      </w:r>
    </w:p>
    <w:p w:rsidR="009A2624" w:rsidRDefault="009A2624" w:rsidP="009A2624">
      <w:permStart w:id="1654077979" w:edGrp="everyone"/>
      <w:r>
        <w:t>TYPE YOUR TEXT HERE</w:t>
      </w:r>
    </w:p>
    <w:permEnd w:id="1654077979"/>
    <w:p w:rsidR="009A2624" w:rsidRDefault="009A2624" w:rsidP="009A2624">
      <w:r>
        <w:t>&lt;ESMA_QUESTION_DP_BMR_97&gt;</w:t>
      </w:r>
    </w:p>
    <w:p w:rsidR="009A2624" w:rsidRDefault="009A2624" w:rsidP="009A2624"/>
    <w:p w:rsidR="009A2624" w:rsidRPr="007F44BF" w:rsidRDefault="009A2624" w:rsidP="002342EC">
      <w:pPr>
        <w:pStyle w:val="Questionstyle"/>
      </w:pPr>
      <w:r w:rsidRPr="007F44BF">
        <w:t>Do you believe there are any specific types of supervised entities which would require special treatment within the registration regime? If yes, which ones and why?</w:t>
      </w:r>
    </w:p>
    <w:p w:rsidR="009A2624" w:rsidRDefault="009A2624" w:rsidP="009A2624">
      <w:r>
        <w:t>&lt;ESMA_QUESTION_DP_BMR_98&gt;</w:t>
      </w:r>
    </w:p>
    <w:p w:rsidR="009A2624" w:rsidRDefault="009A2624" w:rsidP="009A2624">
      <w:permStart w:id="1752987945" w:edGrp="everyone"/>
      <w:r>
        <w:t>TYPE YOUR TEXT HERE</w:t>
      </w:r>
    </w:p>
    <w:permEnd w:id="1752987945"/>
    <w:p w:rsidR="009A2624" w:rsidRDefault="009A2624" w:rsidP="009A2624">
      <w:r>
        <w:t>&lt;ESMA_QUESTION_DP_BMR_98&gt;</w:t>
      </w:r>
    </w:p>
    <w:p w:rsidR="009A2624" w:rsidRDefault="009A2624" w:rsidP="009A2624"/>
    <w:p w:rsidR="009A2624" w:rsidRPr="007F44BF" w:rsidRDefault="009A2624" w:rsidP="002342EC">
      <w:pPr>
        <w:pStyle w:val="Questionstyle"/>
      </w:pPr>
      <w:r w:rsidRPr="007F44BF">
        <w:t>Do you have any suggestions on which information should be included in the application for the recognition of a third country administrator?</w:t>
      </w:r>
    </w:p>
    <w:p w:rsidR="009A2624" w:rsidRDefault="009A2624" w:rsidP="009A2624">
      <w:r>
        <w:t>&lt;ESMA_QUESTION_DP_BMR_99&gt;</w:t>
      </w:r>
    </w:p>
    <w:p w:rsidR="009A2624" w:rsidRDefault="009A2624" w:rsidP="009A2624">
      <w:permStart w:id="244199216" w:edGrp="everyone"/>
      <w:r>
        <w:t>TYPE YOUR TEXT HERE</w:t>
      </w:r>
    </w:p>
    <w:permEnd w:id="244199216"/>
    <w:p w:rsidR="009A2624" w:rsidRDefault="009A2624" w:rsidP="009A2624">
      <w:r>
        <w:t>&lt;ESMA_QUESTION_DP_BMR_99&gt;</w:t>
      </w:r>
    </w:p>
    <w:p w:rsidR="009A2624" w:rsidRDefault="009A2624" w:rsidP="009A2624"/>
    <w:p w:rsidR="009A2624" w:rsidRPr="007F44BF" w:rsidRDefault="009A2624" w:rsidP="002342EC">
      <w:pPr>
        <w:pStyle w:val="Questionstyle"/>
      </w:pPr>
      <w:r w:rsidRPr="007F44BF">
        <w:t>Do you agree with the general approach proposed by ESMA for the presentation of the info</w:t>
      </w:r>
      <w:r w:rsidRPr="007F44BF">
        <w:t>r</w:t>
      </w:r>
      <w:r w:rsidRPr="007F44BF">
        <w:t>mation required in Article 21a(6) of the BMR?</w:t>
      </w:r>
      <w:r w:rsidRPr="007F44BF" w:rsidDel="008F434D">
        <w:t xml:space="preserve"> </w:t>
      </w:r>
    </w:p>
    <w:p w:rsidR="009A2624" w:rsidRDefault="009A2624" w:rsidP="009A2624">
      <w:r>
        <w:t>&lt;ESMA_QUESTION_DP_BMR_100&gt;</w:t>
      </w:r>
    </w:p>
    <w:p w:rsidR="009A2624" w:rsidRDefault="009A2624" w:rsidP="009A2624">
      <w:permStart w:id="1623266991" w:edGrp="everyone"/>
      <w:r>
        <w:t>TYPE YOUR TEXT HERE</w:t>
      </w:r>
    </w:p>
    <w:permEnd w:id="1623266991"/>
    <w:p w:rsidR="009A2624" w:rsidRDefault="009A2624" w:rsidP="009A2624">
      <w:r>
        <w:lastRenderedPageBreak/>
        <w:t>&lt;ESMA_QUESTION_DP_BMR_100&gt;</w:t>
      </w:r>
    </w:p>
    <w:p w:rsidR="009A2624" w:rsidRDefault="009A2624" w:rsidP="009A2624"/>
    <w:p w:rsidR="009A2624" w:rsidRPr="007F44BF" w:rsidRDefault="009A2624" w:rsidP="002342EC">
      <w:pPr>
        <w:pStyle w:val="Questionstyle"/>
      </w:pPr>
      <w:r w:rsidRPr="007F44BF">
        <w:t xml:space="preserve">For each of the </w:t>
      </w:r>
      <w:r>
        <w:t>three</w:t>
      </w:r>
      <w:r w:rsidRPr="007F44BF">
        <w:t xml:space="preserve"> above mentioned elements, please provide your views on what should be the measures to determine the conditions whether there is an ‘objective reason’ for the endors</w:t>
      </w:r>
      <w:r w:rsidRPr="007F44BF">
        <w:t>e</w:t>
      </w:r>
      <w:r w:rsidRPr="007F44BF">
        <w:t xml:space="preserve">ment of a third country benchmark. </w:t>
      </w:r>
    </w:p>
    <w:p w:rsidR="009A2624" w:rsidRDefault="009A2624" w:rsidP="009A2624">
      <w:r>
        <w:t>&lt;ESMA_QUESTION_DP_BMR_101&gt;</w:t>
      </w:r>
    </w:p>
    <w:p w:rsidR="009A2624" w:rsidRDefault="009A2624" w:rsidP="009A2624">
      <w:permStart w:id="389946306" w:edGrp="everyone"/>
      <w:r>
        <w:t>TYPE YOUR TEXT HERE</w:t>
      </w:r>
    </w:p>
    <w:permEnd w:id="389946306"/>
    <w:p w:rsidR="009A2624" w:rsidRDefault="009A2624" w:rsidP="009A2624">
      <w:r>
        <w:t>&lt;ESMA_QUESTION_DP_BMR_101&gt;</w:t>
      </w:r>
    </w:p>
    <w:p w:rsidR="009A2624" w:rsidRDefault="009A2624" w:rsidP="009A2624"/>
    <w:p w:rsidR="009A2624" w:rsidRPr="007F44BF" w:rsidRDefault="009A2624" w:rsidP="002342EC">
      <w:pPr>
        <w:pStyle w:val="Questionstyle"/>
      </w:pPr>
      <w:r w:rsidRPr="007F44BF">
        <w:t xml:space="preserve">Do you consider that there are any other elements that could be taken into consideration to substantiate the ‘objective reason’ for the provision and endorsement for use in the Union of a third country benchmark or family of benchmarks? </w:t>
      </w:r>
    </w:p>
    <w:p w:rsidR="009A2624" w:rsidRDefault="009A2624" w:rsidP="009A2624">
      <w:r>
        <w:t>&lt;ESMA_QUESTION_DP_BMR_102&gt;</w:t>
      </w:r>
    </w:p>
    <w:p w:rsidR="009A2624" w:rsidRDefault="009A2624" w:rsidP="009A2624">
      <w:permStart w:id="1212246821" w:edGrp="everyone"/>
      <w:r>
        <w:t>TYPE YOUR TEXT HERE</w:t>
      </w:r>
    </w:p>
    <w:permEnd w:id="1212246821"/>
    <w:p w:rsidR="009A2624" w:rsidRDefault="009A2624" w:rsidP="009A2624">
      <w:r>
        <w:t>&lt;ESMA_QUESTION_DP_BMR_102&gt;</w:t>
      </w:r>
    </w:p>
    <w:p w:rsidR="009A2624" w:rsidRDefault="009A2624" w:rsidP="009A2624"/>
    <w:p w:rsidR="009A2624" w:rsidRPr="007F44BF" w:rsidRDefault="009A2624" w:rsidP="002342EC">
      <w:pPr>
        <w:pStyle w:val="Questionstyle"/>
      </w:pPr>
      <w:r w:rsidRPr="007F44BF">
        <w:t>Do you agree that in the situations identified above by ESMA the cessation or the changing of an existing benchmark to conform with the requirements of this Regulation could reasonably result in a force majeure event, frustrate or otherwise breach the terms of any financial contract or financial instrument which references a benchmark? If not, please explain the reasons why.</w:t>
      </w:r>
    </w:p>
    <w:p w:rsidR="009A2624" w:rsidRDefault="009A2624" w:rsidP="009A2624">
      <w:r>
        <w:t>&lt;ESMA_QUESTION_DP_BMR_103&gt;</w:t>
      </w:r>
    </w:p>
    <w:p w:rsidR="009A2624" w:rsidRDefault="009A2624" w:rsidP="009A2624">
      <w:permStart w:id="224208274" w:edGrp="everyone"/>
      <w:r>
        <w:t>TYPE YOUR TEXT HERE</w:t>
      </w:r>
    </w:p>
    <w:permEnd w:id="224208274"/>
    <w:p w:rsidR="009A2624" w:rsidRDefault="009A2624" w:rsidP="009A2624">
      <w:r>
        <w:t>&lt;ESMA_QUESTION_DP_BMR_103&gt;</w:t>
      </w:r>
    </w:p>
    <w:p w:rsidR="009A2624" w:rsidRDefault="009A2624" w:rsidP="009A2624"/>
    <w:p w:rsidR="009A2624" w:rsidRPr="007F44BF" w:rsidRDefault="009A2624" w:rsidP="002342EC">
      <w:pPr>
        <w:pStyle w:val="Questionstyle"/>
      </w:pPr>
      <w:r w:rsidRPr="007F44BF">
        <w:t>Which other circumstances could cause the consequences mentioned in Article 39(3) in case existing benchmarks are due to be adapted to the Regulation or to be ceased?</w:t>
      </w:r>
    </w:p>
    <w:p w:rsidR="009A2624" w:rsidRDefault="009A2624" w:rsidP="009A2624">
      <w:r>
        <w:t>&lt;ESMA_QUESTION_DP_BMR_104&gt;</w:t>
      </w:r>
    </w:p>
    <w:p w:rsidR="009A2624" w:rsidRDefault="009A2624" w:rsidP="009A2624">
      <w:permStart w:id="1841195147" w:edGrp="everyone"/>
      <w:r>
        <w:t>TYPE YOUR TEXT HERE</w:t>
      </w:r>
    </w:p>
    <w:permEnd w:id="1841195147"/>
    <w:p w:rsidR="009A2624" w:rsidRDefault="009A2624" w:rsidP="009A2624">
      <w:r>
        <w:t>&lt;ESMA_QUESTION_DP_BMR_104&gt;</w:t>
      </w:r>
    </w:p>
    <w:p w:rsidR="009A2624" w:rsidRDefault="009A2624" w:rsidP="009A2624"/>
    <w:p w:rsidR="009A2624" w:rsidRPr="008925F6" w:rsidRDefault="009A2624" w:rsidP="002342EC">
      <w:pPr>
        <w:pStyle w:val="Questionstyle"/>
      </w:pPr>
      <w:r w:rsidRPr="00FD6B87">
        <w:t>Do you agree with the propos</w:t>
      </w:r>
      <w:r>
        <w:t>ed definition of “force majeure event</w:t>
      </w:r>
      <w:r w:rsidRPr="00FD6B87">
        <w:t>”? If not, please explain the reasons and propose an alternative.</w:t>
      </w:r>
    </w:p>
    <w:p w:rsidR="009A2624" w:rsidRDefault="009A2624" w:rsidP="009A2624">
      <w:r>
        <w:t>&lt;ESMA_QUESTION_DP_BMR_105&gt;</w:t>
      </w:r>
    </w:p>
    <w:p w:rsidR="009A2624" w:rsidRDefault="009A2624" w:rsidP="009A2624">
      <w:permStart w:id="1794666512" w:edGrp="everyone"/>
      <w:r>
        <w:t>TYPE YOUR TEXT HERE</w:t>
      </w:r>
    </w:p>
    <w:permEnd w:id="1794666512"/>
    <w:p w:rsidR="009A2624" w:rsidRDefault="009A2624" w:rsidP="009A2624">
      <w:r>
        <w:t>&lt;ESMA_QUESTION_DP_BMR_105&gt;</w:t>
      </w:r>
    </w:p>
    <w:p w:rsidR="009A2624" w:rsidRDefault="009A2624" w:rsidP="009A2624"/>
    <w:p w:rsidR="009A2624" w:rsidRPr="007F44BF" w:rsidRDefault="009A2624" w:rsidP="002342EC">
      <w:pPr>
        <w:pStyle w:val="Questionstyle"/>
      </w:pPr>
      <w:r w:rsidRPr="007F44BF">
        <w:t>Are the two envisaged options (with respect to the term until which a non-compliant benc</w:t>
      </w:r>
      <w:r w:rsidRPr="007F44BF">
        <w:t>h</w:t>
      </w:r>
      <w:r w:rsidRPr="007F44BF">
        <w:t xml:space="preserve">mark may be used) adequate: i.e. either (i) fix a time limit until when a non-compliant benchmark may be used or (ii) fix a minimum threshold which will trigger the prohibition to further use a non-compliant benchmark in existing financial instruments/financial contracts? </w:t>
      </w:r>
    </w:p>
    <w:p w:rsidR="009A2624" w:rsidRDefault="009A2624" w:rsidP="009A2624">
      <w:r>
        <w:t>&lt;ESMA_QUESTION_DP_BMR_106&gt;</w:t>
      </w:r>
    </w:p>
    <w:p w:rsidR="009A2624" w:rsidRDefault="009A2624" w:rsidP="009A2624">
      <w:permStart w:id="1354005771" w:edGrp="everyone"/>
      <w:r>
        <w:t>TYPE YOUR TEXT HERE</w:t>
      </w:r>
    </w:p>
    <w:permEnd w:id="1354005771"/>
    <w:p w:rsidR="009A2624" w:rsidRDefault="009A2624" w:rsidP="009A2624">
      <w:r>
        <w:t>&lt;ESMA_QUESTION_DP_BMR_106&gt;</w:t>
      </w:r>
    </w:p>
    <w:p w:rsidR="009A2624" w:rsidRDefault="009A2624" w:rsidP="009A2624"/>
    <w:p w:rsidR="009A2624" w:rsidRPr="007F44BF" w:rsidRDefault="009A2624" w:rsidP="002342EC">
      <w:pPr>
        <w:pStyle w:val="Questionstyle"/>
      </w:pPr>
      <w:r w:rsidRPr="007F44BF">
        <w:lastRenderedPageBreak/>
        <w:t>Which thresholds would be appropriate to foresee and how might a time limit be fixed? Please detail the reasons behind any suggestion.</w:t>
      </w:r>
    </w:p>
    <w:p w:rsidR="009A2624" w:rsidRDefault="009A2624" w:rsidP="009A2624">
      <w:r>
        <w:t>&lt;ESMA_QUESTION_DP_BMR_107&gt;</w:t>
      </w:r>
    </w:p>
    <w:p w:rsidR="009A2624" w:rsidRDefault="009A2624" w:rsidP="009A2624">
      <w:permStart w:id="2034585157" w:edGrp="everyone"/>
      <w:r>
        <w:t>TYPE YOUR TEXT HERE</w:t>
      </w:r>
    </w:p>
    <w:permEnd w:id="2034585157"/>
    <w:p w:rsidR="009A2624" w:rsidRDefault="009A2624" w:rsidP="009A2624">
      <w:r>
        <w:t>&lt;ESMA_QUESTION_DP_BMR_107&gt;</w:t>
      </w:r>
    </w:p>
    <w:p w:rsidR="009A2624" w:rsidRDefault="009A2624" w:rsidP="009A2624"/>
    <w:p w:rsidR="009A2624" w:rsidRPr="007F44BF" w:rsidRDefault="009A2624" w:rsidP="002342EC">
      <w:pPr>
        <w:pStyle w:val="Questionstyle"/>
      </w:pPr>
      <w:r w:rsidRPr="007F44BF">
        <w:t>Is the envisaged identification process of non-compliant benchmarks adequate? Do you have other suggestions?</w:t>
      </w:r>
    </w:p>
    <w:p w:rsidR="009A2624" w:rsidRDefault="009A2624" w:rsidP="009A2624">
      <w:r>
        <w:t>&lt;ESMA_QUESTION_DP_BMR_108&gt;</w:t>
      </w:r>
    </w:p>
    <w:p w:rsidR="009A2624" w:rsidRDefault="009A2624" w:rsidP="009A2624">
      <w:permStart w:id="255930794" w:edGrp="everyone"/>
      <w:r>
        <w:t>TYPE YOUR TEXT HERE</w:t>
      </w:r>
    </w:p>
    <w:permEnd w:id="255930794"/>
    <w:p w:rsidR="009A2624" w:rsidRDefault="009A2624" w:rsidP="009A2624">
      <w:r>
        <w:t>&lt;ESMA_QUESTION_DP_BMR_108&gt;</w:t>
      </w:r>
    </w:p>
    <w:p w:rsidR="009A2624" w:rsidRDefault="009A2624" w:rsidP="009A2624"/>
    <w:p w:rsidR="009A2624" w:rsidRPr="007F44BF" w:rsidRDefault="009A2624" w:rsidP="002342EC">
      <w:pPr>
        <w:pStyle w:val="Questionstyle"/>
      </w:pPr>
      <w:r w:rsidRPr="007F44BF">
        <w:t>Is the envisaged procedure enabling the competent authority to perform the assessment required by Article 39(3) correct in your view? Please advise what shall be considered in addition.</w:t>
      </w:r>
    </w:p>
    <w:p w:rsidR="009A2624" w:rsidRDefault="009A2624" w:rsidP="009A2624">
      <w:r>
        <w:t>&lt;ESMA_QUESTION_DP_BMR_109&gt;</w:t>
      </w:r>
    </w:p>
    <w:p w:rsidR="009A2624" w:rsidRDefault="009A2624" w:rsidP="009A2624">
      <w:permStart w:id="1747676953" w:edGrp="everyone"/>
      <w:r>
        <w:t>TYPE YOUR TEXT HERE</w:t>
      </w:r>
    </w:p>
    <w:permEnd w:id="1747676953"/>
    <w:p w:rsidR="009A2624" w:rsidRDefault="009A2624" w:rsidP="009A2624">
      <w:r>
        <w:t>&lt;ESMA_QUESTION_DP_BMR_109&gt;</w:t>
      </w:r>
    </w:p>
    <w:p w:rsidR="009A2624" w:rsidRDefault="009A2624" w:rsidP="009A2624"/>
    <w:p w:rsidR="009A2624" w:rsidRPr="007F44BF" w:rsidRDefault="009A2624" w:rsidP="002342EC">
      <w:pPr>
        <w:pStyle w:val="Questionstyle"/>
      </w:pPr>
      <w:r w:rsidRPr="007F44BF">
        <w:t>Which information it would be opportune to receive by benchmark providers on the one side and benchmark users that are supervised entities on the other side?</w:t>
      </w:r>
    </w:p>
    <w:p w:rsidR="009A2624" w:rsidRDefault="009A2624" w:rsidP="009A2624">
      <w:r>
        <w:t>&lt;ESMA_QUESTION_DP_BMR_110&gt;</w:t>
      </w:r>
    </w:p>
    <w:p w:rsidR="009A2624" w:rsidRDefault="009A2624" w:rsidP="009A2624">
      <w:permStart w:id="1234596976" w:edGrp="everyone"/>
      <w:r>
        <w:t>TYPE YOUR TEXT HERE</w:t>
      </w:r>
    </w:p>
    <w:permEnd w:id="1234596976"/>
    <w:p w:rsidR="009A2624" w:rsidRDefault="009A2624" w:rsidP="009A2624">
      <w:r>
        <w:t>&lt;ESMA_QUESTION_DP_BMR_110&gt;</w:t>
      </w:r>
    </w:p>
    <w:p w:rsidR="009A2624" w:rsidRDefault="009A2624" w:rsidP="009A2624"/>
    <w:p w:rsidR="009A2624" w:rsidRPr="007F44BF" w:rsidRDefault="009A2624" w:rsidP="002342EC">
      <w:pPr>
        <w:pStyle w:val="Questionstyle"/>
      </w:pPr>
      <w:r w:rsidRPr="007F44BF">
        <w:t xml:space="preserve">Do you agree that the different users of a benchmark that are supervised entities should liaise directly with the competent authority of the administrator and not with the respective competent authorities (if different)? </w:t>
      </w:r>
    </w:p>
    <w:p w:rsidR="009A2624" w:rsidRDefault="009A2624" w:rsidP="009A2624">
      <w:r>
        <w:t>&lt;ESMA_QUESTION_DP_BMR_111&gt;</w:t>
      </w:r>
    </w:p>
    <w:p w:rsidR="000A5E84" w:rsidRDefault="000A5E84" w:rsidP="000A5E84">
      <w:pPr>
        <w:autoSpaceDE w:val="0"/>
        <w:autoSpaceDN w:val="0"/>
        <w:jc w:val="both"/>
      </w:pPr>
      <w:permStart w:id="529808228" w:edGrp="everyone"/>
      <w:r>
        <w:t xml:space="preserve">In our view, supervised entities that are users of a benchmark should not be the ones bearing </w:t>
      </w:r>
      <w:r w:rsidR="00557DF6">
        <w:t>t</w:t>
      </w:r>
      <w:r>
        <w:t>he burden of liaising directly with the competent authority of the administrator,</w:t>
      </w:r>
      <w:r>
        <w:rPr>
          <w:color w:val="000000"/>
        </w:rPr>
        <w:t xml:space="preserve"> it is evident that reporting to additional NCAs would involve additional costs, apart from the difficulties it may pose. </w:t>
      </w:r>
      <w:r>
        <w:t>Instead, the NCAs should be the ones facilitating a centra</w:t>
      </w:r>
      <w:r w:rsidR="00557DF6">
        <w:t>lized channel to inform either</w:t>
      </w:r>
      <w:r>
        <w:t xml:space="preserve"> other NCAs or, when appropriate, ESMA.</w:t>
      </w:r>
    </w:p>
    <w:p w:rsidR="000A5E84" w:rsidRPr="00A26793" w:rsidRDefault="000A5E84" w:rsidP="000A5E84">
      <w:pPr>
        <w:jc w:val="both"/>
      </w:pPr>
    </w:p>
    <w:p w:rsidR="000A5E84" w:rsidRPr="00A26793" w:rsidRDefault="000A5E84" w:rsidP="000A5E84">
      <w:pPr>
        <w:jc w:val="both"/>
      </w:pPr>
      <w:r w:rsidRPr="00A26793">
        <w:t>At least we suggest excluding pension funds (if fully treated as supervised entity) from the r</w:t>
      </w:r>
      <w:r w:rsidRPr="00A26793">
        <w:t>e</w:t>
      </w:r>
      <w:r w:rsidRPr="00A26793">
        <w:t>quirement to liaise directly with the NCA because pension funds are simply users of indices witho</w:t>
      </w:r>
      <w:bookmarkStart w:id="3" w:name="_GoBack"/>
      <w:bookmarkEnd w:id="3"/>
      <w:r w:rsidRPr="00A26793">
        <w:t>ut further involvement (as mentioned above in Q4). Thus we think complying with Article 19.1 (use of registered benchmarks) and 17.2 (written “emergency” plans) is sufficient.</w:t>
      </w:r>
    </w:p>
    <w:permEnd w:id="529808228"/>
    <w:p w:rsidR="009A2624" w:rsidRDefault="009A2624" w:rsidP="009A2624">
      <w:r>
        <w:t>&lt;ESMA_QUESTION_DP_BMR_111&gt;</w:t>
      </w:r>
    </w:p>
    <w:p w:rsidR="009A2624" w:rsidRDefault="009A2624" w:rsidP="009A2624"/>
    <w:p w:rsidR="009A2624" w:rsidRPr="007F44BF" w:rsidRDefault="009A2624" w:rsidP="002342EC">
      <w:pPr>
        <w:pStyle w:val="Questionstyle"/>
      </w:pPr>
      <w:r w:rsidRPr="007F44BF">
        <w:t>Would it be possible for relevant benchmark providers/users that are supervised entities to provide to the competent authority an estimate of the number and value of financial instr</w:t>
      </w:r>
      <w:r w:rsidRPr="007F44BF">
        <w:t>u</w:t>
      </w:r>
      <w:r w:rsidRPr="007F44BF">
        <w:t>ments/contracts referencing to a non-compliant benchmark being affected by the cess</w:t>
      </w:r>
      <w:r w:rsidRPr="007F44BF">
        <w:t>a</w:t>
      </w:r>
      <w:r w:rsidRPr="007F44BF">
        <w:t>tion/adaptation of such benchmark?</w:t>
      </w:r>
    </w:p>
    <w:p w:rsidR="009A2624" w:rsidRDefault="009A2624" w:rsidP="009A2624">
      <w:r>
        <w:t>&lt;ESMA_QUESTION_DP_BMR_112&gt;</w:t>
      </w:r>
    </w:p>
    <w:p w:rsidR="009A2624" w:rsidRDefault="009A2624" w:rsidP="009A2624">
      <w:permStart w:id="871045285" w:edGrp="everyone"/>
      <w:r>
        <w:t>TYPE YOUR TEXT HERE</w:t>
      </w:r>
    </w:p>
    <w:permEnd w:id="871045285"/>
    <w:p w:rsidR="009A2624" w:rsidRDefault="009A2624" w:rsidP="009A2624">
      <w:r>
        <w:t>&lt;ESMA_QUESTION_DP_BMR_112&gt;</w:t>
      </w:r>
    </w:p>
    <w:p w:rsidR="009A2624" w:rsidRDefault="009A2624" w:rsidP="009A2624"/>
    <w:p w:rsidR="009A2624" w:rsidRDefault="009A2624" w:rsidP="002342EC">
      <w:pPr>
        <w:pStyle w:val="Questionstyle"/>
      </w:pPr>
      <w:r w:rsidRPr="007F44BF">
        <w:t>Would it be possible to evaluate how many out of these financial contracts or financial instr</w:t>
      </w:r>
      <w:r w:rsidRPr="007F44BF">
        <w:t>u</w:t>
      </w:r>
      <w:r w:rsidRPr="007F44BF">
        <w:t>ments are affected in a manner that the cessation/adaptation of the non-compliant benchmark would result in a force majeure event or frustration of contracts?</w:t>
      </w:r>
    </w:p>
    <w:p w:rsidR="009A2624" w:rsidRDefault="009A2624" w:rsidP="009A2624">
      <w:r>
        <w:t>&lt;ESMA_QUESTION_DP_BMR_113&gt;</w:t>
      </w:r>
    </w:p>
    <w:p w:rsidR="009A2624" w:rsidRDefault="009A2624" w:rsidP="009A2624">
      <w:permStart w:id="267978542" w:edGrp="everyone"/>
      <w:r>
        <w:t>TYPE YOUR TEXT HERE</w:t>
      </w:r>
    </w:p>
    <w:permEnd w:id="267978542"/>
    <w:p w:rsidR="009A2624" w:rsidRDefault="009A2624" w:rsidP="009A2624">
      <w:r>
        <w:t>&lt;ESMA_QUESTION_DP_BMR_113&gt;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2C" w:rsidRDefault="00BE1E2C">
      <w:r>
        <w:separator/>
      </w:r>
    </w:p>
    <w:p w:rsidR="00BE1E2C" w:rsidRDefault="00BE1E2C"/>
  </w:endnote>
  <w:endnote w:type="continuationSeparator" w:id="0">
    <w:p w:rsidR="00BE1E2C" w:rsidRDefault="00BE1E2C">
      <w:r>
        <w:continuationSeparator/>
      </w:r>
    </w:p>
    <w:p w:rsidR="00BE1E2C" w:rsidRDefault="00BE1E2C"/>
  </w:endnote>
  <w:endnote w:type="continuationNotice" w:id="1">
    <w:p w:rsidR="00BE1E2C" w:rsidRDefault="00BE1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57DF6">
            <w:rPr>
              <w:rFonts w:cs="Arial"/>
              <w:noProof/>
              <w:sz w:val="22"/>
              <w:szCs w:val="22"/>
            </w:rPr>
            <w:t>22</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2C" w:rsidRDefault="00BE1E2C">
      <w:r>
        <w:separator/>
      </w:r>
    </w:p>
    <w:p w:rsidR="00BE1E2C" w:rsidRDefault="00BE1E2C"/>
  </w:footnote>
  <w:footnote w:type="continuationSeparator" w:id="0">
    <w:p w:rsidR="00BE1E2C" w:rsidRDefault="00BE1E2C">
      <w:r>
        <w:continuationSeparator/>
      </w:r>
    </w:p>
    <w:p w:rsidR="00BE1E2C" w:rsidRDefault="00BE1E2C"/>
  </w:footnote>
  <w:footnote w:type="continuationNotice" w:id="1">
    <w:p w:rsidR="00BE1E2C" w:rsidRDefault="00BE1E2C"/>
  </w:footnote>
  <w:footnote w:id="2">
    <w:p w:rsidR="00557DF6" w:rsidRPr="003E6CE8" w:rsidRDefault="00557DF6" w:rsidP="00557DF6">
      <w:pPr>
        <w:autoSpaceDE w:val="0"/>
        <w:autoSpaceDN w:val="0"/>
        <w:adjustRightInd w:val="0"/>
        <w:ind w:left="142" w:hanging="142"/>
        <w:rPr>
          <w:rFonts w:ascii="Helvetica" w:hAnsi="Helvetica" w:cs="Helvetica"/>
          <w:sz w:val="18"/>
          <w:szCs w:val="18"/>
          <w:lang w:val="en-US" w:eastAsia="nl-NL"/>
        </w:rPr>
      </w:pPr>
      <w:r>
        <w:rPr>
          <w:rStyle w:val="FootnoteReference"/>
        </w:rPr>
        <w:footnoteRef/>
      </w:r>
      <w:r w:rsidRPr="003E6CE8">
        <w:rPr>
          <w:lang w:val="en-US"/>
        </w:rPr>
        <w:t xml:space="preserve"> </w:t>
      </w:r>
      <w:r w:rsidRPr="003E6CE8">
        <w:rPr>
          <w:rFonts w:ascii="Helvetica" w:hAnsi="Helvetica" w:cs="Helvetica"/>
          <w:sz w:val="18"/>
          <w:szCs w:val="18"/>
          <w:lang w:val="en-US" w:eastAsia="nl-NL"/>
        </w:rPr>
        <w:t>EU Member States: Austria, Belgium, Croatia, Finland, France, Germany, Hungary, Ireland, Italy, Luxembourg,</w:t>
      </w:r>
    </w:p>
    <w:p w:rsidR="00557DF6" w:rsidRPr="00F27277" w:rsidRDefault="00557DF6" w:rsidP="00557DF6">
      <w:pPr>
        <w:autoSpaceDE w:val="0"/>
        <w:autoSpaceDN w:val="0"/>
        <w:adjustRightInd w:val="0"/>
        <w:ind w:left="142" w:hanging="142"/>
        <w:rPr>
          <w:rFonts w:ascii="Helvetica" w:hAnsi="Helvetica" w:cs="Helvetica"/>
          <w:sz w:val="18"/>
          <w:szCs w:val="18"/>
          <w:lang w:val="fr-BE" w:eastAsia="nl-NL"/>
        </w:rPr>
      </w:pPr>
      <w:r w:rsidRPr="003E6CE8">
        <w:rPr>
          <w:rFonts w:ascii="Helvetica" w:hAnsi="Helvetica" w:cs="Helvetica"/>
          <w:sz w:val="18"/>
          <w:szCs w:val="18"/>
          <w:lang w:val="en-US" w:eastAsia="nl-NL"/>
        </w:rPr>
        <w:t xml:space="preserve">Netherlands, Portugal, Romania, Spain, Sweden, UK. </w:t>
      </w:r>
      <w:r w:rsidRPr="00911D69">
        <w:rPr>
          <w:rFonts w:ascii="Helvetica" w:hAnsi="Helvetica" w:cs="Helvetica"/>
          <w:sz w:val="18"/>
          <w:szCs w:val="18"/>
          <w:lang w:val="fr-BE" w:eastAsia="nl-NL"/>
        </w:rPr>
        <w:t xml:space="preserve">Non-EU </w:t>
      </w:r>
      <w:proofErr w:type="spellStart"/>
      <w:r w:rsidRPr="00911D69">
        <w:rPr>
          <w:rFonts w:ascii="Helvetica" w:hAnsi="Helvetica" w:cs="Helvetica"/>
          <w:sz w:val="18"/>
          <w:szCs w:val="18"/>
          <w:lang w:val="fr-BE" w:eastAsia="nl-NL"/>
        </w:rPr>
        <w:t>Member</w:t>
      </w:r>
      <w:proofErr w:type="spellEnd"/>
      <w:r w:rsidRPr="00911D69">
        <w:rPr>
          <w:rFonts w:ascii="Helvetica" w:hAnsi="Helvetica" w:cs="Helvetica"/>
          <w:sz w:val="18"/>
          <w:szCs w:val="18"/>
          <w:lang w:val="fr-BE" w:eastAsia="nl-NL"/>
        </w:rPr>
        <w:t xml:space="preserve"> States: </w:t>
      </w:r>
      <w:proofErr w:type="spellStart"/>
      <w:r w:rsidRPr="00911D69">
        <w:rPr>
          <w:rFonts w:ascii="Helvetica" w:hAnsi="Helvetica" w:cs="Helvetica"/>
          <w:sz w:val="18"/>
          <w:szCs w:val="18"/>
          <w:lang w:val="fr-BE" w:eastAsia="nl-NL"/>
        </w:rPr>
        <w:t>Iceland</w:t>
      </w:r>
      <w:proofErr w:type="spellEnd"/>
      <w:r w:rsidRPr="00911D69">
        <w:rPr>
          <w:rFonts w:ascii="Helvetica" w:hAnsi="Helvetica" w:cs="Helvetica"/>
          <w:sz w:val="18"/>
          <w:szCs w:val="18"/>
          <w:lang w:val="fr-BE" w:eastAsia="nl-NL"/>
        </w:rPr>
        <w:t>,</w:t>
      </w:r>
      <w:r>
        <w:rPr>
          <w:rFonts w:ascii="Helvetica" w:hAnsi="Helvetica" w:cs="Helvetica"/>
          <w:sz w:val="18"/>
          <w:szCs w:val="18"/>
          <w:lang w:val="fr-BE" w:eastAsia="nl-NL"/>
        </w:rPr>
        <w:t xml:space="preserve"> </w:t>
      </w:r>
      <w:proofErr w:type="spellStart"/>
      <w:r w:rsidRPr="00F27277">
        <w:rPr>
          <w:rFonts w:ascii="Helvetica" w:hAnsi="Helvetica" w:cs="Helvetica"/>
          <w:sz w:val="18"/>
          <w:szCs w:val="18"/>
          <w:lang w:val="fr-BE" w:eastAsia="nl-NL"/>
        </w:rPr>
        <w:t>Norway</w:t>
      </w:r>
      <w:proofErr w:type="spellEnd"/>
      <w:r w:rsidRPr="00F27277">
        <w:rPr>
          <w:rFonts w:ascii="Helvetica" w:hAnsi="Helvetica" w:cs="Helvetica"/>
          <w:sz w:val="18"/>
          <w:szCs w:val="18"/>
          <w:lang w:val="fr-BE" w:eastAsia="nl-NL"/>
        </w:rPr>
        <w:t xml:space="preserve">, </w:t>
      </w:r>
      <w:proofErr w:type="spellStart"/>
      <w:r w:rsidRPr="00F27277">
        <w:rPr>
          <w:rFonts w:ascii="Helvetica" w:hAnsi="Helvetica" w:cs="Helvetica"/>
          <w:sz w:val="18"/>
          <w:szCs w:val="18"/>
          <w:lang w:val="fr-BE" w:eastAsia="nl-NL"/>
        </w:rPr>
        <w:t>Switzerland</w:t>
      </w:r>
      <w:proofErr w:type="spellEnd"/>
      <w:r w:rsidRPr="00F27277">
        <w:rPr>
          <w:rFonts w:ascii="Helvetica" w:hAnsi="Helvetica" w:cs="Helvetica"/>
          <w:sz w:val="18"/>
          <w:szCs w:val="18"/>
          <w:lang w:val="fr-BE" w:eastAsia="nl-NL"/>
        </w:rPr>
        <w:t>.</w:t>
      </w:r>
    </w:p>
    <w:p w:rsidR="00557DF6" w:rsidRPr="00F27277" w:rsidRDefault="00557DF6" w:rsidP="00557DF6">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d4hXHTwV+8tzQ+64uFVbj4nB/CE=" w:salt="uAGLBiGOJ16iFctlZPqyx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E84"/>
    <w:rsid w:val="000A7314"/>
    <w:rsid w:val="000A7B53"/>
    <w:rsid w:val="000A7B64"/>
    <w:rsid w:val="000B275C"/>
    <w:rsid w:val="000B2C3D"/>
    <w:rsid w:val="000B371F"/>
    <w:rsid w:val="000B55C0"/>
    <w:rsid w:val="000B5DF2"/>
    <w:rsid w:val="000C06C9"/>
    <w:rsid w:val="000C1DCC"/>
    <w:rsid w:val="000C1FBC"/>
    <w:rsid w:val="000C28EF"/>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D8A"/>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DF6"/>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7F7A"/>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D7D"/>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D07"/>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986"/>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1E2C"/>
    <w:rsid w:val="00BE425B"/>
    <w:rsid w:val="00BE51BB"/>
    <w:rsid w:val="00BE5F12"/>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1AC6"/>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7E8"/>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pensionseurope.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matti.leppala@pensionseurope.eu"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DF367-83A1-478D-8C7C-B338803CBEC3}">
  <ds:schemaRefs>
    <ds:schemaRef ds:uri="http://schemas.openxmlformats.org/officeDocument/2006/bibliography"/>
  </ds:schemaRefs>
</ds:datastoreItem>
</file>

<file path=customXml/itemProps2.xml><?xml version="1.0" encoding="utf-8"?>
<ds:datastoreItem xmlns:ds="http://schemas.openxmlformats.org/officeDocument/2006/customXml" ds:itemID="{D80CD692-8F58-4F00-871A-D0C2F856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5915</Words>
  <Characters>35761</Characters>
  <Application>Microsoft Office Word</Application>
  <DocSecurity>8</DocSecurity>
  <Lines>298</Lines>
  <Paragraphs>83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41593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Ursula Bordas</cp:lastModifiedBy>
  <cp:revision>3</cp:revision>
  <cp:lastPrinted>2016-03-31T15:15:00Z</cp:lastPrinted>
  <dcterms:created xsi:type="dcterms:W3CDTF">2016-03-31T15:02:00Z</dcterms:created>
  <dcterms:modified xsi:type="dcterms:W3CDTF">2016-03-31T15:55:00Z</dcterms:modified>
</cp:coreProperties>
</file>