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bookmarkStart w:id="0" w:name="_GoBack"/>
            <w:bookmarkEnd w:id="0"/>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F15F13" w:rsidRDefault="00F15F13" w:rsidP="00F15F13">
      <w:permStart w:id="1497459954" w:edGrp="everyone"/>
      <w:r>
        <w:t>FTSE Russell is the brand name adopted for the index businesses</w:t>
      </w:r>
      <w:r w:rsidR="00737A52">
        <w:t xml:space="preserve"> (see Annex A)</w:t>
      </w:r>
      <w:r>
        <w:t xml:space="preserve"> that are owned and operated by Lon</w:t>
      </w:r>
      <w:r w:rsidR="00EC0C76">
        <w:t xml:space="preserve">don Stock Exchange Group </w:t>
      </w:r>
      <w:r>
        <w:t>and its</w:t>
      </w:r>
      <w:r w:rsidR="00EC0C76">
        <w:t xml:space="preserve"> applicable group undertakings.</w:t>
      </w:r>
      <w:r w:rsidR="00737A52">
        <w:t xml:space="preserve"> </w:t>
      </w:r>
      <w:r w:rsidR="00EC0C76" w:rsidRPr="00EC0C76">
        <w:t>London Stock E</w:t>
      </w:r>
      <w:r w:rsidR="00EC0C76" w:rsidRPr="00EC0C76">
        <w:t>x</w:t>
      </w:r>
      <w:r w:rsidR="00EC0C76" w:rsidRPr="00EC0C76">
        <w:t>change Group</w:t>
      </w:r>
      <w:r w:rsidR="00EC0C76">
        <w:t xml:space="preserve"> (LSEG)</w:t>
      </w:r>
      <w:r w:rsidR="00EC0C76" w:rsidRPr="00EC0C76">
        <w:t xml:space="preserve"> is a diversified international market infrastructure and capital markets business sitting at the heart of the world's financial community. </w:t>
      </w:r>
      <w:r w:rsidR="00737A52">
        <w:t>LSEG</w:t>
      </w:r>
      <w:r w:rsidR="00EC0C76" w:rsidRPr="00EC0C76">
        <w:t xml:space="preserve"> operates a broad range of international equ</w:t>
      </w:r>
      <w:r w:rsidR="00EC0C76" w:rsidRPr="00EC0C76">
        <w:t>i</w:t>
      </w:r>
      <w:r w:rsidR="00EC0C76" w:rsidRPr="00EC0C76">
        <w:t>ty, bond and derivatives markets, offers post trade and risk management services, is a global leader in indexing and analytic solutions and a developer of high performance trading platforms and capital markets software.</w:t>
      </w:r>
      <w:r>
        <w:t xml:space="preserve"> </w:t>
      </w:r>
    </w:p>
    <w:p w:rsidR="00F15F13" w:rsidRDefault="00F15F13" w:rsidP="00F15F13"/>
    <w:p w:rsidR="00F15F13" w:rsidRDefault="00F15F13" w:rsidP="00F15F13">
      <w:r>
        <w:t xml:space="preserve">FTSE Russell and LSEG support ESMA’s work on the Level 2 of </w:t>
      </w:r>
      <w:r w:rsidR="005B61DF">
        <w:t xml:space="preserve">the </w:t>
      </w:r>
      <w:r>
        <w:t>Benchmarks Regulation (</w:t>
      </w:r>
      <w:r w:rsidR="005B61DF">
        <w:t>BMR</w:t>
      </w:r>
      <w:r>
        <w:t xml:space="preserve">) and we appreciate that ESMA is following a tight schedule to produce the technical advice and technical standards </w:t>
      </w:r>
      <w:r w:rsidR="005B61DF">
        <w:t>envisaged in</w:t>
      </w:r>
      <w:r>
        <w:t xml:space="preserve"> the Level 1 draft text. </w:t>
      </w:r>
      <w:r w:rsidR="005B61DF" w:rsidRPr="005B61DF">
        <w:t>In this response to the Discussion Paper published by ESMA on 15 February 2016, we offer our views, informed by our experience as a global index provider, on how we believe the various provisions of the Level 2 draft text could be calibrated.</w:t>
      </w:r>
    </w:p>
    <w:p w:rsidR="00F15F13" w:rsidRDefault="00F15F13" w:rsidP="00F15F13"/>
    <w:p w:rsidR="00F15F13" w:rsidRDefault="00F15F13" w:rsidP="00F15F13">
      <w:r>
        <w:t xml:space="preserve">Aside from responding to the questions raised in the Discussion Paper, </w:t>
      </w:r>
      <w:r w:rsidR="00291260" w:rsidRPr="00291260">
        <w:t>we would like to bring the follo</w:t>
      </w:r>
      <w:r w:rsidR="00291260" w:rsidRPr="00291260">
        <w:t>w</w:t>
      </w:r>
      <w:r w:rsidR="00291260" w:rsidRPr="00291260">
        <w:t>ing elements to ESMA’s attention</w:t>
      </w:r>
      <w:r w:rsidR="00DC0ADA">
        <w:t>:</w:t>
      </w:r>
    </w:p>
    <w:p w:rsidR="00F15F13" w:rsidRDefault="00F15F13" w:rsidP="00F15F13"/>
    <w:p w:rsidR="001E7BDA" w:rsidRDefault="009D48FE" w:rsidP="00F15F13">
      <w:pPr>
        <w:pStyle w:val="ListParagraph"/>
        <w:numPr>
          <w:ilvl w:val="0"/>
          <w:numId w:val="40"/>
        </w:numPr>
      </w:pPr>
      <w:r>
        <w:t>Thresholds and methods of assessment</w:t>
      </w:r>
      <w:r w:rsidR="00081B99">
        <w:t xml:space="preserve"> </w:t>
      </w:r>
    </w:p>
    <w:p w:rsidR="00BB3D56" w:rsidRPr="00E4490E" w:rsidRDefault="00BB3D56" w:rsidP="00BB3D56">
      <w:pPr>
        <w:pStyle w:val="ListParagraph"/>
      </w:pPr>
      <w:r w:rsidRPr="00E4490E">
        <w:t xml:space="preserve">We encourage ESMA to clarify: </w:t>
      </w:r>
    </w:p>
    <w:p w:rsidR="00E4490E" w:rsidRPr="00E4490E" w:rsidRDefault="00291260" w:rsidP="00E4490E">
      <w:pPr>
        <w:ind w:left="709" w:firstLine="11"/>
        <w:rPr>
          <w:strike/>
        </w:rPr>
      </w:pPr>
      <w:r>
        <w:t>(a) t</w:t>
      </w:r>
      <w:r w:rsidR="00E4490E" w:rsidRPr="00E4490E">
        <w:t>he</w:t>
      </w:r>
      <w:r w:rsidR="00BB3D56" w:rsidRPr="00E4490E">
        <w:t xml:space="preserve"> mechanism for calculating </w:t>
      </w:r>
      <w:r w:rsidR="00E4490E">
        <w:t xml:space="preserve">the </w:t>
      </w:r>
      <w:r w:rsidR="008532BC">
        <w:t>quantitative</w:t>
      </w:r>
      <w:r w:rsidR="00E4490E" w:rsidRPr="00E4490E">
        <w:t xml:space="preserve"> threshold for characterising benchmarks</w:t>
      </w:r>
      <w:r w:rsidR="00E4490E">
        <w:t>; and</w:t>
      </w:r>
    </w:p>
    <w:p w:rsidR="00BB3D56" w:rsidRPr="00E4490E" w:rsidRDefault="00E4490E" w:rsidP="00E4490E">
      <w:pPr>
        <w:ind w:left="709" w:firstLine="11"/>
        <w:rPr>
          <w:strike/>
        </w:rPr>
      </w:pPr>
      <w:r w:rsidRPr="00E4490E">
        <w:t xml:space="preserve">(b) </w:t>
      </w:r>
      <w:r w:rsidR="00291260">
        <w:t>t</w:t>
      </w:r>
      <w:r w:rsidR="00BB3D56" w:rsidRPr="00E4490E">
        <w:t xml:space="preserve">he division of responsibilities between the administrator, </w:t>
      </w:r>
      <w:r w:rsidR="00291260">
        <w:t>National Competent Authority (</w:t>
      </w:r>
      <w:r w:rsidR="00BB3D56" w:rsidRPr="00E4490E">
        <w:t>NCA</w:t>
      </w:r>
      <w:r w:rsidR="00291260">
        <w:t>)</w:t>
      </w:r>
      <w:r w:rsidR="00BB3D56" w:rsidRPr="00E4490E">
        <w:t xml:space="preserve"> and ESMA in the process of assessment.</w:t>
      </w:r>
    </w:p>
    <w:p w:rsidR="00BB3D56" w:rsidRPr="00E4490E" w:rsidRDefault="00BB3D56" w:rsidP="00BB3D56">
      <w:pPr>
        <w:ind w:left="709"/>
      </w:pPr>
      <w:r w:rsidRPr="00E4490E">
        <w:t>We believe it will be equally difficult for the admin</w:t>
      </w:r>
      <w:r w:rsidR="005B61DF">
        <w:t>istrator and the NCAs</w:t>
      </w:r>
      <w:r w:rsidR="00CD48B9">
        <w:t xml:space="preserve"> to</w:t>
      </w:r>
      <w:r w:rsidR="005B61DF">
        <w:t xml:space="preserve"> </w:t>
      </w:r>
      <w:r w:rsidR="00FA0472">
        <w:t>address this</w:t>
      </w:r>
      <w:r w:rsidR="005B61DF">
        <w:t xml:space="preserve">, as </w:t>
      </w:r>
      <w:r w:rsidRPr="00E4490E">
        <w:t>there is no obligation to inform the administrator about the benchmark/index being used in the manner set out in the Regulation</w:t>
      </w:r>
      <w:r w:rsidR="00E4490E" w:rsidRPr="00E4490E">
        <w:t>,</w:t>
      </w:r>
      <w:r w:rsidRPr="00E4490E">
        <w:t xml:space="preserve"> there is a general lack of data available for undertaking such assessments. </w:t>
      </w:r>
    </w:p>
    <w:p w:rsidR="007B0F8D" w:rsidRDefault="007B0F8D" w:rsidP="007B0F8D">
      <w:pPr>
        <w:pStyle w:val="ListParagraph"/>
      </w:pPr>
    </w:p>
    <w:p w:rsidR="001E7BDA" w:rsidRDefault="009D48FE" w:rsidP="001E7BDA">
      <w:pPr>
        <w:pStyle w:val="ListParagraph"/>
        <w:numPr>
          <w:ilvl w:val="0"/>
          <w:numId w:val="40"/>
        </w:numPr>
      </w:pPr>
      <w:r>
        <w:t>Opt-in to the "significant benchmarks" administrator regime</w:t>
      </w:r>
    </w:p>
    <w:p w:rsidR="00BB3D56" w:rsidRPr="00BB3D56" w:rsidRDefault="00BB3D56" w:rsidP="008A6986">
      <w:pPr>
        <w:pStyle w:val="ListParagraph"/>
      </w:pPr>
      <w:r w:rsidRPr="00BB3D56">
        <w:t xml:space="preserve">We encourage ESMA to </w:t>
      </w:r>
      <w:r w:rsidR="00291260">
        <w:t>allow</w:t>
      </w:r>
      <w:r w:rsidRPr="00BB3D56">
        <w:t xml:space="preserve"> administrators to opt-in to a “significant benchmark administrator” regime. We understand that classifying benchmarks as non-significant, significant, or critical was originally intended to </w:t>
      </w:r>
      <w:r>
        <w:t>comply with</w:t>
      </w:r>
      <w:r w:rsidRPr="00BB3D56">
        <w:t xml:space="preserve"> the principle of proportionality and ensure that smaller admini</w:t>
      </w:r>
      <w:r w:rsidRPr="00BB3D56">
        <w:t>s</w:t>
      </w:r>
      <w:r w:rsidR="00291260">
        <w:t xml:space="preserve">trators are not disadvantaged. </w:t>
      </w:r>
      <w:r w:rsidR="00FF65C8">
        <w:t>W</w:t>
      </w:r>
      <w:r w:rsidRPr="00BB3D56">
        <w:t>e fully support this principle, but as it is currently drafted, we b</w:t>
      </w:r>
      <w:r w:rsidRPr="00BB3D56">
        <w:t>e</w:t>
      </w:r>
      <w:r w:rsidRPr="00BB3D56">
        <w:t xml:space="preserve">lieve that administrators of many non-significant benchmarks will choose not to apply the various exemptions as </w:t>
      </w:r>
      <w:r w:rsidR="00737A52">
        <w:t xml:space="preserve">the requirements </w:t>
      </w:r>
      <w:r w:rsidRPr="00BB3D56">
        <w:t>to do so would be more burdensome that complying with all the provisions.  For example, the exercise of characterising the benchma</w:t>
      </w:r>
      <w:r w:rsidR="00FF65C8">
        <w:t>rks will be challenging for an a</w:t>
      </w:r>
      <w:r w:rsidRPr="00BB3D56">
        <w:t>dmi</w:t>
      </w:r>
      <w:r>
        <w:t xml:space="preserve">nistrator as referred to </w:t>
      </w:r>
      <w:r w:rsidR="00FF65C8">
        <w:t>in our first point above</w:t>
      </w:r>
      <w:r>
        <w:t>.</w:t>
      </w:r>
      <w:r w:rsidR="00FF65C8">
        <w:t xml:space="preserve"> Further, as an a</w:t>
      </w:r>
      <w:r w:rsidRPr="00BB3D56">
        <w:t>dministrator</w:t>
      </w:r>
      <w:r w:rsidR="00FF65C8" w:rsidRPr="00FF65C8">
        <w:t xml:space="preserve"> </w:t>
      </w:r>
      <w:r w:rsidRPr="00BB3D56">
        <w:t>would need to i</w:t>
      </w:r>
      <w:r w:rsidRPr="00BB3D56">
        <w:t>s</w:t>
      </w:r>
      <w:r w:rsidRPr="00BB3D56">
        <w:t>sue statements of non-</w:t>
      </w:r>
      <w:r w:rsidR="008A6986">
        <w:t>compliance for every benchmark or</w:t>
      </w:r>
      <w:r w:rsidRPr="00BB3D56">
        <w:t xml:space="preserve"> benchmark family to which they have applied an exemption, this</w:t>
      </w:r>
      <w:r>
        <w:t xml:space="preserve"> </w:t>
      </w:r>
      <w:r w:rsidRPr="00BB3D56">
        <w:t>may prove more onerous than running the benchmark</w:t>
      </w:r>
      <w:r w:rsidR="008A6986">
        <w:t xml:space="preserve">s to a higher standard, which – </w:t>
      </w:r>
      <w:r w:rsidRPr="00BB3D56">
        <w:t xml:space="preserve">consistent with the IOSCO principles </w:t>
      </w:r>
      <w:r>
        <w:t>–</w:t>
      </w:r>
      <w:r w:rsidRPr="00BB3D56">
        <w:t xml:space="preserve"> many</w:t>
      </w:r>
      <w:r>
        <w:t xml:space="preserve"> </w:t>
      </w:r>
      <w:r w:rsidRPr="00BB3D56">
        <w:t xml:space="preserve">administrators already do. </w:t>
      </w:r>
    </w:p>
    <w:p w:rsidR="001E7BDA" w:rsidRDefault="001E7BDA" w:rsidP="001E7BDA">
      <w:pPr>
        <w:pStyle w:val="ListParagraph"/>
      </w:pPr>
    </w:p>
    <w:p w:rsidR="009D48FE" w:rsidRDefault="009D48FE" w:rsidP="009D48FE">
      <w:pPr>
        <w:pStyle w:val="ListParagraph"/>
        <w:numPr>
          <w:ilvl w:val="0"/>
          <w:numId w:val="40"/>
        </w:numPr>
      </w:pPr>
      <w:r>
        <w:t>Level-playing field</w:t>
      </w:r>
      <w:r w:rsidR="00BF2289">
        <w:t xml:space="preserve"> </w:t>
      </w:r>
      <w:r w:rsidR="00D64598">
        <w:t>for the Third Country a</w:t>
      </w:r>
      <w:r w:rsidR="00FD24CB">
        <w:t>dministrators</w:t>
      </w:r>
    </w:p>
    <w:p w:rsidR="00FD24CB" w:rsidRDefault="007E4D57" w:rsidP="00FD24CB">
      <w:pPr>
        <w:ind w:left="720"/>
      </w:pPr>
      <w:r>
        <w:t xml:space="preserve">We believe that </w:t>
      </w:r>
      <w:r w:rsidR="00FF65C8">
        <w:t>t</w:t>
      </w:r>
      <w:r w:rsidR="00FD24CB">
        <w:t xml:space="preserve">hird country administrators should </w:t>
      </w:r>
      <w:r w:rsidR="00341BC7">
        <w:t>have a comparable level of</w:t>
      </w:r>
      <w:r w:rsidR="00FD24CB">
        <w:t xml:space="preserve"> requirements for authorisation within the EU. We believe that </w:t>
      </w:r>
      <w:r w:rsidR="00EC0C76" w:rsidRPr="00EC0C76">
        <w:t>complying with</w:t>
      </w:r>
      <w:r w:rsidR="00EC0C76">
        <w:t xml:space="preserve"> </w:t>
      </w:r>
      <w:r w:rsidR="00FD24CB">
        <w:t>the IOSCO principles is a good fou</w:t>
      </w:r>
      <w:r w:rsidR="00FD24CB">
        <w:t>n</w:t>
      </w:r>
      <w:r w:rsidR="00FD24CB">
        <w:t>dation for any benchmark administrator. However, simple adherence should not replace a process</w:t>
      </w:r>
      <w:r w:rsidR="001E7BDA">
        <w:t xml:space="preserve"> </w:t>
      </w:r>
      <w:r w:rsidR="00D64598">
        <w:t>comparable with the one that</w:t>
      </w:r>
      <w:r w:rsidR="001E7BDA">
        <w:t xml:space="preserve"> EU administrators </w:t>
      </w:r>
      <w:r w:rsidR="00193D0F">
        <w:t xml:space="preserve">seeking authorisation will </w:t>
      </w:r>
      <w:r w:rsidR="001E7BDA">
        <w:t>have to follow.</w:t>
      </w:r>
    </w:p>
    <w:p w:rsidR="00F0139D" w:rsidRDefault="00F0139D" w:rsidP="00FD24CB">
      <w:pPr>
        <w:ind w:left="720"/>
      </w:pPr>
    </w:p>
    <w:p w:rsidR="00F0139D" w:rsidRDefault="00F0139D" w:rsidP="00F0139D">
      <w:pPr>
        <w:pStyle w:val="ListParagraph"/>
        <w:numPr>
          <w:ilvl w:val="0"/>
          <w:numId w:val="40"/>
        </w:numPr>
      </w:pPr>
      <w:r>
        <w:t xml:space="preserve">Applying for authorisation </w:t>
      </w:r>
      <w:r w:rsidR="00C37B3A">
        <w:t>at</w:t>
      </w:r>
      <w:r>
        <w:t xml:space="preserve"> administrator level</w:t>
      </w:r>
    </w:p>
    <w:p w:rsidR="00F0139D" w:rsidRDefault="00AD41C9" w:rsidP="00FD24CB">
      <w:pPr>
        <w:ind w:left="720"/>
      </w:pPr>
      <w:r>
        <w:t>W</w:t>
      </w:r>
      <w:r w:rsidR="00F0139D">
        <w:t xml:space="preserve">e are in favour of applying for authorisation </w:t>
      </w:r>
      <w:r w:rsidR="00BB3D56">
        <w:t>at</w:t>
      </w:r>
      <w:r w:rsidR="00F0139D">
        <w:t xml:space="preserve"> administrator level, </w:t>
      </w:r>
      <w:r w:rsidR="00BB3D56">
        <w:t xml:space="preserve">rather </w:t>
      </w:r>
      <w:r w:rsidR="00193D0F">
        <w:t xml:space="preserve">than at the individual benchmark or benchmark </w:t>
      </w:r>
      <w:r w:rsidR="00F0139D">
        <w:t>family level. This is to ensure that the application process is efficient and does not introduce regula</w:t>
      </w:r>
      <w:r w:rsidR="00684815">
        <w:t>tory uncertainty in the market. Such uncertainty could stem</w:t>
      </w:r>
      <w:r w:rsidR="00F0139D">
        <w:t xml:space="preserve"> from regulators having difficulties dealing with the number of application received and their potential i</w:t>
      </w:r>
      <w:r w:rsidR="00F0139D">
        <w:t>n</w:t>
      </w:r>
      <w:r w:rsidR="00F0139D">
        <w:t>ability to process them in reasonable time.</w:t>
      </w:r>
    </w:p>
    <w:p w:rsidR="001E7BDA" w:rsidRDefault="001E7BDA" w:rsidP="00FD24CB">
      <w:pPr>
        <w:ind w:left="720"/>
      </w:pPr>
    </w:p>
    <w:p w:rsidR="009D48FE" w:rsidRDefault="009D48FE" w:rsidP="009D48FE">
      <w:pPr>
        <w:pStyle w:val="ListParagraph"/>
        <w:numPr>
          <w:ilvl w:val="0"/>
          <w:numId w:val="40"/>
        </w:numPr>
      </w:pPr>
      <w:r>
        <w:t xml:space="preserve">Oversight function </w:t>
      </w:r>
      <w:r w:rsidR="00C37B3A">
        <w:t>comprising multiple committees and bodies</w:t>
      </w:r>
    </w:p>
    <w:p w:rsidR="00193D0F" w:rsidRDefault="00D64598" w:rsidP="00193D0F">
      <w:pPr>
        <w:pStyle w:val="ListParagraph"/>
      </w:pPr>
      <w:r>
        <w:lastRenderedPageBreak/>
        <w:t>Consistent with the IOSCO principles,</w:t>
      </w:r>
      <w:r w:rsidRPr="002D45BA">
        <w:t xml:space="preserve"> </w:t>
      </w:r>
      <w:r>
        <w:t xml:space="preserve">many administrators have already </w:t>
      </w:r>
      <w:r w:rsidRPr="002D45BA">
        <w:t>developed a strong go</w:t>
      </w:r>
      <w:r w:rsidRPr="002D45BA">
        <w:t>v</w:t>
      </w:r>
      <w:r w:rsidRPr="002D45BA">
        <w:t>ernance framework</w:t>
      </w:r>
      <w:r w:rsidR="00684815">
        <w:t xml:space="preserve"> comprising </w:t>
      </w:r>
      <w:r>
        <w:t xml:space="preserve">several specialist bodies that </w:t>
      </w:r>
      <w:r w:rsidR="00C37B3A" w:rsidRPr="00C37B3A">
        <w:t xml:space="preserve">are specifically mandated to </w:t>
      </w:r>
      <w:r>
        <w:t xml:space="preserve">cover distinct requirements. </w:t>
      </w:r>
      <w:r w:rsidR="00AD41C9" w:rsidRPr="00AD41C9">
        <w:t>Therefore, we believe that ESMA should allow flexibility and not mandate the oversight in</w:t>
      </w:r>
      <w:r w:rsidR="00193D0F">
        <w:t xml:space="preserve"> the</w:t>
      </w:r>
      <w:r w:rsidR="00AD41C9" w:rsidRPr="00AD41C9">
        <w:t xml:space="preserve"> form of a single committee. </w:t>
      </w:r>
    </w:p>
    <w:p w:rsidR="00193D0F" w:rsidRDefault="00193D0F" w:rsidP="00193D0F">
      <w:pPr>
        <w:pStyle w:val="ListParagraph"/>
      </w:pPr>
    </w:p>
    <w:p w:rsidR="001E7BDA" w:rsidRDefault="009D48FE" w:rsidP="001E7BDA">
      <w:pPr>
        <w:pStyle w:val="ListParagraph"/>
        <w:numPr>
          <w:ilvl w:val="0"/>
          <w:numId w:val="40"/>
        </w:numPr>
      </w:pPr>
      <w:r>
        <w:t xml:space="preserve">Deterring contributors based on requirements </w:t>
      </w:r>
      <w:r w:rsidR="00C37B3A">
        <w:t>for</w:t>
      </w:r>
      <w:r>
        <w:t xml:space="preserve"> input data</w:t>
      </w:r>
    </w:p>
    <w:p w:rsidR="001E1548" w:rsidRDefault="00C37B3A" w:rsidP="00341BC7">
      <w:pPr>
        <w:pStyle w:val="ListParagraph"/>
      </w:pPr>
      <w:r>
        <w:t>Throughout the Discussion P</w:t>
      </w:r>
      <w:r w:rsidR="002B2042">
        <w:t>aper, ESMA sets out various re</w:t>
      </w:r>
      <w:r w:rsidR="00341BC7">
        <w:t xml:space="preserve">quirements </w:t>
      </w:r>
      <w:r>
        <w:t>applicable to</w:t>
      </w:r>
      <w:r w:rsidR="00341BC7">
        <w:t xml:space="preserve"> contributors. </w:t>
      </w:r>
      <w:r w:rsidR="001E1548">
        <w:t xml:space="preserve">We want to draw ESMA’s attention to the fact </w:t>
      </w:r>
      <w:r w:rsidR="00341BC7">
        <w:t xml:space="preserve">that </w:t>
      </w:r>
      <w:r>
        <w:t>such requirements</w:t>
      </w:r>
      <w:r w:rsidR="00341BC7">
        <w:t xml:space="preserve"> are</w:t>
      </w:r>
      <w:r w:rsidR="001E1548">
        <w:t xml:space="preserve"> likely to be </w:t>
      </w:r>
      <w:r w:rsidR="002B2042">
        <w:t xml:space="preserve">resisted by contributors </w:t>
      </w:r>
      <w:r w:rsidR="001E1548">
        <w:t>and could even</w:t>
      </w:r>
      <w:r w:rsidR="002B2042">
        <w:t xml:space="preserve"> catalyse their withdrawal from the process</w:t>
      </w:r>
      <w:r w:rsidR="00341BC7">
        <w:t xml:space="preserve">, </w:t>
      </w:r>
      <w:r w:rsidR="005E7EBE">
        <w:t>causing</w:t>
      </w:r>
      <w:r w:rsidR="00341BC7">
        <w:t xml:space="preserve"> </w:t>
      </w:r>
      <w:r w:rsidR="001E3713">
        <w:t xml:space="preserve">the quality of benchmarks </w:t>
      </w:r>
      <w:r w:rsidR="005E7EBE">
        <w:t>to</w:t>
      </w:r>
      <w:r w:rsidR="001E3713">
        <w:t xml:space="preserve"> suffer.  In some cases benchmarks could</w:t>
      </w:r>
      <w:r w:rsidR="00AD41C9">
        <w:t xml:space="preserve"> even</w:t>
      </w:r>
      <w:r w:rsidR="001E3713">
        <w:t xml:space="preserve"> become non-viable. </w:t>
      </w:r>
      <w:r w:rsidR="00AD41C9">
        <w:t>The withdra</w:t>
      </w:r>
      <w:r w:rsidR="00AD41C9">
        <w:t>w</w:t>
      </w:r>
      <w:r w:rsidR="00AD41C9">
        <w:t>al of contributors</w:t>
      </w:r>
      <w:r w:rsidR="002B2042">
        <w:t xml:space="preserve"> would have a serious nega</w:t>
      </w:r>
      <w:r w:rsidR="001E3713">
        <w:t>tive impact on</w:t>
      </w:r>
      <w:r w:rsidR="002B2042">
        <w:t xml:space="preserve"> the end users who </w:t>
      </w:r>
      <w:r>
        <w:t>may</w:t>
      </w:r>
      <w:r w:rsidR="002B2042">
        <w:t xml:space="preserve"> be denied a</w:t>
      </w:r>
      <w:r w:rsidR="002B2042">
        <w:t>c</w:t>
      </w:r>
      <w:r w:rsidR="002B2042">
        <w:t>cess to low cost, index-based inv</w:t>
      </w:r>
      <w:r w:rsidR="00AD41C9">
        <w:t>estment products. We therefore</w:t>
      </w:r>
      <w:r w:rsidR="002B2042">
        <w:t xml:space="preserve"> believe that the administrator should retain the authority to determine </w:t>
      </w:r>
      <w:r w:rsidR="007B0F8D">
        <w:t>the modalities</w:t>
      </w:r>
      <w:r w:rsidR="00341BC7">
        <w:t xml:space="preserve"> of various </w:t>
      </w:r>
      <w:r w:rsidR="002B2042">
        <w:t xml:space="preserve">procedures </w:t>
      </w:r>
      <w:r w:rsidR="00341BC7">
        <w:t xml:space="preserve">(e.g. </w:t>
      </w:r>
      <w:r w:rsidR="002B2042">
        <w:t>verifying the r</w:t>
      </w:r>
      <w:r w:rsidR="002B2042">
        <w:t>e</w:t>
      </w:r>
      <w:r w:rsidR="002B2042">
        <w:t>liability of the contributed data</w:t>
      </w:r>
      <w:r w:rsidR="00AD41C9">
        <w:t>, frequency of submission and others</w:t>
      </w:r>
      <w:r w:rsidR="00341BC7">
        <w:t>)</w:t>
      </w:r>
      <w:r w:rsidR="00AD41C9">
        <w:t xml:space="preserve">. </w:t>
      </w:r>
      <w:r w:rsidR="002B2042">
        <w:t>This will allow the proc</w:t>
      </w:r>
      <w:r w:rsidR="002B2042">
        <w:t>e</w:t>
      </w:r>
      <w:r w:rsidR="002B2042">
        <w:t>dures to be tailored to the nature of the benchmark.</w:t>
      </w:r>
    </w:p>
    <w:p w:rsidR="00341BC7" w:rsidRDefault="00341BC7" w:rsidP="00341BC7">
      <w:pPr>
        <w:pStyle w:val="ListParagraph"/>
      </w:pPr>
    </w:p>
    <w:p w:rsidR="00C052C8" w:rsidRDefault="00C052C8" w:rsidP="00C052C8">
      <w:pPr>
        <w:pStyle w:val="ListParagraph"/>
        <w:numPr>
          <w:ilvl w:val="0"/>
          <w:numId w:val="40"/>
        </w:numPr>
        <w:ind w:left="709"/>
      </w:pPr>
      <w:r>
        <w:t>Nature of contributed input data</w:t>
      </w:r>
    </w:p>
    <w:p w:rsidR="00C052C8" w:rsidRDefault="0027538B" w:rsidP="0027538B">
      <w:pPr>
        <w:pStyle w:val="ListParagraph"/>
      </w:pPr>
      <w:r>
        <w:t xml:space="preserve">We believe that the definition of contributed data remains ambiguous. The </w:t>
      </w:r>
      <w:r w:rsidR="00C052C8">
        <w:t xml:space="preserve">Discussion Paper </w:t>
      </w:r>
      <w:r w:rsidR="005E7EBE">
        <w:t>a</w:t>
      </w:r>
      <w:r w:rsidR="005E7EBE">
        <w:t>s</w:t>
      </w:r>
      <w:r w:rsidR="005E7EBE">
        <w:t>sumes</w:t>
      </w:r>
      <w:r w:rsidR="00C052C8">
        <w:t xml:space="preserve"> that contributed data is to be interpreted as price or value estimates</w:t>
      </w:r>
      <w:r w:rsidR="00737A52">
        <w:t xml:space="preserve"> from parties </w:t>
      </w:r>
      <w:r>
        <w:t xml:space="preserve">that are potentially making markets in the benchmarks constituents. </w:t>
      </w:r>
      <w:r w:rsidR="00C052C8">
        <w:t xml:space="preserve">We </w:t>
      </w:r>
      <w:r w:rsidR="00BB3E85">
        <w:t>encourage</w:t>
      </w:r>
      <w:r w:rsidR="00C052C8">
        <w:t xml:space="preserve"> ESMA </w:t>
      </w:r>
      <w:r w:rsidR="00BB3E85">
        <w:t>to further clarify</w:t>
      </w:r>
      <w:r w:rsidR="00C052C8">
        <w:t xml:space="preserve"> what constitutes contributed data</w:t>
      </w:r>
      <w:r w:rsidR="008A6986">
        <w:t>,</w:t>
      </w:r>
      <w:r w:rsidR="00C052C8">
        <w:t xml:space="preserve"> as the Level 1 draft text could be interpreted more broadly to capture any data input from a specialised source, who might not intend to contribute data or co</w:t>
      </w:r>
      <w:r w:rsidR="00C052C8">
        <w:t>n</w:t>
      </w:r>
      <w:r w:rsidR="00C052C8">
        <w:t xml:space="preserve">sider themselves to be contributing data within the scope of the Regulation. </w:t>
      </w:r>
    </w:p>
    <w:p w:rsidR="00C052C8" w:rsidRDefault="00C052C8" w:rsidP="00C052C8">
      <w:pPr>
        <w:pStyle w:val="ListParagraph"/>
      </w:pPr>
      <w:r>
        <w:t xml:space="preserve"> </w:t>
      </w:r>
    </w:p>
    <w:p w:rsidR="0085237C" w:rsidRPr="00C052C8" w:rsidRDefault="00C052C8" w:rsidP="00173689">
      <w:pPr>
        <w:pStyle w:val="ListParagraph"/>
        <w:numPr>
          <w:ilvl w:val="0"/>
          <w:numId w:val="40"/>
        </w:numPr>
        <w:ind w:left="709"/>
      </w:pPr>
      <w:r w:rsidRPr="00C052C8">
        <w:t>T</w:t>
      </w:r>
      <w:r w:rsidR="009D48FE" w:rsidRPr="00C052C8">
        <w:t>ransparency of methodology</w:t>
      </w:r>
      <w:r w:rsidRPr="00C052C8">
        <w:t xml:space="preserve"> and associated risks</w:t>
      </w:r>
    </w:p>
    <w:p w:rsidR="00173689" w:rsidRPr="00C052C8" w:rsidRDefault="00173689" w:rsidP="0085237C">
      <w:pPr>
        <w:pStyle w:val="ListParagraph"/>
        <w:ind w:left="709"/>
      </w:pPr>
      <w:r w:rsidRPr="00C052C8">
        <w:t>ESMA rightfully recogni</w:t>
      </w:r>
      <w:r w:rsidR="00C052C8" w:rsidRPr="00C052C8">
        <w:t>zes the risk of front-running if an index methodology is required to be pu</w:t>
      </w:r>
      <w:r w:rsidR="00C052C8" w:rsidRPr="00C052C8">
        <w:t>b</w:t>
      </w:r>
      <w:r w:rsidR="00C052C8" w:rsidRPr="00C052C8">
        <w:t xml:space="preserve">lished in great detail.  </w:t>
      </w:r>
      <w:r w:rsidR="005E7EBE">
        <w:t>F</w:t>
      </w:r>
      <w:r w:rsidRPr="00C052C8">
        <w:t xml:space="preserve">or benchmarks </w:t>
      </w:r>
      <w:r w:rsidR="005E7EBE">
        <w:t xml:space="preserve">consisting of </w:t>
      </w:r>
      <w:r w:rsidRPr="00C052C8">
        <w:t>relatively illiquid securi</w:t>
      </w:r>
      <w:r w:rsidR="00C052C8" w:rsidRPr="00C052C8">
        <w:t xml:space="preserve">ties, if </w:t>
      </w:r>
      <w:r w:rsidRPr="00C052C8">
        <w:t xml:space="preserve">the methodology is disclosed in </w:t>
      </w:r>
      <w:r w:rsidR="00C052C8" w:rsidRPr="00C052C8">
        <w:t xml:space="preserve">great detail, </w:t>
      </w:r>
      <w:r w:rsidRPr="00C052C8">
        <w:t xml:space="preserve">third parties </w:t>
      </w:r>
      <w:r w:rsidR="00C052C8" w:rsidRPr="00C052C8">
        <w:t xml:space="preserve">may be able </w:t>
      </w:r>
      <w:r w:rsidR="00C37B3A">
        <w:t>to profit, at the end-</w:t>
      </w:r>
      <w:r w:rsidRPr="00C052C8">
        <w:t>investor’s ex</w:t>
      </w:r>
      <w:r w:rsidR="00C37B3A">
        <w:t xml:space="preserve">pense, </w:t>
      </w:r>
      <w:r w:rsidRPr="00C052C8">
        <w:t xml:space="preserve">from the forecast liquidity demand arising from a forthcoming </w:t>
      </w:r>
      <w:r w:rsidR="00C052C8" w:rsidRPr="00C052C8">
        <w:t xml:space="preserve">published </w:t>
      </w:r>
      <w:r w:rsidRPr="00C052C8">
        <w:t>benchmark rebalanc</w:t>
      </w:r>
      <w:r w:rsidR="0018464B" w:rsidRPr="00C052C8">
        <w:t>e</w:t>
      </w:r>
      <w:r w:rsidR="007E4D57">
        <w:t xml:space="preserve"> by those seeking to capitalise on the known liquidity demands</w:t>
      </w:r>
      <w:r w:rsidR="0018464B" w:rsidRPr="00C052C8">
        <w:t>.</w:t>
      </w:r>
    </w:p>
    <w:p w:rsidR="009C013E" w:rsidRDefault="009C013E" w:rsidP="009C013E">
      <w:pPr>
        <w:pStyle w:val="ListParagraph"/>
      </w:pPr>
    </w:p>
    <w:p w:rsidR="00FD24CB" w:rsidRDefault="00FD24CB" w:rsidP="00FD24CB">
      <w:pPr>
        <w:pStyle w:val="ListParagraph"/>
        <w:numPr>
          <w:ilvl w:val="0"/>
          <w:numId w:val="40"/>
        </w:numPr>
      </w:pPr>
      <w:r>
        <w:t xml:space="preserve">Additional point stemming out of Level 1: </w:t>
      </w:r>
      <w:r w:rsidRPr="002A7A8E">
        <w:t>Definition of ‘Regulated Data’</w:t>
      </w:r>
    </w:p>
    <w:p w:rsidR="00FD24CB" w:rsidRDefault="00FD24CB" w:rsidP="00FD24CB">
      <w:pPr>
        <w:pStyle w:val="ListParagraph"/>
      </w:pPr>
      <w:r>
        <w:t xml:space="preserve">We understand the spirit of the Level 1 text, </w:t>
      </w:r>
      <w:r w:rsidR="00193D0F">
        <w:t>which aims to provide</w:t>
      </w:r>
      <w:r>
        <w:t xml:space="preserve"> users and markets in general with </w:t>
      </w:r>
      <w:r w:rsidR="00405722">
        <w:t xml:space="preserve">benchmarks, based on quality, </w:t>
      </w:r>
      <w:r>
        <w:t xml:space="preserve">regulated data. However, the </w:t>
      </w:r>
      <w:r w:rsidR="008E62EB">
        <w:t>current drafting of</w:t>
      </w:r>
      <w:r>
        <w:t xml:space="preserve"> “regulated d</w:t>
      </w:r>
      <w:r>
        <w:t>a</w:t>
      </w:r>
      <w:r>
        <w:t>ta”</w:t>
      </w:r>
      <w:r w:rsidR="008E62EB">
        <w:t xml:space="preserve"> definition</w:t>
      </w:r>
      <w:r>
        <w:t>, would potentially exclude regulated data from third countries</w:t>
      </w:r>
      <w:r w:rsidR="008E62EB">
        <w:t xml:space="preserve"> – from </w:t>
      </w:r>
      <w:r w:rsidR="00C052C8">
        <w:t>trading venues</w:t>
      </w:r>
      <w:r w:rsidR="00C052C8" w:rsidRPr="00C052C8">
        <w:t xml:space="preserve"> </w:t>
      </w:r>
      <w:r w:rsidR="000118D7">
        <w:t>of jurisdictions</w:t>
      </w:r>
      <w:r w:rsidR="00C052C8" w:rsidRPr="00C052C8">
        <w:t xml:space="preserve"> not benefitting from equivalence status under </w:t>
      </w:r>
      <w:r w:rsidR="000118D7" w:rsidRPr="00C052C8">
        <w:t xml:space="preserve">MiFID. </w:t>
      </w:r>
      <w:r w:rsidR="00C052C8" w:rsidRPr="00C052C8">
        <w:t>Similar uncertainty surrounds</w:t>
      </w:r>
      <w:r w:rsidR="008E62EB">
        <w:t xml:space="preserve"> the data coming from the d</w:t>
      </w:r>
      <w:r w:rsidR="00C052C8" w:rsidRPr="00C052C8">
        <w:t xml:space="preserve">ata </w:t>
      </w:r>
      <w:r w:rsidR="008E62EB">
        <w:t>vendors</w:t>
      </w:r>
      <w:r w:rsidR="000118D7" w:rsidRPr="00C052C8">
        <w:t>.</w:t>
      </w:r>
      <w:r w:rsidR="008E62EB">
        <w:t xml:space="preserve"> This would have unwelcome consequences, as the global equity benchmarks could no longer benefit from the regulated data exemption. </w:t>
      </w:r>
      <w:r w:rsidR="000118D7" w:rsidRPr="00C052C8">
        <w:t xml:space="preserve"> </w:t>
      </w:r>
    </w:p>
    <w:p w:rsidR="002A7A8E" w:rsidRDefault="002A7A8E" w:rsidP="00A572ED"/>
    <w:p w:rsidR="00FD3F7F" w:rsidRDefault="00291260" w:rsidP="00A572ED">
      <w:r w:rsidRPr="00291260">
        <w:t>Whilst we understand that the IOSCO Principles are not legally binding, we urge ESMA to align the prov</w:t>
      </w:r>
      <w:r w:rsidRPr="00291260">
        <w:t>i</w:t>
      </w:r>
      <w:r w:rsidRPr="00291260">
        <w:t xml:space="preserve">sions of the Regulation to the IOSCO Principles for Financial Benchmarks in order to minimise the </w:t>
      </w:r>
      <w:r>
        <w:t>risk of unintended consequences</w:t>
      </w:r>
      <w:r w:rsidR="00D64598">
        <w:t>.</w:t>
      </w:r>
      <w:r w:rsidR="00FD3F7F">
        <w:t xml:space="preserve"> </w:t>
      </w:r>
    </w:p>
    <w:p w:rsidR="00FD3F7F" w:rsidRDefault="00FD3F7F" w:rsidP="00A572ED"/>
    <w:p w:rsidR="003D4E53" w:rsidRDefault="00DC0ADA" w:rsidP="003D4E53">
      <w:r w:rsidRPr="00DC0ADA">
        <w:t>Our response should be read together with following appendices</w:t>
      </w:r>
      <w:r>
        <w:t xml:space="preserve">, </w:t>
      </w:r>
      <w:r w:rsidR="00DB631A">
        <w:t>submitted as</w:t>
      </w:r>
      <w:r w:rsidR="00E14A2C">
        <w:t xml:space="preserve"> “</w:t>
      </w:r>
      <w:r w:rsidR="00E14A2C" w:rsidRPr="00E14A2C">
        <w:t>ESMA_DP_BMR _LSEG_ANNEX</w:t>
      </w:r>
      <w:r w:rsidR="00E14A2C">
        <w:t>”</w:t>
      </w:r>
      <w:r>
        <w:t>:</w:t>
      </w:r>
    </w:p>
    <w:p w:rsidR="00DC0ADA" w:rsidRDefault="00DC0ADA" w:rsidP="003D4E53"/>
    <w:p w:rsidR="003D4E53" w:rsidRPr="002D45BA" w:rsidRDefault="003D4E53" w:rsidP="003D4E53">
      <w:r w:rsidRPr="002D45BA">
        <w:t xml:space="preserve">A: A brief explanation of </w:t>
      </w:r>
      <w:r w:rsidR="008E065A" w:rsidRPr="008E065A">
        <w:t>the</w:t>
      </w:r>
      <w:r w:rsidR="008E065A">
        <w:t xml:space="preserve"> index business of LSEG operates</w:t>
      </w:r>
      <w:r w:rsidR="008E065A" w:rsidRPr="008E065A">
        <w:t xml:space="preserve"> under the brand name FTSE Russell</w:t>
      </w:r>
    </w:p>
    <w:p w:rsidR="003D4E53" w:rsidRPr="002D45BA" w:rsidRDefault="00EF49A7" w:rsidP="003D4E53">
      <w:r>
        <w:t>B</w:t>
      </w:r>
      <w:r w:rsidR="003D4E53" w:rsidRPr="002D45BA">
        <w:t xml:space="preserve">: FTSE Russell Organisation </w:t>
      </w:r>
      <w:r w:rsidR="00DC0ADA">
        <w:t>S</w:t>
      </w:r>
      <w:r w:rsidR="003D4E53" w:rsidRPr="002D45BA">
        <w:t>tructure</w:t>
      </w:r>
    </w:p>
    <w:p w:rsidR="003D4E53" w:rsidRPr="002D45BA" w:rsidRDefault="00EF49A7" w:rsidP="003D4E53">
      <w:r>
        <w:t>C:</w:t>
      </w:r>
      <w:r w:rsidR="003D4E53" w:rsidRPr="002D45BA">
        <w:t xml:space="preserve"> FTSE Russell Index Governance </w:t>
      </w:r>
    </w:p>
    <w:p w:rsidR="00FD3F7F" w:rsidRDefault="00EF49A7" w:rsidP="00A572ED">
      <w:r>
        <w:t>D</w:t>
      </w:r>
      <w:r w:rsidR="003D4E53" w:rsidRPr="002D45BA">
        <w:t>:</w:t>
      </w:r>
      <w:r w:rsidR="003D4E53">
        <w:t xml:space="preserve"> Benchmark Modification Process</w:t>
      </w:r>
    </w:p>
    <w:p w:rsidR="00DC0ADA" w:rsidRDefault="00DC0ADA" w:rsidP="00A572ED"/>
    <w:p w:rsidR="000C681E" w:rsidRDefault="000C681E" w:rsidP="00A572ED">
      <w:r>
        <w:t>*******</w:t>
      </w:r>
    </w:p>
    <w:p w:rsidR="00DC0ADA" w:rsidRDefault="00DC0ADA" w:rsidP="00A572ED"/>
    <w:p w:rsidR="003D4E53" w:rsidRDefault="00A572ED" w:rsidP="00A572ED">
      <w:r>
        <w:t>About FTSE Russell, a part of London Stock Exchange Group (LSEG)</w:t>
      </w:r>
    </w:p>
    <w:p w:rsidR="00081B99" w:rsidRDefault="00081B99" w:rsidP="00081B99">
      <w:r w:rsidRPr="003D4E53">
        <w:t>EU Transparency Register: 550494915045-08</w:t>
      </w:r>
      <w:r>
        <w:t xml:space="preserve"> – contact:  Ms. </w:t>
      </w:r>
      <w:r w:rsidRPr="003D4E53">
        <w:t>Beata Sivak</w:t>
      </w:r>
      <w:r>
        <w:t>:</w:t>
      </w:r>
      <w:r w:rsidRPr="003D4E53">
        <w:t xml:space="preserve"> </w:t>
      </w:r>
      <w:hyperlink r:id="rId15" w:history="1">
        <w:r w:rsidRPr="003D4E53">
          <w:t>BSivak@lseg.com</w:t>
        </w:r>
      </w:hyperlink>
    </w:p>
    <w:p w:rsidR="008E065A" w:rsidRDefault="008E065A" w:rsidP="00A572ED"/>
    <w:p w:rsidR="008E065A" w:rsidRDefault="008E065A" w:rsidP="008E065A">
      <w:pPr>
        <w:rPr>
          <w:szCs w:val="20"/>
        </w:rPr>
      </w:pPr>
      <w:r>
        <w:lastRenderedPageBreak/>
        <w:t>FTSE Russell is a global index leader that provides innovative benchmarking, analytics and data solutions for investors worldwide.  FTSE Russell calculates thousands of indexes that measure and benchmark markets and asset classes in more than 80 countries, covering 98% of the investable market globally.</w:t>
      </w:r>
    </w:p>
    <w:p w:rsidR="008E065A" w:rsidRDefault="008E065A" w:rsidP="008E065A">
      <w:pPr>
        <w:rPr>
          <w:sz w:val="24"/>
        </w:rPr>
      </w:pPr>
    </w:p>
    <w:p w:rsidR="008E065A" w:rsidRDefault="008E065A" w:rsidP="008E065A">
      <w:r>
        <w:t>FTSE Russell index expertise and products are used extensively by institutional and retail investors glo</w:t>
      </w:r>
      <w:r>
        <w:t>b</w:t>
      </w:r>
      <w:r>
        <w:t>ally. Approximately $10 trillion is currently benchmarked to the FTSE Russell indexes. For over 30 years, leading asset owners, asset managers, ETF providers and investment banks use FTSE Russell indexes to benchmark their investment performance and create ETFs, structured products and index-based deriv</w:t>
      </w:r>
      <w:r>
        <w:t>a</w:t>
      </w:r>
      <w:r>
        <w:t xml:space="preserve">tives. </w:t>
      </w:r>
    </w:p>
    <w:p w:rsidR="008E065A" w:rsidRDefault="008E065A" w:rsidP="008E065A"/>
    <w:p w:rsidR="008E065A" w:rsidRDefault="008E065A" w:rsidP="00D34282">
      <w:r>
        <w:t>A core set of universal principles guides FTSE Russell index design and management: a transparent rules-based methodology is informed by independent committees of leading market participants. FTSE Russell is focused on applying the highest industry standards in index design and governance, and e</w:t>
      </w:r>
      <w:r>
        <w:t>m</w:t>
      </w:r>
      <w:r>
        <w:t>braces the IOSCO principles. FTSE Russell is also focused on index innovation and client collaboration as it seeks to enhance the breadth, depth and reach of its offering.</w:t>
      </w:r>
    </w:p>
    <w:permEnd w:id="1497459954"/>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E70CBF" w:rsidRDefault="00043BF4" w:rsidP="00043BF4">
      <w:permStart w:id="589980235" w:edGrp="everyone"/>
      <w:r>
        <w:t xml:space="preserve">We are in favour of the ultimate objective, </w:t>
      </w:r>
      <w:r w:rsidRPr="00043BF4">
        <w:t>to ensure the integrity of benchmarks</w:t>
      </w:r>
      <w:r>
        <w:t>. Whilst ESMA should not unduly restrict the number of benchmarks that fall within the scope of the BMR, ESMA should ensure that this is in line with the original goal of the BMR. As drafted, a large number of custom indices that are administered for a single client will fall within the scope. This may make the administration of such custom indices prohibitively expensive and operationally burdensome. Further, clients of such custom indices will want reassurance that an administrator complying with the BMR will not be required to divulge the clients’ intellectual property, nor include in the Benchmark Statement information that would damage the interests of an end investor.  This could happen, for example, if the Benchmark Statement were required to provide sufficient detail that would enable front-running of rebalance trades by those seeking to capitalise on the known liquidity demands.</w:t>
      </w:r>
    </w:p>
    <w:permEnd w:id="589980235"/>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843D4C" w:rsidRDefault="002730BD" w:rsidP="009A2624">
      <w:permStart w:id="958736881" w:edGrp="everyone"/>
      <w:r w:rsidRPr="00CD48B9">
        <w:t xml:space="preserve">No.  </w:t>
      </w:r>
      <w:r w:rsidRPr="002730BD">
        <w:t>However, we would like to sug</w:t>
      </w:r>
      <w:r w:rsidR="00CF5304">
        <w:t>gest that the Level 2 gives an a</w:t>
      </w:r>
      <w:r w:rsidRPr="002730BD">
        <w:t xml:space="preserve">dministrator the prerogative to refuse to permit certain of its indices </w:t>
      </w:r>
      <w:r w:rsidR="00CF5304">
        <w:t>to be used as a benchmark.  An a</w:t>
      </w:r>
      <w:r w:rsidRPr="002730BD">
        <w:t>dministrator may calculate and publish certain indices that it does not consider appropriate for use as a benchmark, for example because such indices are calculated for the purposes of illustrating social or economic trends, or for the purposes of providing pre-trade transparency in</w:t>
      </w:r>
      <w:r>
        <w:t xml:space="preserve"> certain illiquid instruments.</w:t>
      </w:r>
    </w:p>
    <w:permEnd w:id="958736881"/>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843D4C" w:rsidRDefault="00F201D1" w:rsidP="009A2624">
      <w:permStart w:id="1894870746" w:edGrp="everyone"/>
      <w:r w:rsidRPr="00F201D1">
        <w:t xml:space="preserve">We agree with ESMAs proposal to align the administrative </w:t>
      </w:r>
      <w:r w:rsidR="00843D4C">
        <w:t>arrangements for determining a Benchmark with</w:t>
      </w:r>
      <w:r>
        <w:t xml:space="preserve"> the IOSCO principle</w:t>
      </w:r>
      <w:r w:rsidR="00843D4C">
        <w:t>.</w:t>
      </w:r>
      <w:r w:rsidR="00843D4C" w:rsidRPr="002D45BA">
        <w:t xml:space="preserve"> </w:t>
      </w:r>
      <w:r w:rsidR="00843D4C">
        <w:t>The process of administering a Benchmark involves several separate processes as se</w:t>
      </w:r>
      <w:r>
        <w:t xml:space="preserve">t out in the IOSCO Principles. </w:t>
      </w:r>
      <w:r w:rsidR="00CF5304">
        <w:t>In our view, the a</w:t>
      </w:r>
      <w:r>
        <w:t xml:space="preserve">dministrator should be defined as the body that controls the methodology. </w:t>
      </w:r>
      <w:r w:rsidR="00843D4C">
        <w:t>Some of these processes, such as data collection and benchmark dissemin</w:t>
      </w:r>
      <w:r w:rsidR="00843D4C">
        <w:t>a</w:t>
      </w:r>
      <w:r w:rsidR="00843D4C">
        <w:t>tion, can be outsourced.  This may lead to confusion as t</w:t>
      </w:r>
      <w:r w:rsidR="00CF5304">
        <w:t xml:space="preserve">o which entity actually </w:t>
      </w:r>
      <w:r w:rsidR="00391868">
        <w:t>constitutes</w:t>
      </w:r>
      <w:r w:rsidR="00CF5304">
        <w:t xml:space="preserve"> the a</w:t>
      </w:r>
      <w:r w:rsidR="00843D4C">
        <w:t>dminis</w:t>
      </w:r>
      <w:r>
        <w:t>tr</w:t>
      </w:r>
      <w:r>
        <w:t>a</w:t>
      </w:r>
      <w:r>
        <w:t>tor. Therefore, it would</w:t>
      </w:r>
      <w:r w:rsidR="00843D4C">
        <w:t xml:space="preserve"> be helpful if ESMA </w:t>
      </w:r>
      <w:r w:rsidR="00391868">
        <w:t>defined</w:t>
      </w:r>
      <w:r>
        <w:t xml:space="preserve"> </w:t>
      </w:r>
      <w:r w:rsidR="00843D4C">
        <w:t xml:space="preserve">which aspect of the administrative arrangements can be used to identify the </w:t>
      </w:r>
      <w:r w:rsidR="00CF5304">
        <w:t>a</w:t>
      </w:r>
      <w:r w:rsidR="00843D4C">
        <w:t>dministr</w:t>
      </w:r>
      <w:r>
        <w:t>ator.</w:t>
      </w:r>
      <w:r w:rsidR="00843D4C">
        <w:t xml:space="preserve"> </w:t>
      </w:r>
    </w:p>
    <w:permEnd w:id="1894870746"/>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B771E" w:rsidRDefault="007E2DF2" w:rsidP="007E2DF2">
      <w:permStart w:id="266603877" w:edGrp="everyone"/>
      <w:r>
        <w:t xml:space="preserve">Yes, we </w:t>
      </w:r>
      <w:r w:rsidR="009B771E">
        <w:t xml:space="preserve">broadly </w:t>
      </w:r>
      <w:r>
        <w:t>agree, bu</w:t>
      </w:r>
      <w:r w:rsidR="009B771E">
        <w:t xml:space="preserve">t would appreciate more clarity. For </w:t>
      </w:r>
      <w:r w:rsidR="00B12A2D" w:rsidRPr="00B12A2D">
        <w:t xml:space="preserve">derivatives traded on trading venues, </w:t>
      </w:r>
      <w:r w:rsidR="009B771E">
        <w:t>to retain</w:t>
      </w:r>
      <w:r w:rsidR="009B771E" w:rsidRPr="009B771E">
        <w:t xml:space="preserve"> consistency with other EU </w:t>
      </w:r>
      <w:r w:rsidR="009B771E">
        <w:t>legislation, we suggest ESMA looks for alignment with the current defin</w:t>
      </w:r>
      <w:r w:rsidR="009B771E">
        <w:t>i</w:t>
      </w:r>
      <w:r w:rsidR="009B771E">
        <w:t xml:space="preserve">tion of “manufacturer” as in </w:t>
      </w:r>
      <w:r w:rsidR="00C13988">
        <w:t xml:space="preserve">Regulation on </w:t>
      </w:r>
      <w:r w:rsidR="00C13988" w:rsidRPr="00C13988">
        <w:t>packaged retail investment and insurance-based investment products (PRIIPs)</w:t>
      </w:r>
      <w:r w:rsidR="00C13988">
        <w:t>.</w:t>
      </w:r>
    </w:p>
    <w:p w:rsidR="00C13988" w:rsidRDefault="00C13988" w:rsidP="007E2DF2"/>
    <w:p w:rsidR="007E2DF2" w:rsidRPr="009B771E" w:rsidRDefault="007E2DF2" w:rsidP="007E2DF2">
      <w:r w:rsidRPr="007E2DF2">
        <w:lastRenderedPageBreak/>
        <w:t>OTC traded derivatives that are defined in independent master agreements/documentation and can be traded directly, voice and/or on multiple trading venues cannot be considered "issued" by those venues.</w:t>
      </w:r>
      <w:r w:rsidR="005F4916">
        <w:t xml:space="preserve"> We ask ESMA to clarify the</w:t>
      </w:r>
      <w:r w:rsidR="00BF263C">
        <w:t xml:space="preserve"> term</w:t>
      </w:r>
      <w:r w:rsidR="005F4916">
        <w:t xml:space="preserve"> “issuer” </w:t>
      </w:r>
      <w:r w:rsidR="00BF263C">
        <w:t>being used in connection to various</w:t>
      </w:r>
      <w:r w:rsidR="005F4916">
        <w:t xml:space="preserve"> OTC instruments</w:t>
      </w:r>
      <w:r w:rsidR="00BF263C">
        <w:t>.</w:t>
      </w:r>
      <w:r w:rsidR="005F4916">
        <w:t xml:space="preserve"> </w:t>
      </w:r>
    </w:p>
    <w:p w:rsidR="009B771E" w:rsidRDefault="009B771E" w:rsidP="009A2624"/>
    <w:p w:rsidR="00481167" w:rsidRDefault="007A0587" w:rsidP="009A2624">
      <w:r w:rsidRPr="007A0587">
        <w:t>In respect of an Administrator, we repeat our concern that an Administrator should have the right to expli</w:t>
      </w:r>
      <w:r w:rsidRPr="007A0587">
        <w:t>c</w:t>
      </w:r>
      <w:r w:rsidRPr="007A0587">
        <w:t>itly prohibit the use of one of its indices as a Benchmark, including for reference by a financial instrument, if the Administrator believes the index to be unsuitable for those purposes.</w:t>
      </w:r>
    </w:p>
    <w:permEnd w:id="266603877"/>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7A0587" w:rsidRDefault="005F4916" w:rsidP="005F4916">
      <w:permStart w:id="981293256" w:edGrp="everyone"/>
      <w:r>
        <w:t xml:space="preserve">With regards to trading venues, the business activity of market operators in connection with the “issuance of financial instruments” should be limited to derivatives which refer to an index. </w:t>
      </w:r>
    </w:p>
    <w:p w:rsidR="007A0587" w:rsidRDefault="007A0587" w:rsidP="005F4916"/>
    <w:p w:rsidR="005F4916" w:rsidRDefault="005F4916" w:rsidP="005F4916">
      <w:r>
        <w:t xml:space="preserve">Financial instruments that are equities, bonds, ETFs, Depositary Receipts, covered warrants, securitised derivatives etc. that may refer to an index should be considered to be “issued” by the person who is the issuer and not the trading venue.  For such instruments, the trading venue is responsible for the listing and/or admittance to trading of the financial instrument, but not the “issuance”. Whereas for derivatives, trading venues own and issue the contract specifications, subject to the approval of NCAs – thus, their business activity is related to creation of financial instruments for trading that falls under the specification of “issuance”. </w:t>
      </w:r>
    </w:p>
    <w:p w:rsidR="005F4916" w:rsidRDefault="005F4916" w:rsidP="005F4916"/>
    <w:p w:rsidR="005F4916" w:rsidRDefault="005F4916" w:rsidP="005F4916">
      <w:r>
        <w:t>A CCP</w:t>
      </w:r>
      <w:r w:rsidRPr="009F1719">
        <w:t xml:space="preserve"> does not determine the indices used in the contracts it clears; its market participants do. We ther</w:t>
      </w:r>
      <w:r w:rsidRPr="009F1719">
        <w:t>e</w:t>
      </w:r>
      <w:r w:rsidRPr="009F1719">
        <w:t>fore do not believe that the registration of cleared contracts submitted by its participants should be class</w:t>
      </w:r>
      <w:r w:rsidRPr="009F1719">
        <w:t>i</w:t>
      </w:r>
      <w:r w:rsidRPr="009F1719">
        <w:t>fied as “issuance of a financial instrument”. Rather, “use of benchmark” should be limited to the determin</w:t>
      </w:r>
      <w:r w:rsidRPr="009F1719">
        <w:t>a</w:t>
      </w:r>
      <w:r w:rsidRPr="009F1719">
        <w:t>tion of the amount payable under a financial instrument.</w:t>
      </w:r>
    </w:p>
    <w:permEnd w:id="981293256"/>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BF2289" w:rsidP="00BF2289">
      <w:permStart w:id="845417500" w:edGrp="everyone"/>
      <w:r w:rsidRPr="002D45BA">
        <w:t>We belie</w:t>
      </w:r>
      <w:r>
        <w:t xml:space="preserve">ve that permanent and effective </w:t>
      </w:r>
      <w:r w:rsidR="00081B99" w:rsidRPr="002D45BA">
        <w:t xml:space="preserve">oversight </w:t>
      </w:r>
      <w:r w:rsidR="00081B99">
        <w:t>arrangements</w:t>
      </w:r>
      <w:r>
        <w:t xml:space="preserve"> are</w:t>
      </w:r>
      <w:r w:rsidRPr="002D45BA">
        <w:t xml:space="preserve"> essential </w:t>
      </w:r>
      <w:r w:rsidR="007A0587" w:rsidRPr="007A0587">
        <w:t xml:space="preserve">in order to ensure </w:t>
      </w:r>
      <w:r>
        <w:t xml:space="preserve">the </w:t>
      </w:r>
      <w:r w:rsidRPr="002D45BA">
        <w:t xml:space="preserve">integrity of benchmarks. </w:t>
      </w:r>
      <w:r>
        <w:t xml:space="preserve">However, we believe that the oversight function is best undertaken by several specialist bodies, and not just </w:t>
      </w:r>
      <w:r w:rsidR="00081B99">
        <w:t>one. Please</w:t>
      </w:r>
      <w:r>
        <w:t xml:space="preserve"> see our response to Question 8 for further details.</w:t>
      </w:r>
    </w:p>
    <w:permEnd w:id="845417500"/>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081B99" w:rsidP="009A2624">
      <w:permStart w:id="1851223343" w:edGrp="everyone"/>
      <w:r>
        <w:t>Yes.</w:t>
      </w:r>
    </w:p>
    <w:permEnd w:id="1851223343"/>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lastRenderedPageBreak/>
        <w:t>&lt;ESMA_QUESTION_DP_BMR_8&gt;</w:t>
      </w:r>
    </w:p>
    <w:p w:rsidR="00481167" w:rsidRDefault="00EB75B1" w:rsidP="00481167">
      <w:permStart w:id="1586842777" w:edGrp="everyone"/>
      <w:r w:rsidRPr="00EB75B1">
        <w:t xml:space="preserve">Consistent with the IOSCO principles, FTSE Russell has developed a strong governance framework. This framework allocates distinct responsibilities to several specialist bodies. Please see Appendix </w:t>
      </w:r>
      <w:r w:rsidR="00EF49A7">
        <w:t>B:</w:t>
      </w:r>
      <w:r w:rsidRPr="00EB75B1">
        <w:t xml:space="preserve"> FTSE Russell Organisation structure and </w:t>
      </w:r>
      <w:r w:rsidR="00EF49A7">
        <w:t>Appendix C</w:t>
      </w:r>
      <w:r w:rsidRPr="00EB75B1">
        <w:t>: FTSE Russell Index Governance. These bodies include:</w:t>
      </w:r>
    </w:p>
    <w:p w:rsidR="00EB75B1" w:rsidRPr="00E70CBF" w:rsidRDefault="00EB75B1" w:rsidP="00481167"/>
    <w:p w:rsidR="00E70CBF" w:rsidRPr="00E70CBF" w:rsidRDefault="00E70CBF" w:rsidP="00481167">
      <w:r w:rsidRPr="00E70CBF">
        <w:t xml:space="preserve">The FTSE Russell Governance Board: The Governance Board </w:t>
      </w:r>
      <w:r w:rsidR="007A0587" w:rsidRPr="007A0587">
        <w:t xml:space="preserve">is responsible for the approval of </w:t>
      </w:r>
      <w:r w:rsidR="007A0587">
        <w:t>all new index m</w:t>
      </w:r>
      <w:r w:rsidRPr="00E70CBF">
        <w:t>ethodologie</w:t>
      </w:r>
      <w:r w:rsidR="007A0587">
        <w:t xml:space="preserve">s and enhancements to existing methodologies. </w:t>
      </w:r>
      <w:r w:rsidRPr="00E70CBF">
        <w:t>The Governance Board reports to the LSEG Information Ser</w:t>
      </w:r>
      <w:r w:rsidR="00073525">
        <w:t>vices Management Team</w:t>
      </w:r>
      <w:r w:rsidRPr="00E70CBF">
        <w:t>.  To assist it in its work, the Governance Board is su</w:t>
      </w:r>
      <w:r w:rsidRPr="00E70CBF">
        <w:t>p</w:t>
      </w:r>
      <w:r w:rsidRPr="00E70CBF">
        <w:t xml:space="preserve">ported by working groups formed of knowledgeable and experienced employees.  These groups ensure that all new index methodologies, and changes to existing methodologies, can be implemented without incurring undue operational risk. </w:t>
      </w:r>
    </w:p>
    <w:p w:rsidR="00E70CBF" w:rsidRPr="00E70CBF" w:rsidRDefault="00E70CBF" w:rsidP="00481167"/>
    <w:p w:rsidR="00E70CBF" w:rsidRPr="00E70CBF" w:rsidRDefault="00E70CBF" w:rsidP="00481167">
      <w:r w:rsidRPr="00E70CBF">
        <w:t>External Advisory Committees: The external advisory committees are formed of senior, experienced market practitioners, clients and index users.  These bodies most closely resemble the single oversight function envisaged by the BMR.  However, as an Administrator cannot absolve itself of responsibility for a Benchmark, the role of the committees is purely advisory.  They act to challenge methodology proposals put forward by FTSE Russell, and their feedback is integral to the subsequent approval discussion at the FTSE Russell Governance Board.  The external advisory committees also help to mitigate any potential conflicts of interest.</w:t>
      </w:r>
    </w:p>
    <w:p w:rsidR="00E70CBF" w:rsidRDefault="00E70CBF" w:rsidP="00481167"/>
    <w:p w:rsidR="00E70CBF" w:rsidRDefault="00E70CBF" w:rsidP="00481167">
      <w:r>
        <w:t>The Audit, Risk and Compliance Committee (ARCC): The ARCC membership includes an Independent Non-Executive Director from the Board of FTSE International Ltd, and representatives from London Stock Exchange Group Risk and Compliance.  The ARCC is the appropriate body to receive and review reports from internal and external auditors, the FTSE Russell Compliance Officer, and the FTSE Russell Risk Officer.  The ARCC also reviews the conflicts of interest register.</w:t>
      </w:r>
    </w:p>
    <w:p w:rsidR="00E70CBF" w:rsidRDefault="00E70CBF" w:rsidP="00481167"/>
    <w:p w:rsidR="00E70CBF" w:rsidRPr="002D45BA" w:rsidRDefault="00E70CBF" w:rsidP="00481167">
      <w:r>
        <w:t xml:space="preserve">The Board of FTSE International Ltd: The Board retains ultimate responsibility for the strategy of FTSE International and </w:t>
      </w:r>
      <w:r w:rsidR="00EB75B1">
        <w:t>mitigates</w:t>
      </w:r>
      <w:r>
        <w:t xml:space="preserve"> conflicts of interests that might arise by virtue of the ownership of FTSE Ru</w:t>
      </w:r>
      <w:r>
        <w:t>s</w:t>
      </w:r>
      <w:r>
        <w:t xml:space="preserve">sell by a Group that includes trading venues amongst its interests.   The Board includes independent Non-Executive Directors.  </w:t>
      </w:r>
    </w:p>
    <w:p w:rsidR="00E70CBF" w:rsidRPr="002D45BA" w:rsidRDefault="00E70CBF" w:rsidP="00481167"/>
    <w:p w:rsidR="00E70CBF" w:rsidRDefault="00E70CBF" w:rsidP="009A2624">
      <w:r w:rsidRPr="002D45BA">
        <w:t>Th</w:t>
      </w:r>
      <w:r>
        <w:t>is oversight</w:t>
      </w:r>
      <w:r w:rsidRPr="002D45BA">
        <w:t xml:space="preserve"> framework ensures that FTSE Russell indexes continue to reflect the requirements of users and other stakeholders.</w:t>
      </w:r>
    </w:p>
    <w:permEnd w:id="1586842777"/>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E70CBF" w:rsidRDefault="00EB75B1" w:rsidP="00E70CBF">
      <w:permStart w:id="541079532" w:edGrp="everyone"/>
      <w:r w:rsidRPr="00EB75B1">
        <w:t>As per our answer to Q8, we believe that index oversight may require more than one specialist body to be responsible for different aspects of the oversight function.   The diffe</w:t>
      </w:r>
      <w:r>
        <w:t>rent bodies facilitate FTSE Rus</w:t>
      </w:r>
      <w:r w:rsidRPr="00EB75B1">
        <w:t>sell’s compliance with the distinct requirements of the IOSCO Princ</w:t>
      </w:r>
      <w:r>
        <w:t>iples and the forthcoming BMR.</w:t>
      </w:r>
    </w:p>
    <w:p w:rsidR="00E70CBF" w:rsidRDefault="00E70CBF" w:rsidP="00E70CBF"/>
    <w:p w:rsidR="009A2624" w:rsidRDefault="00E70CBF" w:rsidP="00E70CBF">
      <w:r>
        <w:t>Although the FTSE Russell Governance Board retains ultimate authority on all index methodologies, it relies on advisory committees to provide specialised advice regarding proposals for methodology e</w:t>
      </w:r>
      <w:r>
        <w:t>n</w:t>
      </w:r>
      <w:r>
        <w:t>hancements.  Typically different committees are required for different asset classes, and even within asset classes, regional expertise is also required.</w:t>
      </w:r>
      <w:r w:rsidR="00073525">
        <w:t xml:space="preserve"> Please see the Appendix </w:t>
      </w:r>
      <w:r w:rsidR="00EF49A7">
        <w:t>B:</w:t>
      </w:r>
      <w:r w:rsidR="00073525" w:rsidRPr="002D45BA">
        <w:t xml:space="preserve"> FTSE</w:t>
      </w:r>
      <w:r w:rsidR="00073525">
        <w:t xml:space="preserve"> Russell Organisation structure and </w:t>
      </w:r>
      <w:r w:rsidR="00EF49A7">
        <w:t>Appendix C</w:t>
      </w:r>
      <w:r w:rsidR="00073525" w:rsidRPr="002D45BA">
        <w:t>:</w:t>
      </w:r>
      <w:r w:rsidR="00073525">
        <w:t xml:space="preserve"> FTSE Russell Index Governance.</w:t>
      </w:r>
    </w:p>
    <w:permEnd w:id="541079532"/>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lastRenderedPageBreak/>
        <w:t xml:space="preserve">sary for an oversight function to have sub-functions, to account for the different needs of different types of benchmarks? </w:t>
      </w:r>
    </w:p>
    <w:p w:rsidR="009A2624" w:rsidRDefault="009A2624" w:rsidP="009A2624">
      <w:r>
        <w:t>&lt;ESMA_QUESTION_DP_BMR_10&gt;</w:t>
      </w:r>
    </w:p>
    <w:p w:rsidR="00E70CBF" w:rsidRDefault="00EB75B1" w:rsidP="009A2624">
      <w:permStart w:id="713909478" w:edGrp="everyone"/>
      <w:r w:rsidRPr="00EB75B1">
        <w:t>As described in our answers to the preceding questions, we believe that the oversight function is likely best exercised through several bodies.</w:t>
      </w:r>
    </w:p>
    <w:permEnd w:id="713909478"/>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C66CB3" w:rsidRPr="00C66CB3" w:rsidRDefault="00C66CB3" w:rsidP="00C66CB3">
      <w:permStart w:id="1431116232" w:edGrp="everyone"/>
      <w:r w:rsidRPr="00C66CB3">
        <w:t>No. Whilst we agree that the BMR should be implemented in a proportionate manner, we firmly believe that all benchmarks should be administered to the same overall standard in terms of oversight.</w:t>
      </w:r>
    </w:p>
    <w:p w:rsidR="009A2624" w:rsidRDefault="00C66CB3" w:rsidP="009A2624">
      <w:r w:rsidRPr="00C66CB3">
        <w:t xml:space="preserve">We do not envisage separate oversight functions for critical, significant and non-significant benchmarks. </w:t>
      </w:r>
      <w:permEnd w:id="1431116232"/>
      <w:r w:rsidR="009A2624">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6D635A" w:rsidRDefault="00E77F3E" w:rsidP="009A2624">
      <w:permStart w:id="509034604" w:edGrp="everyone"/>
      <w:r>
        <w:t xml:space="preserve">Contributors should be prevented from participating in oversight if their presence would constitute </w:t>
      </w:r>
      <w:r w:rsidR="002733C0">
        <w:t>a pote</w:t>
      </w:r>
      <w:r w:rsidR="002733C0">
        <w:t>n</w:t>
      </w:r>
      <w:r w:rsidR="002733C0">
        <w:t>tial conflict of inter</w:t>
      </w:r>
      <w:r>
        <w:t xml:space="preserve">est, for example </w:t>
      </w:r>
      <w:r w:rsidR="00391868">
        <w:t>if they wished</w:t>
      </w:r>
      <w:r>
        <w:t xml:space="preserve"> to include</w:t>
      </w:r>
      <w:r w:rsidR="002733C0">
        <w:t xml:space="preserve"> certain instrument types that would not be desired by the users of the indices, nor appropriate for the end investors to hold.  However, we recognise that the views of contributors are important and their views </w:t>
      </w:r>
      <w:r>
        <w:t xml:space="preserve">should be </w:t>
      </w:r>
      <w:r w:rsidR="00C66CB3">
        <w:t>sought</w:t>
      </w:r>
      <w:r w:rsidR="002733C0">
        <w:t xml:space="preserve"> </w:t>
      </w:r>
      <w:r>
        <w:t>separately</w:t>
      </w:r>
      <w:r w:rsidR="002733C0">
        <w:t>.</w:t>
      </w:r>
    </w:p>
    <w:permEnd w:id="509034604"/>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t>&lt;ESMA_QUESTION_DP_BMR_13&gt;</w:t>
      </w:r>
    </w:p>
    <w:p w:rsidR="006D635A" w:rsidRDefault="00971B2D" w:rsidP="009A2624">
      <w:permStart w:id="2124691686" w:edGrp="everyone"/>
      <w:r>
        <w:t>We see</w:t>
      </w:r>
      <w:r w:rsidR="006D635A">
        <w:t xml:space="preserve"> good governance as essential to the administration of </w:t>
      </w:r>
      <w:r w:rsidR="00C66CB3">
        <w:t>our</w:t>
      </w:r>
      <w:r w:rsidR="006D635A">
        <w:t xml:space="preserve"> business.  In a highly competitive market place, good governance is </w:t>
      </w:r>
      <w:r w:rsidR="00E77F3E">
        <w:t xml:space="preserve">a </w:t>
      </w:r>
      <w:r w:rsidR="006D635A">
        <w:t xml:space="preserve">key element of the </w:t>
      </w:r>
      <w:r w:rsidR="00666C33">
        <w:t>FTSE Russell value proposition</w:t>
      </w:r>
      <w:r w:rsidR="006D635A">
        <w:t>.</w:t>
      </w:r>
    </w:p>
    <w:permEnd w:id="2124691686"/>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6D635A" w:rsidRPr="002D45BA" w:rsidRDefault="006D635A" w:rsidP="006D635A">
      <w:permStart w:id="128787641" w:edGrp="everyone"/>
      <w:r>
        <w:t xml:space="preserve">As described above, </w:t>
      </w:r>
      <w:r w:rsidR="00971B2D">
        <w:t>we make</w:t>
      </w:r>
      <w:r>
        <w:t xml:space="preserve"> extensive use of practitioner committees to advise it on methodology i</w:t>
      </w:r>
      <w:r>
        <w:t>s</w:t>
      </w:r>
      <w:r>
        <w:t>sues.  These committees are entirely advisory and do not oversee the business decisions of the company.   However, the company cannot absolve itself of its responsibility towards users of the benchmarks it a</w:t>
      </w:r>
      <w:r>
        <w:t>d</w:t>
      </w:r>
      <w:r>
        <w:t>ministers, and other aspects of the oversight function including the FTSE Russell Governance Board, the ARCC and the Board of FTSE International Ltd do oversee business decisions.</w:t>
      </w:r>
      <w:r w:rsidR="00D80FD1">
        <w:t xml:space="preserve"> Please see the Appendix </w:t>
      </w:r>
      <w:r w:rsidR="00EF49A7">
        <w:t>B:</w:t>
      </w:r>
      <w:r w:rsidR="00D80FD1" w:rsidRPr="002D45BA">
        <w:t xml:space="preserve"> FTSE</w:t>
      </w:r>
      <w:r w:rsidR="00D80FD1">
        <w:t xml:space="preserve"> Russell Organisation structure and </w:t>
      </w:r>
      <w:r w:rsidR="00EF49A7">
        <w:t>Appendix C</w:t>
      </w:r>
      <w:r w:rsidR="00D80FD1" w:rsidRPr="002D45BA">
        <w:t>:</w:t>
      </w:r>
      <w:r w:rsidR="00D80FD1">
        <w:t xml:space="preserve"> FTSE Russell Index Governance.</w:t>
      </w:r>
    </w:p>
    <w:permEnd w:id="128787641"/>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lastRenderedPageBreak/>
        <w:t>&lt;ESMA_QUESTION_DP_BMR_15&gt;</w:t>
      </w:r>
    </w:p>
    <w:p w:rsidR="00C30611" w:rsidRDefault="00C30611" w:rsidP="009A2624">
      <w:permStart w:id="524689687" w:edGrp="everyone"/>
      <w:r>
        <w:t>We agree that certain aspects of the oversight function should be embedded in the organisational stru</w:t>
      </w:r>
      <w:r>
        <w:t>c</w:t>
      </w:r>
      <w:r>
        <w:t>ture.  As described above, the FTSE Russell Governance Board has ultimate responsibility for benchmark methodologies and this body is appropriately embedded in the organisation.  Similarly, the ARCC is an explicit part of our governance framework, and this too is embedded in the organisational structure.  However, the external advisory committees are deliberately separate from the organisation so they can provide independent oversight and advice.</w:t>
      </w:r>
      <w:r w:rsidR="00D80FD1">
        <w:t xml:space="preserve"> Please see Appendix </w:t>
      </w:r>
      <w:r w:rsidR="00EF49A7">
        <w:t>B:</w:t>
      </w:r>
      <w:r w:rsidR="00D80FD1" w:rsidRPr="002D45BA">
        <w:t xml:space="preserve"> FTSE</w:t>
      </w:r>
      <w:r w:rsidR="00D80FD1">
        <w:t xml:space="preserve"> Russell Organisation structure and </w:t>
      </w:r>
      <w:r w:rsidR="00EF49A7">
        <w:t>Appendix C</w:t>
      </w:r>
      <w:r w:rsidR="00D80FD1" w:rsidRPr="002D45BA">
        <w:t>:</w:t>
      </w:r>
      <w:r w:rsidR="00D80FD1">
        <w:t xml:space="preserve"> FTSE Russell Index Governance.</w:t>
      </w:r>
    </w:p>
    <w:permEnd w:id="524689687"/>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C30611" w:rsidRDefault="00C30611" w:rsidP="009A2624">
      <w:permStart w:id="972386039" w:edGrp="everyone"/>
      <w:r w:rsidRPr="002D45BA">
        <w:t xml:space="preserve">See our answers to </w:t>
      </w:r>
      <w:r w:rsidR="00C66CB3">
        <w:t>Questions</w:t>
      </w:r>
      <w:r w:rsidRPr="002D45BA">
        <w:t xml:space="preserve"> 14</w:t>
      </w:r>
      <w:r>
        <w:t xml:space="preserve"> – 15 and the attached description of our governance framework in Appendix</w:t>
      </w:r>
      <w:r w:rsidR="00D80FD1">
        <w:t xml:space="preserve"> </w:t>
      </w:r>
      <w:r w:rsidR="00EF49A7">
        <w:t>B:</w:t>
      </w:r>
      <w:r w:rsidR="00D80FD1" w:rsidRPr="002D45BA">
        <w:t xml:space="preserve"> FTSE</w:t>
      </w:r>
      <w:r w:rsidR="00D80FD1">
        <w:t xml:space="preserve"> Russell Organisation structure and </w:t>
      </w:r>
      <w:r w:rsidR="00EF49A7">
        <w:t>Appendix C</w:t>
      </w:r>
      <w:r w:rsidR="00D80FD1" w:rsidRPr="002D45BA">
        <w:t>:</w:t>
      </w:r>
      <w:r w:rsidR="00D80FD1">
        <w:t xml:space="preserve"> FTSE Russell Index Governance</w:t>
      </w:r>
      <w:r>
        <w:t>.</w:t>
      </w:r>
    </w:p>
    <w:permEnd w:id="972386039"/>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C30611" w:rsidRDefault="00971B2D" w:rsidP="009A2624">
      <w:permStart w:id="1917789635" w:edGrp="everyone"/>
      <w:r>
        <w:t>We look</w:t>
      </w:r>
      <w:r w:rsidR="00C30611">
        <w:t xml:space="preserve"> to ensure that </w:t>
      </w:r>
      <w:r w:rsidR="00E77F3E">
        <w:t>all</w:t>
      </w:r>
      <w:r w:rsidR="00C30611">
        <w:t xml:space="preserve"> external advisory committees are appropriately constituted with letters of a</w:t>
      </w:r>
      <w:r w:rsidR="00C30611">
        <w:t>p</w:t>
      </w:r>
      <w:r w:rsidR="00C30611">
        <w:t>pointment for members and published terms of reference</w:t>
      </w:r>
      <w:r w:rsidR="003D1997">
        <w:t>.</w:t>
      </w:r>
      <w:r w:rsidR="00C30611">
        <w:t xml:space="preserve"> Members are invited to join by FTSE Russell and any conflicts of interest must be declared before particular agenda items are debated.</w:t>
      </w:r>
      <w:r w:rsidR="003D1997">
        <w:t xml:space="preserve"> We do not</w:t>
      </w:r>
      <w:r w:rsidR="00C30611">
        <w:t xml:space="preserve"> publish </w:t>
      </w:r>
      <w:r w:rsidR="003D1997">
        <w:t>members’ nam</w:t>
      </w:r>
      <w:r w:rsidR="00C30611">
        <w:t>es as to do so could encourage lobbying, for example by potential constituent companies or their advisors</w:t>
      </w:r>
      <w:r w:rsidR="003D1997">
        <w:t xml:space="preserve">. </w:t>
      </w:r>
      <w:r w:rsidR="00C30611">
        <w:t xml:space="preserve">We </w:t>
      </w:r>
      <w:r w:rsidR="003D1997">
        <w:t>urge</w:t>
      </w:r>
      <w:r w:rsidR="00C30611">
        <w:t xml:space="preserve"> </w:t>
      </w:r>
      <w:r w:rsidR="003D1997">
        <w:t>ESMA</w:t>
      </w:r>
      <w:r w:rsidR="00C30611">
        <w:t xml:space="preserve"> </w:t>
      </w:r>
      <w:r w:rsidR="003D1997">
        <w:t xml:space="preserve">to </w:t>
      </w:r>
      <w:r w:rsidR="00C30611">
        <w:t xml:space="preserve">withdraw </w:t>
      </w:r>
      <w:r w:rsidR="003D1997">
        <w:t>this</w:t>
      </w:r>
      <w:r w:rsidR="00C30611">
        <w:t xml:space="preserve"> require</w:t>
      </w:r>
      <w:r w:rsidR="003D1997">
        <w:t>ment</w:t>
      </w:r>
      <w:r w:rsidR="00C30611">
        <w:t xml:space="preserve"> from the oversight procedures.</w:t>
      </w:r>
    </w:p>
    <w:permEnd w:id="1917789635"/>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C30611" w:rsidRPr="002D45BA" w:rsidRDefault="003D1997" w:rsidP="00C30611">
      <w:permStart w:id="836701305" w:edGrp="everyone"/>
      <w:r>
        <w:t xml:space="preserve">We agree. </w:t>
      </w:r>
      <w:r w:rsidR="00A652AB">
        <w:t>As per our answer</w:t>
      </w:r>
      <w:r w:rsidR="00C30611">
        <w:t xml:space="preserve"> to the previous que</w:t>
      </w:r>
      <w:r w:rsidR="00A652AB">
        <w:t>stion</w:t>
      </w:r>
      <w:r w:rsidR="00C30611">
        <w:t>, the terms of appointment of all committee me</w:t>
      </w:r>
      <w:r w:rsidR="00C30611">
        <w:t>m</w:t>
      </w:r>
      <w:r w:rsidR="00C30611">
        <w:t>bers require members to disclose any conflicts ahead of the discussion of the relevant agenda item.</w:t>
      </w:r>
    </w:p>
    <w:permEnd w:id="836701305"/>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F730DD" w:rsidRDefault="00F730DD" w:rsidP="00F730DD">
      <w:pPr>
        <w:autoSpaceDE w:val="0"/>
        <w:autoSpaceDN w:val="0"/>
        <w:adjustRightInd w:val="0"/>
      </w:pPr>
      <w:permStart w:id="1982426158" w:edGrp="everyone"/>
      <w:r w:rsidRPr="002D45BA">
        <w:t xml:space="preserve">We are </w:t>
      </w:r>
      <w:r>
        <w:t>concerned</w:t>
      </w:r>
      <w:r w:rsidRPr="002D45BA">
        <w:t xml:space="preserve"> that the requirements listed by ESMA </w:t>
      </w:r>
      <w:r>
        <w:t>could</w:t>
      </w:r>
      <w:r w:rsidRPr="002D45BA">
        <w:t xml:space="preserve"> discourage contributors from contributing the data. </w:t>
      </w:r>
      <w:r>
        <w:t xml:space="preserve"> </w:t>
      </w:r>
    </w:p>
    <w:p w:rsidR="00F730DD" w:rsidRDefault="00F730DD" w:rsidP="00F730DD">
      <w:pPr>
        <w:autoSpaceDE w:val="0"/>
        <w:autoSpaceDN w:val="0"/>
        <w:adjustRightInd w:val="0"/>
      </w:pPr>
    </w:p>
    <w:p w:rsidR="00F730DD" w:rsidRDefault="00F730DD" w:rsidP="00F730DD">
      <w:pPr>
        <w:autoSpaceDE w:val="0"/>
        <w:autoSpaceDN w:val="0"/>
        <w:adjustRightInd w:val="0"/>
      </w:pPr>
      <w:r>
        <w:t>Although the requirements might be considered sensible and proportionate for a critical benchmark such as LIBOR where there relatively few rates to be constructed and relatively few inputs, they are not propo</w:t>
      </w:r>
      <w:r>
        <w:t>r</w:t>
      </w:r>
      <w:r>
        <w:t xml:space="preserve">tionate for broader fixed income indices where contributors may be contributing quotations for thousands of instruments to enable the construction of benchmarks with hundreds if not thousands of constituents.  </w:t>
      </w:r>
    </w:p>
    <w:p w:rsidR="00F730DD" w:rsidRDefault="00F730DD" w:rsidP="00F730DD">
      <w:pPr>
        <w:autoSpaceDE w:val="0"/>
        <w:autoSpaceDN w:val="0"/>
        <w:adjustRightInd w:val="0"/>
      </w:pPr>
    </w:p>
    <w:p w:rsidR="00F730DD" w:rsidRDefault="0061162A" w:rsidP="00F730DD">
      <w:pPr>
        <w:autoSpaceDE w:val="0"/>
        <w:autoSpaceDN w:val="0"/>
        <w:adjustRightInd w:val="0"/>
      </w:pPr>
      <w:r>
        <w:lastRenderedPageBreak/>
        <w:t>ESMA should bear</w:t>
      </w:r>
      <w:r w:rsidR="00F730DD">
        <w:t xml:space="preserve"> in mind that contributions might not be limited to dealer quotations as seems to be envisaged in the </w:t>
      </w:r>
      <w:r w:rsidR="009B663E">
        <w:t>Discussion Paper</w:t>
      </w:r>
      <w:r w:rsidR="00F730DD">
        <w:t>, but</w:t>
      </w:r>
      <w:r w:rsidR="00391868">
        <w:t xml:space="preserve">, as per our introductory remarks, </w:t>
      </w:r>
      <w:r w:rsidR="00F730DD">
        <w:t xml:space="preserve"> could </w:t>
      </w:r>
      <w:r w:rsidR="009B663E">
        <w:t>also</w:t>
      </w:r>
      <w:r w:rsidR="00F730DD">
        <w:t xml:space="preserve"> encompass other, non-price related inputs that are not readily available to the administrator.  The significance of these other types of contributions will vary according to the asset class or economic reality that the benchmark is seeking to measure.   Further, in many such cases, the administrator would have no ability to require such reports from the provider.</w:t>
      </w:r>
    </w:p>
    <w:p w:rsidR="00F730DD" w:rsidRDefault="00F730DD" w:rsidP="00F730DD">
      <w:pPr>
        <w:autoSpaceDE w:val="0"/>
        <w:autoSpaceDN w:val="0"/>
        <w:adjustRightInd w:val="0"/>
      </w:pPr>
    </w:p>
    <w:p w:rsidR="00F730DD" w:rsidRPr="002D45BA" w:rsidRDefault="00F730DD" w:rsidP="00F730DD">
      <w:pPr>
        <w:autoSpaceDE w:val="0"/>
        <w:autoSpaceDN w:val="0"/>
        <w:adjustRightInd w:val="0"/>
      </w:pPr>
      <w:r>
        <w:t>We therefore suggest that a prescriptive, one size fits all, list of requirements should be avoided.</w:t>
      </w:r>
    </w:p>
    <w:permEnd w:id="1982426158"/>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F730DD" w:rsidRDefault="00F730DD" w:rsidP="00666C33">
      <w:permStart w:id="776754679" w:edGrp="everyone"/>
      <w:r>
        <w:t xml:space="preserve">The transmission of an extensive set of records on a weekly basis will likely be resisted by contributors to broad benchmarks and could even catalyse their withdrawal from the process.  </w:t>
      </w:r>
      <w:r w:rsidRPr="002D45BA">
        <w:t xml:space="preserve">This would have </w:t>
      </w:r>
      <w:r>
        <w:t xml:space="preserve">a serious </w:t>
      </w:r>
      <w:r w:rsidRPr="002D45BA">
        <w:t>negative impact on the whole determination process, the quality of benchmarks produced</w:t>
      </w:r>
      <w:r>
        <w:t>,</w:t>
      </w:r>
      <w:r w:rsidRPr="002D45BA">
        <w:t xml:space="preserve"> and finally on the end users</w:t>
      </w:r>
      <w:r>
        <w:t xml:space="preserve"> who will ultimately be denied access to low cost, index-based investment products</w:t>
      </w:r>
      <w:r w:rsidRPr="002D45BA">
        <w:t>.</w:t>
      </w:r>
      <w:r>
        <w:t xml:space="preserve">  </w:t>
      </w:r>
    </w:p>
    <w:p w:rsidR="00F730DD" w:rsidRDefault="00F730DD" w:rsidP="00666C33"/>
    <w:p w:rsidR="00F730DD" w:rsidRDefault="00F730DD" w:rsidP="009A2624">
      <w:r>
        <w:t>We therefore firmly believe that the administrator should retain the authority to determine the procedures for verifying the reliability of the contributed data.  This will allow the procedures to be tailored to the nature of the benchmark.</w:t>
      </w:r>
    </w:p>
    <w:permEnd w:id="776754679"/>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CE59F0" w:rsidRDefault="0061162A" w:rsidP="009A2624">
      <w:permStart w:id="1862231406" w:edGrp="everyone"/>
      <w:r>
        <w:t>I</w:t>
      </w:r>
      <w:r w:rsidRPr="004D690E">
        <w:t xml:space="preserve">t should be up to administrators to determine the key </w:t>
      </w:r>
      <w:r>
        <w:t>criteria when</w:t>
      </w:r>
      <w:r w:rsidRPr="004D690E">
        <w:t xml:space="preserve"> determin</w:t>
      </w:r>
      <w:r>
        <w:t xml:space="preserve">ing the </w:t>
      </w:r>
      <w:r w:rsidRPr="004D690E">
        <w:t>appropriateness</w:t>
      </w:r>
      <w:r>
        <w:t xml:space="preserve"> of input data</w:t>
      </w:r>
      <w:r w:rsidRPr="004D690E">
        <w:t>.</w:t>
      </w:r>
      <w:r>
        <w:t xml:space="preserve"> </w:t>
      </w:r>
      <w:r w:rsidR="00F730DD">
        <w:t>We</w:t>
      </w:r>
      <w:r w:rsidR="00F730DD" w:rsidRPr="004D690E">
        <w:t xml:space="preserve"> agree with the concept of the appropriateness requirement</w:t>
      </w:r>
      <w:r w:rsidR="00F730DD">
        <w:t>.  However, we reiterate that as currently defined in the BMR, contributed data can take many forms and will not necessarily be limited to quotations or transaction reports for illiquid securities.  For this reason, we believe that a prescriptive list of criteria will be counterproductive.</w:t>
      </w:r>
    </w:p>
    <w:permEnd w:id="1862231406"/>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F730DD" w:rsidRDefault="00F730DD" w:rsidP="009A2624">
      <w:permStart w:id="875787529" w:edGrp="everyone"/>
      <w:r w:rsidRPr="004D690E">
        <w:t xml:space="preserve">No. </w:t>
      </w:r>
      <w:r>
        <w:t>The appropriateness criteria will vary according to the nature and type of the input data</w:t>
      </w:r>
      <w:r w:rsidRPr="004D690E">
        <w:t>.</w:t>
      </w:r>
    </w:p>
    <w:permEnd w:id="875787529"/>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CE59F0" w:rsidRDefault="00F730DD" w:rsidP="009A2624">
      <w:permStart w:id="1263158114" w:edGrp="everyone"/>
      <w:r>
        <w:t>No. The Administrator should be able to determine whether such record keeping is necessary and fit for purpose.</w:t>
      </w:r>
    </w:p>
    <w:permEnd w:id="1263158114"/>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lastRenderedPageBreak/>
        <w:t>&lt;ESMA_QUESTION_DP_BMR_24&gt;</w:t>
      </w:r>
    </w:p>
    <w:p w:rsidR="00F730DD" w:rsidRPr="004D690E" w:rsidRDefault="00F730DD" w:rsidP="00F730DD">
      <w:permStart w:id="1312827392" w:edGrp="everyone"/>
      <w:r w:rsidRPr="004D690E">
        <w:t>No. We are not proposing other possible measures to ensure verif</w:t>
      </w:r>
      <w:r>
        <w:t>iability of input data.</w:t>
      </w:r>
    </w:p>
    <w:permEnd w:id="1312827392"/>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F730DD" w:rsidRDefault="00F730DD" w:rsidP="00F730DD">
      <w:permStart w:id="1667049343" w:edGrp="everyone"/>
      <w:r>
        <w:t>The concepts are sensible in those cases where input data consists of value estimates or quotations for illiquid securities.  However,</w:t>
      </w:r>
      <w:r w:rsidR="002C4C9A">
        <w:t xml:space="preserve"> as currently drafted,</w:t>
      </w:r>
      <w:r>
        <w:t xml:space="preserve"> input data could also be construed as data that is used to calculate the appropriate weight of a constituent in a benchmark and therefore not related to the constit</w:t>
      </w:r>
      <w:r>
        <w:t>u</w:t>
      </w:r>
      <w:r>
        <w:t>ent’s value.  In such cases, the concepts</w:t>
      </w:r>
      <w:r w:rsidR="009B663E">
        <w:t xml:space="preserve"> </w:t>
      </w:r>
      <w:r w:rsidR="009B663E" w:rsidRPr="009B663E">
        <w:t xml:space="preserve">of evaluation, validation and verifiability will </w:t>
      </w:r>
      <w:r>
        <w:t>likely not be appr</w:t>
      </w:r>
      <w:r>
        <w:t>o</w:t>
      </w:r>
      <w:r>
        <w:t>priate.</w:t>
      </w:r>
    </w:p>
    <w:permEnd w:id="1667049343"/>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A652AB" w:rsidRDefault="009B663E" w:rsidP="00F730DD">
      <w:permStart w:id="923610232" w:edGrp="everyone"/>
      <w:r w:rsidRPr="009B663E">
        <w:t xml:space="preserve">Our previous statement around the potential for different types of input data also applies to this question. As defined, input data may not be price or value related, and could be sourced from specialist vendors over which the administrator has no control. </w:t>
      </w:r>
    </w:p>
    <w:p w:rsidR="00A652AB" w:rsidRDefault="00A652AB" w:rsidP="00F730DD"/>
    <w:p w:rsidR="00F730DD" w:rsidRPr="004D690E" w:rsidRDefault="00A652AB" w:rsidP="00F730DD">
      <w:r>
        <w:t>We</w:t>
      </w:r>
      <w:r w:rsidR="009B663E" w:rsidRPr="009B663E">
        <w:t xml:space="preserve"> believe that contributors may be better placed to answer th</w:t>
      </w:r>
      <w:r w:rsidR="009B663E">
        <w:t>e question on training of staff</w:t>
      </w:r>
      <w:r w:rsidR="00A669EC" w:rsidRPr="004D690E">
        <w:t>.</w:t>
      </w:r>
    </w:p>
    <w:permEnd w:id="923610232"/>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F730DD" w:rsidRPr="004D690E" w:rsidRDefault="00F730DD" w:rsidP="00F730DD">
      <w:permStart w:id="461118078" w:edGrp="everyone"/>
      <w:r w:rsidRPr="004D690E">
        <w:t>Yes</w:t>
      </w:r>
      <w:r>
        <w:t xml:space="preserve">.  </w:t>
      </w:r>
      <w:r w:rsidRPr="004D690E">
        <w:t xml:space="preserve">We believe that such system </w:t>
      </w:r>
      <w:r w:rsidR="00C35020" w:rsidRPr="00C35020">
        <w:t xml:space="preserve">provides strong and efficient oversight of </w:t>
      </w:r>
      <w:r w:rsidR="00A652AB">
        <w:t>the effectiveness of</w:t>
      </w:r>
      <w:r w:rsidR="00A652AB" w:rsidRPr="00C35020">
        <w:t xml:space="preserve"> internal</w:t>
      </w:r>
      <w:r w:rsidR="00C35020" w:rsidRPr="00C35020">
        <w:t xml:space="preserve"> control</w:t>
      </w:r>
      <w:r w:rsidR="00CE59F0">
        <w:t xml:space="preserve"> in place. </w:t>
      </w:r>
      <w:r>
        <w:t xml:space="preserve">As part of the London Stock Exchange Group, </w:t>
      </w:r>
      <w:r w:rsidRPr="004D690E">
        <w:t xml:space="preserve">FTSE Russell </w:t>
      </w:r>
      <w:r>
        <w:t>adheres to the</w:t>
      </w:r>
      <w:r w:rsidRPr="004D690E">
        <w:t xml:space="preserve"> three lines</w:t>
      </w:r>
      <w:r>
        <w:t xml:space="preserve"> of</w:t>
      </w:r>
      <w:r w:rsidRPr="004D690E">
        <w:t xml:space="preserve"> defence </w:t>
      </w:r>
      <w:r w:rsidR="00A652AB">
        <w:t>principle</w:t>
      </w:r>
      <w:r w:rsidRPr="004D690E">
        <w:t xml:space="preserve">, which requires us to comply with the policies, minimum standards and risk management principles </w:t>
      </w:r>
      <w:r w:rsidR="009B663E">
        <w:t>and allow managing</w:t>
      </w:r>
      <w:r w:rsidRPr="004D690E">
        <w:t xml:space="preserve"> risks within </w:t>
      </w:r>
      <w:r w:rsidR="00A652AB">
        <w:t xml:space="preserve">LSEG </w:t>
      </w:r>
      <w:r w:rsidRPr="004D690E">
        <w:t>risk appetite</w:t>
      </w:r>
      <w:r w:rsidR="009B663E">
        <w:t>.</w:t>
      </w:r>
    </w:p>
    <w:permEnd w:id="461118078"/>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F730DD" w:rsidRPr="004D690E" w:rsidRDefault="00C35020" w:rsidP="00F730DD">
      <w:permStart w:id="1903036482" w:edGrp="everyone"/>
      <w:r>
        <w:t>No. W</w:t>
      </w:r>
      <w:r w:rsidR="00F730DD" w:rsidRPr="004D690E">
        <w:t>e do not identify any additional elements. As a general principle, we encourage ESMA to keep in mind the principle of proportionality wh</w:t>
      </w:r>
      <w:r w:rsidR="00F730DD">
        <w:t>en</w:t>
      </w:r>
      <w:r w:rsidR="00F730DD" w:rsidRPr="004D690E">
        <w:t xml:space="preserve"> designing the rules</w:t>
      </w:r>
      <w:r w:rsidR="00F730DD">
        <w:t xml:space="preserve">.  </w:t>
      </w:r>
    </w:p>
    <w:permEnd w:id="1903036482"/>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F730DD" w:rsidRPr="004D690E" w:rsidRDefault="00C35020" w:rsidP="00F730DD">
      <w:permStart w:id="507072894" w:edGrp="everyone"/>
      <w:r w:rsidRPr="00C35020">
        <w:t>We share industry’s concerns that highly prescriptive measures could dissuade contributors from contin</w:t>
      </w:r>
      <w:r w:rsidRPr="00C35020">
        <w:t>u</w:t>
      </w:r>
      <w:r w:rsidRPr="00C35020">
        <w:t>ing to participate in a benchmark. This could undermine the benchmark’s ability to measure the underlying market.</w:t>
      </w:r>
    </w:p>
    <w:permEnd w:id="507072894"/>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lastRenderedPageBreak/>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F730DD" w:rsidRPr="004D690E" w:rsidRDefault="009F63D1" w:rsidP="00F730DD">
      <w:permStart w:id="1785079866" w:edGrp="everyone"/>
      <w:r>
        <w:t xml:space="preserve">Yes. </w:t>
      </w:r>
      <w:r w:rsidR="00F730DD" w:rsidRPr="004D690E">
        <w:t xml:space="preserve">We agree that additional appropriate measures to ensure </w:t>
      </w:r>
      <w:r w:rsidR="002C4C9A">
        <w:t xml:space="preserve">the </w:t>
      </w:r>
      <w:r w:rsidR="00F730DD" w:rsidRPr="004D690E">
        <w:t xml:space="preserve">verifiability of input </w:t>
      </w:r>
      <w:r w:rsidR="002C4C9A">
        <w:t xml:space="preserve">data </w:t>
      </w:r>
      <w:r w:rsidR="00F730DD" w:rsidRPr="004D690E">
        <w:t>could be required where expert judgement is relied on and/or discretion is used</w:t>
      </w:r>
      <w:r w:rsidR="00F730DD">
        <w:t>.</w:t>
      </w:r>
    </w:p>
    <w:permEnd w:id="1785079866"/>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F730DD" w:rsidRPr="004D690E" w:rsidRDefault="00F730DD" w:rsidP="00F730DD">
      <w:permStart w:id="1147734488" w:edGrp="everyone"/>
      <w:r w:rsidRPr="004D690E">
        <w:t xml:space="preserve">We generally agree with the list of measures for which </w:t>
      </w:r>
      <w:r w:rsidR="00C35020" w:rsidRPr="00C35020">
        <w:t>differentiation may be applied</w:t>
      </w:r>
      <w:r w:rsidRPr="004D690E">
        <w:t xml:space="preserve">. We are pleased that ESMA recognizes differentiation in the case of supervised contributors. </w:t>
      </w:r>
      <w:r>
        <w:t xml:space="preserve"> However, w</w:t>
      </w:r>
      <w:r w:rsidRPr="004D690E">
        <w:t>e encourage ESMA to rely on existing supervisory mechanisms to evaluate the effectiv</w:t>
      </w:r>
      <w:r w:rsidR="00C35020">
        <w:t>eness of a contributor’s organis</w:t>
      </w:r>
      <w:r w:rsidRPr="004D690E">
        <w:t>ation rather than creati</w:t>
      </w:r>
      <w:r>
        <w:t>ng new regulatory requirements.</w:t>
      </w:r>
    </w:p>
    <w:permEnd w:id="1147734488"/>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F730DD" w:rsidRPr="004D690E" w:rsidRDefault="009F63D1" w:rsidP="00F730DD">
      <w:permStart w:id="1790459560" w:edGrp="everyone"/>
      <w:r>
        <w:t xml:space="preserve">Yes. </w:t>
      </w:r>
      <w:r w:rsidR="00F730DD" w:rsidRPr="004D690E">
        <w:t>We agree with the proposed list.</w:t>
      </w:r>
    </w:p>
    <w:permEnd w:id="1790459560"/>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FD483D" w:rsidRDefault="009F63D1" w:rsidP="009A2624">
      <w:permStart w:id="367875031" w:edGrp="everyone"/>
      <w:r>
        <w:t xml:space="preserve">Yes. </w:t>
      </w:r>
      <w:r w:rsidR="00FD483D" w:rsidRPr="004D690E">
        <w:t>W</w:t>
      </w:r>
      <w:r w:rsidR="00FD483D">
        <w:t>e agree with the proposed list.</w:t>
      </w:r>
    </w:p>
    <w:permEnd w:id="367875031"/>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6F7E41" w:rsidRDefault="00FD483D" w:rsidP="00666C33">
      <w:permStart w:id="672616116" w:edGrp="everyone"/>
      <w:r w:rsidRPr="004D690E">
        <w:t>We agree that the administrators should provide sufficient information for users to understand how the Benchmark is constructed and maintained</w:t>
      </w:r>
      <w:r>
        <w:t xml:space="preserve">, </w:t>
      </w:r>
      <w:r w:rsidRPr="004D690E">
        <w:t>and</w:t>
      </w:r>
      <w:r>
        <w:t xml:space="preserve"> that the relevant information should be</w:t>
      </w:r>
      <w:r w:rsidRPr="004D690E">
        <w:t xml:space="preserve"> publish</w:t>
      </w:r>
      <w:r>
        <w:t>ed</w:t>
      </w:r>
      <w:r w:rsidRPr="004D690E">
        <w:t xml:space="preserve"> on the company website.</w:t>
      </w:r>
    </w:p>
    <w:p w:rsidR="006F7E41" w:rsidRDefault="006F7E41" w:rsidP="00666C33"/>
    <w:p w:rsidR="00FD483D" w:rsidRDefault="009F63D1" w:rsidP="00666C33">
      <w:r w:rsidRPr="009F63D1">
        <w:t>Based on the ESMA-EBA guidelines, ESMA should maintain that transparency of the methodology doesn’t mean disclosing the formulas, but only certai</w:t>
      </w:r>
      <w:r>
        <w:t>n elements of the methodology.</w:t>
      </w:r>
    </w:p>
    <w:p w:rsidR="009F63D1" w:rsidRPr="004D690E" w:rsidRDefault="009F63D1" w:rsidP="00666C33"/>
    <w:p w:rsidR="006F7E41" w:rsidRDefault="00FD483D" w:rsidP="009A2624">
      <w:r w:rsidRPr="006F7E41">
        <w:t>We apprecia</w:t>
      </w:r>
      <w:r w:rsidR="009F63D1">
        <w:t>te that ESMA rightfully recognis</w:t>
      </w:r>
      <w:r w:rsidRPr="006F7E41">
        <w:t>es the risk of front-running.  This risk is particularly apparent for benchmarks of relatively illiquid securities where the methodology is disclosed in sufficient detail to allow third parties to profit – at the end investor’s expense – from the anticipated liquidity demand arising from a forthcoming benchmark rebalance</w:t>
      </w:r>
      <w:r w:rsidR="006F7E41">
        <w:t>.</w:t>
      </w:r>
    </w:p>
    <w:permEnd w:id="672616116"/>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lastRenderedPageBreak/>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Pr="009F63D1" w:rsidRDefault="00FD483D" w:rsidP="009A2624">
      <w:permStart w:id="1979793851" w:edGrp="everyone"/>
      <w:r w:rsidRPr="009F63D1">
        <w:t>No.</w:t>
      </w:r>
      <w:r w:rsidR="009F63D1">
        <w:t xml:space="preserve"> </w:t>
      </w:r>
      <w:r w:rsidR="009F63D1" w:rsidRPr="009F63D1">
        <w:t xml:space="preserve">We </w:t>
      </w:r>
      <w:r w:rsidR="009F63D1">
        <w:t>did</w:t>
      </w:r>
      <w:r w:rsidR="009F63D1" w:rsidRPr="009F63D1">
        <w:t xml:space="preserve"> not identify other elements of benchmark methodology that should be disclosed.</w:t>
      </w:r>
    </w:p>
    <w:permEnd w:id="1979793851"/>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FD483D" w:rsidP="009A2624">
      <w:permStart w:id="1323651876" w:edGrp="everyone"/>
      <w:r>
        <w:t>Yes.</w:t>
      </w:r>
      <w:r w:rsidR="009F63D1" w:rsidRPr="009F63D1">
        <w:t xml:space="preserve"> We agree that the proposed key elements must be disclosed to the public.</w:t>
      </w:r>
    </w:p>
    <w:permEnd w:id="1323651876"/>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1C5B37" w:rsidRDefault="001C5B37" w:rsidP="009A2624">
      <w:permStart w:id="594438972" w:edGrp="everyone"/>
      <w:r w:rsidRPr="001C5B37">
        <w:t xml:space="preserve">We agree with making the procedure public. However, we strongly disagree with the proposal that would require the publication of the membership of the FTSE Russell external advisory committees.  </w:t>
      </w:r>
      <w:r w:rsidR="009F63D1" w:rsidRPr="009F63D1">
        <w:t>Requiring the committee members’ names to be made public might not be acceptable to them and could encourage lobbying by prospective constituent companies or their advisers.</w:t>
      </w:r>
    </w:p>
    <w:permEnd w:id="594438972"/>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1C5B37" w:rsidRDefault="00F440E9" w:rsidP="001C5B37">
      <w:permStart w:id="1368746029" w:edGrp="everyone"/>
      <w:r w:rsidRPr="004D690E">
        <w:t>We agree that any material changes to benchmark methodologies should be announced to the market</w:t>
      </w:r>
      <w:r>
        <w:t xml:space="preserve"> (to the</w:t>
      </w:r>
      <w:r w:rsidR="001C5B37">
        <w:t xml:space="preserve"> index users and other stakeholders</w:t>
      </w:r>
      <w:r>
        <w:t>)</w:t>
      </w:r>
      <w:r w:rsidR="001C5B37">
        <w:t>.</w:t>
      </w:r>
      <w:r>
        <w:t xml:space="preserve"> </w:t>
      </w:r>
      <w:r w:rsidR="001C5B37">
        <w:t>In certain cases where very significant and s</w:t>
      </w:r>
      <w:r w:rsidR="001C5B37" w:rsidRPr="004D690E">
        <w:t>ubstantive changes</w:t>
      </w:r>
      <w:r w:rsidR="001C5B37">
        <w:t xml:space="preserve"> are being contemp</w:t>
      </w:r>
      <w:r>
        <w:t xml:space="preserve">lated, the </w:t>
      </w:r>
      <w:r w:rsidR="00EF05A0" w:rsidRPr="00EF05A0">
        <w:t xml:space="preserve">proposals may also be put to wider </w:t>
      </w:r>
      <w:r w:rsidR="001C5B37" w:rsidRPr="004D690E">
        <w:t>stakeholder</w:t>
      </w:r>
      <w:r w:rsidR="001C5B37">
        <w:t xml:space="preserve"> consultation before ratific</w:t>
      </w:r>
      <w:r w:rsidR="001C5B37">
        <w:t>a</w:t>
      </w:r>
      <w:r w:rsidR="001C5B37">
        <w:t>tion is sought.</w:t>
      </w:r>
      <w:r w:rsidR="001C5B37" w:rsidRPr="004D690E">
        <w:t xml:space="preserve">  </w:t>
      </w:r>
    </w:p>
    <w:p w:rsidR="001C5B37" w:rsidRDefault="001C5B37" w:rsidP="001C5B37"/>
    <w:p w:rsidR="001C5B37" w:rsidRPr="004D690E" w:rsidRDefault="009F63D1" w:rsidP="001C5B37">
      <w:r w:rsidRPr="009F63D1">
        <w:t>Depending on the nature and the impact of an agreed change, implementation may be immediate or preceded by notifications. For example, a change in the treatment of a class of corporate actions may take effect from the next instance of such an event. Whereas, changes relating to the eligibility requirements for a Benchmark will require a longer period of notice and potentially, a transition plan to be provided to users.</w:t>
      </w:r>
    </w:p>
    <w:permEnd w:id="1368746029"/>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1C5B37" w:rsidRPr="004D690E" w:rsidRDefault="001C5B37" w:rsidP="001C5B37">
      <w:permStart w:id="815858101" w:edGrp="everyone"/>
      <w:r w:rsidRPr="004D690E">
        <w:t xml:space="preserve">We are of the opinion that making publically available summaries of the feedback from consultations is sufficient. </w:t>
      </w:r>
    </w:p>
    <w:permEnd w:id="815858101"/>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lastRenderedPageBreak/>
        <w:t>&lt;ESMA_QUESTION_DP_BMR_40&gt;</w:t>
      </w:r>
    </w:p>
    <w:p w:rsidR="001C5B37" w:rsidRDefault="001C5B37" w:rsidP="009A2624">
      <w:permStart w:id="1955810428" w:edGrp="everyone"/>
      <w:r>
        <w:t>Yes.</w:t>
      </w:r>
      <w:r w:rsidR="00EF05A0" w:rsidRPr="00EF05A0">
        <w:t xml:space="preserve"> We agree that the publication requirements for key elements of methodology apply</w:t>
      </w:r>
      <w:r w:rsidR="00EF05A0">
        <w:t xml:space="preserve"> regardless of benchmark type. </w:t>
      </w:r>
    </w:p>
    <w:permEnd w:id="1955810428"/>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1C5B37" w:rsidRDefault="001C5B37" w:rsidP="001C5B37">
      <w:permStart w:id="1932067669" w:edGrp="everyone"/>
      <w:r>
        <w:t>Yes.</w:t>
      </w:r>
      <w:r w:rsidR="00EF05A0" w:rsidRPr="00EF05A0">
        <w:t xml:space="preserve"> We agree that the publication requirements for the internal review of methodology apply regardless of benchmark type.</w:t>
      </w:r>
    </w:p>
    <w:permEnd w:id="1932067669"/>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1C5B37" w:rsidRDefault="001C5B37" w:rsidP="001C5B37">
      <w:permStart w:id="710229260" w:edGrp="everyone"/>
      <w:r>
        <w:t>Yes.</w:t>
      </w:r>
    </w:p>
    <w:permEnd w:id="710229260"/>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1C5B37" w:rsidRDefault="00EF05A0" w:rsidP="009A2624">
      <w:permStart w:id="71187336" w:edGrp="everyone"/>
      <w:r w:rsidRPr="00EF05A0">
        <w:t xml:space="preserve">Whilst we agree that a benchmark administrator should have the ability to use a standard code of conduct for various types of benchmark; we also support ESMA’s view that these codes will likely require tailoring depending on the type of benchmark </w:t>
      </w:r>
      <w:r w:rsidR="001C5B37">
        <w:t>in question.  We anticipate that the content of the code of conduct will be influenced by the type of data</w:t>
      </w:r>
      <w:r w:rsidR="004E5051">
        <w:t>, the</w:t>
      </w:r>
      <w:r w:rsidR="001C5B37">
        <w:t xml:space="preserve"> nature of the contributor and whether the benchmark is critical, significant or non-significant. </w:t>
      </w:r>
    </w:p>
    <w:permEnd w:id="71187336"/>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1C5B37" w:rsidRPr="004D690E" w:rsidRDefault="001C5B37" w:rsidP="001C5B37">
      <w:permStart w:id="1247635307" w:edGrp="everyone"/>
      <w:r>
        <w:t xml:space="preserve">As the administrator retains responsibility for the quality of the benchmark, it would be natural for the administrator to advocate the use of a code of conduct that is most suitable for its purposes.  </w:t>
      </w:r>
      <w:r w:rsidR="00E54D6F">
        <w:t>However</w:t>
      </w:r>
      <w:r>
        <w:t xml:space="preserve">, we do </w:t>
      </w:r>
      <w:r w:rsidR="00E54D6F">
        <w:t xml:space="preserve">not </w:t>
      </w:r>
      <w:r>
        <w:t>believe that an administrator should be mandated to tailor a code</w:t>
      </w:r>
      <w:r w:rsidR="00E54D6F">
        <w:t xml:space="preserve"> of conduct.</w:t>
      </w:r>
    </w:p>
    <w:permEnd w:id="1247635307"/>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1C5B37" w:rsidRPr="004D690E" w:rsidRDefault="001C5B37" w:rsidP="001C5B37">
      <w:permStart w:id="139527484" w:edGrp="everyone"/>
      <w:r>
        <w:lastRenderedPageBreak/>
        <w:t xml:space="preserve">We agree with the proposed requirements for a contributor’s contribution process where the input data is price data and </w:t>
      </w:r>
      <w:r w:rsidR="00471901">
        <w:t xml:space="preserve">has been </w:t>
      </w:r>
      <w:r w:rsidR="00471901" w:rsidRPr="00EF05A0">
        <w:t xml:space="preserve">specifically </w:t>
      </w:r>
      <w:r w:rsidR="00EF05A0" w:rsidRPr="00EF05A0">
        <w:t xml:space="preserve">created </w:t>
      </w:r>
      <w:r>
        <w:t>for the purposes of the determination of a benchmark.  Where the provision to the index provider is ancillary to the contributor’s normal line of business, it would be more appropriate for the verification to be carried out by the benchmark administrator in accordance with the</w:t>
      </w:r>
      <w:r w:rsidR="00EF05A0">
        <w:t xml:space="preserve"> stated benchmark methodology. </w:t>
      </w:r>
      <w:r w:rsidR="002C4C9A">
        <w:t>Under these circumstances, it should not be a requirement</w:t>
      </w:r>
      <w:r w:rsidR="00EF05A0" w:rsidRPr="00EF05A0">
        <w:t xml:space="preserve"> for </w:t>
      </w:r>
      <w:r w:rsidR="002C4C9A">
        <w:t xml:space="preserve">the framework for </w:t>
      </w:r>
      <w:r w:rsidR="00EF05A0" w:rsidRPr="00EF05A0">
        <w:t>the contributor’s contribution process to be included in the code of conduct.</w:t>
      </w:r>
    </w:p>
    <w:permEnd w:id="139527484"/>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1C5B37" w:rsidRPr="004D690E" w:rsidRDefault="00471901" w:rsidP="001C5B37">
      <w:permStart w:id="1048334018" w:edGrp="everyone"/>
      <w:r w:rsidRPr="00471901">
        <w:t xml:space="preserve">Yes. We </w:t>
      </w:r>
      <w:r w:rsidR="001C5B37">
        <w:t>agree that the administrator should be able to tailor the code of conduct to suit the circumstan</w:t>
      </w:r>
      <w:r w:rsidR="001C5B37">
        <w:t>c</w:t>
      </w:r>
      <w:r w:rsidR="001C5B37">
        <w:t>es.</w:t>
      </w:r>
    </w:p>
    <w:permEnd w:id="1048334018"/>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1C5B37" w:rsidRDefault="001C5B37" w:rsidP="00666C33">
      <w:permStart w:id="1052724720" w:edGrp="everyone"/>
      <w:r>
        <w:t>We agree that in the case of input data created and provided specifically for the purpose of a benchmark such as LIBOR such information should be required.</w:t>
      </w:r>
    </w:p>
    <w:p w:rsidR="001C5B37" w:rsidRDefault="00471901" w:rsidP="009A2624">
      <w:r w:rsidRPr="00471901">
        <w:t>On the contrary, in the case of input data provided as ancillary to the contributor’s business, such info</w:t>
      </w:r>
      <w:r w:rsidRPr="00471901">
        <w:t>r</w:t>
      </w:r>
      <w:r w:rsidRPr="00471901">
        <w:t>mation should not be required</w:t>
      </w:r>
      <w:r w:rsidR="001C5B37">
        <w:t>.</w:t>
      </w:r>
    </w:p>
    <w:permEnd w:id="1052724720"/>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471901" w:rsidRDefault="00471901" w:rsidP="009A2624">
      <w:permStart w:id="1142650609" w:edGrp="everyone"/>
      <w:r w:rsidRPr="00471901">
        <w:t xml:space="preserve">We consider that contributors should have procedures in place to identify and manage conflicts of interest. Conflicts of interest, if </w:t>
      </w:r>
      <w:r w:rsidR="00E54D6F">
        <w:t>appropriately</w:t>
      </w:r>
      <w:r w:rsidRPr="00471901">
        <w:t xml:space="preserve"> managed, do not need be disclosed to the administrator. If, however, a conflict of interest had an influence on the contribution, then the administrator should be informed.</w:t>
      </w:r>
    </w:p>
    <w:permEnd w:id="1142650609"/>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1C5B37" w:rsidRPr="004D690E" w:rsidRDefault="001C5B37" w:rsidP="001C5B37">
      <w:permStart w:id="1969229750" w:edGrp="everyone"/>
      <w:r>
        <w:t>We believe that the controls around authorisation of submitters should be applied at the contributor</w:t>
      </w:r>
      <w:r w:rsidR="00471901">
        <w:t>’s</w:t>
      </w:r>
      <w:r>
        <w:t xml:space="preserve"> level rather than the administrator</w:t>
      </w:r>
      <w:r w:rsidR="00471901">
        <w:t>’s</w:t>
      </w:r>
      <w:r>
        <w:t xml:space="preserve"> level.  For benchmarks consisting of hundreds of constituents with contrib</w:t>
      </w:r>
      <w:r>
        <w:t>u</w:t>
      </w:r>
      <w:r>
        <w:t xml:space="preserve">tions from </w:t>
      </w:r>
      <w:r w:rsidR="00471901" w:rsidRPr="00471901">
        <w:t xml:space="preserve">numerous </w:t>
      </w:r>
      <w:r>
        <w:t xml:space="preserve">contributors, it will </w:t>
      </w:r>
      <w:r w:rsidR="00E54D6F">
        <w:t xml:space="preserve">simply </w:t>
      </w:r>
      <w:r>
        <w:t>not be feasible for the administrator to evaluate the autho</w:t>
      </w:r>
      <w:r>
        <w:t>r</w:t>
      </w:r>
      <w:r>
        <w:t>isation of all submitters.</w:t>
      </w:r>
    </w:p>
    <w:permEnd w:id="1969229750"/>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1C5B37" w:rsidRDefault="001C5B37" w:rsidP="009A2624">
      <w:permStart w:id="689847884" w:edGrp="everyone"/>
      <w:r>
        <w:t>We agree.</w:t>
      </w:r>
    </w:p>
    <w:permEnd w:id="689847884"/>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1C5B37" w:rsidRPr="004D690E" w:rsidRDefault="001C5B37" w:rsidP="001C5B37">
      <w:permStart w:id="1654008600" w:edGrp="everyone"/>
      <w:r>
        <w:t>We consider the procedures to be comprehensive.</w:t>
      </w:r>
    </w:p>
    <w:permEnd w:id="1654008600"/>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471901" w:rsidRDefault="00471901" w:rsidP="009A2624">
      <w:permStart w:id="285567773" w:edGrp="everyone"/>
      <w:r w:rsidRPr="00471901">
        <w:t>We agree that rules may be helpful to provide consistency of contributors’ behaviour over time but urge against guidance that could be excessively prescriptive. We, therefore, consider the code of conduct to be the appropriate place for such rules to be included.</w:t>
      </w:r>
    </w:p>
    <w:permEnd w:id="285567773"/>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1C5B37" w:rsidRPr="004D690E" w:rsidRDefault="0035390A" w:rsidP="001C5B37">
      <w:permStart w:id="1519653240" w:edGrp="everyone"/>
      <w:r>
        <w:t>Any additional guidance that complements the methodology and assists individual submitters in unde</w:t>
      </w:r>
      <w:r>
        <w:t>r</w:t>
      </w:r>
      <w:r>
        <w:t>standing and complying with the rules regarding the use of discretion would be sensible.</w:t>
      </w:r>
    </w:p>
    <w:permEnd w:id="1519653240"/>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471901" w:rsidRDefault="00471901" w:rsidP="009A2624">
      <w:permStart w:id="2005481368" w:edGrp="everyone"/>
      <w:r w:rsidRPr="00471901">
        <w:t xml:space="preserve">Yes. We agree with the list of checks for validation purposes </w:t>
      </w:r>
    </w:p>
    <w:permEnd w:id="2005481368"/>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471901" w:rsidRDefault="00471901" w:rsidP="009A2624">
      <w:permStart w:id="832251767" w:edGrp="everyone"/>
      <w:r w:rsidRPr="00471901">
        <w:t xml:space="preserve">We suggest specifying the </w:t>
      </w:r>
      <w:r w:rsidR="000B7D1B">
        <w:t xml:space="preserve">minimum </w:t>
      </w:r>
      <w:r w:rsidRPr="00471901">
        <w:t xml:space="preserve">time for the retention of records for clarity </w:t>
      </w:r>
    </w:p>
    <w:permEnd w:id="832251767"/>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551745" w:rsidRPr="004D690E" w:rsidRDefault="00471901" w:rsidP="00551745">
      <w:permStart w:id="1944334958" w:edGrp="everyone"/>
      <w:r w:rsidRPr="00471901">
        <w:t xml:space="preserve">There will be categories of benchmark – such as interest rate benchmarks - where the recording of the use of expert judgement and of discretion will be appropriate, particularly to help justify any departure from previous patterns. However, we do not anticipate this being the </w:t>
      </w:r>
      <w:r>
        <w:t>case for all types of benchmark</w:t>
      </w:r>
      <w:r w:rsidR="00551745">
        <w:t>.</w:t>
      </w:r>
    </w:p>
    <w:permEnd w:id="1944334958"/>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551745" w:rsidRPr="004D690E" w:rsidRDefault="00F45A83" w:rsidP="00551745">
      <w:permStart w:id="892096061" w:edGrp="everyone"/>
      <w:r w:rsidRPr="00F45A83">
        <w:lastRenderedPageBreak/>
        <w:t>We agree that an administrator should be allowed to require con</w:t>
      </w:r>
      <w:r>
        <w:t>tributors to have a documented</w:t>
      </w:r>
      <w:r w:rsidRPr="00F45A83">
        <w:t xml:space="preserve"> escalation</w:t>
      </w:r>
      <w:r w:rsidR="00E54D6F">
        <w:t xml:space="preserve"> process in place</w:t>
      </w:r>
      <w:r w:rsidRPr="00F45A83">
        <w:t>.</w:t>
      </w:r>
    </w:p>
    <w:permEnd w:id="892096061"/>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551745" w:rsidRPr="004D690E" w:rsidRDefault="00F45A83" w:rsidP="00551745">
      <w:permStart w:id="910233278" w:edGrp="everyone"/>
      <w:r w:rsidRPr="00F45A83">
        <w:t xml:space="preserve">Yes, we agree with the list. </w:t>
      </w:r>
      <w:r w:rsidR="00551745">
        <w:t xml:space="preserve">However, we consider that the contributor should determine the requirements of such policies and procedures and controls rather </w:t>
      </w:r>
      <w:r w:rsidR="00E54D6F">
        <w:t xml:space="preserve">than </w:t>
      </w:r>
      <w:r w:rsidR="00551745">
        <w:t>administrator</w:t>
      </w:r>
      <w:r w:rsidR="00E54D6F">
        <w:t xml:space="preserve"> being required</w:t>
      </w:r>
      <w:r w:rsidR="00551745">
        <w:t xml:space="preserve"> to set them out in the code of conduct.</w:t>
      </w:r>
    </w:p>
    <w:permEnd w:id="910233278"/>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551745" w:rsidRPr="004D690E" w:rsidRDefault="00551745" w:rsidP="00551745">
      <w:permStart w:id="591339345" w:edGrp="everyone"/>
      <w:r>
        <w:t xml:space="preserve">It is important to </w:t>
      </w:r>
      <w:r w:rsidR="00F45A83" w:rsidRPr="00F45A83">
        <w:t xml:space="preserve">strike the correct </w:t>
      </w:r>
      <w:r>
        <w:t>balance between appropriate governance supported by, amongst other things, a code of conduct, and the need to ensure an appropriate level of contributions.  If contributors are deterred from contributing input data to an administrator for the purpose of the determination of a benc</w:t>
      </w:r>
      <w:r>
        <w:t>h</w:t>
      </w:r>
      <w:r>
        <w:t>mark (particularly in circumstances where the contribution is ancillary to their business), the robustness of the benchmark is likely to be undermined.</w:t>
      </w:r>
    </w:p>
    <w:permEnd w:id="591339345"/>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551745" w:rsidRPr="004D690E" w:rsidRDefault="00551745" w:rsidP="00551745">
      <w:permStart w:id="17918629" w:edGrp="everyone"/>
      <w:r>
        <w:t>Yes.  Implementation of these requirements will reduce the need for administrators to include them in the code of conduct for supervised contributors.</w:t>
      </w:r>
    </w:p>
    <w:permEnd w:id="17918629"/>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551745" w:rsidRDefault="00551745" w:rsidP="00551745">
      <w:permStart w:id="663947304" w:edGrp="everyone"/>
      <w:r>
        <w:t xml:space="preserve">Yes, we agree that Code of Conduct breaches should be made available to the administrator </w:t>
      </w:r>
      <w:r w:rsidRPr="008B4607">
        <w:t>on request</w:t>
      </w:r>
      <w:r>
        <w:t>.</w:t>
      </w:r>
    </w:p>
    <w:permEnd w:id="663947304"/>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551745" w:rsidRPr="004D690E" w:rsidRDefault="00551745" w:rsidP="00551745">
      <w:permStart w:id="1045126615" w:edGrp="everyone"/>
      <w:r w:rsidRPr="004D690E">
        <w:t xml:space="preserve">We agree that that </w:t>
      </w:r>
      <w:r>
        <w:t>any</w:t>
      </w:r>
      <w:r w:rsidRPr="004D690E">
        <w:t xml:space="preserve"> external audit covering benchmark activities</w:t>
      </w:r>
      <w:r>
        <w:t xml:space="preserve"> </w:t>
      </w:r>
      <w:r w:rsidRPr="004D690E">
        <w:t>should be made available to the administrator on request.</w:t>
      </w:r>
    </w:p>
    <w:permEnd w:id="1045126615"/>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551745" w:rsidRPr="004D690E" w:rsidRDefault="00551745" w:rsidP="00551745">
      <w:permStart w:id="836900469" w:edGrp="everyone"/>
      <w:r>
        <w:lastRenderedPageBreak/>
        <w:t>W</w:t>
      </w:r>
      <w:r w:rsidRPr="004D690E">
        <w:t xml:space="preserve">e agree with the </w:t>
      </w:r>
      <w:r w:rsidR="00F01855">
        <w:t>proposed criteria on supervised contributors</w:t>
      </w:r>
      <w:r w:rsidRPr="004D690E">
        <w:t>.</w:t>
      </w:r>
    </w:p>
    <w:permEnd w:id="836900469"/>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551745" w:rsidRPr="004D690E" w:rsidRDefault="00F45A83" w:rsidP="00551745">
      <w:permStart w:id="158558071" w:edGrp="everyone"/>
      <w:r>
        <w:t xml:space="preserve">Whilst we agree, in </w:t>
      </w:r>
      <w:r w:rsidRPr="00F45A83">
        <w:t>principle</w:t>
      </w:r>
      <w:r>
        <w:t>,</w:t>
      </w:r>
      <w:r w:rsidRPr="00F45A83">
        <w:t xml:space="preserve"> that submitters could be remunerated for the quality of their input and their ability to manage conflicts of interests, we believe that “quality” of input will be very difficult to quanti</w:t>
      </w:r>
      <w:r>
        <w:t>fy</w:t>
      </w:r>
      <w:r w:rsidR="00551745" w:rsidRPr="004D690E">
        <w:t>.</w:t>
      </w:r>
    </w:p>
    <w:permEnd w:id="158558071"/>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551745" w:rsidRPr="004D690E" w:rsidRDefault="00F01855" w:rsidP="00551745">
      <w:permStart w:id="2069181366" w:edGrp="everyone"/>
      <w:r w:rsidRPr="00F01855">
        <w:t>We believe that the determination of what constitute</w:t>
      </w:r>
      <w:r>
        <w:t>s a reasonable delay in signing-</w:t>
      </w:r>
      <w:r w:rsidRPr="00F01855">
        <w:t>off on the contrib</w:t>
      </w:r>
      <w:r>
        <w:t>u</w:t>
      </w:r>
      <w:r w:rsidRPr="00F01855">
        <w:t>tion is a matter that should be agreed through negotiations</w:t>
      </w:r>
      <w:r>
        <w:t xml:space="preserve"> </w:t>
      </w:r>
      <w:r w:rsidR="00551745">
        <w:t>with</w:t>
      </w:r>
      <w:r>
        <w:t xml:space="preserve"> the administrator and </w:t>
      </w:r>
      <w:r w:rsidR="00551745" w:rsidRPr="004D690E">
        <w:t>in line with the applic</w:t>
      </w:r>
      <w:r w:rsidR="00551745" w:rsidRPr="004D690E">
        <w:t>a</w:t>
      </w:r>
      <w:r w:rsidR="00551745" w:rsidRPr="004D690E">
        <w:t>ble method</w:t>
      </w:r>
      <w:r>
        <w:t xml:space="preserve">ology, </w:t>
      </w:r>
      <w:r w:rsidR="00551745">
        <w:t>taking into account</w:t>
      </w:r>
      <w:r w:rsidR="00551745" w:rsidRPr="004D690E">
        <w:t xml:space="preserve"> the type of input data.</w:t>
      </w:r>
    </w:p>
    <w:permEnd w:id="2069181366"/>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551745" w:rsidP="009A2624">
      <w:permStart w:id="1801597610" w:edGrp="everyone"/>
      <w:r>
        <w:t>Yes.</w:t>
      </w:r>
    </w:p>
    <w:permEnd w:id="1801597610"/>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551745" w:rsidRPr="004D690E" w:rsidRDefault="00B46E46" w:rsidP="00551745">
      <w:permStart w:id="226449707" w:edGrp="everyone"/>
      <w:r w:rsidRPr="00B46E46">
        <w:t xml:space="preserve">For an automated process, we do not believe that the focus needs to be on the adequate level of seniority for signing-off. Rather, it is more important that the process is periodically reviewed to ensure that the automation algorithm continues to operate as intended in the light of evolving market conditions. </w:t>
      </w:r>
      <w:r w:rsidR="00551745" w:rsidRPr="004D690E">
        <w:t xml:space="preserve"> </w:t>
      </w:r>
    </w:p>
    <w:permEnd w:id="226449707"/>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551745" w:rsidRDefault="00B46E46" w:rsidP="009A2624">
      <w:permStart w:id="437020192" w:edGrp="everyone"/>
      <w:r>
        <w:t xml:space="preserve">Yes, </w:t>
      </w:r>
      <w:r w:rsidRPr="00B46E46">
        <w:t>we agree with the policies.</w:t>
      </w:r>
    </w:p>
    <w:permEnd w:id="437020192"/>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551745" w:rsidRDefault="00551745" w:rsidP="00666C33">
      <w:permStart w:id="754542533" w:edGrp="everyone"/>
      <w:r>
        <w:lastRenderedPageBreak/>
        <w:t>We re-iterate that the definition of contributions could capture data inputs other than estimates of prices or values of illiquid securities or interest rates.  Contributions could include data items not readily available to the administrator that affect the quantity, rather than the price, of constituents to be included in a benc</w:t>
      </w:r>
      <w:r>
        <w:t>h</w:t>
      </w:r>
      <w:r>
        <w:t xml:space="preserve">mark.  </w:t>
      </w:r>
      <w:r w:rsidR="00B46E46" w:rsidRPr="00B46E46">
        <w:t xml:space="preserve">Contributions </w:t>
      </w:r>
      <w:r>
        <w:t>might also include data items from specialist suppliers who do not consider provision of this data as their core business and who would not wish to be considered as contributors to benc</w:t>
      </w:r>
      <w:r>
        <w:t>h</w:t>
      </w:r>
      <w:r>
        <w:t xml:space="preserve">marks.  Unless the definition of contributed data is clarified, we believe </w:t>
      </w:r>
      <w:r w:rsidR="00B46E46" w:rsidRPr="00B46E46">
        <w:t xml:space="preserve">that </w:t>
      </w:r>
      <w:r>
        <w:t>ESMA will need to take into account the different characteristics of these benchmarks when considering contributions.</w:t>
      </w:r>
    </w:p>
    <w:p w:rsidR="00551745" w:rsidRDefault="00551745" w:rsidP="00666C33"/>
    <w:p w:rsidR="00551745" w:rsidRDefault="00B46E46" w:rsidP="009A2624">
      <w:r w:rsidRPr="00B46E46">
        <w:t>We believe that t</w:t>
      </w:r>
      <w:r w:rsidR="00551745" w:rsidRPr="00B46E46">
        <w:t xml:space="preserve">he </w:t>
      </w:r>
      <w:r w:rsidR="00551745">
        <w:t>nature of activities carried out by supervised contributors, we believe this is best addressed through the conflicts of interest policy.</w:t>
      </w:r>
    </w:p>
    <w:permEnd w:id="754542533"/>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551745" w:rsidRDefault="000B7D1B" w:rsidP="009A2624">
      <w:permStart w:id="2128837082" w:edGrp="everyone"/>
      <w:r>
        <w:t>We recognize that</w:t>
      </w:r>
      <w:r w:rsidR="0035390A" w:rsidRPr="0035390A">
        <w:t xml:space="preserve"> it will be more expensive for contributors to comply </w:t>
      </w:r>
      <w:r w:rsidR="00551745" w:rsidRPr="0035390A">
        <w:t xml:space="preserve">with the new rules. If these costs, and the associated risks of failing to comply with the BMR, encourage contributors </w:t>
      </w:r>
      <w:r w:rsidR="00551745">
        <w:t>to withdraw from providing benchmark contributions, the quality of benchmarks will suffer.  In some cases benchmarks could become non-viable</w:t>
      </w:r>
      <w:r w:rsidR="004E5051">
        <w:t xml:space="preserve"> </w:t>
      </w:r>
      <w:r w:rsidR="00B46E46" w:rsidRPr="00B46E46">
        <w:t xml:space="preserve">which may limit </w:t>
      </w:r>
      <w:r w:rsidR="004E5051">
        <w:t xml:space="preserve">the </w:t>
      </w:r>
      <w:r>
        <w:t>consumers’</w:t>
      </w:r>
      <w:r w:rsidR="004E5051">
        <w:t xml:space="preserve"> choice and access to low-cost investment pro</w:t>
      </w:r>
      <w:r w:rsidR="004E5051">
        <w:t>d</w:t>
      </w:r>
      <w:r w:rsidR="004E5051">
        <w:t>ucts.</w:t>
      </w:r>
    </w:p>
    <w:permEnd w:id="2128837082"/>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551745" w:rsidRPr="004D690E" w:rsidRDefault="00551745" w:rsidP="00551745">
      <w:permStart w:id="936448619" w:edGrp="everyone"/>
      <w:r>
        <w:t xml:space="preserve">We </w:t>
      </w:r>
      <w:r w:rsidR="00F6121E">
        <w:t xml:space="preserve">agree with proposed approach and support </w:t>
      </w:r>
      <w:r w:rsidR="0035390A" w:rsidRPr="0035390A">
        <w:t xml:space="preserve">ESMA’s use of the </w:t>
      </w:r>
      <w:r w:rsidR="00F6121E">
        <w:t xml:space="preserve">existing </w:t>
      </w:r>
      <w:r w:rsidR="00F6121E" w:rsidRPr="004D690E">
        <w:t>regulatory framework when designing rules for Critical bench</w:t>
      </w:r>
      <w:r w:rsidR="00F6121E">
        <w:t xml:space="preserve">marks. This </w:t>
      </w:r>
      <w:r w:rsidR="00F6121E" w:rsidRPr="004D690E">
        <w:t>will lead to a more streamlined approach and higher degree of interna</w:t>
      </w:r>
      <w:r w:rsidR="00F6121E">
        <w:t>tional regulatory convergence.</w:t>
      </w:r>
    </w:p>
    <w:permEnd w:id="936448619"/>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551745" w:rsidRPr="004D690E" w:rsidRDefault="00551745" w:rsidP="00551745">
      <w:permStart w:id="1004477396" w:edGrp="everyone"/>
      <w:r>
        <w:t xml:space="preserve">We </w:t>
      </w:r>
      <w:r w:rsidR="0035390A" w:rsidRPr="0035390A">
        <w:t xml:space="preserve">believe that </w:t>
      </w:r>
      <w:r>
        <w:t>“standard” shares are unlikely to reference a benchmark but the p</w:t>
      </w:r>
      <w:r w:rsidR="00A820A7">
        <w:t>ossibility cannot be excluded.</w:t>
      </w:r>
    </w:p>
    <w:permEnd w:id="1004477396"/>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551745" w:rsidRPr="004D690E" w:rsidRDefault="00551745" w:rsidP="00551745">
      <w:permStart w:id="670176191" w:edGrp="everyone"/>
      <w:r>
        <w:t>We have no suggestions.</w:t>
      </w:r>
    </w:p>
    <w:permEnd w:id="670176191"/>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lastRenderedPageBreak/>
        <w:t>Do you agree with ESMA proposal in relation to the value of units in collective investment undertakings? If not, please explain why</w:t>
      </w:r>
    </w:p>
    <w:p w:rsidR="009A2624" w:rsidRDefault="009A2624" w:rsidP="009A2624">
      <w:r>
        <w:t>&lt;ESMA_QUESTION_DP_BMR_74&gt;</w:t>
      </w:r>
    </w:p>
    <w:p w:rsidR="00551745" w:rsidRPr="004D690E" w:rsidRDefault="00551745" w:rsidP="00551745">
      <w:permStart w:id="687419492" w:edGrp="everyone"/>
      <w:r>
        <w:t>We agree.</w:t>
      </w:r>
    </w:p>
    <w:permEnd w:id="687419492"/>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551745" w:rsidRPr="004D690E" w:rsidRDefault="00551745" w:rsidP="00551745">
      <w:permStart w:id="1253575405" w:edGrp="everyone"/>
      <w:r w:rsidRPr="004D690E">
        <w:t xml:space="preserve">We support ESMA using the </w:t>
      </w:r>
      <w:r>
        <w:t>EMIR reporting regime</w:t>
      </w:r>
      <w:r w:rsidRPr="004D690E">
        <w:t xml:space="preserve"> when </w:t>
      </w:r>
      <w:r w:rsidR="00F6121E">
        <w:t>assessing notional amounts</w:t>
      </w:r>
      <w:r>
        <w:t xml:space="preserve">. </w:t>
      </w:r>
    </w:p>
    <w:permEnd w:id="125357540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551745" w:rsidRPr="004D690E" w:rsidRDefault="00551745" w:rsidP="00551745">
      <w:permStart w:id="291777365" w:edGrp="everyone"/>
      <w:r>
        <w:t xml:space="preserve">In the absence of </w:t>
      </w:r>
      <w:r w:rsidR="0035390A" w:rsidRPr="0035390A">
        <w:t xml:space="preserve">an obligation </w:t>
      </w:r>
      <w:r>
        <w:t>under AIFMD for funds to report on a regular basis, we believe the latest available net asset value should be used.  However, this will substantially increase the effort required by those seeking to establish the total value of net assets.</w:t>
      </w:r>
    </w:p>
    <w:permEnd w:id="291777365"/>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551745" w:rsidRPr="004D690E" w:rsidRDefault="00551745" w:rsidP="00551745">
      <w:permStart w:id="306011532" w:edGrp="everyone"/>
      <w:r>
        <w:t>We believe that only the portion of the instrument/derivative/fund that references a particular benchmark should be taken into account.  To do otherwise risks overstating the importance of the benchmark to economic stability and the impact on end consumers.  However, to do this will require significant effort from those seeking to establish the total value of net assets.</w:t>
      </w:r>
    </w:p>
    <w:permEnd w:id="306011532"/>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551745" w:rsidRPr="004D690E" w:rsidRDefault="00551745" w:rsidP="00551745">
      <w:permStart w:id="1198289675" w:edGrp="everyone"/>
      <w:r>
        <w:t>When considering the impact on individual member states, the use of relative impact measures is sens</w:t>
      </w:r>
      <w:r>
        <w:t>i</w:t>
      </w:r>
      <w:r>
        <w:t>ble.  However, determining appropriate and meaningful values for the various ratios will be difficult and is unlikely</w:t>
      </w:r>
      <w:r w:rsidR="00F6121E">
        <w:t xml:space="preserve"> to add robustness to the BMR.</w:t>
      </w:r>
    </w:p>
    <w:permEnd w:id="1198289675"/>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lastRenderedPageBreak/>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F3018" w:rsidRDefault="009F3018" w:rsidP="009A2624">
      <w:permStart w:id="68961130" w:edGrp="everyone"/>
      <w:r w:rsidRPr="009F3018">
        <w:t>The potential impact of the discontinuity and unreliability of a benchmark  will also depend on the number of financial instruments, derivative contracts, and investment funds that reference that benchmark. Each of these would be impacted if the relevant benchmark were discontinued or found  to be unreliable. The higher the number of financial instruments, derivative contracts, and investment funds that reference \ benchmark, the higher the level of costs incurred and effort associated with switching these products to an alternative reference benchmark.</w:t>
      </w:r>
    </w:p>
    <w:permEnd w:id="68961130"/>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810D16" w:rsidRDefault="00DF139E" w:rsidP="009A2624">
      <w:permStart w:id="440165750" w:edGrp="everyone"/>
      <w:r>
        <w:t>We believe that as currently drafted, many benchmark administrators will not benefit from the “proportio</w:t>
      </w:r>
      <w:r>
        <w:t>n</w:t>
      </w:r>
      <w:r>
        <w:t xml:space="preserve">ality” encapsulated in the BMR that was intended to simplify the administration of significant benchmarks.  Because an administrator would have to produce a non-compliance explanation for every provision they choose not to apply, and to do this for every benchmark/benchmark family, they may instead decide not to avail themselves of the possibility of exemption from certain of the BMR provisions. </w:t>
      </w:r>
    </w:p>
    <w:permEnd w:id="440165750"/>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DF139E" w:rsidRDefault="00DF139E" w:rsidP="00DF139E">
      <w:permStart w:id="1916871578" w:edGrp="everyone"/>
      <w:r>
        <w:t xml:space="preserve">The fields identified by ESMA are exhaustive.  </w:t>
      </w:r>
      <w:r w:rsidR="009F3018">
        <w:t>T</w:t>
      </w:r>
      <w:r>
        <w:t>he nature and length of the non-compliance statement is likely to dissuade benchmark administrators from availing themselves of the exemptions provided in the BMR for significant and non-significant benchmarks.</w:t>
      </w:r>
    </w:p>
    <w:p w:rsidR="00DF139E" w:rsidRDefault="00DF139E" w:rsidP="00DF139E"/>
    <w:p w:rsidR="00DF139E" w:rsidRDefault="00DF139E" w:rsidP="00DF139E">
      <w:r>
        <w:t>The intended distinction between significant and non-significant benchmarks is particularly problematic.  T</w:t>
      </w:r>
      <w:r w:rsidRPr="004D690E">
        <w:t xml:space="preserve">he reference value of a benchmark </w:t>
      </w:r>
      <w:r>
        <w:t>may be very</w:t>
      </w:r>
      <w:r w:rsidRPr="004D690E">
        <w:t xml:space="preserve"> difficult to determine</w:t>
      </w:r>
      <w:r>
        <w:t xml:space="preserve"> and may </w:t>
      </w:r>
      <w:r w:rsidRPr="004D690E">
        <w:t xml:space="preserve">fluctuate such that </w:t>
      </w:r>
      <w:r>
        <w:t>a benchmark could</w:t>
      </w:r>
      <w:r w:rsidRPr="004D690E">
        <w:t xml:space="preserve"> move between categories</w:t>
      </w:r>
      <w:r>
        <w:t xml:space="preserve"> causing</w:t>
      </w:r>
      <w:r w:rsidRPr="004D690E">
        <w:t xml:space="preserve"> the compliance statement </w:t>
      </w:r>
      <w:r>
        <w:t>to</w:t>
      </w:r>
      <w:r w:rsidRPr="004D690E">
        <w:t xml:space="preserve"> become out of date or inaccurate. </w:t>
      </w:r>
    </w:p>
    <w:p w:rsidR="00DF139E" w:rsidRDefault="00DF139E" w:rsidP="00DF139E"/>
    <w:p w:rsidR="00DF139E" w:rsidRDefault="00DF139E" w:rsidP="00DF139E">
      <w:r>
        <w:t>Furthermore, it makes little sense for a benchmark administrator to operate different governance, conflict of interest, oversight functions and controls for significant and non-significant benchmarks.  Instead, a benchmark administrator will likely choose to operate the same governance framework for all benchmarks and hence administer all benchmarks to at least significant standard.</w:t>
      </w:r>
    </w:p>
    <w:permEnd w:id="1916871578"/>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287339" w:rsidRDefault="00DF139E" w:rsidP="00DF139E">
      <w:permStart w:id="1312293649" w:edGrp="everyone"/>
      <w:r>
        <w:lastRenderedPageBreak/>
        <w:t>Benchmark administrators do not have the necessary information about who the market participants are, except in a general sense.  For many benchmarks, including those based on liquid equity markets, prov</w:t>
      </w:r>
      <w:r>
        <w:t>i</w:t>
      </w:r>
      <w:r>
        <w:t xml:space="preserve">sion of this information in the benchmark statement is an unduly onerous requirement and </w:t>
      </w:r>
      <w:r w:rsidR="00287339">
        <w:t>one that would bring no benefit to the end-</w:t>
      </w:r>
      <w:r>
        <w:t>investors.</w:t>
      </w:r>
      <w:r w:rsidR="00B92107">
        <w:t xml:space="preserve"> </w:t>
      </w:r>
      <w:r w:rsidR="00B92107" w:rsidRPr="00B92107">
        <w:t>We set out some specific comments below:</w:t>
      </w:r>
    </w:p>
    <w:p w:rsidR="00DF139E" w:rsidRDefault="00DF139E" w:rsidP="00DF139E">
      <w:r w:rsidRPr="002D45BA">
        <w:t>Liquidity. “Size of market” ought to be re-defined in terms of an assessment of the extent to which consti</w:t>
      </w:r>
      <w:r w:rsidRPr="002D45BA">
        <w:t>t</w:t>
      </w:r>
      <w:r w:rsidRPr="002D45BA">
        <w:t>uents are screened to ensur</w:t>
      </w:r>
      <w:r>
        <w:t>e that the benchmark is liquid.</w:t>
      </w:r>
    </w:p>
    <w:p w:rsidR="00DF139E" w:rsidRDefault="00DF139E" w:rsidP="00DF139E">
      <w:r w:rsidRPr="002D45BA">
        <w:t>Availability. A statement on the availability of the benc</w:t>
      </w:r>
      <w:r w:rsidR="00B92107">
        <w:t xml:space="preserve">hmark ought to be a requirement. </w:t>
      </w:r>
      <w:r w:rsidR="00B92107" w:rsidRPr="00B92107">
        <w:t>For example, is the benchmark available in r</w:t>
      </w:r>
      <w:r w:rsidR="00B92107">
        <w:t>eal time</w:t>
      </w:r>
      <w:r w:rsidR="00B92107" w:rsidRPr="00B92107">
        <w:t xml:space="preserve"> or at end of day</w:t>
      </w:r>
      <w:r>
        <w:t>?</w:t>
      </w:r>
    </w:p>
    <w:p w:rsidR="00DF139E" w:rsidRPr="002D45BA" w:rsidRDefault="00DF139E" w:rsidP="00DF139E">
      <w:r w:rsidRPr="002D45BA">
        <w:t>Historical Data. The statement should clarify the depth of historical data available for the benchmark.</w:t>
      </w:r>
    </w:p>
    <w:p w:rsidR="00DF139E" w:rsidRDefault="00DF139E" w:rsidP="009A2624">
      <w:r w:rsidRPr="002D45BA">
        <w:t>Suitability. Benchmark administrators should have the ability to declare an index unsuitable for use as a benchmark</w:t>
      </w:r>
      <w:r>
        <w:t xml:space="preserve"> (</w:t>
      </w:r>
      <w:r w:rsidR="009F3018" w:rsidRPr="009F3018">
        <w:t xml:space="preserve">for example </w:t>
      </w:r>
      <w:r>
        <w:t xml:space="preserve">for referencing financial contracts). </w:t>
      </w:r>
      <w:r w:rsidR="009F3018" w:rsidRPr="009F3018">
        <w:t>This is to distinguish between indexes r</w:t>
      </w:r>
      <w:r w:rsidR="009F3018" w:rsidRPr="009F3018">
        <w:t>e</w:t>
      </w:r>
      <w:r w:rsidR="009F3018" w:rsidRPr="009F3018">
        <w:t>quested for journalistic or public policy awareness reasons as opposed to those created in response to investor demand.</w:t>
      </w:r>
    </w:p>
    <w:permEnd w:id="1312293649"/>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DF139E" w:rsidRDefault="00DF139E" w:rsidP="00DF139E">
      <w:permStart w:id="1306856303" w:edGrp="everyone"/>
      <w:r>
        <w:t>We agree with the circumstances listed, although administrators may wish to include additional criteria for certain benchmarks. For example, benchmarks based on contributions may become unviable if contrib</w:t>
      </w:r>
      <w:r>
        <w:t>u</w:t>
      </w:r>
      <w:r>
        <w:t xml:space="preserve">tors withdraw from the </w:t>
      </w:r>
      <w:r w:rsidR="00287339">
        <w:t>submissions process</w:t>
      </w:r>
      <w:r>
        <w:t>.  In contrast, for benchmarks based on liquid</w:t>
      </w:r>
      <w:r w:rsidR="000B7D1B">
        <w:t xml:space="preserve"> equity</w:t>
      </w:r>
      <w:r>
        <w:t xml:space="preserve"> </w:t>
      </w:r>
      <w:r w:rsidR="00287339">
        <w:t>markets such</w:t>
      </w:r>
      <w:r>
        <w:t xml:space="preserve"> criteria are likely to be superfluous.  Users of these benchmarks are vociferous in requiring such benchmarks to be investable and in response to the requirements voiced by </w:t>
      </w:r>
      <w:r w:rsidR="00287339">
        <w:t>users;</w:t>
      </w:r>
      <w:r>
        <w:t xml:space="preserve"> administrators will strive to ensure that constituents meet appropriate eligibility screens, including those that are based on the underlying constituents’ liquidity</w:t>
      </w:r>
    </w:p>
    <w:permEnd w:id="130685630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DF139E" w:rsidRDefault="00DF139E" w:rsidP="00DF139E">
      <w:permStart w:id="1776975112" w:edGrp="everyone"/>
      <w:r>
        <w:t>Broadly speaking, we agree</w:t>
      </w:r>
      <w:r w:rsidR="002B38C8">
        <w:t xml:space="preserve"> – and suggest incorporating policies by reference</w:t>
      </w:r>
      <w:r>
        <w:t xml:space="preserve">.  </w:t>
      </w:r>
      <w:r w:rsidR="002B38C8">
        <w:t>D</w:t>
      </w:r>
      <w:r>
        <w:t xml:space="preserve">iscretion can apply not </w:t>
      </w:r>
      <w:r w:rsidR="00B92107">
        <w:t>only</w:t>
      </w:r>
      <w:r>
        <w:t xml:space="preserve"> to the use of expert judgement when determining the value of an illiquid security (as seems to be envisaged in the </w:t>
      </w:r>
      <w:r w:rsidR="00B92107">
        <w:t>Discussion Paper</w:t>
      </w:r>
      <w:r>
        <w:t xml:space="preserve">).  Judgement can also be used when seeking the most appropriate method for a benchmark to incorporate a complex corporate event, and also </w:t>
      </w:r>
      <w:r w:rsidR="00B92107">
        <w:t>in</w:t>
      </w:r>
      <w:r>
        <w:t xml:space="preserve"> the management of a benchmark when the trading of one or more of its constituents, and potentially an entire market, has been suspended.  A benchmark administrator will usually have policies outlining its preferred approach in such circumstances.  As the policies are likely to be numerous and lengthy, the benchmark statement should be able to incorporate such general policies by reference rather than through explicit inclusion.</w:t>
      </w:r>
    </w:p>
    <w:permEnd w:id="1776975112"/>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Pr="005F4916" w:rsidRDefault="00DF139E" w:rsidP="009A2624">
      <w:pPr>
        <w:rPr>
          <w:lang w:val="es-ES"/>
        </w:rPr>
      </w:pPr>
      <w:permStart w:id="1037989823" w:edGrp="everyone"/>
      <w:r w:rsidRPr="005F4916">
        <w:rPr>
          <w:lang w:val="es-ES"/>
        </w:rPr>
        <w:t>No.</w:t>
      </w:r>
    </w:p>
    <w:permEnd w:id="1037989823"/>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Default="00DF139E" w:rsidP="009A2624">
      <w:permStart w:id="481569067" w:edGrp="everyone"/>
      <w:r>
        <w:lastRenderedPageBreak/>
        <w:t>Yes.</w:t>
      </w:r>
    </w:p>
    <w:permEnd w:id="481569067"/>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DF139E" w:rsidP="009A2624">
      <w:permStart w:id="1898470255" w:edGrp="everyone"/>
      <w:r>
        <w:t>Yes.</w:t>
      </w:r>
    </w:p>
    <w:permEnd w:id="1898470255"/>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DF139E" w:rsidRDefault="00DF139E" w:rsidP="00DF139E">
      <w:permStart w:id="1423205171" w:edGrp="everyone"/>
      <w:r>
        <w:t xml:space="preserve">Yes.  Certain benchmarks incorporate data from many trading venues.  For example, the FTSE Russell global equity benchmarks can include traded prices from </w:t>
      </w:r>
      <w:r w:rsidR="000B7D1B">
        <w:t>some</w:t>
      </w:r>
      <w:r>
        <w:t xml:space="preserve"> 80 markets.  Including regulatory respo</w:t>
      </w:r>
      <w:r>
        <w:t>n</w:t>
      </w:r>
      <w:r>
        <w:t>s</w:t>
      </w:r>
      <w:r w:rsidR="00BC7134">
        <w:t xml:space="preserve">ibility for each market would </w:t>
      </w:r>
      <w:r w:rsidR="00B92107" w:rsidRPr="00B92107">
        <w:t>be unduly burdensome</w:t>
      </w:r>
      <w:r>
        <w:t>.</w:t>
      </w:r>
    </w:p>
    <w:permEnd w:id="1423205171"/>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FD65E0" w:rsidRDefault="00DF139E" w:rsidP="00DF139E">
      <w:permStart w:id="2089620550" w:edGrp="everyone"/>
      <w:r>
        <w:t xml:space="preserve">Yes, although </w:t>
      </w:r>
      <w:r w:rsidR="00B92107" w:rsidRPr="00B92107">
        <w:t>we suggest that because ESMA will have made the determination that a particular benc</w:t>
      </w:r>
      <w:r w:rsidR="00B92107" w:rsidRPr="00B92107">
        <w:t>h</w:t>
      </w:r>
      <w:r w:rsidR="00B92107" w:rsidRPr="00B92107">
        <w:t xml:space="preserve">mark has been </w:t>
      </w:r>
      <w:r w:rsidR="00B92107">
        <w:t>deemed</w:t>
      </w:r>
      <w:r w:rsidR="00B92107" w:rsidRPr="00B92107">
        <w:t xml:space="preserve"> as critical, ESMA would be best placed to </w:t>
      </w:r>
      <w:r>
        <w:t>supply the appropriate supporting evidence to the benchmark administrator for inclusion in the benchmark statement.</w:t>
      </w:r>
      <w:r w:rsidR="00BC7134">
        <w:t xml:space="preserve"> </w:t>
      </w:r>
    </w:p>
    <w:p w:rsidR="00FD65E0" w:rsidRDefault="00FD65E0" w:rsidP="00DF139E"/>
    <w:p w:rsidR="00691E13" w:rsidRDefault="00691E13" w:rsidP="00DF139E">
      <w:r w:rsidRPr="002D45BA">
        <w:t>For critical benchmarks, the benchmark statement ought</w:t>
      </w:r>
      <w:r>
        <w:t xml:space="preserve"> to evidence how the benchmark complies with the requirement that the benchmarks are licensed on a fair, reasonable and non-discriminatory basis</w:t>
      </w:r>
      <w:r w:rsidR="00BC7134">
        <w:t xml:space="preserve"> (in line with </w:t>
      </w:r>
      <w:proofErr w:type="spellStart"/>
      <w:r w:rsidR="00BC7134">
        <w:t>MiFIR</w:t>
      </w:r>
      <w:proofErr w:type="spellEnd"/>
      <w:r w:rsidR="00BC7134">
        <w:t>)</w:t>
      </w:r>
      <w:r>
        <w:t>.</w:t>
      </w:r>
    </w:p>
    <w:permEnd w:id="2089620550"/>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DF139E" w:rsidRDefault="00DF139E" w:rsidP="00DF139E">
      <w:permStart w:id="167382223" w:edGrp="everyone"/>
      <w:r>
        <w:t>As indicated previously, it is possible that the burden of producing detailed non-compliance statements will cause benchmark administrators not to avail themselves of the possibility of</w:t>
      </w:r>
      <w:r w:rsidR="00B92107">
        <w:t xml:space="preserve"> </w:t>
      </w:r>
      <w:r w:rsidR="00B92107" w:rsidRPr="00B92107">
        <w:t>obtaining an</w:t>
      </w:r>
      <w:r>
        <w:t xml:space="preserve"> exemption </w:t>
      </w:r>
      <w:r w:rsidR="005D7E00">
        <w:t>from the</w:t>
      </w:r>
      <w:r>
        <w:t xml:space="preserve"> optional provisions for significant benchmarks.  To the extent that administrators do choose to opt out of the relevant provisions, we have a strong preference for Option 1.</w:t>
      </w:r>
    </w:p>
    <w:permEnd w:id="167382223"/>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DF139E" w:rsidRDefault="00DF139E" w:rsidP="00666C33">
      <w:permStart w:id="1995661748" w:edGrp="everyone"/>
      <w:r>
        <w:t xml:space="preserve">We believe that the burden of producing non-compliance statements for non-significant benchmarks, coupled with the potentially difficult task of proving that a benchmark family does not cross the thresholds for significance, will encourage large benchmark administrators not to take advantage of the ability to opt out of certain of the provisions for significant benchmarks.  We further believe that the same standards of governance, and the same internal control framework, should be applied to all benchmarks regardless of </w:t>
      </w:r>
      <w:r>
        <w:lastRenderedPageBreak/>
        <w:t>their classification.  Maintaining a separate, less stringent regime for non-significant benchmarks will be operationally inefficient and detrimental to users.</w:t>
      </w:r>
    </w:p>
    <w:p w:rsidR="00DF139E" w:rsidRPr="005D7E00" w:rsidRDefault="00DF139E" w:rsidP="00666C33"/>
    <w:p w:rsidR="00DF139E" w:rsidRDefault="005D7E00" w:rsidP="009A2624">
      <w:r w:rsidRPr="005D7E00">
        <w:t xml:space="preserve">However, we understand </w:t>
      </w:r>
      <w:r w:rsidR="00691E13">
        <w:t>that the opt-</w:t>
      </w:r>
      <w:r w:rsidR="00DF139E">
        <w:t>out provisions may be of more utility to small benchmark administr</w:t>
      </w:r>
      <w:r w:rsidR="00DF139E">
        <w:t>a</w:t>
      </w:r>
      <w:r w:rsidR="00DF139E">
        <w:t>tors who only administer non-significant benchmarks.  To the extent that administrators do choose to opt out of the relevant provisions, we have a strong preference for option 1.</w:t>
      </w:r>
    </w:p>
    <w:permEnd w:id="1995661748"/>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Pr="005F4916" w:rsidRDefault="00DF139E" w:rsidP="009A2624">
      <w:pPr>
        <w:rPr>
          <w:lang w:val="es-ES"/>
        </w:rPr>
      </w:pPr>
      <w:permStart w:id="1225725874" w:edGrp="everyone"/>
      <w:r w:rsidRPr="005F4916">
        <w:rPr>
          <w:lang w:val="es-ES"/>
        </w:rPr>
        <w:t>No.</w:t>
      </w:r>
    </w:p>
    <w:permEnd w:id="1225725874"/>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DF139E" w:rsidRDefault="00DF139E" w:rsidP="00DF139E">
      <w:permStart w:id="1690311603" w:edGrp="everyone"/>
      <w:r>
        <w:t xml:space="preserve">In general we agree with the requirements.  However, some large benchmark administrators may be publicly traded companies for which the relevant financial information is readily available </w:t>
      </w:r>
      <w:r w:rsidR="00691E13">
        <w:t>elsewhere;</w:t>
      </w:r>
      <w:r w:rsidR="00287339">
        <w:t xml:space="preserve"> in </w:t>
      </w:r>
      <w:r w:rsidR="002B4D75">
        <w:t>this</w:t>
      </w:r>
      <w:r>
        <w:t xml:space="preserve"> case we suggest </w:t>
      </w:r>
      <w:r w:rsidR="002B4D75">
        <w:t>that the</w:t>
      </w:r>
      <w:r>
        <w:t xml:space="preserve"> authorisation procedure should reference this.</w:t>
      </w:r>
    </w:p>
    <w:permEnd w:id="1690311603"/>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DF139E" w:rsidRDefault="005D7E00" w:rsidP="00DF139E">
      <w:permStart w:id="1211462571" w:edGrp="everyone"/>
      <w:r>
        <w:t xml:space="preserve">Yes, we agree </w:t>
      </w:r>
      <w:r w:rsidRPr="005D7E00">
        <w:t>with ESMA’s approach</w:t>
      </w:r>
    </w:p>
    <w:permEnd w:id="1211462571"/>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DF139E" w:rsidRDefault="00DF139E" w:rsidP="00DF139E">
      <w:permStart w:id="1604804893" w:edGrp="everyone"/>
      <w:r>
        <w:t xml:space="preserve">Broadly, yes.  However in the interests of proportionality for both administrators and competent authorities </w:t>
      </w:r>
      <w:r w:rsidR="005D7E00" w:rsidRPr="005D7E00">
        <w:t xml:space="preserve">we recommend that the </w:t>
      </w:r>
      <w:r w:rsidR="005D7E00">
        <w:t xml:space="preserve">RTS </w:t>
      </w:r>
      <w:r>
        <w:t>recognise that for large administrators potentially running hundreds or tho</w:t>
      </w:r>
      <w:r>
        <w:t>u</w:t>
      </w:r>
      <w:r>
        <w:t>sands of benchmarks across perhaps one hundred benchmark families, the proposals could generate a significant volume of material for NCAs to review.</w:t>
      </w:r>
    </w:p>
    <w:p w:rsidR="00DF139E" w:rsidRDefault="00DF139E" w:rsidP="00DF139E"/>
    <w:p w:rsidR="00DF139E" w:rsidRDefault="00DF139E" w:rsidP="00DF139E">
      <w:r>
        <w:t xml:space="preserve">Because of this, we are in favour of applying for authorisation at the administrator level, as opposed to at the individual benchmark or benchmarks family level. This is to ensure that the application process is efficient and does not introduce regulatory uncertainty in the market, stemming from regulators having difficulties dealing with the number of benchmark statements they will have to review and the potential inability of NCAs to process them in </w:t>
      </w:r>
      <w:r w:rsidR="005D7E00" w:rsidRPr="005D7E00">
        <w:t>in a reasonable timeframe.</w:t>
      </w:r>
      <w:r>
        <w:t>.</w:t>
      </w:r>
    </w:p>
    <w:p w:rsidR="00DF139E" w:rsidRDefault="00DF139E" w:rsidP="00DF139E"/>
    <w:p w:rsidR="00DF139E" w:rsidRDefault="00DF139E" w:rsidP="00DF139E">
      <w:r>
        <w:t>With respect to paragraph 296, we reiterate our point that for large administrators, the burden entailed in demonstrating whether particular benchmarks are non-significant or significant will likely lead those admi</w:t>
      </w:r>
      <w:r>
        <w:t>n</w:t>
      </w:r>
      <w:r>
        <w:t>istrators to choose to administer those benchmarks to at least significant standard.  This decision could be reinforced by the requirement to produce and publish non-compliance statements for significant and non-significant benchmarks which could further lead administrators to choose not to avail themse</w:t>
      </w:r>
      <w:r w:rsidR="009057EB">
        <w:t>lves of the opt out provisions.</w:t>
      </w:r>
    </w:p>
    <w:permEnd w:id="1604804893"/>
    <w:p w:rsidR="009A2624" w:rsidRDefault="009A2624" w:rsidP="009A2624">
      <w:r>
        <w:lastRenderedPageBreak/>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DF2030" w:rsidRDefault="00DF2030" w:rsidP="00DF2030">
      <w:permStart w:id="1723748102" w:edGrp="everyone"/>
      <w:r>
        <w:t xml:space="preserve">The requirement to detail the use of third parties and to produce the contractual arrangement or relevant service level agreements is excessive.  Benchmarks may entail the use of many different types of data, not just that related to pricing.  The BMR makes </w:t>
      </w:r>
      <w:r w:rsidR="002B4D75">
        <w:t xml:space="preserve">it </w:t>
      </w:r>
      <w:r>
        <w:t xml:space="preserve">clear that it is the administrator’s responsibility to ensure that the data used is fit for purpose.  </w:t>
      </w:r>
    </w:p>
    <w:permEnd w:id="1723748102"/>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DF2030" w:rsidRDefault="00DF2030" w:rsidP="00DF2030">
      <w:permStart w:id="566119109" w:edGrp="everyone"/>
      <w:r>
        <w:t xml:space="preserve">We agree that supervised entities should not be required to submit organisational information already provided to the relevant NCA.  However, the information required </w:t>
      </w:r>
      <w:r w:rsidR="00672B8F">
        <w:t xml:space="preserve">for the registration process </w:t>
      </w:r>
      <w:r>
        <w:t xml:space="preserve">in relation to the administration of non-significant benchmarks should be identical to that required from those seeking authorisation. </w:t>
      </w:r>
    </w:p>
    <w:permEnd w:id="566119109"/>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DF2030" w:rsidRDefault="00DF2030" w:rsidP="00DF2030">
      <w:permStart w:id="137768832" w:edGrp="everyone"/>
      <w:r>
        <w:t>Certain supervised entities might be subject to potential conflicts of interest.  These conflicts should be explicitly addressed in the registration process.</w:t>
      </w:r>
    </w:p>
    <w:permEnd w:id="137768832"/>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DF2030" w:rsidRDefault="00DF2030" w:rsidP="00DF2030">
      <w:permStart w:id="307966589" w:edGrp="everyone"/>
      <w:r>
        <w:t>In order to ensure a level playing field between third country administrators and those based in the EU, we believe that the application for recognition should be substantially the same as that for authorisation.  It should not be sufficient for third country administrators to demonstrate compliance with the IOSCO princ</w:t>
      </w:r>
      <w:r>
        <w:t>i</w:t>
      </w:r>
      <w:r>
        <w:t>ples.  Rather, those applying for recognition should be required to supply the same level of detail as those applying for authorisation.</w:t>
      </w:r>
    </w:p>
    <w:permEnd w:id="307966589"/>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DF2030" w:rsidRDefault="00DF2030" w:rsidP="00DF2030">
      <w:permStart w:id="587747157" w:edGrp="everyone"/>
      <w:r>
        <w:t>Yes, we agree</w:t>
      </w:r>
      <w:r w:rsidR="005D7E00">
        <w:t xml:space="preserve"> </w:t>
      </w:r>
      <w:r w:rsidR="005D7E00" w:rsidRPr="005D7E00">
        <w:t>with ESMA’s approach</w:t>
      </w:r>
      <w:r>
        <w:t xml:space="preserve">. </w:t>
      </w:r>
    </w:p>
    <w:permEnd w:id="587747157"/>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lastRenderedPageBreak/>
        <w:t>&lt;ESMA_QUESTION_DP_BMR_101&gt;</w:t>
      </w:r>
    </w:p>
    <w:p w:rsidR="00DF2030" w:rsidRDefault="00485D8E" w:rsidP="00DF2030">
      <w:permStart w:id="1285166286" w:edGrp="everyone"/>
      <w:r>
        <w:t>T</w:t>
      </w:r>
      <w:r w:rsidR="00DF2030">
        <w:t xml:space="preserve">he requirement to provide an objective reason should not be set unnecessarily </w:t>
      </w:r>
      <w:r w:rsidR="005D7E00">
        <w:t xml:space="preserve">high. </w:t>
      </w:r>
      <w:r w:rsidR="005D7E00" w:rsidRPr="005D7E00">
        <w:t>We believe that any of the three issues listed would be sufficient to allow endorseme</w:t>
      </w:r>
      <w:r w:rsidR="005D7E00">
        <w:t>nt of a third country benchmark</w:t>
      </w:r>
      <w:r w:rsidR="00DF2030">
        <w:t>.</w:t>
      </w:r>
    </w:p>
    <w:permEnd w:id="1285166286"/>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DF2030" w:rsidRDefault="00770FB4" w:rsidP="00DF2030">
      <w:permStart w:id="930023398" w:edGrp="everyone"/>
      <w:r w:rsidRPr="00770FB4">
        <w:t xml:space="preserve">We recommend that </w:t>
      </w:r>
      <w:r>
        <w:t xml:space="preserve">the </w:t>
      </w:r>
      <w:r w:rsidR="00DF2030">
        <w:t xml:space="preserve">possible options </w:t>
      </w:r>
      <w:r>
        <w:t>could also</w:t>
      </w:r>
      <w:r w:rsidR="00DF2030">
        <w:t xml:space="preserve"> include </w:t>
      </w:r>
      <w:r w:rsidR="00B01CC9">
        <w:t>current investor</w:t>
      </w:r>
      <w:r w:rsidR="00DF2030">
        <w:t xml:space="preserve"> demand.</w:t>
      </w:r>
    </w:p>
    <w:permEnd w:id="930023398"/>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DF2030" w:rsidRDefault="002B4D75" w:rsidP="00DF2030">
      <w:permStart w:id="978413235" w:edGrp="everyone"/>
      <w:r>
        <w:t>We agree.</w:t>
      </w:r>
    </w:p>
    <w:permEnd w:id="978413235"/>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DF2030" w:rsidRDefault="00DF2030" w:rsidP="00DF2030">
      <w:permStart w:id="1909484707" w:edGrp="everyone"/>
      <w:r>
        <w:t xml:space="preserve">We are not aware of any additional circumstances. </w:t>
      </w:r>
    </w:p>
    <w:permEnd w:id="1909484707"/>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EE2530" w:rsidRDefault="00EE2530" w:rsidP="00EE2530">
      <w:permStart w:id="1015447121" w:edGrp="everyone"/>
      <w:r>
        <w:t>Yes, we agree with the definition proposed by ESMA.</w:t>
      </w:r>
    </w:p>
    <w:permEnd w:id="1015447121"/>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2B4D75" w:rsidRDefault="00EE2530" w:rsidP="009A2624">
      <w:permStart w:id="1892552530" w:edGrp="everyone"/>
      <w:r>
        <w:t>We believe that the two options envisaged are adequate.  Whether one or the other, or a combination of the two, should be used will depend on the precise circumstances.</w:t>
      </w:r>
      <w:r w:rsidR="002B4D75">
        <w:t xml:space="preserve"> W</w:t>
      </w:r>
      <w:r w:rsidR="00B43956">
        <w:t>e believe there needs to be a time limit for ho</w:t>
      </w:r>
      <w:r w:rsidR="00770FB4">
        <w:t>w long non-compliant benchmarks a</w:t>
      </w:r>
      <w:r w:rsidR="00B43956">
        <w:t xml:space="preserve">re being used. </w:t>
      </w:r>
      <w:r w:rsidDel="00FB6B20">
        <w:t xml:space="preserve"> </w:t>
      </w:r>
    </w:p>
    <w:permEnd w:id="1892552530"/>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B43956" w:rsidRDefault="00EE2530" w:rsidP="009A2624">
      <w:permStart w:id="92891172" w:edGrp="everyone"/>
      <w:r>
        <w:lastRenderedPageBreak/>
        <w:t>We believe this question is best answered according to the particular circumstances at the time.</w:t>
      </w:r>
    </w:p>
    <w:permEnd w:id="92891172"/>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B43956" w:rsidRDefault="00EE2530" w:rsidP="009A2624">
      <w:permStart w:id="1059062698" w:edGrp="everyone"/>
      <w:r w:rsidRPr="00EE2530">
        <w:t xml:space="preserve">The identification process is likely </w:t>
      </w:r>
      <w:r w:rsidR="00770FB4">
        <w:t xml:space="preserve">to be </w:t>
      </w:r>
      <w:r w:rsidRPr="00EE2530">
        <w:t xml:space="preserve">adequate during the transitional period.  Thereafter administrators </w:t>
      </w:r>
      <w:r w:rsidR="0008627E">
        <w:t>could</w:t>
      </w:r>
      <w:r w:rsidRPr="00EE2530">
        <w:t xml:space="preserve"> provide a compliance statement on a regular basis that demonstrates the adherence of each benchmark family to the regulation.</w:t>
      </w:r>
    </w:p>
    <w:permEnd w:id="1059062698"/>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B43956" w:rsidRDefault="00EE2530" w:rsidP="009A2624">
      <w:permStart w:id="1281257301" w:edGrp="everyone"/>
      <w:r>
        <w:t>We have nothing further to add on this point.</w:t>
      </w:r>
    </w:p>
    <w:permEnd w:id="1281257301"/>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EE2530" w:rsidRDefault="00EE2530" w:rsidP="00EE2530">
      <w:permStart w:id="1069643998" w:edGrp="everyone"/>
      <w:r>
        <w:t>Benchmark providers would welcome evidence of the extent of use the benchmarks they administer.</w:t>
      </w:r>
    </w:p>
    <w:permEnd w:id="1069643998"/>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E91D24" w:rsidRDefault="00EE2530" w:rsidP="00E91D24">
      <w:permStart w:id="320734658" w:edGrp="everyone"/>
      <w:r>
        <w:t xml:space="preserve">Yes, we agree that supervised entities should liaise with the competent authority of the benchmarks </w:t>
      </w:r>
      <w:r w:rsidR="0008627E">
        <w:t>administrator.</w:t>
      </w:r>
    </w:p>
    <w:permEnd w:id="320734658"/>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EE2530" w:rsidRDefault="00EE2530" w:rsidP="00EE2530">
      <w:permStart w:id="739117760" w:edGrp="everyone"/>
      <w:r>
        <w:t>Administrators are not notified when their benchmarks are referenced in financial contracts or instruments and therefore administrators are not</w:t>
      </w:r>
      <w:r w:rsidR="00E91D24">
        <w:t xml:space="preserve"> in a position</w:t>
      </w:r>
      <w:r>
        <w:t xml:space="preserve"> to provide such estimates.</w:t>
      </w:r>
      <w:r w:rsidR="00E91D24">
        <w:t xml:space="preserve"> </w:t>
      </w:r>
      <w:r>
        <w:t>Such information would be better sourced from users.</w:t>
      </w:r>
    </w:p>
    <w:permEnd w:id="739117760"/>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EE2530" w:rsidRDefault="00EE2530" w:rsidP="00EE2530">
      <w:permStart w:id="469259750" w:edGrp="everyone"/>
      <w:r>
        <w:lastRenderedPageBreak/>
        <w:t>This question is best addressed to users of benchmarks.</w:t>
      </w:r>
      <w:r w:rsidR="00E91D24">
        <w:t xml:space="preserve"> Administrators are not </w:t>
      </w:r>
      <w:r w:rsidR="0008627E">
        <w:t xml:space="preserve">necessarily </w:t>
      </w:r>
      <w:r w:rsidR="00E91D24">
        <w:t>notified when their benchmarks are referenced in financial contract and therefore would not be abl</w:t>
      </w:r>
      <w:r w:rsidR="00770FB4">
        <w:t xml:space="preserve">e to provide such an estimate or </w:t>
      </w:r>
      <w:r w:rsidR="00E91D24">
        <w:t>evaluation.</w:t>
      </w:r>
    </w:p>
    <w:permEnd w:id="469259750"/>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C8" w:rsidRDefault="00FF65C8">
      <w:r>
        <w:separator/>
      </w:r>
    </w:p>
    <w:p w:rsidR="00FF65C8" w:rsidRDefault="00FF65C8"/>
  </w:endnote>
  <w:endnote w:type="continuationSeparator" w:id="0">
    <w:p w:rsidR="00FF65C8" w:rsidRDefault="00FF65C8">
      <w:r>
        <w:continuationSeparator/>
      </w:r>
    </w:p>
    <w:p w:rsidR="00FF65C8" w:rsidRDefault="00FF65C8"/>
  </w:endnote>
  <w:endnote w:type="continuationNotice" w:id="1">
    <w:p w:rsidR="00FF65C8" w:rsidRDefault="00FF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F65C8" w:rsidRPr="00616B9B" w:rsidTr="00315E96">
      <w:trPr>
        <w:trHeight w:val="284"/>
      </w:trPr>
      <w:tc>
        <w:tcPr>
          <w:tcW w:w="8460" w:type="dxa"/>
        </w:tcPr>
        <w:p w:rsidR="00FF65C8" w:rsidRPr="00315E96" w:rsidRDefault="00FF65C8" w:rsidP="00315E96">
          <w:pPr>
            <w:pStyle w:val="00Footer"/>
            <w:rPr>
              <w:lang w:val="fr-FR"/>
            </w:rPr>
          </w:pPr>
        </w:p>
      </w:tc>
      <w:tc>
        <w:tcPr>
          <w:tcW w:w="952" w:type="dxa"/>
        </w:tcPr>
        <w:p w:rsidR="00FF65C8" w:rsidRPr="00616B9B" w:rsidRDefault="00FF65C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755FE">
            <w:rPr>
              <w:rFonts w:cs="Arial"/>
              <w:noProof/>
              <w:sz w:val="22"/>
              <w:szCs w:val="22"/>
            </w:rPr>
            <w:t>30</w:t>
          </w:r>
          <w:r w:rsidRPr="00616B9B">
            <w:rPr>
              <w:rFonts w:cs="Arial"/>
              <w:noProof/>
              <w:sz w:val="22"/>
              <w:szCs w:val="22"/>
            </w:rPr>
            <w:fldChar w:fldCharType="end"/>
          </w:r>
        </w:p>
      </w:tc>
    </w:tr>
  </w:tbl>
  <w:p w:rsidR="00FF65C8" w:rsidRDefault="00FF6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8" w:rsidRDefault="00FF6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C8" w:rsidRDefault="00FF65C8">
      <w:r>
        <w:separator/>
      </w:r>
    </w:p>
    <w:p w:rsidR="00FF65C8" w:rsidRDefault="00FF65C8"/>
  </w:footnote>
  <w:footnote w:type="continuationSeparator" w:id="0">
    <w:p w:rsidR="00FF65C8" w:rsidRDefault="00FF65C8">
      <w:r>
        <w:continuationSeparator/>
      </w:r>
    </w:p>
    <w:p w:rsidR="00FF65C8" w:rsidRDefault="00FF65C8"/>
  </w:footnote>
  <w:footnote w:type="continuationNotice" w:id="1">
    <w:p w:rsidR="00FF65C8" w:rsidRDefault="00FF65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8" w:rsidRDefault="00FF65C8">
    <w:pPr>
      <w:pStyle w:val="Header"/>
    </w:pPr>
    <w:r>
      <w:rPr>
        <w:noProof/>
        <w:lang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8" w:rsidRDefault="00FF65C8" w:rsidP="00013CCE">
    <w:pPr>
      <w:pStyle w:val="Header"/>
      <w:jc w:val="right"/>
    </w:pPr>
    <w:r>
      <w:rPr>
        <w:noProof/>
        <w:lang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C8" w:rsidRDefault="00FF65C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F65C8" w:rsidRPr="002F4496" w:rsidTr="000C06C9">
      <w:trPr>
        <w:trHeight w:val="284"/>
      </w:trPr>
      <w:tc>
        <w:tcPr>
          <w:tcW w:w="8460" w:type="dxa"/>
        </w:tcPr>
        <w:p w:rsidR="00FF65C8" w:rsidRPr="000C3B6D" w:rsidRDefault="00FF65C8" w:rsidP="000C06C9">
          <w:pPr>
            <w:pStyle w:val="00Footer"/>
            <w:rPr>
              <w:lang w:val="fr-FR"/>
            </w:rPr>
          </w:pPr>
        </w:p>
      </w:tc>
      <w:tc>
        <w:tcPr>
          <w:tcW w:w="952" w:type="dxa"/>
        </w:tcPr>
        <w:p w:rsidR="00FF65C8" w:rsidRPr="00146B34" w:rsidRDefault="00FF65C8" w:rsidP="000C06C9">
          <w:pPr>
            <w:pStyle w:val="00aPagenumber"/>
            <w:rPr>
              <w:lang w:val="fr-FR"/>
            </w:rPr>
          </w:pPr>
        </w:p>
      </w:tc>
    </w:tr>
  </w:tbl>
  <w:p w:rsidR="00FF65C8" w:rsidRPr="00DB46C3" w:rsidRDefault="00FF65C8">
    <w:pPr>
      <w:rPr>
        <w:lang w:val="fr-FR"/>
      </w:rPr>
    </w:pPr>
  </w:p>
  <w:p w:rsidR="00FF65C8" w:rsidRPr="002F4496" w:rsidRDefault="00FF65C8">
    <w:pPr>
      <w:pStyle w:val="Header"/>
      <w:rPr>
        <w:lang w:val="fr-FR"/>
      </w:rPr>
    </w:pPr>
  </w:p>
  <w:p w:rsidR="00FF65C8" w:rsidRPr="002F4496" w:rsidRDefault="00FF65C8" w:rsidP="000C06C9">
    <w:pPr>
      <w:pStyle w:val="Header"/>
      <w:tabs>
        <w:tab w:val="clear" w:pos="4536"/>
        <w:tab w:val="clear" w:pos="9072"/>
        <w:tab w:val="left" w:pos="8227"/>
      </w:tabs>
      <w:rPr>
        <w:lang w:val="fr-FR"/>
      </w:rPr>
    </w:pPr>
  </w:p>
  <w:p w:rsidR="00FF65C8" w:rsidRPr="002F4496" w:rsidRDefault="00FF65C8" w:rsidP="000C06C9">
    <w:pPr>
      <w:pStyle w:val="Header"/>
      <w:tabs>
        <w:tab w:val="clear" w:pos="4536"/>
        <w:tab w:val="clear" w:pos="9072"/>
        <w:tab w:val="left" w:pos="8227"/>
      </w:tabs>
      <w:rPr>
        <w:lang w:val="fr-FR"/>
      </w:rPr>
    </w:pPr>
  </w:p>
  <w:p w:rsidR="00FF65C8" w:rsidRPr="002F4496" w:rsidRDefault="00FF65C8">
    <w:pPr>
      <w:pStyle w:val="Header"/>
      <w:rPr>
        <w:lang w:val="fr-FR"/>
      </w:rPr>
    </w:pPr>
  </w:p>
  <w:p w:rsidR="00FF65C8" w:rsidRPr="002F4496" w:rsidRDefault="00FF65C8">
    <w:pPr>
      <w:pStyle w:val="Header"/>
      <w:rPr>
        <w:lang w:val="fr-FR"/>
      </w:rPr>
    </w:pPr>
  </w:p>
  <w:p w:rsidR="00FF65C8" w:rsidRPr="002F4496" w:rsidRDefault="00FF65C8">
    <w:pPr>
      <w:pStyle w:val="Header"/>
      <w:rPr>
        <w:lang w:val="fr-FR"/>
      </w:rPr>
    </w:pPr>
  </w:p>
  <w:p w:rsidR="00FF65C8" w:rsidRPr="002F4496" w:rsidRDefault="00FF65C8">
    <w:pPr>
      <w:pStyle w:val="Header"/>
      <w:rPr>
        <w:lang w:val="fr-FR"/>
      </w:rPr>
    </w:pPr>
  </w:p>
  <w:p w:rsidR="00FF65C8" w:rsidRPr="002F4496" w:rsidRDefault="00FF65C8">
    <w:pPr>
      <w:pStyle w:val="Header"/>
      <w:rPr>
        <w:highlight w:val="yellow"/>
        <w:lang w:val="fr-FR"/>
      </w:rPr>
    </w:pPr>
  </w:p>
  <w:p w:rsidR="00FF65C8" w:rsidRDefault="00FF65C8">
    <w:pPr>
      <w:pStyle w:val="Header"/>
    </w:pPr>
    <w:r>
      <w:rPr>
        <w:noProof/>
        <w:lang w:eastAsia="zh-CN"/>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0290006"/>
    <w:multiLevelType w:val="hybridMultilevel"/>
    <w:tmpl w:val="2DD6B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C42238A"/>
    <w:multiLevelType w:val="hybridMultilevel"/>
    <w:tmpl w:val="4C1AE588"/>
    <w:lvl w:ilvl="0" w:tplc="93B283CA">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8043AE6"/>
    <w:multiLevelType w:val="hybridMultilevel"/>
    <w:tmpl w:val="93FC93C4"/>
    <w:lvl w:ilvl="0" w:tplc="8A72B120">
      <w:start w:val="1"/>
      <w:numFmt w:val="lowerLetter"/>
      <w:lvlText w:val="(%1)"/>
      <w:lvlJc w:val="left"/>
      <w:pPr>
        <w:ind w:left="1080" w:hanging="360"/>
      </w:pPr>
      <w:rPr>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10"/>
  </w:num>
  <w:num w:numId="24">
    <w:abstractNumId w:val="32"/>
  </w:num>
  <w:num w:numId="25">
    <w:abstractNumId w:val="31"/>
  </w:num>
  <w:num w:numId="26">
    <w:abstractNumId w:val="20"/>
  </w:num>
  <w:num w:numId="27">
    <w:abstractNumId w:val="36"/>
  </w:num>
  <w:num w:numId="28">
    <w:abstractNumId w:val="42"/>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8"/>
  </w:num>
  <w:num w:numId="36">
    <w:abstractNumId w:val="37"/>
  </w:num>
  <w:num w:numId="37">
    <w:abstractNumId w:val="12"/>
  </w:num>
  <w:num w:numId="38">
    <w:abstractNumId w:val="3"/>
  </w:num>
  <w:num w:numId="39">
    <w:abstractNumId w:val="40"/>
  </w:num>
  <w:num w:numId="40">
    <w:abstractNumId w:val="2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18D7"/>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3BF4"/>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3525"/>
    <w:rsid w:val="0007463D"/>
    <w:rsid w:val="000749F0"/>
    <w:rsid w:val="0007609D"/>
    <w:rsid w:val="00077C67"/>
    <w:rsid w:val="00080976"/>
    <w:rsid w:val="00081148"/>
    <w:rsid w:val="00081B99"/>
    <w:rsid w:val="00081CEB"/>
    <w:rsid w:val="00081E60"/>
    <w:rsid w:val="00082D8E"/>
    <w:rsid w:val="00082E31"/>
    <w:rsid w:val="00083AA3"/>
    <w:rsid w:val="00085947"/>
    <w:rsid w:val="0008627E"/>
    <w:rsid w:val="000868FE"/>
    <w:rsid w:val="000878D1"/>
    <w:rsid w:val="000921AE"/>
    <w:rsid w:val="000921D7"/>
    <w:rsid w:val="000925FF"/>
    <w:rsid w:val="000932E0"/>
    <w:rsid w:val="00094C4C"/>
    <w:rsid w:val="0009640F"/>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B7D1B"/>
    <w:rsid w:val="000C06C9"/>
    <w:rsid w:val="000C1DCC"/>
    <w:rsid w:val="000C1FBC"/>
    <w:rsid w:val="000C28EF"/>
    <w:rsid w:val="000C2B6A"/>
    <w:rsid w:val="000C2F88"/>
    <w:rsid w:val="000C55C8"/>
    <w:rsid w:val="000C57C4"/>
    <w:rsid w:val="000C5FD3"/>
    <w:rsid w:val="000C681E"/>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3772A"/>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67175"/>
    <w:rsid w:val="001701FA"/>
    <w:rsid w:val="00171183"/>
    <w:rsid w:val="001725A5"/>
    <w:rsid w:val="00172681"/>
    <w:rsid w:val="00173689"/>
    <w:rsid w:val="00173AC7"/>
    <w:rsid w:val="001745D7"/>
    <w:rsid w:val="00175754"/>
    <w:rsid w:val="00176639"/>
    <w:rsid w:val="00176982"/>
    <w:rsid w:val="0017701C"/>
    <w:rsid w:val="00181264"/>
    <w:rsid w:val="00181BD1"/>
    <w:rsid w:val="0018204A"/>
    <w:rsid w:val="00182F7C"/>
    <w:rsid w:val="001843B5"/>
    <w:rsid w:val="0018464B"/>
    <w:rsid w:val="00186829"/>
    <w:rsid w:val="001868CA"/>
    <w:rsid w:val="00187304"/>
    <w:rsid w:val="001875BE"/>
    <w:rsid w:val="0019017A"/>
    <w:rsid w:val="00190B8C"/>
    <w:rsid w:val="00190FF8"/>
    <w:rsid w:val="0019311A"/>
    <w:rsid w:val="00193D0F"/>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5B37"/>
    <w:rsid w:val="001C6195"/>
    <w:rsid w:val="001C7DD3"/>
    <w:rsid w:val="001D000A"/>
    <w:rsid w:val="001D0883"/>
    <w:rsid w:val="001D2205"/>
    <w:rsid w:val="001D3A1F"/>
    <w:rsid w:val="001D3B7C"/>
    <w:rsid w:val="001D3FB6"/>
    <w:rsid w:val="001D4550"/>
    <w:rsid w:val="001D5498"/>
    <w:rsid w:val="001D5BAF"/>
    <w:rsid w:val="001D6401"/>
    <w:rsid w:val="001D66C9"/>
    <w:rsid w:val="001D722A"/>
    <w:rsid w:val="001E04FC"/>
    <w:rsid w:val="001E1548"/>
    <w:rsid w:val="001E3713"/>
    <w:rsid w:val="001E407D"/>
    <w:rsid w:val="001E40FB"/>
    <w:rsid w:val="001E66EC"/>
    <w:rsid w:val="001E68C5"/>
    <w:rsid w:val="001E7BDA"/>
    <w:rsid w:val="001F0F63"/>
    <w:rsid w:val="001F3996"/>
    <w:rsid w:val="001F44A4"/>
    <w:rsid w:val="001F579D"/>
    <w:rsid w:val="001F65EF"/>
    <w:rsid w:val="001F697B"/>
    <w:rsid w:val="001F7E38"/>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0BD"/>
    <w:rsid w:val="002733C0"/>
    <w:rsid w:val="00273681"/>
    <w:rsid w:val="0027538B"/>
    <w:rsid w:val="002754B5"/>
    <w:rsid w:val="002764C5"/>
    <w:rsid w:val="002772AE"/>
    <w:rsid w:val="00280613"/>
    <w:rsid w:val="0028274D"/>
    <w:rsid w:val="00282B96"/>
    <w:rsid w:val="002833D6"/>
    <w:rsid w:val="00283F51"/>
    <w:rsid w:val="00286064"/>
    <w:rsid w:val="002867B1"/>
    <w:rsid w:val="00287339"/>
    <w:rsid w:val="00287BBB"/>
    <w:rsid w:val="00287E3B"/>
    <w:rsid w:val="00290638"/>
    <w:rsid w:val="00291260"/>
    <w:rsid w:val="00291763"/>
    <w:rsid w:val="00291D80"/>
    <w:rsid w:val="00293156"/>
    <w:rsid w:val="00293BE7"/>
    <w:rsid w:val="002946DC"/>
    <w:rsid w:val="002A0C82"/>
    <w:rsid w:val="002A0CD8"/>
    <w:rsid w:val="002A13EB"/>
    <w:rsid w:val="002A35EF"/>
    <w:rsid w:val="002A3DE0"/>
    <w:rsid w:val="002A40EA"/>
    <w:rsid w:val="002A46E8"/>
    <w:rsid w:val="002A491C"/>
    <w:rsid w:val="002A7A8E"/>
    <w:rsid w:val="002B1FEF"/>
    <w:rsid w:val="002B2042"/>
    <w:rsid w:val="002B2DF8"/>
    <w:rsid w:val="002B354F"/>
    <w:rsid w:val="002B3614"/>
    <w:rsid w:val="002B38C8"/>
    <w:rsid w:val="002B45D1"/>
    <w:rsid w:val="002B4D75"/>
    <w:rsid w:val="002B4ED8"/>
    <w:rsid w:val="002B4FAA"/>
    <w:rsid w:val="002B52C2"/>
    <w:rsid w:val="002B7656"/>
    <w:rsid w:val="002C1492"/>
    <w:rsid w:val="002C1E8B"/>
    <w:rsid w:val="002C2EFE"/>
    <w:rsid w:val="002C4C9A"/>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E72"/>
    <w:rsid w:val="00324FDB"/>
    <w:rsid w:val="00325F48"/>
    <w:rsid w:val="003273FE"/>
    <w:rsid w:val="0033194F"/>
    <w:rsid w:val="00332304"/>
    <w:rsid w:val="00332406"/>
    <w:rsid w:val="00332D8D"/>
    <w:rsid w:val="00336B56"/>
    <w:rsid w:val="00341B25"/>
    <w:rsid w:val="00341BC7"/>
    <w:rsid w:val="00341EC0"/>
    <w:rsid w:val="0034240C"/>
    <w:rsid w:val="00344496"/>
    <w:rsid w:val="00345968"/>
    <w:rsid w:val="00347667"/>
    <w:rsid w:val="003507E2"/>
    <w:rsid w:val="003522B2"/>
    <w:rsid w:val="0035390A"/>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86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1997"/>
    <w:rsid w:val="003D4B73"/>
    <w:rsid w:val="003D4E5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5722"/>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901"/>
    <w:rsid w:val="00471FF9"/>
    <w:rsid w:val="00473E74"/>
    <w:rsid w:val="00473FEF"/>
    <w:rsid w:val="00475B8E"/>
    <w:rsid w:val="0048104E"/>
    <w:rsid w:val="00481167"/>
    <w:rsid w:val="004814BB"/>
    <w:rsid w:val="004815DA"/>
    <w:rsid w:val="00482458"/>
    <w:rsid w:val="004837ED"/>
    <w:rsid w:val="00483942"/>
    <w:rsid w:val="004843CE"/>
    <w:rsid w:val="00485142"/>
    <w:rsid w:val="004852A7"/>
    <w:rsid w:val="00485D8E"/>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05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745"/>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5F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1DF"/>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D7E00"/>
    <w:rsid w:val="005E0481"/>
    <w:rsid w:val="005E10BF"/>
    <w:rsid w:val="005E1834"/>
    <w:rsid w:val="005E49E5"/>
    <w:rsid w:val="005E5481"/>
    <w:rsid w:val="005E55E4"/>
    <w:rsid w:val="005E6C5F"/>
    <w:rsid w:val="005E7636"/>
    <w:rsid w:val="005E7EBE"/>
    <w:rsid w:val="005F028E"/>
    <w:rsid w:val="005F04B4"/>
    <w:rsid w:val="005F11A4"/>
    <w:rsid w:val="005F19F8"/>
    <w:rsid w:val="005F3A40"/>
    <w:rsid w:val="005F3FB1"/>
    <w:rsid w:val="005F4916"/>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162A"/>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C33"/>
    <w:rsid w:val="00666F74"/>
    <w:rsid w:val="00667FEA"/>
    <w:rsid w:val="006710D2"/>
    <w:rsid w:val="00671A8B"/>
    <w:rsid w:val="00671F53"/>
    <w:rsid w:val="006725A0"/>
    <w:rsid w:val="00672B8F"/>
    <w:rsid w:val="0067555E"/>
    <w:rsid w:val="00677FAD"/>
    <w:rsid w:val="006802DE"/>
    <w:rsid w:val="0068032D"/>
    <w:rsid w:val="0068068C"/>
    <w:rsid w:val="00681115"/>
    <w:rsid w:val="00683920"/>
    <w:rsid w:val="00684815"/>
    <w:rsid w:val="00685147"/>
    <w:rsid w:val="00685653"/>
    <w:rsid w:val="0068590D"/>
    <w:rsid w:val="00685A89"/>
    <w:rsid w:val="006861B3"/>
    <w:rsid w:val="00686FA2"/>
    <w:rsid w:val="006870C5"/>
    <w:rsid w:val="00690F0E"/>
    <w:rsid w:val="006911C0"/>
    <w:rsid w:val="00691B7C"/>
    <w:rsid w:val="00691E13"/>
    <w:rsid w:val="00694B73"/>
    <w:rsid w:val="00694DF2"/>
    <w:rsid w:val="00695F80"/>
    <w:rsid w:val="006966CD"/>
    <w:rsid w:val="00696735"/>
    <w:rsid w:val="0069780E"/>
    <w:rsid w:val="00697D13"/>
    <w:rsid w:val="006A099B"/>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D635A"/>
    <w:rsid w:val="006D660E"/>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E41"/>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7A52"/>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0FB4"/>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587"/>
    <w:rsid w:val="007A076C"/>
    <w:rsid w:val="007A2140"/>
    <w:rsid w:val="007A23E2"/>
    <w:rsid w:val="007A31A5"/>
    <w:rsid w:val="007A411B"/>
    <w:rsid w:val="007A45E6"/>
    <w:rsid w:val="007A4B28"/>
    <w:rsid w:val="007A5C2C"/>
    <w:rsid w:val="007A7678"/>
    <w:rsid w:val="007B000A"/>
    <w:rsid w:val="007B0CD8"/>
    <w:rsid w:val="007B0DE0"/>
    <w:rsid w:val="007B0F8D"/>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DF2"/>
    <w:rsid w:val="007E3514"/>
    <w:rsid w:val="007E4AAA"/>
    <w:rsid w:val="007E4BD2"/>
    <w:rsid w:val="007E4C29"/>
    <w:rsid w:val="007E4D57"/>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0D16"/>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3D4C"/>
    <w:rsid w:val="00844515"/>
    <w:rsid w:val="0084465A"/>
    <w:rsid w:val="00844DFF"/>
    <w:rsid w:val="00845D87"/>
    <w:rsid w:val="00846C3A"/>
    <w:rsid w:val="008477BF"/>
    <w:rsid w:val="008503DA"/>
    <w:rsid w:val="00850B68"/>
    <w:rsid w:val="00850E82"/>
    <w:rsid w:val="0085122D"/>
    <w:rsid w:val="008518E9"/>
    <w:rsid w:val="008519E8"/>
    <w:rsid w:val="0085237C"/>
    <w:rsid w:val="008525FF"/>
    <w:rsid w:val="00852C03"/>
    <w:rsid w:val="008532BC"/>
    <w:rsid w:val="0085590C"/>
    <w:rsid w:val="008575EB"/>
    <w:rsid w:val="008629C3"/>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3EDB"/>
    <w:rsid w:val="0089442C"/>
    <w:rsid w:val="00895818"/>
    <w:rsid w:val="008A2585"/>
    <w:rsid w:val="008A2718"/>
    <w:rsid w:val="008A4CF6"/>
    <w:rsid w:val="008A4E42"/>
    <w:rsid w:val="008A51AA"/>
    <w:rsid w:val="008A6986"/>
    <w:rsid w:val="008A6A12"/>
    <w:rsid w:val="008B0DC6"/>
    <w:rsid w:val="008B2B9E"/>
    <w:rsid w:val="008B31F5"/>
    <w:rsid w:val="008B4C79"/>
    <w:rsid w:val="008B5D2D"/>
    <w:rsid w:val="008B6361"/>
    <w:rsid w:val="008C0320"/>
    <w:rsid w:val="008C2A81"/>
    <w:rsid w:val="008C3863"/>
    <w:rsid w:val="008C4BDC"/>
    <w:rsid w:val="008C50FF"/>
    <w:rsid w:val="008C5435"/>
    <w:rsid w:val="008C5CAE"/>
    <w:rsid w:val="008C6BD1"/>
    <w:rsid w:val="008D2DB5"/>
    <w:rsid w:val="008D3F10"/>
    <w:rsid w:val="008D611D"/>
    <w:rsid w:val="008E065A"/>
    <w:rsid w:val="008E1B6A"/>
    <w:rsid w:val="008E3054"/>
    <w:rsid w:val="008E32FF"/>
    <w:rsid w:val="008E5625"/>
    <w:rsid w:val="008E5C5B"/>
    <w:rsid w:val="008E62E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7EB"/>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B2D"/>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663E"/>
    <w:rsid w:val="009B7133"/>
    <w:rsid w:val="009B7658"/>
    <w:rsid w:val="009B771E"/>
    <w:rsid w:val="009B7CD1"/>
    <w:rsid w:val="009B7E22"/>
    <w:rsid w:val="009B7E78"/>
    <w:rsid w:val="009C013E"/>
    <w:rsid w:val="009C10FE"/>
    <w:rsid w:val="009C13BC"/>
    <w:rsid w:val="009C1CA4"/>
    <w:rsid w:val="009C2532"/>
    <w:rsid w:val="009C2BA4"/>
    <w:rsid w:val="009C6091"/>
    <w:rsid w:val="009C634F"/>
    <w:rsid w:val="009C6CE1"/>
    <w:rsid w:val="009D0219"/>
    <w:rsid w:val="009D0D55"/>
    <w:rsid w:val="009D2295"/>
    <w:rsid w:val="009D2511"/>
    <w:rsid w:val="009D3E7C"/>
    <w:rsid w:val="009D48FE"/>
    <w:rsid w:val="009D55CA"/>
    <w:rsid w:val="009D5EF0"/>
    <w:rsid w:val="009D6401"/>
    <w:rsid w:val="009E0711"/>
    <w:rsid w:val="009E1917"/>
    <w:rsid w:val="009E2FDB"/>
    <w:rsid w:val="009E3594"/>
    <w:rsid w:val="009E6B77"/>
    <w:rsid w:val="009E7724"/>
    <w:rsid w:val="009E7D1F"/>
    <w:rsid w:val="009F1D82"/>
    <w:rsid w:val="009F3018"/>
    <w:rsid w:val="009F37AA"/>
    <w:rsid w:val="009F544C"/>
    <w:rsid w:val="009F5731"/>
    <w:rsid w:val="009F6321"/>
    <w:rsid w:val="009F6378"/>
    <w:rsid w:val="009F63D1"/>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72ED"/>
    <w:rsid w:val="00A60D6F"/>
    <w:rsid w:val="00A61009"/>
    <w:rsid w:val="00A61762"/>
    <w:rsid w:val="00A61938"/>
    <w:rsid w:val="00A61CFD"/>
    <w:rsid w:val="00A62B86"/>
    <w:rsid w:val="00A63C96"/>
    <w:rsid w:val="00A652AB"/>
    <w:rsid w:val="00A65805"/>
    <w:rsid w:val="00A669EC"/>
    <w:rsid w:val="00A66BEE"/>
    <w:rsid w:val="00A671C9"/>
    <w:rsid w:val="00A67DFD"/>
    <w:rsid w:val="00A74F9F"/>
    <w:rsid w:val="00A750B3"/>
    <w:rsid w:val="00A75559"/>
    <w:rsid w:val="00A7623D"/>
    <w:rsid w:val="00A820A7"/>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B8B"/>
    <w:rsid w:val="00AC50C8"/>
    <w:rsid w:val="00AC5581"/>
    <w:rsid w:val="00AC56AD"/>
    <w:rsid w:val="00AC61BE"/>
    <w:rsid w:val="00AC6B5C"/>
    <w:rsid w:val="00AD0B9C"/>
    <w:rsid w:val="00AD0CB4"/>
    <w:rsid w:val="00AD1FF2"/>
    <w:rsid w:val="00AD2A21"/>
    <w:rsid w:val="00AD3B43"/>
    <w:rsid w:val="00AD41C9"/>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CC9"/>
    <w:rsid w:val="00B03CE2"/>
    <w:rsid w:val="00B06544"/>
    <w:rsid w:val="00B105F2"/>
    <w:rsid w:val="00B10991"/>
    <w:rsid w:val="00B12128"/>
    <w:rsid w:val="00B12945"/>
    <w:rsid w:val="00B12A2D"/>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3956"/>
    <w:rsid w:val="00B4401C"/>
    <w:rsid w:val="00B44802"/>
    <w:rsid w:val="00B455D1"/>
    <w:rsid w:val="00B46135"/>
    <w:rsid w:val="00B46E46"/>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107"/>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D56"/>
    <w:rsid w:val="00BB3E85"/>
    <w:rsid w:val="00BB48C4"/>
    <w:rsid w:val="00BB6907"/>
    <w:rsid w:val="00BB7A20"/>
    <w:rsid w:val="00BC15B1"/>
    <w:rsid w:val="00BC2C58"/>
    <w:rsid w:val="00BC3C06"/>
    <w:rsid w:val="00BC4E8B"/>
    <w:rsid w:val="00BC5622"/>
    <w:rsid w:val="00BC6060"/>
    <w:rsid w:val="00BC7134"/>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289"/>
    <w:rsid w:val="00BF263C"/>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2C8"/>
    <w:rsid w:val="00C05A5D"/>
    <w:rsid w:val="00C0654A"/>
    <w:rsid w:val="00C06DE3"/>
    <w:rsid w:val="00C06F97"/>
    <w:rsid w:val="00C10BE6"/>
    <w:rsid w:val="00C11296"/>
    <w:rsid w:val="00C11905"/>
    <w:rsid w:val="00C1234A"/>
    <w:rsid w:val="00C12661"/>
    <w:rsid w:val="00C126E3"/>
    <w:rsid w:val="00C1330F"/>
    <w:rsid w:val="00C13988"/>
    <w:rsid w:val="00C13ED7"/>
    <w:rsid w:val="00C14615"/>
    <w:rsid w:val="00C14F48"/>
    <w:rsid w:val="00C15296"/>
    <w:rsid w:val="00C17750"/>
    <w:rsid w:val="00C207E8"/>
    <w:rsid w:val="00C2094B"/>
    <w:rsid w:val="00C20DC5"/>
    <w:rsid w:val="00C2294E"/>
    <w:rsid w:val="00C22A5B"/>
    <w:rsid w:val="00C23412"/>
    <w:rsid w:val="00C24B91"/>
    <w:rsid w:val="00C264C7"/>
    <w:rsid w:val="00C271C4"/>
    <w:rsid w:val="00C274F3"/>
    <w:rsid w:val="00C30611"/>
    <w:rsid w:val="00C30A54"/>
    <w:rsid w:val="00C316F7"/>
    <w:rsid w:val="00C31DF0"/>
    <w:rsid w:val="00C33916"/>
    <w:rsid w:val="00C33BCF"/>
    <w:rsid w:val="00C35020"/>
    <w:rsid w:val="00C353A0"/>
    <w:rsid w:val="00C368D7"/>
    <w:rsid w:val="00C36FD1"/>
    <w:rsid w:val="00C371A5"/>
    <w:rsid w:val="00C37B3A"/>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6CB3"/>
    <w:rsid w:val="00C672B0"/>
    <w:rsid w:val="00C729C7"/>
    <w:rsid w:val="00C76F08"/>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8B9"/>
    <w:rsid w:val="00CD4EB0"/>
    <w:rsid w:val="00CD512D"/>
    <w:rsid w:val="00CD5831"/>
    <w:rsid w:val="00CD6F6E"/>
    <w:rsid w:val="00CE157F"/>
    <w:rsid w:val="00CE1966"/>
    <w:rsid w:val="00CE1ED4"/>
    <w:rsid w:val="00CE2216"/>
    <w:rsid w:val="00CE3014"/>
    <w:rsid w:val="00CE30E5"/>
    <w:rsid w:val="00CE59F0"/>
    <w:rsid w:val="00CE6FC6"/>
    <w:rsid w:val="00CF2056"/>
    <w:rsid w:val="00CF4471"/>
    <w:rsid w:val="00CF51C0"/>
    <w:rsid w:val="00CF5304"/>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B43"/>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5D97"/>
    <w:rsid w:val="00D511C6"/>
    <w:rsid w:val="00D5121D"/>
    <w:rsid w:val="00D516AC"/>
    <w:rsid w:val="00D521BB"/>
    <w:rsid w:val="00D52875"/>
    <w:rsid w:val="00D54050"/>
    <w:rsid w:val="00D56AC0"/>
    <w:rsid w:val="00D6081B"/>
    <w:rsid w:val="00D61A37"/>
    <w:rsid w:val="00D6240A"/>
    <w:rsid w:val="00D63093"/>
    <w:rsid w:val="00D63599"/>
    <w:rsid w:val="00D63EBD"/>
    <w:rsid w:val="00D64598"/>
    <w:rsid w:val="00D67101"/>
    <w:rsid w:val="00D71B45"/>
    <w:rsid w:val="00D71F8A"/>
    <w:rsid w:val="00D75603"/>
    <w:rsid w:val="00D75FEE"/>
    <w:rsid w:val="00D76933"/>
    <w:rsid w:val="00D76D88"/>
    <w:rsid w:val="00D77CC9"/>
    <w:rsid w:val="00D80FD1"/>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31A"/>
    <w:rsid w:val="00DB6C46"/>
    <w:rsid w:val="00DB72B8"/>
    <w:rsid w:val="00DC0AD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39E"/>
    <w:rsid w:val="00DF2030"/>
    <w:rsid w:val="00DF2E8E"/>
    <w:rsid w:val="00DF3F1D"/>
    <w:rsid w:val="00DF595C"/>
    <w:rsid w:val="00DF7EA7"/>
    <w:rsid w:val="00E04548"/>
    <w:rsid w:val="00E0484E"/>
    <w:rsid w:val="00E063F8"/>
    <w:rsid w:val="00E114D6"/>
    <w:rsid w:val="00E1166E"/>
    <w:rsid w:val="00E11DBD"/>
    <w:rsid w:val="00E13211"/>
    <w:rsid w:val="00E14A2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90E"/>
    <w:rsid w:val="00E44B80"/>
    <w:rsid w:val="00E47430"/>
    <w:rsid w:val="00E50FB7"/>
    <w:rsid w:val="00E5199F"/>
    <w:rsid w:val="00E526DF"/>
    <w:rsid w:val="00E53C15"/>
    <w:rsid w:val="00E54D6F"/>
    <w:rsid w:val="00E54EE6"/>
    <w:rsid w:val="00E55C0E"/>
    <w:rsid w:val="00E56715"/>
    <w:rsid w:val="00E56C2C"/>
    <w:rsid w:val="00E56D5B"/>
    <w:rsid w:val="00E57F8E"/>
    <w:rsid w:val="00E611C8"/>
    <w:rsid w:val="00E6344A"/>
    <w:rsid w:val="00E64A6F"/>
    <w:rsid w:val="00E64E69"/>
    <w:rsid w:val="00E64FB7"/>
    <w:rsid w:val="00E669A1"/>
    <w:rsid w:val="00E679BA"/>
    <w:rsid w:val="00E70243"/>
    <w:rsid w:val="00E70CBF"/>
    <w:rsid w:val="00E72CC6"/>
    <w:rsid w:val="00E73D44"/>
    <w:rsid w:val="00E7494A"/>
    <w:rsid w:val="00E74BE2"/>
    <w:rsid w:val="00E74C66"/>
    <w:rsid w:val="00E75933"/>
    <w:rsid w:val="00E77A1B"/>
    <w:rsid w:val="00E77F3E"/>
    <w:rsid w:val="00E808BE"/>
    <w:rsid w:val="00E81E36"/>
    <w:rsid w:val="00E81E40"/>
    <w:rsid w:val="00E82ECE"/>
    <w:rsid w:val="00E8713B"/>
    <w:rsid w:val="00E90C61"/>
    <w:rsid w:val="00E91D24"/>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75B1"/>
    <w:rsid w:val="00EC078B"/>
    <w:rsid w:val="00EC07A0"/>
    <w:rsid w:val="00EC08E4"/>
    <w:rsid w:val="00EC0C76"/>
    <w:rsid w:val="00EC386C"/>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2530"/>
    <w:rsid w:val="00EE311C"/>
    <w:rsid w:val="00EE56FF"/>
    <w:rsid w:val="00EE5886"/>
    <w:rsid w:val="00EE5FBF"/>
    <w:rsid w:val="00EE6472"/>
    <w:rsid w:val="00EE76F2"/>
    <w:rsid w:val="00EF05A0"/>
    <w:rsid w:val="00EF0769"/>
    <w:rsid w:val="00EF0D7C"/>
    <w:rsid w:val="00EF40E2"/>
    <w:rsid w:val="00EF49A7"/>
    <w:rsid w:val="00EF61C1"/>
    <w:rsid w:val="00EF6E68"/>
    <w:rsid w:val="00EF74CC"/>
    <w:rsid w:val="00EF76DB"/>
    <w:rsid w:val="00F005FD"/>
    <w:rsid w:val="00F0139D"/>
    <w:rsid w:val="00F01855"/>
    <w:rsid w:val="00F02C04"/>
    <w:rsid w:val="00F03AF1"/>
    <w:rsid w:val="00F04BCD"/>
    <w:rsid w:val="00F05A8C"/>
    <w:rsid w:val="00F06211"/>
    <w:rsid w:val="00F10A54"/>
    <w:rsid w:val="00F123D0"/>
    <w:rsid w:val="00F13200"/>
    <w:rsid w:val="00F13411"/>
    <w:rsid w:val="00F143BA"/>
    <w:rsid w:val="00F14D98"/>
    <w:rsid w:val="00F15F13"/>
    <w:rsid w:val="00F201D1"/>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0E9"/>
    <w:rsid w:val="00F44947"/>
    <w:rsid w:val="00F458EF"/>
    <w:rsid w:val="00F45A83"/>
    <w:rsid w:val="00F47121"/>
    <w:rsid w:val="00F4775D"/>
    <w:rsid w:val="00F504DD"/>
    <w:rsid w:val="00F50874"/>
    <w:rsid w:val="00F516C6"/>
    <w:rsid w:val="00F52221"/>
    <w:rsid w:val="00F52B28"/>
    <w:rsid w:val="00F536BB"/>
    <w:rsid w:val="00F53755"/>
    <w:rsid w:val="00F53E59"/>
    <w:rsid w:val="00F5475B"/>
    <w:rsid w:val="00F574D0"/>
    <w:rsid w:val="00F6031F"/>
    <w:rsid w:val="00F6121E"/>
    <w:rsid w:val="00F61664"/>
    <w:rsid w:val="00F61B99"/>
    <w:rsid w:val="00F64C45"/>
    <w:rsid w:val="00F6502B"/>
    <w:rsid w:val="00F6612A"/>
    <w:rsid w:val="00F66724"/>
    <w:rsid w:val="00F67F04"/>
    <w:rsid w:val="00F70207"/>
    <w:rsid w:val="00F702CB"/>
    <w:rsid w:val="00F71AC2"/>
    <w:rsid w:val="00F730DD"/>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472"/>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4CB"/>
    <w:rsid w:val="00FD3F7F"/>
    <w:rsid w:val="00FD483D"/>
    <w:rsid w:val="00FD5EC4"/>
    <w:rsid w:val="00FD65E0"/>
    <w:rsid w:val="00FD7858"/>
    <w:rsid w:val="00FD7A8D"/>
    <w:rsid w:val="00FE1330"/>
    <w:rsid w:val="00FE1CE5"/>
    <w:rsid w:val="00FE2832"/>
    <w:rsid w:val="00FE2D38"/>
    <w:rsid w:val="00FE3929"/>
    <w:rsid w:val="00FF097B"/>
    <w:rsid w:val="00FF0B6E"/>
    <w:rsid w:val="00FF1C1B"/>
    <w:rsid w:val="00FF2067"/>
    <w:rsid w:val="00FF3BC4"/>
    <w:rsid w:val="00FF4B66"/>
    <w:rsid w:val="00FF65C8"/>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6145114">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81159100">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499621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33371543">
      <w:bodyDiv w:val="1"/>
      <w:marLeft w:val="0"/>
      <w:marRight w:val="0"/>
      <w:marTop w:val="0"/>
      <w:marBottom w:val="0"/>
      <w:divBdr>
        <w:top w:val="none" w:sz="0" w:space="0" w:color="auto"/>
        <w:left w:val="none" w:sz="0" w:space="0" w:color="auto"/>
        <w:bottom w:val="none" w:sz="0" w:space="0" w:color="auto"/>
        <w:right w:val="none" w:sz="0" w:space="0" w:color="auto"/>
      </w:divBdr>
    </w:div>
    <w:div w:id="67091463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5993600">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11758576">
      <w:bodyDiv w:val="1"/>
      <w:marLeft w:val="0"/>
      <w:marRight w:val="0"/>
      <w:marTop w:val="0"/>
      <w:marBottom w:val="0"/>
      <w:divBdr>
        <w:top w:val="none" w:sz="0" w:space="0" w:color="auto"/>
        <w:left w:val="none" w:sz="0" w:space="0" w:color="auto"/>
        <w:bottom w:val="none" w:sz="0" w:space="0" w:color="auto"/>
        <w:right w:val="none" w:sz="0" w:space="0" w:color="auto"/>
      </w:divBdr>
    </w:div>
    <w:div w:id="102413635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4292795">
      <w:bodyDiv w:val="1"/>
      <w:marLeft w:val="0"/>
      <w:marRight w:val="0"/>
      <w:marTop w:val="0"/>
      <w:marBottom w:val="0"/>
      <w:divBdr>
        <w:top w:val="none" w:sz="0" w:space="0" w:color="auto"/>
        <w:left w:val="none" w:sz="0" w:space="0" w:color="auto"/>
        <w:bottom w:val="none" w:sz="0" w:space="0" w:color="auto"/>
        <w:right w:val="none" w:sz="0" w:space="0" w:color="auto"/>
      </w:divBdr>
    </w:div>
    <w:div w:id="1358656243">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37103228">
      <w:bodyDiv w:val="1"/>
      <w:marLeft w:val="0"/>
      <w:marRight w:val="0"/>
      <w:marTop w:val="0"/>
      <w:marBottom w:val="0"/>
      <w:divBdr>
        <w:top w:val="none" w:sz="0" w:space="0" w:color="auto"/>
        <w:left w:val="none" w:sz="0" w:space="0" w:color="auto"/>
        <w:bottom w:val="none" w:sz="0" w:space="0" w:color="auto"/>
        <w:right w:val="none" w:sz="0" w:space="0" w:color="auto"/>
      </w:divBdr>
    </w:div>
    <w:div w:id="1651592241">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6065499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92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BSivak@lseg.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8CD2-EEFA-4FDA-ADD2-6973E66562DA}">
  <ds:schemaRefs>
    <ds:schemaRef ds:uri="http://schemas.openxmlformats.org/officeDocument/2006/bibliography"/>
  </ds:schemaRefs>
</ds:datastoreItem>
</file>

<file path=customXml/itemProps2.xml><?xml version="1.0" encoding="utf-8"?>
<ds:datastoreItem xmlns:ds="http://schemas.openxmlformats.org/officeDocument/2006/customXml" ds:itemID="{5FC1AE1F-FD52-4AC3-8E6D-F8EAE746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11705</Words>
  <Characters>66723</Characters>
  <Application>Microsoft Office Word</Application>
  <DocSecurity>8</DocSecurity>
  <Lines>556</Lines>
  <Paragraphs>156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78272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Beata Sivak</cp:lastModifiedBy>
  <cp:revision>2</cp:revision>
  <cp:lastPrinted>2015-02-18T11:01:00Z</cp:lastPrinted>
  <dcterms:created xsi:type="dcterms:W3CDTF">2016-03-31T16:57:00Z</dcterms:created>
  <dcterms:modified xsi:type="dcterms:W3CDTF">2016-03-31T16:57:00Z</dcterms:modified>
</cp:coreProperties>
</file>