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0B371F" w:rsidP="007C3918">
            <w:pPr>
              <w:pStyle w:val="00bDBInfo"/>
              <w:rPr>
                <w:rFonts w:cs="Arial"/>
              </w:rPr>
            </w:pPr>
            <w:r>
              <w:rPr>
                <w:rFonts w:cs="Arial"/>
              </w:rPr>
              <w:t>15</w:t>
            </w:r>
            <w:r w:rsidR="003A5DAC">
              <w:rPr>
                <w:rFonts w:cs="Arial"/>
              </w:rPr>
              <w:t xml:space="preserve"> </w:t>
            </w:r>
            <w:r w:rsidR="007C3918">
              <w:rPr>
                <w:rFonts w:cs="Arial"/>
              </w:rPr>
              <w:t xml:space="preserve">February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791EB4" w:rsidRPr="009A053D" w:rsidRDefault="009C6CE1" w:rsidP="00BF28DA">
            <w:pPr>
              <w:pStyle w:val="01aDBTitle"/>
              <w:rPr>
                <w:rFonts w:cs="Arial"/>
                <w:sz w:val="32"/>
              </w:rPr>
            </w:pPr>
            <w:r w:rsidRPr="009C6CE1">
              <w:rPr>
                <w:rFonts w:cs="Arial"/>
                <w:sz w:val="32"/>
              </w:rPr>
              <w:t xml:space="preserve">Discussion Paper </w:t>
            </w:r>
            <w:r>
              <w:rPr>
                <w:rFonts w:cs="Arial"/>
                <w:sz w:val="32"/>
              </w:rPr>
              <w:t xml:space="preserve">on </w:t>
            </w:r>
            <w:r w:rsidRPr="009C6CE1">
              <w:rPr>
                <w:rFonts w:cs="Arial"/>
                <w:sz w:val="32"/>
              </w:rPr>
              <w:t>Benchmarks Regulation</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0B371F">
            <w:pPr>
              <w:pStyle w:val="02Date"/>
              <w:rPr>
                <w:rFonts w:cs="Arial"/>
                <w:highlight w:val="red"/>
              </w:rPr>
            </w:pPr>
            <w:r w:rsidRPr="007C3918">
              <w:rPr>
                <w:rFonts w:cs="Arial"/>
              </w:rPr>
              <w:lastRenderedPageBreak/>
              <w:t>Date</w:t>
            </w:r>
            <w:r w:rsidR="007C3918" w:rsidRPr="007C3918">
              <w:rPr>
                <w:rFonts w:cs="Arial"/>
              </w:rPr>
              <w:t>: 1</w:t>
            </w:r>
            <w:r w:rsidR="000B371F">
              <w:rPr>
                <w:rFonts w:cs="Arial"/>
              </w:rPr>
              <w:t>5</w:t>
            </w:r>
            <w:r w:rsidR="007C3918" w:rsidRPr="007C3918">
              <w:rPr>
                <w:rFonts w:cs="Arial"/>
              </w:rPr>
              <w:t xml:space="preserve"> February 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Please note that, in order to facilitate the analysis of the large number of responses expected, you are requested to use this file to send your response to ESMA so as to allow us to process it properly. Ther</w:t>
      </w:r>
      <w:r w:rsidRPr="00176639">
        <w:rPr>
          <w:rFonts w:cs="Arial"/>
        </w:rPr>
        <w:t>e</w:t>
      </w:r>
      <w:r w:rsidRPr="00176639">
        <w:rPr>
          <w:rFonts w:cs="Arial"/>
        </w:rPr>
        <w:t xml:space="preserv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w:t>
      </w:r>
      <w:r w:rsidR="00955F48" w:rsidRPr="00176639">
        <w:rPr>
          <w:rFonts w:cs="Arial"/>
        </w:rPr>
        <w:t>x</w:t>
      </w:r>
      <w:r w:rsidR="00955F48" w:rsidRPr="00176639">
        <w:rPr>
          <w:rFonts w:cs="Arial"/>
        </w:rPr>
        <w:t>cept for annexes);</w:t>
      </w:r>
    </w:p>
    <w:p w:rsidR="00F574D0" w:rsidRPr="00176639" w:rsidRDefault="00D75FEE" w:rsidP="00BF557C">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AD0B9C">
        <w:t>DP_BMR</w:t>
      </w:r>
      <w:r w:rsidR="00E9344E" w:rsidRPr="00176639">
        <w:rPr>
          <w:rFonts w:cs="Arial"/>
        </w:rPr>
        <w:t>_</w:t>
      </w:r>
      <w:r w:rsidR="00F574D0" w:rsidRPr="00176639">
        <w:rPr>
          <w:rFonts w:cs="Arial"/>
        </w:rPr>
        <w:t>1&gt; - i.e. the response to one question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AD0B9C" w:rsidRDefault="00021E83" w:rsidP="000D17AA">
      <w:pPr>
        <w:pStyle w:val="04BodyText"/>
        <w:spacing w:before="120" w:after="120"/>
        <w:jc w:val="left"/>
        <w:rPr>
          <w:rFonts w:cs="Arial"/>
        </w:rPr>
      </w:pPr>
      <w:r w:rsidRPr="00AD0B9C">
        <w:rPr>
          <w:rFonts w:cs="Arial"/>
        </w:rPr>
        <w:t>ESMA_</w:t>
      </w:r>
      <w:r w:rsidR="00AD0B9C" w:rsidRPr="00AD0B9C">
        <w:t>DP_BMR</w:t>
      </w:r>
      <w:r w:rsidR="008701E5" w:rsidRPr="00AD0B9C">
        <w:rPr>
          <w:rFonts w:cs="Arial"/>
        </w:rPr>
        <w:t xml:space="preserve"> </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AD0B9C" w:rsidRPr="00AD0B9C">
        <w:t>DP_BMR</w:t>
      </w:r>
      <w:r w:rsidR="00AD0B9C" w:rsidRPr="00AD0B9C">
        <w:rPr>
          <w:rFonts w:cs="Arial"/>
        </w:rPr>
        <w:t xml:space="preserve"> </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AD0B9C" w:rsidRPr="00AD0B9C">
        <w:t>DP_BMR</w:t>
      </w:r>
      <w:r w:rsidR="00AD0B9C" w:rsidRPr="00AD0B9C">
        <w:rPr>
          <w:rFonts w:cs="Arial"/>
        </w:rPr>
        <w:t xml:space="preserve"> </w:t>
      </w:r>
      <w:r w:rsidRPr="00AD0B9C">
        <w:rPr>
          <w:rFonts w:cs="Arial"/>
        </w:rPr>
        <w:t>_XXXX</w:t>
      </w:r>
      <w:r w:rsidR="00021E83" w:rsidRPr="00AD0B9C">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BE5F12">
        <w:rPr>
          <w:rFonts w:cs="Arial"/>
        </w:rPr>
        <w:t>31</w:t>
      </w:r>
      <w:r w:rsidRPr="007C3918">
        <w:rPr>
          <w:rFonts w:cs="Arial"/>
        </w:rPr>
        <w:t xml:space="preserve"> March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176639" w:rsidRPr="00176639">
        <w:t xml:space="preserve"> </w:t>
      </w:r>
      <w:r w:rsidR="00176639">
        <w:t>DP_BMR</w:t>
      </w:r>
      <w:r w:rsidR="00D61A37" w:rsidRPr="00176639">
        <w:t>_1</w:t>
      </w:r>
      <w:r w:rsidRPr="00176639">
        <w:t>&gt;</w:t>
      </w:r>
    </w:p>
    <w:p w:rsidR="00AE4D91" w:rsidRPr="00AE4D91" w:rsidRDefault="00AE4D91" w:rsidP="00AE4D91">
      <w:pPr>
        <w:tabs>
          <w:tab w:val="left" w:pos="567"/>
          <w:tab w:val="left" w:pos="851"/>
          <w:tab w:val="left" w:pos="992"/>
        </w:tabs>
        <w:spacing w:line="288" w:lineRule="auto"/>
        <w:jc w:val="both"/>
        <w:rPr>
          <w:rFonts w:cs="Arial"/>
          <w:sz w:val="22"/>
          <w:szCs w:val="22"/>
          <w:lang w:eastAsia="en-US"/>
        </w:rPr>
      </w:pPr>
      <w:permStart w:id="911621108" w:edGrp="everyone"/>
      <w:r w:rsidRPr="00AE4D91">
        <w:rPr>
          <w:rFonts w:cs="Arial"/>
          <w:sz w:val="22"/>
          <w:szCs w:val="22"/>
          <w:lang w:eastAsia="en-US"/>
        </w:rPr>
        <w:t>Dear Sir / Madam,</w:t>
      </w:r>
    </w:p>
    <w:p w:rsidR="00AE4D91" w:rsidRPr="00AE4D91" w:rsidRDefault="00AE4D91" w:rsidP="00AE4D91">
      <w:pPr>
        <w:tabs>
          <w:tab w:val="left" w:pos="567"/>
          <w:tab w:val="left" w:pos="851"/>
          <w:tab w:val="left" w:pos="992"/>
        </w:tabs>
        <w:spacing w:line="288" w:lineRule="auto"/>
        <w:jc w:val="both"/>
        <w:rPr>
          <w:rFonts w:cs="Arial"/>
          <w:sz w:val="22"/>
          <w:szCs w:val="22"/>
          <w:lang w:eastAsia="en-US"/>
        </w:rPr>
      </w:pPr>
    </w:p>
    <w:p w:rsidR="00AE4D91" w:rsidRPr="00AE4D91" w:rsidRDefault="00AE4D91" w:rsidP="00AE4D91">
      <w:pPr>
        <w:tabs>
          <w:tab w:val="left" w:pos="567"/>
          <w:tab w:val="left" w:pos="851"/>
          <w:tab w:val="left" w:pos="992"/>
        </w:tabs>
        <w:spacing w:line="288" w:lineRule="auto"/>
        <w:jc w:val="both"/>
        <w:rPr>
          <w:rFonts w:cs="Arial"/>
          <w:b/>
          <w:sz w:val="22"/>
          <w:szCs w:val="22"/>
          <w:lang w:eastAsia="en-US"/>
        </w:rPr>
      </w:pPr>
      <w:r w:rsidRPr="00AE4D91">
        <w:rPr>
          <w:rFonts w:cs="Arial"/>
          <w:b/>
          <w:sz w:val="22"/>
          <w:szCs w:val="22"/>
          <w:lang w:eastAsia="en-US"/>
        </w:rPr>
        <w:t xml:space="preserve">ESMA Discussion Paper: policy orientations and initial proposals for potential Level 2 measures under the Benchmark Regulations. </w:t>
      </w:r>
    </w:p>
    <w:p w:rsidR="00AE4D91" w:rsidRPr="00AE4D91" w:rsidRDefault="00AE4D91" w:rsidP="00AE4D91">
      <w:pPr>
        <w:tabs>
          <w:tab w:val="left" w:pos="567"/>
          <w:tab w:val="left" w:pos="851"/>
          <w:tab w:val="left" w:pos="992"/>
        </w:tabs>
        <w:spacing w:line="288" w:lineRule="auto"/>
        <w:jc w:val="both"/>
        <w:rPr>
          <w:rFonts w:cs="Arial"/>
          <w:sz w:val="22"/>
          <w:szCs w:val="22"/>
          <w:lang w:eastAsia="en-US"/>
        </w:rPr>
      </w:pPr>
    </w:p>
    <w:p w:rsidR="00AE4D91" w:rsidRPr="00AE4D91" w:rsidRDefault="00AE4D91" w:rsidP="00AE4D91">
      <w:pPr>
        <w:tabs>
          <w:tab w:val="left" w:pos="567"/>
          <w:tab w:val="left" w:pos="851"/>
          <w:tab w:val="left" w:pos="992"/>
        </w:tabs>
        <w:spacing w:line="288" w:lineRule="auto"/>
        <w:jc w:val="both"/>
        <w:rPr>
          <w:rFonts w:cs="Arial"/>
          <w:sz w:val="22"/>
          <w:szCs w:val="22"/>
          <w:lang w:eastAsia="en-US"/>
        </w:rPr>
      </w:pPr>
      <w:r w:rsidRPr="00AE4D91">
        <w:rPr>
          <w:rFonts w:cs="Arial"/>
          <w:sz w:val="22"/>
          <w:szCs w:val="22"/>
          <w:lang w:eastAsia="en-US"/>
        </w:rPr>
        <w:t>The London Metal Exchange (“LME”) its clearing house, LME Clear (“LMEC”) and parent co</w:t>
      </w:r>
      <w:r w:rsidRPr="00AE4D91">
        <w:rPr>
          <w:rFonts w:cs="Arial"/>
          <w:sz w:val="22"/>
          <w:szCs w:val="22"/>
          <w:lang w:eastAsia="en-US"/>
        </w:rPr>
        <w:t>m</w:t>
      </w:r>
      <w:r w:rsidRPr="00AE4D91">
        <w:rPr>
          <w:rFonts w:cs="Arial"/>
          <w:sz w:val="22"/>
          <w:szCs w:val="22"/>
          <w:lang w:eastAsia="en-US"/>
        </w:rPr>
        <w:t>pany, Hong Kong Exchanges and Clearing (</w:t>
      </w:r>
      <w:r w:rsidRPr="00AE4D91">
        <w:rPr>
          <w:rFonts w:cs="Arial"/>
          <w:b/>
          <w:sz w:val="22"/>
          <w:szCs w:val="22"/>
          <w:lang w:eastAsia="en-US"/>
        </w:rPr>
        <w:t>“HKEX”</w:t>
      </w:r>
      <w:r w:rsidRPr="00AE4D91">
        <w:rPr>
          <w:rFonts w:cs="Arial"/>
          <w:sz w:val="22"/>
          <w:szCs w:val="22"/>
          <w:lang w:eastAsia="en-US"/>
        </w:rPr>
        <w:t>), welcome the opportunity to respond to the Discussion Paper published by ESMA on policy orientations and initial proposals for potential Level 2 measures under the Benchmarks Regulation.</w:t>
      </w:r>
    </w:p>
    <w:p w:rsidR="00AE4D91" w:rsidRPr="00AE4D91" w:rsidRDefault="00AE4D91" w:rsidP="00AE4D91">
      <w:pPr>
        <w:tabs>
          <w:tab w:val="left" w:pos="567"/>
          <w:tab w:val="left" w:pos="851"/>
          <w:tab w:val="left" w:pos="992"/>
        </w:tabs>
        <w:spacing w:line="288" w:lineRule="auto"/>
        <w:jc w:val="both"/>
        <w:rPr>
          <w:rFonts w:cs="Arial"/>
          <w:sz w:val="22"/>
          <w:szCs w:val="22"/>
          <w:lang w:eastAsia="en-US"/>
        </w:rPr>
      </w:pPr>
    </w:p>
    <w:p w:rsidR="00AE4D91" w:rsidRPr="00AE4D91" w:rsidRDefault="00AE4D91" w:rsidP="00AE4D91">
      <w:pPr>
        <w:tabs>
          <w:tab w:val="left" w:pos="567"/>
          <w:tab w:val="left" w:pos="851"/>
          <w:tab w:val="left" w:pos="992"/>
        </w:tabs>
        <w:spacing w:line="288" w:lineRule="auto"/>
        <w:jc w:val="both"/>
        <w:rPr>
          <w:rFonts w:cs="Arial"/>
          <w:sz w:val="22"/>
          <w:szCs w:val="22"/>
          <w:lang w:eastAsia="en-US"/>
        </w:rPr>
      </w:pPr>
      <w:r w:rsidRPr="00AE4D91">
        <w:rPr>
          <w:rFonts w:cs="Arial"/>
          <w:sz w:val="22"/>
          <w:szCs w:val="22"/>
          <w:lang w:eastAsia="en-US"/>
        </w:rPr>
        <w:t>In order to appropriately focus our response, we have provided comments to those questions which we believe consider the areas under the Regulation which are likely to be of most rel</w:t>
      </w:r>
      <w:r w:rsidRPr="00AE4D91">
        <w:rPr>
          <w:rFonts w:cs="Arial"/>
          <w:sz w:val="22"/>
          <w:szCs w:val="22"/>
          <w:lang w:eastAsia="en-US"/>
        </w:rPr>
        <w:t>e</w:t>
      </w:r>
      <w:r w:rsidRPr="00AE4D91">
        <w:rPr>
          <w:rFonts w:cs="Arial"/>
          <w:sz w:val="22"/>
          <w:szCs w:val="22"/>
          <w:lang w:eastAsia="en-US"/>
        </w:rPr>
        <w:t>vance to the LME, LMEC and HKEX.</w:t>
      </w:r>
    </w:p>
    <w:p w:rsidR="00AE4D91" w:rsidRPr="00AE4D91" w:rsidRDefault="00AE4D91" w:rsidP="00AE4D91">
      <w:pPr>
        <w:tabs>
          <w:tab w:val="left" w:pos="567"/>
          <w:tab w:val="left" w:pos="851"/>
          <w:tab w:val="left" w:pos="992"/>
        </w:tabs>
        <w:spacing w:line="288" w:lineRule="auto"/>
        <w:jc w:val="both"/>
        <w:rPr>
          <w:rFonts w:cs="Arial"/>
          <w:sz w:val="22"/>
          <w:szCs w:val="22"/>
          <w:lang w:eastAsia="en-US"/>
        </w:rPr>
      </w:pPr>
    </w:p>
    <w:p w:rsidR="00AE4D91" w:rsidRPr="00AE4D91" w:rsidRDefault="00AE4D91" w:rsidP="00AE4D91">
      <w:pPr>
        <w:tabs>
          <w:tab w:val="left" w:pos="567"/>
          <w:tab w:val="left" w:pos="851"/>
          <w:tab w:val="left" w:pos="992"/>
        </w:tabs>
        <w:spacing w:line="288" w:lineRule="auto"/>
        <w:jc w:val="both"/>
        <w:rPr>
          <w:rFonts w:cs="Arial"/>
          <w:sz w:val="22"/>
          <w:szCs w:val="22"/>
          <w:lang w:eastAsia="en-US"/>
        </w:rPr>
      </w:pPr>
      <w:r w:rsidRPr="00AE4D91">
        <w:rPr>
          <w:rFonts w:cs="Arial"/>
          <w:sz w:val="22"/>
          <w:szCs w:val="22"/>
          <w:lang w:eastAsia="en-US"/>
        </w:rPr>
        <w:t>If you would like to discuss any of the comments or ideas expressed in this response, then please do not hesitate to contact me.</w:t>
      </w:r>
    </w:p>
    <w:p w:rsidR="00AE4D91" w:rsidRPr="00AE4D91" w:rsidRDefault="00AE4D91" w:rsidP="00AE4D91">
      <w:pPr>
        <w:tabs>
          <w:tab w:val="left" w:pos="567"/>
          <w:tab w:val="left" w:pos="851"/>
          <w:tab w:val="left" w:pos="992"/>
        </w:tabs>
        <w:spacing w:line="288" w:lineRule="auto"/>
        <w:jc w:val="both"/>
        <w:rPr>
          <w:rFonts w:cs="Arial"/>
          <w:sz w:val="22"/>
          <w:szCs w:val="22"/>
          <w:lang w:eastAsia="en-US"/>
        </w:rPr>
      </w:pPr>
    </w:p>
    <w:p w:rsidR="00AE4D91" w:rsidRPr="00AE4D91" w:rsidRDefault="00AE4D91" w:rsidP="00AE4D91">
      <w:pPr>
        <w:tabs>
          <w:tab w:val="left" w:pos="567"/>
          <w:tab w:val="left" w:pos="851"/>
          <w:tab w:val="left" w:pos="992"/>
        </w:tabs>
        <w:spacing w:line="288" w:lineRule="auto"/>
        <w:jc w:val="both"/>
        <w:rPr>
          <w:rFonts w:cs="Arial"/>
          <w:sz w:val="22"/>
          <w:szCs w:val="22"/>
          <w:lang w:eastAsia="en-US"/>
        </w:rPr>
      </w:pPr>
      <w:r w:rsidRPr="00AE4D91">
        <w:rPr>
          <w:rFonts w:cs="Arial"/>
          <w:sz w:val="22"/>
          <w:szCs w:val="22"/>
          <w:lang w:eastAsia="en-US"/>
        </w:rPr>
        <w:t>Yours faithfully</w:t>
      </w:r>
    </w:p>
    <w:p w:rsidR="00AE4D91" w:rsidRPr="00AE4D91" w:rsidRDefault="00AE4D91" w:rsidP="00AE4D91">
      <w:pPr>
        <w:tabs>
          <w:tab w:val="left" w:pos="567"/>
          <w:tab w:val="left" w:pos="851"/>
          <w:tab w:val="left" w:pos="992"/>
        </w:tabs>
        <w:spacing w:line="288" w:lineRule="auto"/>
        <w:jc w:val="both"/>
        <w:rPr>
          <w:rFonts w:cs="Arial"/>
          <w:sz w:val="22"/>
          <w:szCs w:val="22"/>
          <w:lang w:eastAsia="en-US"/>
        </w:rPr>
      </w:pPr>
    </w:p>
    <w:p w:rsidR="00AE4D91" w:rsidRPr="00AE4D91" w:rsidRDefault="00AE4D91" w:rsidP="00AE4D91">
      <w:pPr>
        <w:tabs>
          <w:tab w:val="left" w:pos="567"/>
          <w:tab w:val="left" w:pos="851"/>
          <w:tab w:val="left" w:pos="992"/>
        </w:tabs>
        <w:spacing w:line="288" w:lineRule="auto"/>
        <w:jc w:val="both"/>
        <w:rPr>
          <w:rFonts w:cs="Arial"/>
          <w:sz w:val="22"/>
          <w:szCs w:val="22"/>
          <w:lang w:eastAsia="en-US"/>
        </w:rPr>
      </w:pPr>
      <w:r w:rsidRPr="00AE4D91">
        <w:rPr>
          <w:noProof/>
          <w:sz w:val="22"/>
          <w:szCs w:val="22"/>
          <w:lang w:eastAsia="en-GB"/>
        </w:rPr>
        <w:drawing>
          <wp:inline distT="0" distB="0" distL="0" distR="0" wp14:anchorId="23C1354F" wp14:editId="4626EE51">
            <wp:extent cx="1155488" cy="336550"/>
            <wp:effectExtent l="0" t="0" r="698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8729" cy="337494"/>
                    </a:xfrm>
                    <a:prstGeom prst="rect">
                      <a:avLst/>
                    </a:prstGeom>
                    <a:noFill/>
                    <a:ln>
                      <a:noFill/>
                    </a:ln>
                  </pic:spPr>
                </pic:pic>
              </a:graphicData>
            </a:graphic>
          </wp:inline>
        </w:drawing>
      </w:r>
    </w:p>
    <w:p w:rsidR="00AE4D91" w:rsidRPr="00AE4D91" w:rsidRDefault="00AE4D91" w:rsidP="00AE4D91">
      <w:pPr>
        <w:tabs>
          <w:tab w:val="left" w:pos="567"/>
          <w:tab w:val="left" w:pos="851"/>
          <w:tab w:val="left" w:pos="992"/>
        </w:tabs>
        <w:spacing w:line="288" w:lineRule="auto"/>
        <w:jc w:val="both"/>
        <w:rPr>
          <w:rFonts w:cs="Arial"/>
          <w:sz w:val="22"/>
          <w:szCs w:val="22"/>
          <w:lang w:eastAsia="en-US"/>
        </w:rPr>
      </w:pPr>
    </w:p>
    <w:p w:rsidR="00AE4D91" w:rsidRPr="00AE4D91" w:rsidRDefault="00AE4D91" w:rsidP="00AE4D91">
      <w:pPr>
        <w:tabs>
          <w:tab w:val="left" w:pos="567"/>
          <w:tab w:val="left" w:pos="851"/>
          <w:tab w:val="left" w:pos="992"/>
        </w:tabs>
        <w:spacing w:line="288" w:lineRule="auto"/>
        <w:jc w:val="both"/>
        <w:rPr>
          <w:rFonts w:cs="Arial"/>
          <w:sz w:val="22"/>
          <w:szCs w:val="22"/>
          <w:lang w:eastAsia="en-US"/>
        </w:rPr>
      </w:pPr>
      <w:r w:rsidRPr="00AE4D91">
        <w:rPr>
          <w:rFonts w:cs="Arial"/>
          <w:sz w:val="22"/>
          <w:szCs w:val="22"/>
          <w:lang w:eastAsia="en-US"/>
        </w:rPr>
        <w:t>Kirstina Combe</w:t>
      </w:r>
    </w:p>
    <w:p w:rsidR="00AE4D91" w:rsidRPr="00AE4D91" w:rsidRDefault="00AE4D91" w:rsidP="00AE4D91">
      <w:pPr>
        <w:tabs>
          <w:tab w:val="left" w:pos="567"/>
          <w:tab w:val="left" w:pos="851"/>
          <w:tab w:val="left" w:pos="992"/>
        </w:tabs>
        <w:spacing w:line="288" w:lineRule="auto"/>
        <w:jc w:val="both"/>
        <w:rPr>
          <w:rFonts w:cs="Arial"/>
          <w:sz w:val="22"/>
          <w:szCs w:val="22"/>
          <w:lang w:eastAsia="en-US"/>
        </w:rPr>
      </w:pPr>
      <w:r w:rsidRPr="00AE4D91">
        <w:rPr>
          <w:rFonts w:cs="Arial"/>
          <w:sz w:val="22"/>
          <w:szCs w:val="22"/>
          <w:lang w:eastAsia="en-US"/>
        </w:rPr>
        <w:t>Head of Regulatory Strategy and Government Affairs</w:t>
      </w:r>
    </w:p>
    <w:p w:rsidR="00AE4D91" w:rsidRPr="00AE4D91" w:rsidRDefault="00AE4D91" w:rsidP="00AE4D91">
      <w:pPr>
        <w:tabs>
          <w:tab w:val="left" w:pos="567"/>
          <w:tab w:val="left" w:pos="851"/>
          <w:tab w:val="left" w:pos="992"/>
        </w:tabs>
        <w:spacing w:line="288" w:lineRule="auto"/>
        <w:jc w:val="both"/>
        <w:rPr>
          <w:rFonts w:cs="Arial"/>
          <w:sz w:val="22"/>
          <w:szCs w:val="22"/>
          <w:lang w:eastAsia="en-US"/>
        </w:rPr>
      </w:pPr>
    </w:p>
    <w:p w:rsidR="00AE4D91" w:rsidRPr="00AE4D91" w:rsidRDefault="00AE4D91" w:rsidP="00AE4D91">
      <w:pPr>
        <w:jc w:val="both"/>
        <w:rPr>
          <w:rFonts w:cs="Arial"/>
          <w:b/>
          <w:sz w:val="22"/>
          <w:szCs w:val="22"/>
          <w:u w:val="single"/>
          <w:lang w:eastAsia="en-US"/>
        </w:rPr>
      </w:pPr>
      <w:r w:rsidRPr="00AE4D91">
        <w:rPr>
          <w:rFonts w:cs="Arial"/>
          <w:b/>
          <w:sz w:val="22"/>
          <w:szCs w:val="22"/>
          <w:lang w:eastAsia="en-US"/>
        </w:rPr>
        <w:br w:type="page"/>
      </w:r>
      <w:r w:rsidRPr="00AE4D91">
        <w:rPr>
          <w:rFonts w:cs="Arial"/>
          <w:b/>
          <w:sz w:val="22"/>
          <w:szCs w:val="22"/>
          <w:u w:val="single"/>
          <w:lang w:eastAsia="en-US"/>
        </w:rPr>
        <w:lastRenderedPageBreak/>
        <w:t>General Comments</w:t>
      </w:r>
    </w:p>
    <w:p w:rsidR="00AE4D91" w:rsidRPr="00AE4D91" w:rsidRDefault="00AE4D91" w:rsidP="00AE4D91">
      <w:pPr>
        <w:jc w:val="both"/>
        <w:rPr>
          <w:rFonts w:cs="Arial"/>
          <w:sz w:val="22"/>
          <w:szCs w:val="22"/>
          <w:lang w:eastAsia="en-US"/>
        </w:rPr>
      </w:pPr>
    </w:p>
    <w:p w:rsidR="00AE4D91" w:rsidRPr="00AE4D91" w:rsidRDefault="00AE4D91" w:rsidP="00AE4D91">
      <w:pPr>
        <w:jc w:val="both"/>
        <w:rPr>
          <w:rFonts w:cs="Arial"/>
          <w:sz w:val="22"/>
          <w:szCs w:val="22"/>
          <w:lang w:eastAsia="en-US"/>
        </w:rPr>
      </w:pPr>
      <w:r w:rsidRPr="00AE4D91">
        <w:rPr>
          <w:rFonts w:cs="Arial"/>
          <w:sz w:val="22"/>
          <w:szCs w:val="22"/>
          <w:lang w:eastAsia="en-US"/>
        </w:rPr>
        <w:t>The LME</w:t>
      </w:r>
      <w:r w:rsidR="00353380">
        <w:rPr>
          <w:rFonts w:cs="Arial"/>
          <w:sz w:val="22"/>
          <w:szCs w:val="22"/>
          <w:lang w:eastAsia="en-US"/>
        </w:rPr>
        <w:t>,</w:t>
      </w:r>
      <w:r w:rsidRPr="00AE4D91">
        <w:rPr>
          <w:rFonts w:cs="Arial"/>
          <w:sz w:val="22"/>
          <w:szCs w:val="22"/>
          <w:lang w:eastAsia="en-US"/>
        </w:rPr>
        <w:t xml:space="preserve"> LMEC and HKEX recognise and support the legislative initiatives currently being undertaken in order to manage the issues identified following the LIBOR and EURIBOR manip</w:t>
      </w:r>
      <w:r w:rsidRPr="00AE4D91">
        <w:rPr>
          <w:rFonts w:cs="Arial"/>
          <w:sz w:val="22"/>
          <w:szCs w:val="22"/>
          <w:lang w:eastAsia="en-US"/>
        </w:rPr>
        <w:t>u</w:t>
      </w:r>
      <w:r w:rsidRPr="00AE4D91">
        <w:rPr>
          <w:rFonts w:cs="Arial"/>
          <w:sz w:val="22"/>
          <w:szCs w:val="22"/>
          <w:lang w:eastAsia="en-US"/>
        </w:rPr>
        <w:t>lation scandals.  We understand the need for a robust and enforceable approach to the ma</w:t>
      </w:r>
      <w:r w:rsidRPr="00AE4D91">
        <w:rPr>
          <w:rFonts w:cs="Arial"/>
          <w:sz w:val="22"/>
          <w:szCs w:val="22"/>
          <w:lang w:eastAsia="en-US"/>
        </w:rPr>
        <w:t>n</w:t>
      </w:r>
      <w:r w:rsidRPr="00AE4D91">
        <w:rPr>
          <w:rFonts w:cs="Arial"/>
          <w:sz w:val="22"/>
          <w:szCs w:val="22"/>
          <w:lang w:eastAsia="en-US"/>
        </w:rPr>
        <w:t>agement of such benchmarks and indices.  It is our view that for any legislation to remain wor</w:t>
      </w:r>
      <w:r w:rsidRPr="00AE4D91">
        <w:rPr>
          <w:rFonts w:cs="Arial"/>
          <w:sz w:val="22"/>
          <w:szCs w:val="22"/>
          <w:lang w:eastAsia="en-US"/>
        </w:rPr>
        <w:t>k</w:t>
      </w:r>
      <w:r w:rsidRPr="00AE4D91">
        <w:rPr>
          <w:rFonts w:cs="Arial"/>
          <w:sz w:val="22"/>
          <w:szCs w:val="22"/>
          <w:lang w:eastAsia="en-US"/>
        </w:rPr>
        <w:t>able and achieve the intended aims it must be appropriately targeted, proportionate and pract</w:t>
      </w:r>
      <w:r w:rsidRPr="00AE4D91">
        <w:rPr>
          <w:rFonts w:cs="Arial"/>
          <w:sz w:val="22"/>
          <w:szCs w:val="22"/>
          <w:lang w:eastAsia="en-US"/>
        </w:rPr>
        <w:t>i</w:t>
      </w:r>
      <w:r w:rsidRPr="00AE4D91">
        <w:rPr>
          <w:rFonts w:cs="Arial"/>
          <w:sz w:val="22"/>
          <w:szCs w:val="22"/>
          <w:lang w:eastAsia="en-US"/>
        </w:rPr>
        <w:t>cal.  We have therefore approached our response to this discussion paper with those overriding aims in mind and believe that ESMA’s policy orientations are broadly consistent with such obje</w:t>
      </w:r>
      <w:r w:rsidRPr="00AE4D91">
        <w:rPr>
          <w:rFonts w:cs="Arial"/>
          <w:sz w:val="22"/>
          <w:szCs w:val="22"/>
          <w:lang w:eastAsia="en-US"/>
        </w:rPr>
        <w:t>c</w:t>
      </w:r>
      <w:r w:rsidRPr="00AE4D91">
        <w:rPr>
          <w:rFonts w:cs="Arial"/>
          <w:sz w:val="22"/>
          <w:szCs w:val="22"/>
          <w:lang w:eastAsia="en-US"/>
        </w:rPr>
        <w:t>tives.</w:t>
      </w:r>
    </w:p>
    <w:p w:rsidR="00AE4D91" w:rsidRPr="00AE4D91" w:rsidRDefault="00AE4D91" w:rsidP="00AE4D91">
      <w:pPr>
        <w:jc w:val="both"/>
        <w:rPr>
          <w:rFonts w:cs="Arial"/>
          <w:sz w:val="22"/>
          <w:szCs w:val="22"/>
          <w:lang w:eastAsia="en-US"/>
        </w:rPr>
      </w:pPr>
    </w:p>
    <w:p w:rsidR="00AE4D91" w:rsidRPr="00AE4D91" w:rsidRDefault="00AE4D91" w:rsidP="00AE4D91">
      <w:pPr>
        <w:jc w:val="both"/>
        <w:rPr>
          <w:rFonts w:cs="Arial"/>
          <w:sz w:val="22"/>
          <w:szCs w:val="22"/>
          <w:lang w:eastAsia="en-US"/>
        </w:rPr>
      </w:pPr>
      <w:r w:rsidRPr="00AE4D91">
        <w:rPr>
          <w:rFonts w:cs="Arial"/>
          <w:sz w:val="22"/>
          <w:szCs w:val="22"/>
          <w:lang w:eastAsia="en-US"/>
        </w:rPr>
        <w:t>Whilst the majority of our comments have been embedded in the body of our response, we have also noted below some key issues which we believe complement and expand on the points made in response to ESMA’s specific questions.</w:t>
      </w:r>
    </w:p>
    <w:p w:rsidR="00AE4D91" w:rsidRPr="00AE4D91" w:rsidRDefault="00AE4D91" w:rsidP="00AE4D91">
      <w:pPr>
        <w:jc w:val="both"/>
        <w:rPr>
          <w:rFonts w:cs="Arial"/>
          <w:sz w:val="22"/>
          <w:szCs w:val="22"/>
          <w:lang w:eastAsia="en-US"/>
        </w:rPr>
      </w:pPr>
    </w:p>
    <w:p w:rsidR="00AE4D91" w:rsidRPr="00AE4D91" w:rsidRDefault="00AE4D91" w:rsidP="00AE4D91">
      <w:pPr>
        <w:tabs>
          <w:tab w:val="left" w:pos="8623"/>
        </w:tabs>
        <w:jc w:val="both"/>
        <w:rPr>
          <w:rFonts w:cs="Arial"/>
          <w:b/>
          <w:sz w:val="22"/>
          <w:szCs w:val="22"/>
          <w:u w:val="single"/>
          <w:lang w:eastAsia="en-US"/>
        </w:rPr>
      </w:pPr>
      <w:r w:rsidRPr="00AE4D91">
        <w:rPr>
          <w:rFonts w:cs="Arial"/>
          <w:b/>
          <w:sz w:val="22"/>
          <w:szCs w:val="22"/>
          <w:u w:val="single"/>
          <w:lang w:eastAsia="en-US"/>
        </w:rPr>
        <w:t>Single Reference Prices</w:t>
      </w:r>
    </w:p>
    <w:p w:rsidR="00AE4D91" w:rsidRPr="00AE4D91" w:rsidRDefault="00AE4D91" w:rsidP="00AE4D91">
      <w:pPr>
        <w:tabs>
          <w:tab w:val="left" w:pos="8623"/>
        </w:tabs>
        <w:jc w:val="both"/>
        <w:rPr>
          <w:rFonts w:cs="Arial"/>
          <w:b/>
          <w:sz w:val="22"/>
          <w:szCs w:val="22"/>
          <w:u w:val="single"/>
          <w:lang w:eastAsia="en-US"/>
        </w:rPr>
      </w:pPr>
    </w:p>
    <w:p w:rsidR="00AE4D91" w:rsidRPr="00AE4D91" w:rsidRDefault="00AE4D91" w:rsidP="00AE4D91">
      <w:pPr>
        <w:tabs>
          <w:tab w:val="left" w:pos="8623"/>
        </w:tabs>
        <w:jc w:val="both"/>
        <w:rPr>
          <w:rFonts w:cs="Arial"/>
          <w:b/>
          <w:sz w:val="22"/>
          <w:szCs w:val="22"/>
          <w:u w:val="single"/>
          <w:lang w:eastAsia="en-US"/>
        </w:rPr>
      </w:pPr>
      <w:r w:rsidRPr="00AE4D91">
        <w:rPr>
          <w:rFonts w:cs="Arial"/>
          <w:sz w:val="22"/>
          <w:szCs w:val="22"/>
          <w:lang w:eastAsia="en-US"/>
        </w:rPr>
        <w:t>We understand that the underlying and fundamental purpose of the Benchmarks Regulation is to manage the process of price submission, index creation methodology and usage for benc</w:t>
      </w:r>
      <w:r w:rsidRPr="00AE4D91">
        <w:rPr>
          <w:rFonts w:cs="Arial"/>
          <w:sz w:val="22"/>
          <w:szCs w:val="22"/>
          <w:lang w:eastAsia="en-US"/>
        </w:rPr>
        <w:t>h</w:t>
      </w:r>
      <w:r w:rsidRPr="00AE4D91">
        <w:rPr>
          <w:rFonts w:cs="Arial"/>
          <w:sz w:val="22"/>
          <w:szCs w:val="22"/>
          <w:lang w:eastAsia="en-US"/>
        </w:rPr>
        <w:t>marks.  Due to the often complex nature of these processes and the various areas of potential vulnerability, we fully support the Regulation’s intention to exclude single reference prices from its scope.  We note in particular the limitation included in recital 15a of the Level 1 which states that owing to the absence of calculation, input data or discretion “</w:t>
      </w:r>
      <w:r w:rsidRPr="00AE4D91">
        <w:rPr>
          <w:rFonts w:cs="Arial"/>
          <w:i/>
          <w:sz w:val="22"/>
          <w:szCs w:val="22"/>
          <w:lang w:eastAsia="en-US"/>
        </w:rPr>
        <w:t>single price or single value reference prices should not be considered benchmarks for the purposes of this Regulation</w:t>
      </w:r>
      <w:r w:rsidRPr="00AE4D91">
        <w:rPr>
          <w:rFonts w:cs="Arial"/>
          <w:sz w:val="22"/>
          <w:szCs w:val="22"/>
          <w:lang w:eastAsia="en-US"/>
        </w:rPr>
        <w:t>”.  We note that this statement does not form part of ESMA’s mandate for its Level 2 policy proposals.  However, we believe that the carve-out’s centrality to the understanding of the Regulation’s scope and purpose merits acknowledgement from ESMA and confirmation that it will align its policies with this intention.</w:t>
      </w:r>
    </w:p>
    <w:p w:rsidR="00AE4D91" w:rsidRPr="00AE4D91" w:rsidRDefault="00AE4D91" w:rsidP="00AE4D91">
      <w:pPr>
        <w:tabs>
          <w:tab w:val="left" w:pos="8623"/>
        </w:tabs>
        <w:jc w:val="both"/>
        <w:rPr>
          <w:rFonts w:cs="Arial"/>
          <w:b/>
          <w:sz w:val="22"/>
          <w:szCs w:val="22"/>
          <w:u w:val="single"/>
          <w:lang w:eastAsia="en-US"/>
        </w:rPr>
      </w:pPr>
    </w:p>
    <w:p w:rsidR="00AE4D91" w:rsidRPr="00AE4D91" w:rsidRDefault="00AE4D91" w:rsidP="00AE4D91">
      <w:pPr>
        <w:tabs>
          <w:tab w:val="left" w:pos="8623"/>
        </w:tabs>
        <w:jc w:val="both"/>
        <w:rPr>
          <w:rFonts w:cs="Arial"/>
          <w:b/>
          <w:sz w:val="22"/>
          <w:szCs w:val="22"/>
          <w:u w:val="single"/>
          <w:lang w:eastAsia="en-US"/>
        </w:rPr>
      </w:pPr>
      <w:r w:rsidRPr="00AE4D91">
        <w:rPr>
          <w:rFonts w:cs="Arial"/>
          <w:b/>
          <w:sz w:val="22"/>
          <w:szCs w:val="22"/>
          <w:u w:val="single"/>
          <w:lang w:eastAsia="en-US"/>
        </w:rPr>
        <w:t>Risk Management</w:t>
      </w:r>
    </w:p>
    <w:p w:rsidR="00AE4D91" w:rsidRPr="00AE4D91" w:rsidRDefault="00AE4D91" w:rsidP="00AE4D91">
      <w:pPr>
        <w:tabs>
          <w:tab w:val="left" w:pos="8623"/>
        </w:tabs>
        <w:jc w:val="both"/>
        <w:rPr>
          <w:rFonts w:cs="Arial"/>
          <w:b/>
          <w:sz w:val="22"/>
          <w:szCs w:val="22"/>
          <w:u w:val="single"/>
          <w:lang w:eastAsia="en-US"/>
        </w:rPr>
      </w:pPr>
    </w:p>
    <w:p w:rsidR="00AE4D91" w:rsidRPr="00AE4D91" w:rsidRDefault="00AE4D91" w:rsidP="00AE4D91">
      <w:pPr>
        <w:tabs>
          <w:tab w:val="left" w:pos="8623"/>
        </w:tabs>
        <w:jc w:val="both"/>
        <w:rPr>
          <w:rFonts w:cs="Arial"/>
          <w:b/>
          <w:sz w:val="22"/>
          <w:szCs w:val="22"/>
          <w:u w:val="single"/>
          <w:lang w:eastAsia="en-US"/>
        </w:rPr>
      </w:pPr>
      <w:r w:rsidRPr="00AE4D91">
        <w:rPr>
          <w:rFonts w:cs="Arial"/>
          <w:sz w:val="22"/>
          <w:szCs w:val="22"/>
          <w:lang w:eastAsia="en-US"/>
        </w:rPr>
        <w:t>We note under the Level I text that recital 15b specifically excludes reference prices or settl</w:t>
      </w:r>
      <w:r w:rsidRPr="00AE4D91">
        <w:rPr>
          <w:rFonts w:cs="Arial"/>
          <w:sz w:val="22"/>
          <w:szCs w:val="22"/>
          <w:lang w:eastAsia="en-US"/>
        </w:rPr>
        <w:t>e</w:t>
      </w:r>
      <w:r w:rsidRPr="00AE4D91">
        <w:rPr>
          <w:rFonts w:cs="Arial"/>
          <w:sz w:val="22"/>
          <w:szCs w:val="22"/>
          <w:lang w:eastAsia="en-US"/>
        </w:rPr>
        <w:t>ment prices produced by Central Counterparties “</w:t>
      </w:r>
      <w:r w:rsidRPr="00AE4D91">
        <w:rPr>
          <w:rFonts w:cs="Arial"/>
          <w:i/>
          <w:sz w:val="22"/>
          <w:szCs w:val="22"/>
          <w:lang w:eastAsia="en-US"/>
        </w:rPr>
        <w:t>because they are used to determine settl</w:t>
      </w:r>
      <w:r w:rsidRPr="00AE4D91">
        <w:rPr>
          <w:rFonts w:cs="Arial"/>
          <w:i/>
          <w:sz w:val="22"/>
          <w:szCs w:val="22"/>
          <w:lang w:eastAsia="en-US"/>
        </w:rPr>
        <w:t>e</w:t>
      </w:r>
      <w:r w:rsidRPr="00AE4D91">
        <w:rPr>
          <w:rFonts w:cs="Arial"/>
          <w:i/>
          <w:sz w:val="22"/>
          <w:szCs w:val="22"/>
          <w:lang w:eastAsia="en-US"/>
        </w:rPr>
        <w:t>ment, margins and risk management and thus do not determine the amount payable under a financial instrument or the value of a financial instrument</w:t>
      </w:r>
      <w:r w:rsidRPr="00AE4D91">
        <w:rPr>
          <w:rFonts w:cs="Arial"/>
          <w:sz w:val="22"/>
          <w:szCs w:val="22"/>
          <w:lang w:eastAsia="en-US"/>
        </w:rPr>
        <w:t>”.  We seek confirmation that it is the underlying use (for risk management purposes) and not the entity by which they are created that determines whether they sit in or out of scope of the Regulation.  For example, if the settlement price were determined by a trading venue and passed to a CCP, which then used it exclusively for the determination of settlement, margins and risk management then such values should also be deemed to remain out of scope.</w:t>
      </w:r>
    </w:p>
    <w:p w:rsidR="00AE4D91" w:rsidRPr="00AE4D91" w:rsidRDefault="00AE4D91" w:rsidP="00AE4D91">
      <w:pPr>
        <w:tabs>
          <w:tab w:val="left" w:pos="8623"/>
        </w:tabs>
        <w:jc w:val="both"/>
        <w:rPr>
          <w:rFonts w:cs="Arial"/>
          <w:b/>
          <w:sz w:val="22"/>
          <w:szCs w:val="22"/>
          <w:u w:val="single"/>
          <w:lang w:eastAsia="en-US"/>
        </w:rPr>
      </w:pPr>
    </w:p>
    <w:p w:rsidR="00AE4D91" w:rsidRPr="00AE4D91" w:rsidRDefault="00AE4D91" w:rsidP="00AE4D91">
      <w:pPr>
        <w:tabs>
          <w:tab w:val="left" w:pos="8623"/>
        </w:tabs>
        <w:jc w:val="both"/>
        <w:rPr>
          <w:rFonts w:cs="Arial"/>
          <w:b/>
          <w:sz w:val="22"/>
          <w:szCs w:val="22"/>
          <w:u w:val="single"/>
          <w:lang w:eastAsia="en-US"/>
        </w:rPr>
      </w:pPr>
      <w:r w:rsidRPr="00AE4D91">
        <w:rPr>
          <w:rFonts w:cs="Arial"/>
          <w:b/>
          <w:sz w:val="22"/>
          <w:szCs w:val="22"/>
          <w:u w:val="single"/>
          <w:lang w:eastAsia="en-US"/>
        </w:rPr>
        <w:t>Regulated Data-Benchmark</w:t>
      </w:r>
    </w:p>
    <w:p w:rsidR="00AE4D91" w:rsidRPr="00AE4D91" w:rsidRDefault="00AE4D91" w:rsidP="00AE4D91">
      <w:pPr>
        <w:tabs>
          <w:tab w:val="left" w:pos="8623"/>
        </w:tabs>
        <w:jc w:val="both"/>
        <w:rPr>
          <w:rFonts w:cs="Arial"/>
          <w:b/>
          <w:sz w:val="22"/>
          <w:szCs w:val="22"/>
          <w:u w:val="single"/>
          <w:lang w:eastAsia="en-US"/>
        </w:rPr>
      </w:pPr>
    </w:p>
    <w:p w:rsidR="00AE4D91" w:rsidRPr="00AE4D91" w:rsidRDefault="00353380" w:rsidP="00AE4D91">
      <w:pPr>
        <w:tabs>
          <w:tab w:val="left" w:pos="8623"/>
        </w:tabs>
        <w:jc w:val="both"/>
        <w:rPr>
          <w:rFonts w:cs="Arial"/>
          <w:sz w:val="22"/>
          <w:szCs w:val="22"/>
          <w:lang w:eastAsia="en-US"/>
        </w:rPr>
      </w:pPr>
      <w:r>
        <w:rPr>
          <w:rFonts w:cs="Arial"/>
          <w:sz w:val="22"/>
          <w:szCs w:val="22"/>
          <w:lang w:eastAsia="en-US"/>
        </w:rPr>
        <w:t>U</w:t>
      </w:r>
      <w:r w:rsidR="00AE4D91" w:rsidRPr="00AE4D91">
        <w:rPr>
          <w:rFonts w:cs="Arial"/>
          <w:sz w:val="22"/>
          <w:szCs w:val="22"/>
          <w:lang w:eastAsia="en-US"/>
        </w:rPr>
        <w:t>nder Level I</w:t>
      </w:r>
      <w:r>
        <w:rPr>
          <w:rFonts w:cs="Arial"/>
          <w:sz w:val="22"/>
          <w:szCs w:val="22"/>
          <w:lang w:eastAsia="en-US"/>
        </w:rPr>
        <w:t>,</w:t>
      </w:r>
      <w:r w:rsidR="00AE4D91" w:rsidRPr="00AE4D91">
        <w:rPr>
          <w:rFonts w:cs="Arial"/>
          <w:sz w:val="22"/>
          <w:szCs w:val="22"/>
          <w:lang w:eastAsia="en-US"/>
        </w:rPr>
        <w:t xml:space="preserve"> “Regulated Data-Benchmark” is defined as a benchmark determined by the appl</w:t>
      </w:r>
      <w:r w:rsidR="00AE4D91" w:rsidRPr="00AE4D91">
        <w:rPr>
          <w:rFonts w:cs="Arial"/>
          <w:sz w:val="22"/>
          <w:szCs w:val="22"/>
          <w:lang w:eastAsia="en-US"/>
        </w:rPr>
        <w:t>i</w:t>
      </w:r>
      <w:r w:rsidR="00AE4D91" w:rsidRPr="00AE4D91">
        <w:rPr>
          <w:rFonts w:cs="Arial"/>
          <w:sz w:val="22"/>
          <w:szCs w:val="22"/>
          <w:lang w:eastAsia="en-US"/>
        </w:rPr>
        <w:t>cation of a formula from “</w:t>
      </w:r>
      <w:r w:rsidR="00AE4D91" w:rsidRPr="00AE4D91">
        <w:rPr>
          <w:rFonts w:cs="Arial"/>
          <w:i/>
          <w:sz w:val="22"/>
          <w:szCs w:val="22"/>
          <w:lang w:eastAsia="en-US"/>
        </w:rPr>
        <w:t>input data contributed entirely and directly from…a trading venue</w:t>
      </w:r>
      <w:r w:rsidR="00AE4D91" w:rsidRPr="00AE4D91">
        <w:rPr>
          <w:rFonts w:cs="Arial"/>
          <w:sz w:val="22"/>
          <w:szCs w:val="22"/>
          <w:lang w:eastAsia="en-US"/>
        </w:rPr>
        <w:t>”.  There is no explanation given under the Level 1 or under ESMA’s policy proposals to clarify the inten</w:t>
      </w:r>
      <w:r w:rsidR="00AE4D91" w:rsidRPr="00AE4D91">
        <w:rPr>
          <w:rFonts w:cs="Arial"/>
          <w:sz w:val="22"/>
          <w:szCs w:val="22"/>
          <w:lang w:eastAsia="en-US"/>
        </w:rPr>
        <w:t>d</w:t>
      </w:r>
      <w:r w:rsidR="00AE4D91" w:rsidRPr="00AE4D91">
        <w:rPr>
          <w:rFonts w:cs="Arial"/>
          <w:sz w:val="22"/>
          <w:szCs w:val="22"/>
          <w:lang w:eastAsia="en-US"/>
        </w:rPr>
        <w:t>ed interpretation of “entirely and directly”.  Whilst we underst</w:t>
      </w:r>
      <w:bookmarkStart w:id="3" w:name="_GoBack"/>
      <w:bookmarkEnd w:id="3"/>
      <w:r w:rsidR="00AE4D91" w:rsidRPr="00AE4D91">
        <w:rPr>
          <w:rFonts w:cs="Arial"/>
          <w:sz w:val="22"/>
          <w:szCs w:val="22"/>
          <w:lang w:eastAsia="en-US"/>
        </w:rPr>
        <w:t>and that this is not within the speci</w:t>
      </w:r>
      <w:r w:rsidR="00AE4D91" w:rsidRPr="00AE4D91">
        <w:rPr>
          <w:rFonts w:cs="Arial"/>
          <w:sz w:val="22"/>
          <w:szCs w:val="22"/>
          <w:lang w:eastAsia="en-US"/>
        </w:rPr>
        <w:t>f</w:t>
      </w:r>
      <w:r w:rsidR="00AE4D91" w:rsidRPr="00AE4D91">
        <w:rPr>
          <w:rFonts w:cs="Arial"/>
          <w:sz w:val="22"/>
          <w:szCs w:val="22"/>
          <w:lang w:eastAsia="en-US"/>
        </w:rPr>
        <w:t>ic mandate given to ESMA, it does relate to the mandate ESMA has over input data.  As such we believe that ESMA should offer further clarity as to how it proposes interpre</w:t>
      </w:r>
      <w:r w:rsidR="00AE4D91" w:rsidRPr="00AE4D91">
        <w:rPr>
          <w:rFonts w:cs="Arial"/>
          <w:sz w:val="22"/>
          <w:szCs w:val="22"/>
          <w:lang w:eastAsia="en-US"/>
        </w:rPr>
        <w:t>t</w:t>
      </w:r>
      <w:r w:rsidR="00AE4D91" w:rsidRPr="00AE4D91">
        <w:rPr>
          <w:rFonts w:cs="Arial"/>
          <w:sz w:val="22"/>
          <w:szCs w:val="22"/>
          <w:lang w:eastAsia="en-US"/>
        </w:rPr>
        <w:t>ing and applying such a definition within the remit of its policy proposals.  We believe that this term should include all data that has come directly from a trading venue even where an interm</w:t>
      </w:r>
      <w:r w:rsidR="00AE4D91" w:rsidRPr="00AE4D91">
        <w:rPr>
          <w:rFonts w:cs="Arial"/>
          <w:sz w:val="22"/>
          <w:szCs w:val="22"/>
          <w:lang w:eastAsia="en-US"/>
        </w:rPr>
        <w:t>e</w:t>
      </w:r>
      <w:r w:rsidR="00AE4D91" w:rsidRPr="00AE4D91">
        <w:rPr>
          <w:rFonts w:cs="Arial"/>
          <w:sz w:val="22"/>
          <w:szCs w:val="22"/>
          <w:lang w:eastAsia="en-US"/>
        </w:rPr>
        <w:t xml:space="preserve">diary </w:t>
      </w:r>
      <w:r w:rsidR="00AE4D91" w:rsidRPr="00AE4D91">
        <w:rPr>
          <w:rFonts w:cs="Arial"/>
          <w:sz w:val="22"/>
          <w:szCs w:val="22"/>
          <w:lang w:eastAsia="en-US"/>
        </w:rPr>
        <w:lastRenderedPageBreak/>
        <w:t>is used for the purpose of distributing that data, provided that the third party does not apply any formula or calculations to the distributed data.</w:t>
      </w:r>
    </w:p>
    <w:p w:rsidR="00AE4D91" w:rsidRPr="00AE4D91" w:rsidRDefault="00AE4D91" w:rsidP="00AE4D91">
      <w:pPr>
        <w:tabs>
          <w:tab w:val="left" w:pos="8623"/>
        </w:tabs>
        <w:jc w:val="both"/>
        <w:rPr>
          <w:rFonts w:cs="Arial"/>
          <w:b/>
          <w:sz w:val="22"/>
          <w:szCs w:val="22"/>
          <w:u w:val="single"/>
          <w:lang w:eastAsia="en-US"/>
        </w:rPr>
      </w:pPr>
    </w:p>
    <w:p w:rsidR="00AE4D91" w:rsidRPr="00AE4D91" w:rsidRDefault="00AE4D91" w:rsidP="00AE4D91">
      <w:pPr>
        <w:tabs>
          <w:tab w:val="left" w:pos="8623"/>
        </w:tabs>
        <w:jc w:val="both"/>
        <w:rPr>
          <w:rFonts w:cs="Arial"/>
          <w:b/>
          <w:sz w:val="22"/>
          <w:szCs w:val="22"/>
          <w:u w:val="single"/>
          <w:lang w:eastAsia="en-US"/>
        </w:rPr>
      </w:pPr>
      <w:r w:rsidRPr="00AE4D91">
        <w:rPr>
          <w:rFonts w:cs="Arial"/>
          <w:b/>
          <w:sz w:val="22"/>
          <w:szCs w:val="22"/>
          <w:u w:val="single"/>
          <w:lang w:eastAsia="en-US"/>
        </w:rPr>
        <w:t xml:space="preserve">Definition of “contributor” </w:t>
      </w:r>
    </w:p>
    <w:p w:rsidR="00AE4D91" w:rsidRPr="00AE4D91" w:rsidRDefault="00AE4D91" w:rsidP="00AE4D91">
      <w:pPr>
        <w:jc w:val="both"/>
        <w:rPr>
          <w:rFonts w:cs="Arial"/>
          <w:b/>
          <w:sz w:val="22"/>
          <w:szCs w:val="22"/>
          <w:u w:val="single"/>
          <w:lang w:eastAsia="en-US"/>
        </w:rPr>
      </w:pPr>
    </w:p>
    <w:p w:rsidR="00AE4D91" w:rsidRPr="00AE4D91" w:rsidRDefault="00AE4D91" w:rsidP="00AE4D91">
      <w:pPr>
        <w:jc w:val="both"/>
        <w:rPr>
          <w:rFonts w:cs="Arial"/>
          <w:sz w:val="22"/>
          <w:szCs w:val="22"/>
          <w:lang w:eastAsia="en-US"/>
        </w:rPr>
      </w:pPr>
      <w:r w:rsidRPr="00AE4D91">
        <w:rPr>
          <w:rFonts w:cs="Arial"/>
          <w:sz w:val="22"/>
          <w:szCs w:val="22"/>
          <w:lang w:eastAsia="en-US"/>
        </w:rPr>
        <w:t xml:space="preserve">We believe that there remains some uncertainty as to the classification of a “contributor” and the scope of the persons to whom the relevant contributor and submitter obligations should apply.  </w:t>
      </w:r>
    </w:p>
    <w:p w:rsidR="00AE4D91" w:rsidRPr="00AE4D91" w:rsidRDefault="00AE4D91" w:rsidP="00AE4D91">
      <w:pPr>
        <w:jc w:val="both"/>
        <w:rPr>
          <w:rFonts w:cs="Arial"/>
          <w:sz w:val="22"/>
          <w:szCs w:val="22"/>
          <w:lang w:eastAsia="en-US"/>
        </w:rPr>
      </w:pPr>
    </w:p>
    <w:p w:rsidR="00AE4D91" w:rsidRPr="00AE4D91" w:rsidRDefault="00AE4D91" w:rsidP="00AE4D91">
      <w:pPr>
        <w:jc w:val="both"/>
        <w:rPr>
          <w:rFonts w:cs="Arial"/>
          <w:sz w:val="22"/>
          <w:szCs w:val="22"/>
          <w:lang w:eastAsia="en-US"/>
        </w:rPr>
      </w:pPr>
      <w:r w:rsidRPr="00AE4D91">
        <w:rPr>
          <w:rFonts w:cs="Arial"/>
          <w:sz w:val="22"/>
          <w:szCs w:val="22"/>
          <w:lang w:eastAsia="en-US"/>
        </w:rPr>
        <w:t>Under the Level 1 text, the definition of “contributor” is a “</w:t>
      </w:r>
      <w:r w:rsidRPr="00AE4D91">
        <w:rPr>
          <w:rFonts w:cs="Arial"/>
          <w:i/>
          <w:sz w:val="22"/>
          <w:szCs w:val="22"/>
          <w:lang w:eastAsia="en-US"/>
        </w:rPr>
        <w:t>natural person contributing input data</w:t>
      </w:r>
      <w:r w:rsidRPr="00AE4D91">
        <w:rPr>
          <w:rFonts w:cs="Arial"/>
          <w:sz w:val="22"/>
          <w:szCs w:val="22"/>
          <w:lang w:eastAsia="en-US"/>
        </w:rPr>
        <w:t>”.  The definition of “contribution of input data” is “</w:t>
      </w:r>
      <w:r w:rsidRPr="00AE4D91">
        <w:rPr>
          <w:rFonts w:cs="Arial"/>
          <w:i/>
          <w:sz w:val="22"/>
          <w:szCs w:val="22"/>
          <w:lang w:eastAsia="en-US"/>
        </w:rPr>
        <w:t>providing input data not readily available to an administrator, or to another person for the purpose of passing to an administrator, that is r</w:t>
      </w:r>
      <w:r w:rsidRPr="00AE4D91">
        <w:rPr>
          <w:rFonts w:cs="Arial"/>
          <w:i/>
          <w:sz w:val="22"/>
          <w:szCs w:val="22"/>
          <w:lang w:eastAsia="en-US"/>
        </w:rPr>
        <w:t>e</w:t>
      </w:r>
      <w:r w:rsidRPr="00AE4D91">
        <w:rPr>
          <w:rFonts w:cs="Arial"/>
          <w:i/>
          <w:sz w:val="22"/>
          <w:szCs w:val="22"/>
          <w:lang w:eastAsia="en-US"/>
        </w:rPr>
        <w:t xml:space="preserve">quired in connection with the determination of a benchmark and is provided for that purpose”.  </w:t>
      </w:r>
      <w:r w:rsidRPr="00AE4D91">
        <w:rPr>
          <w:rFonts w:cs="Arial"/>
          <w:sz w:val="22"/>
          <w:szCs w:val="22"/>
          <w:lang w:eastAsia="en-US"/>
        </w:rPr>
        <w:t>This suggests that the only persons to whom the relevant obligations under the Benchmarks Regulation should apply, are those providing input data to an administrator, specifically in order for that administrator to create a benchmark based on the data provided.</w:t>
      </w:r>
    </w:p>
    <w:p w:rsidR="00AE4D91" w:rsidRPr="00AE4D91" w:rsidRDefault="00AE4D91" w:rsidP="00AE4D91">
      <w:pPr>
        <w:jc w:val="both"/>
        <w:rPr>
          <w:rFonts w:cs="Arial"/>
          <w:sz w:val="22"/>
          <w:szCs w:val="22"/>
          <w:lang w:eastAsia="en-US"/>
        </w:rPr>
      </w:pPr>
    </w:p>
    <w:p w:rsidR="00AE4D91" w:rsidRPr="00AE4D91" w:rsidRDefault="00AE4D91" w:rsidP="00AE4D91">
      <w:pPr>
        <w:jc w:val="both"/>
        <w:rPr>
          <w:rFonts w:cs="Arial"/>
          <w:sz w:val="22"/>
          <w:szCs w:val="22"/>
          <w:lang w:eastAsia="en-US"/>
        </w:rPr>
      </w:pPr>
      <w:r w:rsidRPr="00AE4D91">
        <w:rPr>
          <w:rFonts w:cs="Arial"/>
          <w:sz w:val="22"/>
          <w:szCs w:val="22"/>
          <w:lang w:eastAsia="en-US"/>
        </w:rPr>
        <w:t>However, we note that at paragraph 139 of the Discussion Paper, when considering the scope of the Code of Conduct obligations, ESMA states that “</w:t>
      </w:r>
      <w:r w:rsidRPr="00AE4D91">
        <w:rPr>
          <w:rFonts w:cs="Arial"/>
          <w:i/>
          <w:sz w:val="22"/>
          <w:szCs w:val="22"/>
          <w:lang w:eastAsia="en-US"/>
        </w:rPr>
        <w:t>[i]nput data that is readily available to an administrator is not considered a contribution</w:t>
      </w:r>
      <w:r w:rsidRPr="00AE4D91">
        <w:rPr>
          <w:rFonts w:cs="Arial"/>
          <w:sz w:val="22"/>
          <w:szCs w:val="22"/>
          <w:lang w:eastAsia="en-US"/>
        </w:rPr>
        <w:t>”.  Whilst this is partially consistent with the defin</w:t>
      </w:r>
      <w:r w:rsidRPr="00AE4D91">
        <w:rPr>
          <w:rFonts w:cs="Arial"/>
          <w:sz w:val="22"/>
          <w:szCs w:val="22"/>
          <w:lang w:eastAsia="en-US"/>
        </w:rPr>
        <w:t>i</w:t>
      </w:r>
      <w:r w:rsidRPr="00AE4D91">
        <w:rPr>
          <w:rFonts w:cs="Arial"/>
          <w:sz w:val="22"/>
          <w:szCs w:val="22"/>
          <w:lang w:eastAsia="en-US"/>
        </w:rPr>
        <w:t>tion under the Level 1 it does not refer to the requirement that the input data must also be co</w:t>
      </w:r>
      <w:r w:rsidRPr="00AE4D91">
        <w:rPr>
          <w:rFonts w:cs="Arial"/>
          <w:sz w:val="22"/>
          <w:szCs w:val="22"/>
          <w:lang w:eastAsia="en-US"/>
        </w:rPr>
        <w:t>n</w:t>
      </w:r>
      <w:r w:rsidRPr="00AE4D91">
        <w:rPr>
          <w:rFonts w:cs="Arial"/>
          <w:sz w:val="22"/>
          <w:szCs w:val="22"/>
          <w:lang w:eastAsia="en-US"/>
        </w:rPr>
        <w:t>tributed specifically with the intention of it being used as part of the determination of a benc</w:t>
      </w:r>
      <w:r w:rsidRPr="00AE4D91">
        <w:rPr>
          <w:rFonts w:cs="Arial"/>
          <w:sz w:val="22"/>
          <w:szCs w:val="22"/>
          <w:lang w:eastAsia="en-US"/>
        </w:rPr>
        <w:t>h</w:t>
      </w:r>
      <w:r w:rsidRPr="00AE4D91">
        <w:rPr>
          <w:rFonts w:cs="Arial"/>
          <w:sz w:val="22"/>
          <w:szCs w:val="22"/>
          <w:lang w:eastAsia="en-US"/>
        </w:rPr>
        <w:t>mark.  We therefore urge ESMA to clarify that its view of a “contributor” is a person who contri</w:t>
      </w:r>
      <w:r w:rsidRPr="00AE4D91">
        <w:rPr>
          <w:rFonts w:cs="Arial"/>
          <w:sz w:val="22"/>
          <w:szCs w:val="22"/>
          <w:lang w:eastAsia="en-US"/>
        </w:rPr>
        <w:t>b</w:t>
      </w:r>
      <w:r w:rsidRPr="00AE4D91">
        <w:rPr>
          <w:rFonts w:cs="Arial"/>
          <w:sz w:val="22"/>
          <w:szCs w:val="22"/>
          <w:lang w:eastAsia="en-US"/>
        </w:rPr>
        <w:t>utes data that are both (i) not otherwise available to that administrator and (ii) intended to be used in connection with the determination of a benchmark.</w:t>
      </w:r>
    </w:p>
    <w:p w:rsidR="00AE4D91" w:rsidRPr="00AE4D91" w:rsidRDefault="00AE4D91" w:rsidP="00AE4D91">
      <w:pPr>
        <w:jc w:val="both"/>
        <w:rPr>
          <w:rFonts w:cs="Arial"/>
          <w:b/>
          <w:sz w:val="22"/>
          <w:szCs w:val="22"/>
          <w:u w:val="single"/>
          <w:lang w:eastAsia="en-US"/>
        </w:rPr>
      </w:pPr>
    </w:p>
    <w:p w:rsidR="00AE4D91" w:rsidRPr="00AE4D91" w:rsidRDefault="00AE4D91" w:rsidP="00AE4D91">
      <w:pPr>
        <w:jc w:val="both"/>
        <w:rPr>
          <w:rFonts w:cs="Arial"/>
          <w:b/>
          <w:sz w:val="22"/>
          <w:szCs w:val="22"/>
          <w:u w:val="single"/>
          <w:lang w:eastAsia="en-US"/>
        </w:rPr>
      </w:pPr>
      <w:r w:rsidRPr="00AE4D91">
        <w:rPr>
          <w:rFonts w:cs="Arial"/>
          <w:b/>
          <w:sz w:val="22"/>
          <w:szCs w:val="22"/>
          <w:u w:val="single"/>
          <w:lang w:eastAsia="en-US"/>
        </w:rPr>
        <w:t>Third Country Equivalence</w:t>
      </w:r>
    </w:p>
    <w:p w:rsidR="00AE4D91" w:rsidRPr="00AE4D91" w:rsidRDefault="00AE4D91" w:rsidP="00AE4D91">
      <w:pPr>
        <w:jc w:val="both"/>
        <w:rPr>
          <w:rFonts w:cs="Arial"/>
          <w:b/>
          <w:sz w:val="22"/>
          <w:szCs w:val="22"/>
          <w:u w:val="single"/>
          <w:lang w:eastAsia="en-US"/>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We believe that the fundamental principles underlying the creation of the Benchmarks Regul</w:t>
      </w:r>
      <w:r w:rsidRPr="00AE4D91">
        <w:rPr>
          <w:rFonts w:ascii="Helvetica" w:hAnsi="Helvetica" w:cs="Helvetica"/>
          <w:bCs/>
          <w:color w:val="000000"/>
          <w:sz w:val="22"/>
          <w:szCs w:val="22"/>
          <w:lang w:eastAsia="en-GB"/>
        </w:rPr>
        <w:t>a</w:t>
      </w:r>
      <w:r w:rsidRPr="00AE4D91">
        <w:rPr>
          <w:rFonts w:ascii="Helvetica" w:hAnsi="Helvetica" w:cs="Helvetica"/>
          <w:bCs/>
          <w:color w:val="000000"/>
          <w:sz w:val="22"/>
          <w:szCs w:val="22"/>
          <w:lang w:eastAsia="en-GB"/>
        </w:rPr>
        <w:t>tion: the substantiation of benchmark determination methodology, the protection of European investors and the reliability of data used for the creation of such benchmarks, are a core r</w:t>
      </w:r>
      <w:r w:rsidRPr="00AE4D91">
        <w:rPr>
          <w:rFonts w:ascii="Helvetica" w:hAnsi="Helvetica" w:cs="Helvetica"/>
          <w:bCs/>
          <w:color w:val="000000"/>
          <w:sz w:val="22"/>
          <w:szCs w:val="22"/>
          <w:lang w:eastAsia="en-GB"/>
        </w:rPr>
        <w:t>e</w:t>
      </w:r>
      <w:r w:rsidRPr="00AE4D91">
        <w:rPr>
          <w:rFonts w:ascii="Helvetica" w:hAnsi="Helvetica" w:cs="Helvetica"/>
          <w:bCs/>
          <w:color w:val="000000"/>
          <w:sz w:val="22"/>
          <w:szCs w:val="22"/>
          <w:lang w:eastAsia="en-GB"/>
        </w:rPr>
        <w:t>quirement for ensuring and maintaining the efficient and orderly operation of the European cap</w:t>
      </w:r>
      <w:r w:rsidRPr="00AE4D91">
        <w:rPr>
          <w:rFonts w:ascii="Helvetica" w:hAnsi="Helvetica" w:cs="Helvetica"/>
          <w:bCs/>
          <w:color w:val="000000"/>
          <w:sz w:val="22"/>
          <w:szCs w:val="22"/>
          <w:lang w:eastAsia="en-GB"/>
        </w:rPr>
        <w:t>i</w:t>
      </w:r>
      <w:r w:rsidRPr="00AE4D91">
        <w:rPr>
          <w:rFonts w:ascii="Helvetica" w:hAnsi="Helvetica" w:cs="Helvetica"/>
          <w:bCs/>
          <w:color w:val="000000"/>
          <w:sz w:val="22"/>
          <w:szCs w:val="22"/>
          <w:lang w:eastAsia="en-GB"/>
        </w:rPr>
        <w:t>tal markets.  In maintaining a high level of security and robust regulation for European benc</w:t>
      </w:r>
      <w:r w:rsidRPr="00AE4D91">
        <w:rPr>
          <w:rFonts w:ascii="Helvetica" w:hAnsi="Helvetica" w:cs="Helvetica"/>
          <w:bCs/>
          <w:color w:val="000000"/>
          <w:sz w:val="22"/>
          <w:szCs w:val="22"/>
          <w:lang w:eastAsia="en-GB"/>
        </w:rPr>
        <w:t>h</w:t>
      </w:r>
      <w:r w:rsidRPr="00AE4D91">
        <w:rPr>
          <w:rFonts w:ascii="Helvetica" w:hAnsi="Helvetica" w:cs="Helvetica"/>
          <w:bCs/>
          <w:color w:val="000000"/>
          <w:sz w:val="22"/>
          <w:szCs w:val="22"/>
          <w:lang w:eastAsia="en-GB"/>
        </w:rPr>
        <w:t xml:space="preserve">mark users, it is critical that the European capital markets are not damaged through any undue limitations on the non-European indices to which they are (and are not) permitted access.  Whilst we note that such indices may not be subject to the same regulation and legislative oversight, they nonetheless play a fundamental role in the efficient operation of European capital markets and investor protection.  </w:t>
      </w:r>
    </w:p>
    <w:p w:rsidR="00AE4D91" w:rsidRPr="00AE4D91" w:rsidRDefault="00AE4D91" w:rsidP="00AE4D91">
      <w:pPr>
        <w:jc w:val="both"/>
        <w:rPr>
          <w:rFonts w:cs="Arial"/>
          <w:sz w:val="22"/>
          <w:szCs w:val="22"/>
          <w:lang w:eastAsia="en-US"/>
        </w:rPr>
      </w:pPr>
    </w:p>
    <w:p w:rsidR="00AE4D91" w:rsidRPr="00AE4D91" w:rsidRDefault="00AE4D91" w:rsidP="00AE4D91">
      <w:pPr>
        <w:jc w:val="both"/>
        <w:rPr>
          <w:rFonts w:ascii="Helvetica" w:hAnsi="Helvetica" w:cs="Helvetica"/>
          <w:bCs/>
          <w:color w:val="000000"/>
          <w:sz w:val="22"/>
          <w:szCs w:val="22"/>
          <w:lang w:eastAsia="en-GB"/>
        </w:rPr>
      </w:pPr>
      <w:r w:rsidRPr="00AE4D91">
        <w:rPr>
          <w:rFonts w:cs="Arial"/>
          <w:sz w:val="22"/>
          <w:szCs w:val="22"/>
          <w:lang w:eastAsia="en-US"/>
        </w:rPr>
        <w:t>We understand the complexity surrounding the third country requirements under Level 1 and appreciate that ESMA’s mandate in relation to this aspect of the Regulation is only limited.  However, we strongly urge ESMA to ensure that its policy objectives for the application for recognition, the requirements surrounding the exemptions for third country administrators and the review of an existing endorsement, only seek to strengthen the security of European inve</w:t>
      </w:r>
      <w:r w:rsidRPr="00AE4D91">
        <w:rPr>
          <w:rFonts w:cs="Arial"/>
          <w:sz w:val="22"/>
          <w:szCs w:val="22"/>
          <w:lang w:eastAsia="en-US"/>
        </w:rPr>
        <w:t>s</w:t>
      </w:r>
      <w:r w:rsidRPr="00AE4D91">
        <w:rPr>
          <w:rFonts w:cs="Arial"/>
          <w:sz w:val="22"/>
          <w:szCs w:val="22"/>
          <w:lang w:eastAsia="en-US"/>
        </w:rPr>
        <w:t xml:space="preserve">tors reliant on those benchmarks.  It </w:t>
      </w:r>
      <w:r w:rsidRPr="00AE4D91">
        <w:rPr>
          <w:rFonts w:ascii="Helvetica" w:hAnsi="Helvetica" w:cs="Helvetica"/>
          <w:bCs/>
          <w:color w:val="000000"/>
          <w:sz w:val="22"/>
          <w:szCs w:val="22"/>
          <w:lang w:eastAsia="en-GB"/>
        </w:rPr>
        <w:t>is of critical importance that the policy proposals in relation to the access requirements for third country benchmark administrators are practical, proportio</w:t>
      </w:r>
      <w:r w:rsidRPr="00AE4D91">
        <w:rPr>
          <w:rFonts w:ascii="Helvetica" w:hAnsi="Helvetica" w:cs="Helvetica"/>
          <w:bCs/>
          <w:color w:val="000000"/>
          <w:sz w:val="22"/>
          <w:szCs w:val="22"/>
          <w:lang w:eastAsia="en-GB"/>
        </w:rPr>
        <w:t>n</w:t>
      </w:r>
      <w:r w:rsidRPr="00AE4D91">
        <w:rPr>
          <w:rFonts w:ascii="Helvetica" w:hAnsi="Helvetica" w:cs="Helvetica"/>
          <w:bCs/>
          <w:color w:val="000000"/>
          <w:sz w:val="22"/>
          <w:szCs w:val="22"/>
          <w:lang w:eastAsia="en-GB"/>
        </w:rPr>
        <w:t>ate and permit a genuine avenue through which benchmarks administered by third country administrators can be published within the European Union.</w:t>
      </w:r>
    </w:p>
    <w:p w:rsidR="00AE4D91" w:rsidRPr="00AE4D91" w:rsidRDefault="00AE4D91" w:rsidP="00AE4D91">
      <w:pPr>
        <w:jc w:val="both"/>
        <w:rPr>
          <w:rFonts w:cs="Arial"/>
          <w:sz w:val="22"/>
          <w:szCs w:val="22"/>
          <w:lang w:eastAsia="en-US"/>
        </w:rPr>
      </w:pPr>
    </w:p>
    <w:p w:rsidR="00AE4D91" w:rsidRPr="00AE4D91" w:rsidRDefault="00AE4D91" w:rsidP="00AE4D91">
      <w:pPr>
        <w:jc w:val="both"/>
        <w:rPr>
          <w:rFonts w:cs="Arial"/>
          <w:b/>
          <w:sz w:val="22"/>
          <w:szCs w:val="22"/>
          <w:u w:val="single"/>
          <w:lang w:eastAsia="en-US"/>
        </w:rPr>
      </w:pPr>
      <w:r w:rsidRPr="00AE4D91">
        <w:rPr>
          <w:rFonts w:cs="Arial"/>
          <w:b/>
          <w:sz w:val="22"/>
          <w:szCs w:val="22"/>
          <w:u w:val="single"/>
          <w:lang w:eastAsia="en-US"/>
        </w:rPr>
        <w:t>Critical Benchmarks</w:t>
      </w:r>
    </w:p>
    <w:p w:rsidR="00AE4D91" w:rsidRPr="00AE4D91" w:rsidRDefault="00AE4D91" w:rsidP="00AE4D91">
      <w:pPr>
        <w:jc w:val="both"/>
        <w:rPr>
          <w:rFonts w:cs="Arial"/>
          <w:b/>
          <w:sz w:val="22"/>
          <w:szCs w:val="22"/>
          <w:u w:val="single"/>
          <w:lang w:eastAsia="en-US"/>
        </w:rPr>
      </w:pPr>
    </w:p>
    <w:p w:rsidR="00AE4D91" w:rsidRPr="00AE4D91" w:rsidRDefault="00AE4D91" w:rsidP="00AE4D91">
      <w:pPr>
        <w:jc w:val="both"/>
        <w:rPr>
          <w:rFonts w:cs="Arial"/>
          <w:sz w:val="22"/>
          <w:szCs w:val="22"/>
          <w:lang w:eastAsia="en-US"/>
        </w:rPr>
      </w:pPr>
      <w:r w:rsidRPr="00AE4D91">
        <w:rPr>
          <w:rFonts w:cs="Arial"/>
          <w:sz w:val="22"/>
          <w:szCs w:val="22"/>
          <w:lang w:eastAsia="en-US"/>
        </w:rPr>
        <w:t xml:space="preserve">In view of the scale and scope of certain benchmarks within the Union and the potential harm that manipulative practices could cause to financial markets, we fully support the Regulation’s </w:t>
      </w:r>
      <w:r w:rsidRPr="00AE4D91">
        <w:rPr>
          <w:rFonts w:cs="Arial"/>
          <w:sz w:val="22"/>
          <w:szCs w:val="22"/>
          <w:lang w:eastAsia="en-US"/>
        </w:rPr>
        <w:lastRenderedPageBreak/>
        <w:t>attempt to proportionally calibrate the obligations applicable to different types of benchmark based on their size and potential influence.  In particular, we support the concept that the most onerous obligations should apply to those benchmark administrators and submitters who are involved in determining the most widely used and influential benchmarks.</w:t>
      </w:r>
    </w:p>
    <w:p w:rsidR="00AE4D91" w:rsidRPr="00AE4D91" w:rsidRDefault="00AE4D91" w:rsidP="00AE4D91">
      <w:pPr>
        <w:jc w:val="both"/>
        <w:rPr>
          <w:rFonts w:cs="Arial"/>
          <w:sz w:val="22"/>
          <w:szCs w:val="22"/>
          <w:lang w:eastAsia="en-US"/>
        </w:rPr>
      </w:pPr>
    </w:p>
    <w:p w:rsidR="00AE4D91" w:rsidRPr="00AE4D91" w:rsidRDefault="00AE4D91" w:rsidP="00AE4D91">
      <w:pPr>
        <w:jc w:val="both"/>
        <w:rPr>
          <w:rFonts w:cs="Arial"/>
          <w:sz w:val="22"/>
          <w:szCs w:val="22"/>
          <w:lang w:eastAsia="en-US"/>
        </w:rPr>
      </w:pPr>
      <w:r w:rsidRPr="00AE4D91">
        <w:rPr>
          <w:rFonts w:cs="Arial"/>
          <w:sz w:val="22"/>
          <w:szCs w:val="22"/>
          <w:lang w:eastAsia="en-US"/>
        </w:rPr>
        <w:t>We note that ESMA’s mandate in this respect is to assess the methodology for the valuation of financial instruments for the critical benchmark “quantitative test” as well as to consider the means by which a benchmark could be deemed critical through the “qualitative test”.  It is of fundamental importance that the thresholds and tests by which a benchmark is determined to be critical (or significant or not-significant) are set appropriately in order to permit the proportionality of the Regulation to be set correctly.</w:t>
      </w:r>
    </w:p>
    <w:p w:rsidR="00AE4D91" w:rsidRPr="00AE4D91" w:rsidRDefault="00AE4D91" w:rsidP="00AE4D91">
      <w:pPr>
        <w:jc w:val="both"/>
        <w:rPr>
          <w:rFonts w:cs="Arial"/>
          <w:sz w:val="22"/>
          <w:szCs w:val="22"/>
          <w:lang w:eastAsia="en-US"/>
        </w:rPr>
      </w:pPr>
    </w:p>
    <w:p w:rsidR="00AE4D91" w:rsidRPr="00AE4D91" w:rsidRDefault="00AE4D91" w:rsidP="00AE4D91">
      <w:pPr>
        <w:jc w:val="both"/>
        <w:rPr>
          <w:rFonts w:cs="Arial"/>
          <w:sz w:val="22"/>
          <w:szCs w:val="22"/>
          <w:lang w:eastAsia="en-US"/>
        </w:rPr>
      </w:pPr>
      <w:r w:rsidRPr="00AE4D91">
        <w:rPr>
          <w:rFonts w:cs="Arial"/>
          <w:sz w:val="22"/>
          <w:szCs w:val="22"/>
          <w:lang w:eastAsia="en-US"/>
        </w:rPr>
        <w:t>ESMA suggests that the valuations they use could rely on existing obligations relating to the submission of data and values of funds and financial instruments. However, it also acknowled</w:t>
      </w:r>
      <w:r w:rsidRPr="00AE4D91">
        <w:rPr>
          <w:rFonts w:cs="Arial"/>
          <w:sz w:val="22"/>
          <w:szCs w:val="22"/>
          <w:lang w:eastAsia="en-US"/>
        </w:rPr>
        <w:t>g</w:t>
      </w:r>
      <w:r w:rsidRPr="00AE4D91">
        <w:rPr>
          <w:rFonts w:cs="Arial"/>
          <w:sz w:val="22"/>
          <w:szCs w:val="22"/>
          <w:lang w:eastAsia="en-US"/>
        </w:rPr>
        <w:t>es that there are variations as to how valuations are set and therefore this could leave discre</w:t>
      </w:r>
      <w:r w:rsidRPr="00AE4D91">
        <w:rPr>
          <w:rFonts w:cs="Arial"/>
          <w:sz w:val="22"/>
          <w:szCs w:val="22"/>
          <w:lang w:eastAsia="en-US"/>
        </w:rPr>
        <w:t>p</w:t>
      </w:r>
      <w:r w:rsidRPr="00AE4D91">
        <w:rPr>
          <w:rFonts w:cs="Arial"/>
          <w:sz w:val="22"/>
          <w:szCs w:val="22"/>
          <w:lang w:eastAsia="en-US"/>
        </w:rPr>
        <w:t>ancies on a member-state by member-state basis which could affect the categorisation of a benchmark.</w:t>
      </w:r>
    </w:p>
    <w:p w:rsidR="00AE4D91" w:rsidRPr="00AE4D91" w:rsidRDefault="00AE4D91" w:rsidP="00AE4D91">
      <w:pPr>
        <w:jc w:val="both"/>
        <w:rPr>
          <w:rFonts w:cs="Arial"/>
          <w:sz w:val="22"/>
          <w:szCs w:val="22"/>
          <w:lang w:eastAsia="en-US"/>
        </w:rPr>
      </w:pPr>
    </w:p>
    <w:p w:rsidR="00AE4D91" w:rsidRPr="00AE4D91" w:rsidRDefault="00AE4D91" w:rsidP="00AE4D91">
      <w:pPr>
        <w:jc w:val="both"/>
        <w:rPr>
          <w:rFonts w:cs="Arial"/>
          <w:sz w:val="22"/>
          <w:szCs w:val="22"/>
          <w:lang w:eastAsia="en-US"/>
        </w:rPr>
      </w:pPr>
      <w:r w:rsidRPr="00AE4D91">
        <w:rPr>
          <w:rFonts w:cs="Arial"/>
          <w:sz w:val="22"/>
          <w:szCs w:val="22"/>
          <w:lang w:eastAsia="en-US"/>
        </w:rPr>
        <w:t>In relation to the qualitative tests, we note that the objective is to value the cost of cessation or the lack of reliability of a benchmark.  This means that a benchmark could be deemed to be a critical benchmark based on the measurement of a hypothesis or an unknown and unknowable future event.  We believe that in light of the seriousness of the implications of being a critical benchmark and the significant cost and administrative burdens that would be placed on an a</w:t>
      </w:r>
      <w:r w:rsidRPr="00AE4D91">
        <w:rPr>
          <w:rFonts w:cs="Arial"/>
          <w:sz w:val="22"/>
          <w:szCs w:val="22"/>
          <w:lang w:eastAsia="en-US"/>
        </w:rPr>
        <w:t>d</w:t>
      </w:r>
      <w:r w:rsidRPr="00AE4D91">
        <w:rPr>
          <w:rFonts w:cs="Arial"/>
          <w:sz w:val="22"/>
          <w:szCs w:val="22"/>
          <w:lang w:eastAsia="en-US"/>
        </w:rPr>
        <w:t>ministrator of such a benchmark, it is vital that the tests can be justified and that very clear and fixed data are used in making the assessment.  This is particularly true given that the list of critical benchmarks must be reviewed biennially.  As such it would be of significant detriment to the market if the two yearly review resulted in constant changes to the list of those benchmarks deemed to be critical.</w:t>
      </w:r>
    </w:p>
    <w:p w:rsidR="00AE4D91" w:rsidRPr="00AE4D91" w:rsidRDefault="00AE4D91" w:rsidP="00AE4D91">
      <w:pPr>
        <w:jc w:val="both"/>
        <w:rPr>
          <w:rFonts w:cs="Arial"/>
          <w:sz w:val="22"/>
          <w:szCs w:val="22"/>
          <w:lang w:eastAsia="en-US"/>
        </w:rPr>
      </w:pPr>
    </w:p>
    <w:p w:rsidR="00D34282" w:rsidRDefault="00AE4D91" w:rsidP="00AE4D91">
      <w:r w:rsidRPr="00AE4D91">
        <w:rPr>
          <w:rFonts w:cs="Arial"/>
          <w:sz w:val="22"/>
          <w:szCs w:val="22"/>
          <w:lang w:eastAsia="en-US"/>
        </w:rPr>
        <w:t xml:space="preserve">We would be pleased to engage with ESMA further on this matter, and any of the other key matters highlighted, in order to assist in finding an appropriate resolution.  </w:t>
      </w:r>
    </w:p>
    <w:permEnd w:id="911621108"/>
    <w:p w:rsidR="00D34282" w:rsidRPr="00BF28DA" w:rsidRDefault="00D34282" w:rsidP="00D34282">
      <w:r w:rsidRPr="00BF28DA">
        <w:t>&lt;</w:t>
      </w:r>
      <w:r w:rsidR="00D61A37" w:rsidRPr="00BF28DA">
        <w:t>ESMA_COMMENT_</w:t>
      </w:r>
      <w:r w:rsidR="00176639" w:rsidRPr="00176639">
        <w:t xml:space="preserve"> </w:t>
      </w:r>
      <w:r w:rsidR="00176639">
        <w:t>DP_BMR</w:t>
      </w:r>
      <w:r w:rsidR="00D61A37" w:rsidRPr="00BF28DA">
        <w:t>_1</w:t>
      </w:r>
      <w:r w:rsidRPr="00BF28DA">
        <w:t>&gt;</w:t>
      </w:r>
    </w:p>
    <w:p w:rsidR="00F31E57" w:rsidRPr="00BF28DA" w:rsidRDefault="00F31E57" w:rsidP="00D34282"/>
    <w:p w:rsidR="008701E5" w:rsidRDefault="00F31E57" w:rsidP="002342EC">
      <w:pPr>
        <w:pStyle w:val="Questionstyle"/>
        <w:numPr>
          <w:ilvl w:val="0"/>
          <w:numId w:val="38"/>
        </w:numPr>
      </w:pPr>
      <w:r w:rsidRPr="0075015C">
        <w:br w:type="page"/>
      </w:r>
    </w:p>
    <w:p w:rsidR="009A2624" w:rsidRPr="007F44BF" w:rsidRDefault="009A2624" w:rsidP="002342EC">
      <w:pPr>
        <w:pStyle w:val="Questionstyle"/>
      </w:pPr>
      <w:r w:rsidRPr="007F44BF">
        <w:lastRenderedPageBreak/>
        <w:t>Do you agree that an index’s characteristic of being “made available to the public” should be defined in an open manner, possibly reflecting the current channels and modalities of publication of existing benchmarks, in order not to unduly restrict the number of benchmarks in scope?</w:t>
      </w:r>
    </w:p>
    <w:p w:rsidR="009A2624" w:rsidRDefault="009A2624" w:rsidP="009A2624">
      <w:r>
        <w:t>&lt;ESMA_QUESTION_DP_BMR_1&gt;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1094660894" w:edGrp="everyone"/>
      <w:r w:rsidRPr="00AE4D91">
        <w:rPr>
          <w:rFonts w:ascii="Helvetica" w:hAnsi="Helvetica" w:cs="Helvetica"/>
          <w:bCs/>
          <w:color w:val="000000"/>
          <w:sz w:val="22"/>
          <w:szCs w:val="22"/>
          <w:lang w:eastAsia="en-GB"/>
        </w:rPr>
        <w:t>No, we do not agree that the term “made available to the public” should be defined in an open manner.  We believe that the Regulation should be tailored to ensure that the resources and focus of national regulators can be proportionately managed and that the obligations on benc</w:t>
      </w:r>
      <w:r w:rsidRPr="00AE4D91">
        <w:rPr>
          <w:rFonts w:ascii="Helvetica" w:hAnsi="Helvetica" w:cs="Helvetica"/>
          <w:bCs/>
          <w:color w:val="000000"/>
          <w:sz w:val="22"/>
          <w:szCs w:val="22"/>
          <w:lang w:eastAsia="en-GB"/>
        </w:rPr>
        <w:t>h</w:t>
      </w:r>
      <w:r w:rsidRPr="00AE4D91">
        <w:rPr>
          <w:rFonts w:ascii="Helvetica" w:hAnsi="Helvetica" w:cs="Helvetica"/>
          <w:bCs/>
          <w:color w:val="000000"/>
          <w:sz w:val="22"/>
          <w:szCs w:val="22"/>
          <w:lang w:eastAsia="en-GB"/>
        </w:rPr>
        <w:t xml:space="preserve">mark administrators can be targeted accurately at those administrators whose benchmarks could present genuine risk to the financial markets.  One of the material concerns surrounding the Benchmarks Regulation is the </w:t>
      </w:r>
      <w:r w:rsidRPr="00AE4D91">
        <w:rPr>
          <w:rFonts w:ascii="Helvetica" w:hAnsi="Helvetica" w:cs="Helvetica"/>
          <w:bCs/>
          <w:color w:val="000000"/>
          <w:sz w:val="22"/>
          <w:szCs w:val="22"/>
          <w:u w:val="single"/>
          <w:lang w:eastAsia="en-GB"/>
        </w:rPr>
        <w:t>unintended scope of the requirements</w:t>
      </w:r>
      <w:r w:rsidRPr="00AE4D91">
        <w:rPr>
          <w:rFonts w:ascii="Helvetica" w:hAnsi="Helvetica" w:cs="Helvetica"/>
          <w:bCs/>
          <w:color w:val="000000"/>
          <w:sz w:val="22"/>
          <w:szCs w:val="22"/>
          <w:lang w:eastAsia="en-GB"/>
        </w:rPr>
        <w:t>.  We believe that the policy proposal to apply a wide interpretation to the phrase “made available to the public” will risk diluting the potential focus on those benchmarks where there is a genuine need for greater scrutiny.  As such we suggest that ESMA reconsider its interpretation and selects, instead, only those forms of publication which genuinely permit free and open access to a Benchmark.  Ther</w:t>
      </w:r>
      <w:r w:rsidRPr="00AE4D91">
        <w:rPr>
          <w:rFonts w:ascii="Helvetica" w:hAnsi="Helvetica" w:cs="Helvetica"/>
          <w:bCs/>
          <w:color w:val="000000"/>
          <w:sz w:val="22"/>
          <w:szCs w:val="22"/>
          <w:lang w:eastAsia="en-GB"/>
        </w:rPr>
        <w:t>e</w:t>
      </w:r>
      <w:r w:rsidRPr="00AE4D91">
        <w:rPr>
          <w:rFonts w:ascii="Helvetica" w:hAnsi="Helvetica" w:cs="Helvetica"/>
          <w:bCs/>
          <w:color w:val="000000"/>
          <w:sz w:val="22"/>
          <w:szCs w:val="22"/>
          <w:lang w:eastAsia="en-GB"/>
        </w:rPr>
        <w:t xml:space="preserve">fore the presence of any of the following would </w:t>
      </w:r>
      <w:r w:rsidRPr="005071F5">
        <w:rPr>
          <w:rFonts w:ascii="Helvetica" w:hAnsi="Helvetica" w:cs="Helvetica"/>
          <w:bCs/>
          <w:color w:val="000000"/>
          <w:sz w:val="22"/>
          <w:szCs w:val="22"/>
          <w:u w:val="single"/>
          <w:lang w:eastAsia="en-GB"/>
        </w:rPr>
        <w:t>exclude</w:t>
      </w:r>
      <w:r w:rsidRPr="00AE4D91">
        <w:rPr>
          <w:rFonts w:ascii="Helvetica" w:hAnsi="Helvetica" w:cs="Helvetica"/>
          <w:bCs/>
          <w:color w:val="000000"/>
          <w:sz w:val="22"/>
          <w:szCs w:val="22"/>
          <w:lang w:eastAsia="en-GB"/>
        </w:rPr>
        <w:t xml:space="preserve"> a benchmark from being “m</w:t>
      </w:r>
      <w:r w:rsidR="00EC79E0">
        <w:rPr>
          <w:rFonts w:ascii="Helvetica" w:hAnsi="Helvetica" w:cs="Helvetica"/>
          <w:bCs/>
          <w:color w:val="000000"/>
          <w:sz w:val="22"/>
          <w:szCs w:val="22"/>
          <w:lang w:eastAsia="en-GB"/>
        </w:rPr>
        <w:t>ade available to the public”</w:t>
      </w:r>
      <w:r w:rsidRPr="00AE4D91">
        <w:rPr>
          <w:rFonts w:ascii="Helvetica" w:hAnsi="Helvetica" w:cs="Helvetica"/>
          <w:bCs/>
          <w:color w:val="000000"/>
          <w:sz w:val="22"/>
          <w:szCs w:val="22"/>
          <w:lang w:eastAsia="en-GB"/>
        </w:rPr>
        <w:t xml:space="preserve">:  </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AE4D91" w:rsidRPr="00AE4D91" w:rsidRDefault="00AE4D91" w:rsidP="00AE4D91">
      <w:pPr>
        <w:numPr>
          <w:ilvl w:val="0"/>
          <w:numId w:val="40"/>
        </w:numPr>
        <w:tabs>
          <w:tab w:val="left" w:pos="560"/>
          <w:tab w:val="left" w:pos="851"/>
          <w:tab w:val="left" w:pos="9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60" w:line="288" w:lineRule="auto"/>
        <w:contextualSpacing/>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The user is required to agree to certain contractual terms before receiving the data; and</w:t>
      </w:r>
    </w:p>
    <w:p w:rsidR="006607C2" w:rsidRDefault="00EC79E0" w:rsidP="00AE4D91">
      <w:pPr>
        <w:numPr>
          <w:ilvl w:val="0"/>
          <w:numId w:val="40"/>
        </w:numPr>
        <w:tabs>
          <w:tab w:val="left" w:pos="560"/>
          <w:tab w:val="left" w:pos="851"/>
          <w:tab w:val="left" w:pos="9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60" w:line="288" w:lineRule="auto"/>
        <w:contextualSpacing/>
        <w:jc w:val="both"/>
        <w:rPr>
          <w:rFonts w:ascii="Helvetica" w:hAnsi="Helvetica" w:cs="Helvetica"/>
          <w:bCs/>
          <w:color w:val="000000"/>
          <w:sz w:val="22"/>
          <w:szCs w:val="22"/>
          <w:lang w:eastAsia="en-GB"/>
        </w:rPr>
      </w:pPr>
      <w:r>
        <w:rPr>
          <w:rFonts w:ascii="Helvetica" w:hAnsi="Helvetica" w:cs="Helvetica"/>
          <w:bCs/>
          <w:color w:val="000000"/>
          <w:sz w:val="22"/>
          <w:szCs w:val="22"/>
          <w:lang w:eastAsia="en-GB"/>
        </w:rPr>
        <w:t xml:space="preserve">The administrator mandates that </w:t>
      </w:r>
      <w:r w:rsidR="006607C2">
        <w:rPr>
          <w:rFonts w:ascii="Helvetica" w:hAnsi="Helvetica" w:cs="Helvetica"/>
          <w:bCs/>
          <w:color w:val="000000"/>
          <w:sz w:val="22"/>
          <w:szCs w:val="22"/>
          <w:lang w:eastAsia="en-GB"/>
        </w:rPr>
        <w:t xml:space="preserve">the indices are available to a limited </w:t>
      </w:r>
      <w:r w:rsidR="00AE4D91" w:rsidRPr="00AE4D91">
        <w:rPr>
          <w:rFonts w:ascii="Helvetica" w:hAnsi="Helvetica" w:cs="Helvetica"/>
          <w:bCs/>
          <w:color w:val="000000"/>
          <w:sz w:val="22"/>
          <w:szCs w:val="22"/>
          <w:lang w:eastAsia="en-GB"/>
        </w:rPr>
        <w:t>number of recip</w:t>
      </w:r>
      <w:r w:rsidR="00AE4D91" w:rsidRPr="00AE4D91">
        <w:rPr>
          <w:rFonts w:ascii="Helvetica" w:hAnsi="Helvetica" w:cs="Helvetica"/>
          <w:bCs/>
          <w:color w:val="000000"/>
          <w:sz w:val="22"/>
          <w:szCs w:val="22"/>
          <w:lang w:eastAsia="en-GB"/>
        </w:rPr>
        <w:t>i</w:t>
      </w:r>
      <w:r w:rsidR="00AE4D91" w:rsidRPr="00AE4D91">
        <w:rPr>
          <w:rFonts w:ascii="Helvetica" w:hAnsi="Helvetica" w:cs="Helvetica"/>
          <w:bCs/>
          <w:color w:val="000000"/>
          <w:sz w:val="22"/>
          <w:szCs w:val="22"/>
          <w:lang w:eastAsia="en-GB"/>
        </w:rPr>
        <w:t>ents</w:t>
      </w:r>
      <w:r w:rsidR="006607C2">
        <w:rPr>
          <w:rFonts w:ascii="Helvetica" w:hAnsi="Helvetica" w:cs="Helvetica"/>
          <w:bCs/>
          <w:color w:val="000000"/>
          <w:sz w:val="22"/>
          <w:szCs w:val="22"/>
          <w:lang w:eastAsia="en-GB"/>
        </w:rPr>
        <w:t>;</w:t>
      </w:r>
      <w:r w:rsidR="00AE4D91" w:rsidRPr="00AE4D91">
        <w:rPr>
          <w:rFonts w:ascii="Helvetica" w:hAnsi="Helvetica" w:cs="Helvetica"/>
          <w:bCs/>
          <w:color w:val="000000"/>
          <w:sz w:val="22"/>
          <w:szCs w:val="22"/>
          <w:lang w:eastAsia="en-GB"/>
        </w:rPr>
        <w:t xml:space="preserve"> </w:t>
      </w:r>
      <w:r w:rsidR="006607C2">
        <w:rPr>
          <w:rFonts w:ascii="Helvetica" w:hAnsi="Helvetica" w:cs="Helvetica"/>
          <w:bCs/>
          <w:color w:val="000000"/>
          <w:sz w:val="22"/>
          <w:szCs w:val="22"/>
          <w:lang w:eastAsia="en-GB"/>
        </w:rPr>
        <w:t>and</w:t>
      </w:r>
    </w:p>
    <w:p w:rsidR="00AE4D91" w:rsidRPr="00AE4D91" w:rsidRDefault="006607C2" w:rsidP="00AE4D91">
      <w:pPr>
        <w:numPr>
          <w:ilvl w:val="0"/>
          <w:numId w:val="40"/>
        </w:numPr>
        <w:tabs>
          <w:tab w:val="left" w:pos="560"/>
          <w:tab w:val="left" w:pos="851"/>
          <w:tab w:val="left" w:pos="9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60" w:line="288" w:lineRule="auto"/>
        <w:contextualSpacing/>
        <w:jc w:val="both"/>
        <w:rPr>
          <w:rFonts w:ascii="Helvetica" w:hAnsi="Helvetica" w:cs="Helvetica"/>
          <w:bCs/>
          <w:color w:val="000000"/>
          <w:sz w:val="22"/>
          <w:szCs w:val="22"/>
          <w:lang w:eastAsia="en-GB"/>
        </w:rPr>
      </w:pPr>
      <w:r>
        <w:rPr>
          <w:rFonts w:ascii="Helvetica" w:hAnsi="Helvetica" w:cs="Helvetica"/>
          <w:bCs/>
          <w:color w:val="000000"/>
          <w:sz w:val="22"/>
          <w:szCs w:val="22"/>
          <w:lang w:eastAsia="en-GB"/>
        </w:rPr>
        <w:t xml:space="preserve">The administrator imposes limits on the persons to whom the data may </w:t>
      </w:r>
      <w:r w:rsidR="00EC79E0">
        <w:rPr>
          <w:rFonts w:ascii="Helvetica" w:hAnsi="Helvetica" w:cs="Helvetica"/>
          <w:bCs/>
          <w:color w:val="000000"/>
          <w:sz w:val="22"/>
          <w:szCs w:val="22"/>
          <w:lang w:eastAsia="en-GB"/>
        </w:rPr>
        <w:t xml:space="preserve">be </w:t>
      </w:r>
      <w:r w:rsidR="005071F5">
        <w:rPr>
          <w:rFonts w:ascii="Helvetica" w:hAnsi="Helvetica" w:cs="Helvetica"/>
          <w:bCs/>
          <w:color w:val="000000"/>
          <w:sz w:val="22"/>
          <w:szCs w:val="22"/>
          <w:lang w:eastAsia="en-GB"/>
        </w:rPr>
        <w:t>provided</w:t>
      </w:r>
      <w:r w:rsidR="00AE4D91" w:rsidRPr="00AE4D91">
        <w:rPr>
          <w:rFonts w:ascii="Helvetica" w:hAnsi="Helvetica" w:cs="Helvetica"/>
          <w:bCs/>
          <w:color w:val="000000"/>
          <w:sz w:val="22"/>
          <w:szCs w:val="22"/>
          <w:lang w:eastAsia="en-GB"/>
        </w:rPr>
        <w:t>.</w:t>
      </w:r>
    </w:p>
    <w:permEnd w:id="1094660894"/>
    <w:p w:rsidR="009A2624" w:rsidRDefault="009A2624" w:rsidP="009A2624">
      <w:r>
        <w:t>&lt;ESMA_QUESTION_DP_BMR_1&gt;</w:t>
      </w:r>
    </w:p>
    <w:p w:rsidR="009A2624" w:rsidRDefault="009A2624" w:rsidP="009A2624"/>
    <w:p w:rsidR="009A2624" w:rsidRPr="007F44BF" w:rsidRDefault="009A2624" w:rsidP="002342EC">
      <w:pPr>
        <w:pStyle w:val="Questionstyle"/>
      </w:pPr>
      <w:r w:rsidRPr="007F44BF">
        <w:t>Do you have any proposals on which aspects of the publication process of an index should be considered in order for it to be deemed as having made the index available to the public, for the pu</w:t>
      </w:r>
      <w:r w:rsidRPr="007F44BF">
        <w:t>r</w:t>
      </w:r>
      <w:r w:rsidRPr="007F44BF">
        <w:t>pose of the BMR?</w:t>
      </w:r>
    </w:p>
    <w:p w:rsidR="009A2624" w:rsidRDefault="009A2624" w:rsidP="009A2624">
      <w:r>
        <w:t>&lt;ESMA_QUESTION_DP_BMR_2&gt;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1847287646" w:edGrp="everyone"/>
      <w:r w:rsidRPr="00AE4D91">
        <w:rPr>
          <w:rFonts w:ascii="Helvetica" w:hAnsi="Helvetica" w:cs="Helvetica"/>
          <w:bCs/>
          <w:color w:val="000000"/>
          <w:sz w:val="22"/>
          <w:szCs w:val="22"/>
          <w:lang w:eastAsia="en-GB"/>
        </w:rPr>
        <w:t xml:space="preserve">We believe that a publication process should qualify under the interpretation only where the following conditions do </w:t>
      </w:r>
      <w:r w:rsidRPr="005071F5">
        <w:rPr>
          <w:rFonts w:ascii="Helvetica" w:hAnsi="Helvetica" w:cs="Helvetica"/>
          <w:bCs/>
          <w:color w:val="000000"/>
          <w:sz w:val="22"/>
          <w:szCs w:val="22"/>
          <w:u w:val="single"/>
          <w:lang w:eastAsia="en-GB"/>
        </w:rPr>
        <w:t>not</w:t>
      </w:r>
      <w:r w:rsidRPr="00AE4D91">
        <w:rPr>
          <w:rFonts w:ascii="Helvetica" w:hAnsi="Helvetica" w:cs="Helvetica"/>
          <w:bCs/>
          <w:color w:val="000000"/>
          <w:sz w:val="22"/>
          <w:szCs w:val="22"/>
          <w:lang w:eastAsia="en-GB"/>
        </w:rPr>
        <w:t xml:space="preserve"> apply:</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60"/>
        <w:ind w:left="1080"/>
        <w:contextualSpacing/>
        <w:jc w:val="both"/>
        <w:rPr>
          <w:rFonts w:ascii="Helvetica" w:hAnsi="Helvetica" w:cs="Helvetica"/>
          <w:bCs/>
          <w:color w:val="000000"/>
          <w:sz w:val="22"/>
          <w:szCs w:val="22"/>
          <w:lang w:eastAsia="en-GB"/>
        </w:rPr>
      </w:pPr>
    </w:p>
    <w:p w:rsidR="00300046" w:rsidRPr="00AE4D91" w:rsidRDefault="00300046" w:rsidP="00300046">
      <w:pPr>
        <w:numPr>
          <w:ilvl w:val="0"/>
          <w:numId w:val="41"/>
        </w:numPr>
        <w:tabs>
          <w:tab w:val="left" w:pos="560"/>
          <w:tab w:val="left" w:pos="851"/>
          <w:tab w:val="left" w:pos="9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60" w:line="288" w:lineRule="auto"/>
        <w:contextualSpacing/>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The user is required to agree to certain contractual terms before receiving the data; and</w:t>
      </w:r>
    </w:p>
    <w:p w:rsidR="00300046" w:rsidRDefault="00300046" w:rsidP="00300046">
      <w:pPr>
        <w:numPr>
          <w:ilvl w:val="0"/>
          <w:numId w:val="41"/>
        </w:numPr>
        <w:tabs>
          <w:tab w:val="left" w:pos="560"/>
          <w:tab w:val="left" w:pos="851"/>
          <w:tab w:val="left" w:pos="9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60" w:line="288" w:lineRule="auto"/>
        <w:contextualSpacing/>
        <w:jc w:val="both"/>
        <w:rPr>
          <w:rFonts w:ascii="Helvetica" w:hAnsi="Helvetica" w:cs="Helvetica"/>
          <w:bCs/>
          <w:color w:val="000000"/>
          <w:sz w:val="22"/>
          <w:szCs w:val="22"/>
          <w:lang w:eastAsia="en-GB"/>
        </w:rPr>
      </w:pPr>
      <w:r>
        <w:rPr>
          <w:rFonts w:ascii="Helvetica" w:hAnsi="Helvetica" w:cs="Helvetica"/>
          <w:bCs/>
          <w:color w:val="000000"/>
          <w:sz w:val="22"/>
          <w:szCs w:val="22"/>
          <w:lang w:eastAsia="en-GB"/>
        </w:rPr>
        <w:t xml:space="preserve">The administrator mandates that the indices are available to a limited </w:t>
      </w:r>
      <w:r w:rsidRPr="00AE4D91">
        <w:rPr>
          <w:rFonts w:ascii="Helvetica" w:hAnsi="Helvetica" w:cs="Helvetica"/>
          <w:bCs/>
          <w:color w:val="000000"/>
          <w:sz w:val="22"/>
          <w:szCs w:val="22"/>
          <w:lang w:eastAsia="en-GB"/>
        </w:rPr>
        <w:t>number of recip</w:t>
      </w:r>
      <w:r w:rsidRPr="00AE4D91">
        <w:rPr>
          <w:rFonts w:ascii="Helvetica" w:hAnsi="Helvetica" w:cs="Helvetica"/>
          <w:bCs/>
          <w:color w:val="000000"/>
          <w:sz w:val="22"/>
          <w:szCs w:val="22"/>
          <w:lang w:eastAsia="en-GB"/>
        </w:rPr>
        <w:t>i</w:t>
      </w:r>
      <w:r w:rsidRPr="00AE4D91">
        <w:rPr>
          <w:rFonts w:ascii="Helvetica" w:hAnsi="Helvetica" w:cs="Helvetica"/>
          <w:bCs/>
          <w:color w:val="000000"/>
          <w:sz w:val="22"/>
          <w:szCs w:val="22"/>
          <w:lang w:eastAsia="en-GB"/>
        </w:rPr>
        <w:t>ents</w:t>
      </w:r>
      <w:r>
        <w:rPr>
          <w:rFonts w:ascii="Helvetica" w:hAnsi="Helvetica" w:cs="Helvetica"/>
          <w:bCs/>
          <w:color w:val="000000"/>
          <w:sz w:val="22"/>
          <w:szCs w:val="22"/>
          <w:lang w:eastAsia="en-GB"/>
        </w:rPr>
        <w:t>;</w:t>
      </w:r>
      <w:r w:rsidRPr="00AE4D91">
        <w:rPr>
          <w:rFonts w:ascii="Helvetica" w:hAnsi="Helvetica" w:cs="Helvetica"/>
          <w:bCs/>
          <w:color w:val="000000"/>
          <w:sz w:val="22"/>
          <w:szCs w:val="22"/>
          <w:lang w:eastAsia="en-GB"/>
        </w:rPr>
        <w:t xml:space="preserve"> </w:t>
      </w:r>
      <w:r>
        <w:rPr>
          <w:rFonts w:ascii="Helvetica" w:hAnsi="Helvetica" w:cs="Helvetica"/>
          <w:bCs/>
          <w:color w:val="000000"/>
          <w:sz w:val="22"/>
          <w:szCs w:val="22"/>
          <w:lang w:eastAsia="en-GB"/>
        </w:rPr>
        <w:t>and</w:t>
      </w:r>
    </w:p>
    <w:p w:rsidR="009A2624" w:rsidRPr="00AE4D91" w:rsidRDefault="00300046" w:rsidP="00300046">
      <w:pPr>
        <w:numPr>
          <w:ilvl w:val="0"/>
          <w:numId w:val="41"/>
        </w:numPr>
        <w:tabs>
          <w:tab w:val="left" w:pos="560"/>
          <w:tab w:val="left" w:pos="851"/>
          <w:tab w:val="left" w:pos="99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60" w:line="288" w:lineRule="auto"/>
        <w:contextualSpacing/>
        <w:jc w:val="both"/>
        <w:rPr>
          <w:rFonts w:ascii="Helvetica" w:hAnsi="Helvetica" w:cs="Helvetica"/>
          <w:bCs/>
          <w:color w:val="000000"/>
          <w:sz w:val="22"/>
          <w:szCs w:val="22"/>
          <w:lang w:eastAsia="en-GB"/>
        </w:rPr>
      </w:pPr>
      <w:r>
        <w:rPr>
          <w:rFonts w:ascii="Helvetica" w:hAnsi="Helvetica" w:cs="Helvetica"/>
          <w:bCs/>
          <w:color w:val="000000"/>
          <w:sz w:val="22"/>
          <w:szCs w:val="22"/>
          <w:lang w:eastAsia="en-GB"/>
        </w:rPr>
        <w:t xml:space="preserve">The administrator imposes limits on the persons to whom the data may be </w:t>
      </w:r>
      <w:r w:rsidR="005071F5">
        <w:rPr>
          <w:rFonts w:ascii="Helvetica" w:hAnsi="Helvetica" w:cs="Helvetica"/>
          <w:bCs/>
          <w:color w:val="000000"/>
          <w:sz w:val="22"/>
          <w:szCs w:val="22"/>
          <w:lang w:eastAsia="en-GB"/>
        </w:rPr>
        <w:t>provided</w:t>
      </w:r>
      <w:r w:rsidR="00AE4D91" w:rsidRPr="00AE4D91">
        <w:rPr>
          <w:rFonts w:ascii="Helvetica" w:hAnsi="Helvetica" w:cs="Helvetica"/>
          <w:bCs/>
          <w:color w:val="000000"/>
          <w:sz w:val="22"/>
          <w:szCs w:val="22"/>
          <w:lang w:eastAsia="en-GB"/>
        </w:rPr>
        <w:t>.</w:t>
      </w:r>
    </w:p>
    <w:permEnd w:id="1847287646"/>
    <w:p w:rsidR="009A2624" w:rsidRDefault="009A2624" w:rsidP="009A2624">
      <w:r>
        <w:t>&lt;ESMA_QUESTION_DP_BMR_2&gt;</w:t>
      </w:r>
    </w:p>
    <w:p w:rsidR="009A2624" w:rsidRDefault="009A2624" w:rsidP="009A2624"/>
    <w:p w:rsidR="009A2624" w:rsidRDefault="009A2624" w:rsidP="002342EC">
      <w:pPr>
        <w:pStyle w:val="Questionstyle"/>
        <w:rPr>
          <w:rFonts w:cstheme="minorHAnsi"/>
        </w:rPr>
      </w:pPr>
      <w:r w:rsidRPr="0088067A">
        <w:t>Do you agree with ESMA’s proposal to align the administering the arrangements for determi</w:t>
      </w:r>
      <w:r w:rsidRPr="0088067A">
        <w:t>n</w:t>
      </w:r>
      <w:r w:rsidRPr="0088067A">
        <w:t>ing a benchmark with the IOSCO principle on the overall responsibility of the administrator?</w:t>
      </w:r>
      <w:r>
        <w:t xml:space="preserve"> Which other characteristics/activities would you regard as covered by Article 3(1) point 3(a)?</w:t>
      </w:r>
    </w:p>
    <w:p w:rsidR="009A2624" w:rsidRDefault="009A2624" w:rsidP="009A2624">
      <w:r>
        <w:t>&lt;ESMA_QUESTION_DP_BMR_3&gt;</w:t>
      </w:r>
    </w:p>
    <w:p w:rsidR="009A2624"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1759658697" w:edGrp="everyone"/>
      <w:r>
        <w:rPr>
          <w:rFonts w:ascii="Helvetica" w:hAnsi="Helvetica" w:cs="Helvetica"/>
          <w:bCs/>
          <w:color w:val="000000"/>
          <w:sz w:val="22"/>
          <w:szCs w:val="22"/>
          <w:lang w:eastAsia="en-GB"/>
        </w:rPr>
        <w:t>Yes we agree.</w:t>
      </w:r>
    </w:p>
    <w:permEnd w:id="1759658697"/>
    <w:p w:rsidR="009A2624" w:rsidRDefault="009A2624" w:rsidP="009A2624">
      <w:r>
        <w:t>&lt;ESMA_QUESTION_DP_BMR_3&gt;</w:t>
      </w:r>
    </w:p>
    <w:p w:rsidR="009A2624" w:rsidRDefault="009A2624" w:rsidP="009A2624"/>
    <w:p w:rsidR="009A2624" w:rsidRPr="00B37C5D" w:rsidRDefault="009A2624" w:rsidP="002342EC">
      <w:pPr>
        <w:pStyle w:val="Questionstyle"/>
      </w:pPr>
      <w:r>
        <w:t xml:space="preserve">Do you agree with ESMA’s </w:t>
      </w:r>
      <w:r w:rsidRPr="00B37C5D">
        <w:t>proposal for a definition of issuance of a financial instrument? Are there additional aspects that this definition should cover?</w:t>
      </w:r>
    </w:p>
    <w:p w:rsidR="009A2624" w:rsidRDefault="009A2624" w:rsidP="009A2624">
      <w:r>
        <w:lastRenderedPageBreak/>
        <w:t>&lt;ESMA_QUESTION_DP_BMR_4&gt;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1757508341" w:edGrp="everyone"/>
      <w:r w:rsidRPr="00AE4D91">
        <w:rPr>
          <w:rFonts w:ascii="Helvetica" w:hAnsi="Helvetica" w:cs="Helvetica"/>
          <w:bCs/>
          <w:color w:val="000000"/>
          <w:sz w:val="22"/>
          <w:szCs w:val="22"/>
          <w:lang w:eastAsia="en-GB"/>
        </w:rPr>
        <w:t>No we do not agree with ESMA’s proposals in this area.  We believe that this policy proposal is symptomatic of a broader issue which raises material concerns for the LME as a market oper</w:t>
      </w:r>
      <w:r w:rsidRPr="00AE4D91">
        <w:rPr>
          <w:rFonts w:ascii="Helvetica" w:hAnsi="Helvetica" w:cs="Helvetica"/>
          <w:bCs/>
          <w:color w:val="000000"/>
          <w:sz w:val="22"/>
          <w:szCs w:val="22"/>
          <w:lang w:eastAsia="en-GB"/>
        </w:rPr>
        <w:t>a</w:t>
      </w:r>
      <w:r w:rsidRPr="00AE4D91">
        <w:rPr>
          <w:rFonts w:ascii="Helvetica" w:hAnsi="Helvetica" w:cs="Helvetica"/>
          <w:bCs/>
          <w:color w:val="000000"/>
          <w:sz w:val="22"/>
          <w:szCs w:val="22"/>
          <w:lang w:eastAsia="en-GB"/>
        </w:rPr>
        <w:t>tor.</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i/>
          <w:color w:val="000000"/>
          <w:sz w:val="22"/>
          <w:szCs w:val="22"/>
          <w:lang w:eastAsia="en-GB"/>
        </w:rPr>
      </w:pPr>
      <w:r w:rsidRPr="00AE4D91">
        <w:rPr>
          <w:rFonts w:ascii="Helvetica" w:hAnsi="Helvetica" w:cs="Helvetica"/>
          <w:bCs/>
          <w:color w:val="000000"/>
          <w:sz w:val="22"/>
          <w:szCs w:val="22"/>
          <w:lang w:eastAsia="en-GB"/>
        </w:rPr>
        <w:t>The term “issuer” is one that is currently common in a variety of European Regulations and Directives and is understood in that context.  We do not believe that it is appropriate for ESMA to extend the understanding and definition of that term in relation to the Benchmarks Regulation.  In particular we do not believe that trading venues should be deemed to be issuers.  We note ESMA’s commentary at paragraph 29 that “</w:t>
      </w:r>
      <w:r w:rsidRPr="00AE4D91">
        <w:rPr>
          <w:rFonts w:ascii="Helvetica" w:hAnsi="Helvetica" w:cs="Helvetica"/>
          <w:bCs/>
          <w:i/>
          <w:color w:val="000000"/>
          <w:sz w:val="22"/>
          <w:szCs w:val="22"/>
          <w:lang w:eastAsia="en-GB"/>
        </w:rPr>
        <w:t>ESMA believes that the concept of issuance of f</w:t>
      </w:r>
      <w:r w:rsidRPr="00AE4D91">
        <w:rPr>
          <w:rFonts w:ascii="Helvetica" w:hAnsi="Helvetica" w:cs="Helvetica"/>
          <w:bCs/>
          <w:i/>
          <w:color w:val="000000"/>
          <w:sz w:val="22"/>
          <w:szCs w:val="22"/>
          <w:lang w:eastAsia="en-GB"/>
        </w:rPr>
        <w:t>i</w:t>
      </w:r>
      <w:r w:rsidRPr="00AE4D91">
        <w:rPr>
          <w:rFonts w:ascii="Helvetica" w:hAnsi="Helvetica" w:cs="Helvetica"/>
          <w:bCs/>
          <w:i/>
          <w:color w:val="000000"/>
          <w:sz w:val="22"/>
          <w:szCs w:val="22"/>
          <w:lang w:eastAsia="en-GB"/>
        </w:rPr>
        <w:t xml:space="preserve">nancial instruments should not be limited to securities and should extent </w:t>
      </w:r>
      <w:r w:rsidRPr="00AE4D91">
        <w:rPr>
          <w:rFonts w:ascii="Helvetica" w:hAnsi="Helvetica" w:cs="Helvetica"/>
          <w:bCs/>
          <w:color w:val="000000"/>
          <w:sz w:val="22"/>
          <w:szCs w:val="22"/>
          <w:lang w:eastAsia="en-GB"/>
        </w:rPr>
        <w:t>[sic]</w:t>
      </w:r>
      <w:r w:rsidRPr="00AE4D91">
        <w:rPr>
          <w:rFonts w:ascii="Helvetica" w:hAnsi="Helvetica" w:cs="Helvetica"/>
          <w:bCs/>
          <w:i/>
          <w:color w:val="000000"/>
          <w:sz w:val="22"/>
          <w:szCs w:val="22"/>
          <w:lang w:eastAsia="en-GB"/>
        </w:rPr>
        <w:t xml:space="preserve"> to financial instr</w:t>
      </w:r>
      <w:r w:rsidRPr="00AE4D91">
        <w:rPr>
          <w:rFonts w:ascii="Helvetica" w:hAnsi="Helvetica" w:cs="Helvetica"/>
          <w:bCs/>
          <w:i/>
          <w:color w:val="000000"/>
          <w:sz w:val="22"/>
          <w:szCs w:val="22"/>
          <w:lang w:eastAsia="en-GB"/>
        </w:rPr>
        <w:t>u</w:t>
      </w:r>
      <w:r w:rsidRPr="00AE4D91">
        <w:rPr>
          <w:rFonts w:ascii="Helvetica" w:hAnsi="Helvetica" w:cs="Helvetica"/>
          <w:bCs/>
          <w:i/>
          <w:color w:val="000000"/>
          <w:sz w:val="22"/>
          <w:szCs w:val="22"/>
          <w:lang w:eastAsia="en-GB"/>
        </w:rPr>
        <w:t>ments that are created for trading also in execution or trading venues other than regulated ma</w:t>
      </w:r>
      <w:r w:rsidRPr="00AE4D91">
        <w:rPr>
          <w:rFonts w:ascii="Helvetica" w:hAnsi="Helvetica" w:cs="Helvetica"/>
          <w:bCs/>
          <w:i/>
          <w:color w:val="000000"/>
          <w:sz w:val="22"/>
          <w:szCs w:val="22"/>
          <w:lang w:eastAsia="en-GB"/>
        </w:rPr>
        <w:t>r</w:t>
      </w:r>
      <w:r w:rsidRPr="00AE4D91">
        <w:rPr>
          <w:rFonts w:ascii="Helvetica" w:hAnsi="Helvetica" w:cs="Helvetica"/>
          <w:bCs/>
          <w:i/>
          <w:color w:val="000000"/>
          <w:sz w:val="22"/>
          <w:szCs w:val="22"/>
          <w:lang w:eastAsia="en-GB"/>
        </w:rPr>
        <w:t xml:space="preserve">kets.”  </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i/>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This statement betrays a misconception concerning the instruments traded on trading venues, including the LME.  The LME provides a platform and facilities on which members and market participants are able to trade certain types of commodity derivatives.    Commodity derivatives pre-exist and whilst their exact form, delivery mechanism and underlying terms may vary d</w:t>
      </w:r>
      <w:r w:rsidRPr="00AE4D91">
        <w:rPr>
          <w:rFonts w:ascii="Helvetica" w:hAnsi="Helvetica" w:cs="Helvetica"/>
          <w:bCs/>
          <w:color w:val="000000"/>
          <w:sz w:val="22"/>
          <w:szCs w:val="22"/>
          <w:lang w:eastAsia="en-GB"/>
        </w:rPr>
        <w:t>e</w:t>
      </w:r>
      <w:r w:rsidRPr="00AE4D91">
        <w:rPr>
          <w:rFonts w:ascii="Helvetica" w:hAnsi="Helvetica" w:cs="Helvetica"/>
          <w:bCs/>
          <w:color w:val="000000"/>
          <w:sz w:val="22"/>
          <w:szCs w:val="22"/>
          <w:lang w:eastAsia="en-GB"/>
        </w:rPr>
        <w:t>pending on the venue on which they are traded, trading occurs both bilaterally and on a variety of different exchanges globally.  The LME’s principal role in this context is to establish a set of standards and a framework of rules by which members and participants are required to adhere to and on which they can set their expectations as to the contract that they are entering into and the results that they can expect from such contracts.  This is a fundamentally different concept from that of “issuance” whereby a firm will purposefully create an instrument, entirely bespoke to that entity which is not capable of replication, for the specific purpose of trading.  Whilst the trading of that instrument could take place on a variety of venues, the instrument itself can only be created, or issued, by one entity.</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9A2624"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u w:val="single"/>
          <w:lang w:eastAsia="en-GB"/>
        </w:rPr>
        <w:t>It is critical that ESMA is clear as to the differences between the creation of an instrument for trading and the provision of a facility and framework on which pre-existing instruments can be traded</w:t>
      </w:r>
      <w:r w:rsidRPr="00AE4D91">
        <w:rPr>
          <w:rFonts w:ascii="Helvetica" w:hAnsi="Helvetica" w:cs="Helvetica"/>
          <w:bCs/>
          <w:color w:val="000000"/>
          <w:sz w:val="22"/>
          <w:szCs w:val="22"/>
          <w:lang w:eastAsia="en-GB"/>
        </w:rPr>
        <w:t>.  The distinction between the two concepts must be maintained in order to ensure that the obligations directed at issuers both under the Benchmarks Regulation, and more broadly, can be applied and tailored appropriately.  We do not disagree with the fundamental principle that the activities of trading venues should be subject to high regulatory standards, but ESMA would be undermining the effectiveness of the regulation itself if it were to confuse the basic concepts of facilitator and issuer and subsequently define a trading venue as the latter.</w:t>
      </w:r>
    </w:p>
    <w:permEnd w:id="1757508341"/>
    <w:p w:rsidR="009A2624" w:rsidRDefault="009A2624" w:rsidP="009A2624">
      <w:r>
        <w:t>&lt;ESMA_QUESTION_DP_BMR_4&gt;</w:t>
      </w:r>
    </w:p>
    <w:p w:rsidR="009A2624" w:rsidRDefault="009A2624" w:rsidP="009A2624"/>
    <w:p w:rsidR="009A2624" w:rsidRDefault="009A2624" w:rsidP="002342EC">
      <w:pPr>
        <w:pStyle w:val="Questionstyle"/>
      </w:pPr>
      <w:r w:rsidRPr="003E0464">
        <w:t xml:space="preserve">Do you </w:t>
      </w:r>
      <w:r>
        <w:t>think that the business activities of market operators and CCPs in connection with possible creation of financial instruments for trading could fall under the specification of “</w:t>
      </w:r>
      <w:r w:rsidRPr="004431E7">
        <w:t>issuance of a financial instrument which references an index or a combination of indices</w:t>
      </w:r>
      <w:r>
        <w:t>”?</w:t>
      </w:r>
      <w:r w:rsidRPr="004431E7" w:rsidDel="006C285E">
        <w:t xml:space="preserve"> </w:t>
      </w:r>
      <w:r>
        <w:t xml:space="preserve">If not, which element of the “use of benchmark” definition could cover these business activities? </w:t>
      </w:r>
    </w:p>
    <w:p w:rsidR="009A2624" w:rsidRDefault="009A2624" w:rsidP="009A2624">
      <w:r>
        <w:t>&lt;ESMA_QUESTION_DP_BMR_5&gt;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1623291627" w:edGrp="everyone"/>
      <w:r w:rsidRPr="00AE4D91">
        <w:rPr>
          <w:rFonts w:ascii="Helvetica" w:hAnsi="Helvetica" w:cs="Helvetica"/>
          <w:bCs/>
          <w:color w:val="000000"/>
          <w:sz w:val="22"/>
          <w:szCs w:val="22"/>
          <w:lang w:eastAsia="en-GB"/>
        </w:rPr>
        <w:t>No, we do not believe that the business activities of market operators and CCPs could fall under the specification of “issuance of a financial instrument which references an index or a combin</w:t>
      </w:r>
      <w:r w:rsidRPr="00AE4D91">
        <w:rPr>
          <w:rFonts w:ascii="Helvetica" w:hAnsi="Helvetica" w:cs="Helvetica"/>
          <w:bCs/>
          <w:color w:val="000000"/>
          <w:sz w:val="22"/>
          <w:szCs w:val="22"/>
          <w:lang w:eastAsia="en-GB"/>
        </w:rPr>
        <w:t>a</w:t>
      </w:r>
      <w:r w:rsidRPr="00AE4D91">
        <w:rPr>
          <w:rFonts w:ascii="Helvetica" w:hAnsi="Helvetica" w:cs="Helvetica"/>
          <w:bCs/>
          <w:color w:val="000000"/>
          <w:sz w:val="22"/>
          <w:szCs w:val="22"/>
          <w:lang w:eastAsia="en-GB"/>
        </w:rPr>
        <w:t>tion of indices.”</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i/>
          <w:color w:val="000000"/>
          <w:sz w:val="22"/>
          <w:szCs w:val="22"/>
          <w:lang w:eastAsia="en-GB"/>
        </w:rPr>
      </w:pPr>
      <w:r w:rsidRPr="00AE4D91">
        <w:rPr>
          <w:rFonts w:ascii="Helvetica" w:hAnsi="Helvetica" w:cs="Helvetica"/>
          <w:bCs/>
          <w:color w:val="000000"/>
          <w:sz w:val="22"/>
          <w:szCs w:val="22"/>
          <w:lang w:eastAsia="en-GB"/>
        </w:rPr>
        <w:t xml:space="preserve">The term “issuer” is one that is currently common in a variety of European Regulations and Directives and is understood in that context.  We do not believe that it is appropriate for ESMA to extend the understanding and definition of that term in relation to the Benchmarks Regulation.  In particular we do not believe that trading venues should be deemed to be issuers.  We note </w:t>
      </w:r>
      <w:r w:rsidRPr="00AE4D91">
        <w:rPr>
          <w:rFonts w:ascii="Helvetica" w:hAnsi="Helvetica" w:cs="Helvetica"/>
          <w:bCs/>
          <w:color w:val="000000"/>
          <w:sz w:val="22"/>
          <w:szCs w:val="22"/>
          <w:lang w:eastAsia="en-GB"/>
        </w:rPr>
        <w:lastRenderedPageBreak/>
        <w:t>ESMA’s commentary at paragraph 29 that “</w:t>
      </w:r>
      <w:r w:rsidRPr="00AE4D91">
        <w:rPr>
          <w:rFonts w:ascii="Helvetica" w:hAnsi="Helvetica" w:cs="Helvetica"/>
          <w:bCs/>
          <w:i/>
          <w:color w:val="000000"/>
          <w:sz w:val="22"/>
          <w:szCs w:val="22"/>
          <w:lang w:eastAsia="en-GB"/>
        </w:rPr>
        <w:t>ESMA believes that the concept of issuance of f</w:t>
      </w:r>
      <w:r w:rsidRPr="00AE4D91">
        <w:rPr>
          <w:rFonts w:ascii="Helvetica" w:hAnsi="Helvetica" w:cs="Helvetica"/>
          <w:bCs/>
          <w:i/>
          <w:color w:val="000000"/>
          <w:sz w:val="22"/>
          <w:szCs w:val="22"/>
          <w:lang w:eastAsia="en-GB"/>
        </w:rPr>
        <w:t>i</w:t>
      </w:r>
      <w:r w:rsidRPr="00AE4D91">
        <w:rPr>
          <w:rFonts w:ascii="Helvetica" w:hAnsi="Helvetica" w:cs="Helvetica"/>
          <w:bCs/>
          <w:i/>
          <w:color w:val="000000"/>
          <w:sz w:val="22"/>
          <w:szCs w:val="22"/>
          <w:lang w:eastAsia="en-GB"/>
        </w:rPr>
        <w:t xml:space="preserve">nancial instruments should not be limited to securities and should extent </w:t>
      </w:r>
      <w:r w:rsidRPr="00AE4D91">
        <w:rPr>
          <w:rFonts w:ascii="Helvetica" w:hAnsi="Helvetica" w:cs="Helvetica"/>
          <w:bCs/>
          <w:color w:val="000000"/>
          <w:sz w:val="22"/>
          <w:szCs w:val="22"/>
          <w:lang w:eastAsia="en-GB"/>
        </w:rPr>
        <w:t>[sic]</w:t>
      </w:r>
      <w:r w:rsidRPr="00AE4D91">
        <w:rPr>
          <w:rFonts w:ascii="Helvetica" w:hAnsi="Helvetica" w:cs="Helvetica"/>
          <w:bCs/>
          <w:i/>
          <w:color w:val="000000"/>
          <w:sz w:val="22"/>
          <w:szCs w:val="22"/>
          <w:lang w:eastAsia="en-GB"/>
        </w:rPr>
        <w:t xml:space="preserve"> to financial instr</w:t>
      </w:r>
      <w:r w:rsidRPr="00AE4D91">
        <w:rPr>
          <w:rFonts w:ascii="Helvetica" w:hAnsi="Helvetica" w:cs="Helvetica"/>
          <w:bCs/>
          <w:i/>
          <w:color w:val="000000"/>
          <w:sz w:val="22"/>
          <w:szCs w:val="22"/>
          <w:lang w:eastAsia="en-GB"/>
        </w:rPr>
        <w:t>u</w:t>
      </w:r>
      <w:r w:rsidRPr="00AE4D91">
        <w:rPr>
          <w:rFonts w:ascii="Helvetica" w:hAnsi="Helvetica" w:cs="Helvetica"/>
          <w:bCs/>
          <w:i/>
          <w:color w:val="000000"/>
          <w:sz w:val="22"/>
          <w:szCs w:val="22"/>
          <w:lang w:eastAsia="en-GB"/>
        </w:rPr>
        <w:t>ments that are created for trading also in execution or trading venues other than regulated ma</w:t>
      </w:r>
      <w:r w:rsidRPr="00AE4D91">
        <w:rPr>
          <w:rFonts w:ascii="Helvetica" w:hAnsi="Helvetica" w:cs="Helvetica"/>
          <w:bCs/>
          <w:i/>
          <w:color w:val="000000"/>
          <w:sz w:val="22"/>
          <w:szCs w:val="22"/>
          <w:lang w:eastAsia="en-GB"/>
        </w:rPr>
        <w:t>r</w:t>
      </w:r>
      <w:r w:rsidRPr="00AE4D91">
        <w:rPr>
          <w:rFonts w:ascii="Helvetica" w:hAnsi="Helvetica" w:cs="Helvetica"/>
          <w:bCs/>
          <w:i/>
          <w:color w:val="000000"/>
          <w:sz w:val="22"/>
          <w:szCs w:val="22"/>
          <w:lang w:eastAsia="en-GB"/>
        </w:rPr>
        <w:t xml:space="preserve">kets.”  </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i/>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This statement betrays a misconception concerning the instruments traded on trading venues, including the LME.  The LME provides a platform and facilities on which members and market participants are able to trade certain types of commodity derivatives.    Commodity derivatives pre-exist and whilst their exact form, delivery mechanism and underlying terms may vary d</w:t>
      </w:r>
      <w:r w:rsidRPr="00AE4D91">
        <w:rPr>
          <w:rFonts w:ascii="Helvetica" w:hAnsi="Helvetica" w:cs="Helvetica"/>
          <w:bCs/>
          <w:color w:val="000000"/>
          <w:sz w:val="22"/>
          <w:szCs w:val="22"/>
          <w:lang w:eastAsia="en-GB"/>
        </w:rPr>
        <w:t>e</w:t>
      </w:r>
      <w:r w:rsidRPr="00AE4D91">
        <w:rPr>
          <w:rFonts w:ascii="Helvetica" w:hAnsi="Helvetica" w:cs="Helvetica"/>
          <w:bCs/>
          <w:color w:val="000000"/>
          <w:sz w:val="22"/>
          <w:szCs w:val="22"/>
          <w:lang w:eastAsia="en-GB"/>
        </w:rPr>
        <w:t>pending on the venue on which they are traded, trading occurs both bilaterally and on a variety of different exchanges globally.  The LME’s principal role in this context is to establish a set of standards and a framework of rules by which members and participants are required to adhere and on which they can set their expectations as to the contract that they are entering into and the results that they can expect from such contracts.  This is a fundamentally different concept from that of “issuance” whereby a firm will purposefully create an instrument, entirely bespoke to that entity which is not capable of replication, for the specific purpose of trading.  Whilst the trading of that instrument could take place on a variety of venues, the instrument itself can only be created, or issued, by one entity.</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u w:val="single"/>
          <w:lang w:eastAsia="en-GB"/>
        </w:rPr>
        <w:t>It is critical that ESMA is clear as to the differences between the creation of an instrument for trading and the provision of a facility and framework on which pre-existing instruments can be traded</w:t>
      </w:r>
      <w:r w:rsidRPr="00AE4D91">
        <w:rPr>
          <w:rFonts w:ascii="Helvetica" w:hAnsi="Helvetica" w:cs="Helvetica"/>
          <w:bCs/>
          <w:color w:val="000000"/>
          <w:sz w:val="22"/>
          <w:szCs w:val="22"/>
          <w:lang w:eastAsia="en-GB"/>
        </w:rPr>
        <w:t>.  The distinction between the two concepts must be maintained in order to ensure that the obligations directed at issuers both under the Benchmarks Regulation, and more broadly, can be applied and tailored appropriately.  We do not disagree with the fundamental principle that the activities of trading venues should subject to high regulatory standards, but ESMA would be undermining the effectiveness of any existing and future regulation if it were to confuse the basic concepts of facilitator and issuer and define a trading venue as the latter.</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We believe that the elements of the definition of “use of a financial benchmark” do not comfort</w:t>
      </w:r>
      <w:r w:rsidRPr="00AE4D91">
        <w:rPr>
          <w:rFonts w:ascii="Helvetica" w:hAnsi="Helvetica" w:cs="Helvetica"/>
          <w:bCs/>
          <w:color w:val="000000"/>
          <w:sz w:val="22"/>
          <w:szCs w:val="22"/>
          <w:lang w:eastAsia="en-GB"/>
        </w:rPr>
        <w:t>a</w:t>
      </w:r>
      <w:r w:rsidRPr="00AE4D91">
        <w:rPr>
          <w:rFonts w:ascii="Helvetica" w:hAnsi="Helvetica" w:cs="Helvetica"/>
          <w:bCs/>
          <w:color w:val="000000"/>
          <w:sz w:val="22"/>
          <w:szCs w:val="22"/>
          <w:lang w:eastAsia="en-GB"/>
        </w:rPr>
        <w:t>bly fit the activities of a trading venue or of a CCP.</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The most relevant is likely to be under limb (b) which states “determination of the amount pay</w:t>
      </w:r>
      <w:r w:rsidRPr="00AE4D91">
        <w:rPr>
          <w:rFonts w:ascii="Helvetica" w:hAnsi="Helvetica" w:cs="Helvetica"/>
          <w:bCs/>
          <w:color w:val="000000"/>
          <w:sz w:val="22"/>
          <w:szCs w:val="22"/>
          <w:lang w:eastAsia="en-GB"/>
        </w:rPr>
        <w:t>a</w:t>
      </w:r>
      <w:r w:rsidRPr="00AE4D91">
        <w:rPr>
          <w:rFonts w:ascii="Helvetica" w:hAnsi="Helvetica" w:cs="Helvetica"/>
          <w:bCs/>
          <w:color w:val="000000"/>
          <w:sz w:val="22"/>
          <w:szCs w:val="22"/>
          <w:lang w:eastAsia="en-GB"/>
        </w:rPr>
        <w:t>ble under a financial instrument or a financial contract by referencing an index or a combination of indices”.  However, this may also be an inaccurate reflection of the purpose for which indices are used by trading venues and CCPs.  Trading venues provide facilities for members and ma</w:t>
      </w:r>
      <w:r w:rsidRPr="00AE4D91">
        <w:rPr>
          <w:rFonts w:ascii="Helvetica" w:hAnsi="Helvetica" w:cs="Helvetica"/>
          <w:bCs/>
          <w:color w:val="000000"/>
          <w:sz w:val="22"/>
          <w:szCs w:val="22"/>
          <w:lang w:eastAsia="en-GB"/>
        </w:rPr>
        <w:t>r</w:t>
      </w:r>
      <w:r w:rsidRPr="00AE4D91">
        <w:rPr>
          <w:rFonts w:ascii="Helvetica" w:hAnsi="Helvetica" w:cs="Helvetica"/>
          <w:bCs/>
          <w:color w:val="000000"/>
          <w:sz w:val="22"/>
          <w:szCs w:val="22"/>
          <w:lang w:eastAsia="en-GB"/>
        </w:rPr>
        <w:t>ket participants to trade instruments.  They may publish data associated with the instruments traded on their venue or rely on pre-existing data to publicise bids and offers but it would not be the venue itself using the index for the purpose of valuation but rather the market participants.</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In relation to CCPs, they may be using indices in order to value a contract for risk management and margining purpose.  We do not believe that in this case it is appropriate for the CCP to be deemed to be “using” the benchmark.  In particular we note recital 15b of the Benchmarks Reg</w:t>
      </w:r>
      <w:r w:rsidRPr="00AE4D91">
        <w:rPr>
          <w:rFonts w:ascii="Helvetica" w:hAnsi="Helvetica" w:cs="Helvetica"/>
          <w:bCs/>
          <w:color w:val="000000"/>
          <w:sz w:val="22"/>
          <w:szCs w:val="22"/>
          <w:lang w:eastAsia="en-GB"/>
        </w:rPr>
        <w:t>u</w:t>
      </w:r>
      <w:r w:rsidRPr="00AE4D91">
        <w:rPr>
          <w:rFonts w:ascii="Helvetica" w:hAnsi="Helvetica" w:cs="Helvetica"/>
          <w:bCs/>
          <w:color w:val="000000"/>
          <w:sz w:val="22"/>
          <w:szCs w:val="22"/>
          <w:lang w:eastAsia="en-GB"/>
        </w:rPr>
        <w:t>lation which specifically scopes out any prices used for the purpose of risk management.  Whilst this does not address the concept of usage of a price for the same purpose, it would be an u</w:t>
      </w:r>
      <w:r w:rsidRPr="00AE4D91">
        <w:rPr>
          <w:rFonts w:ascii="Helvetica" w:hAnsi="Helvetica" w:cs="Helvetica"/>
          <w:bCs/>
          <w:color w:val="000000"/>
          <w:sz w:val="22"/>
          <w:szCs w:val="22"/>
          <w:lang w:eastAsia="en-GB"/>
        </w:rPr>
        <w:t>n</w:t>
      </w:r>
      <w:r w:rsidRPr="00AE4D91">
        <w:rPr>
          <w:rFonts w:ascii="Helvetica" w:hAnsi="Helvetica" w:cs="Helvetica"/>
          <w:bCs/>
          <w:color w:val="000000"/>
          <w:sz w:val="22"/>
          <w:szCs w:val="22"/>
          <w:lang w:eastAsia="en-GB"/>
        </w:rPr>
        <w:t>balanced and illogical result if the creation of prices for risk management purposes fell outside of the scope of the Regulation but the use of prices for the exact same purpose was within its scope.</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9A2624"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As such it should be open to ESMA to determine that trading venues and CCPs are not users of benchmarks for the purpose of the Regulation.</w:t>
      </w:r>
    </w:p>
    <w:permEnd w:id="1623291627"/>
    <w:p w:rsidR="009A2624" w:rsidRDefault="009A2624" w:rsidP="009A2624">
      <w:r>
        <w:t>&lt;ESMA_QUESTION_DP_BMR_5&gt;</w:t>
      </w:r>
    </w:p>
    <w:p w:rsidR="009A2624" w:rsidRDefault="009A2624" w:rsidP="009A2624"/>
    <w:p w:rsidR="009A2624" w:rsidRPr="007F44BF" w:rsidRDefault="009A2624" w:rsidP="002342EC">
      <w:pPr>
        <w:pStyle w:val="Questionstyle"/>
      </w:pPr>
      <w:r w:rsidRPr="007F44BF">
        <w:lastRenderedPageBreak/>
        <w:t>Do you agree with the proposed list of appropriate governance arrangements for the oversight function? Would you propose any additional structure or changes to the proposed structures?</w:t>
      </w:r>
    </w:p>
    <w:p w:rsidR="009A2624" w:rsidRDefault="009A2624" w:rsidP="009A2624">
      <w:r>
        <w:t>&lt;ESMA_QUESTION_DP_BMR_6&gt;</w:t>
      </w:r>
    </w:p>
    <w:p w:rsidR="009A2624"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399646742" w:edGrp="everyone"/>
      <w:r w:rsidRPr="00AE4D91">
        <w:rPr>
          <w:rFonts w:ascii="Helvetica" w:hAnsi="Helvetica" w:cs="Helvetica"/>
          <w:bCs/>
          <w:color w:val="000000"/>
          <w:sz w:val="22"/>
          <w:szCs w:val="22"/>
          <w:lang w:eastAsia="en-GB"/>
        </w:rPr>
        <w:t>Yes we agree and support the proposals that the oversight function should be flexible and pr</w:t>
      </w:r>
      <w:r w:rsidRPr="00AE4D91">
        <w:rPr>
          <w:rFonts w:ascii="Helvetica" w:hAnsi="Helvetica" w:cs="Helvetica"/>
          <w:bCs/>
          <w:color w:val="000000"/>
          <w:sz w:val="22"/>
          <w:szCs w:val="22"/>
          <w:lang w:eastAsia="en-GB"/>
        </w:rPr>
        <w:t>o</w:t>
      </w:r>
      <w:r w:rsidRPr="00AE4D91">
        <w:rPr>
          <w:rFonts w:ascii="Helvetica" w:hAnsi="Helvetica" w:cs="Helvetica"/>
          <w:bCs/>
          <w:color w:val="000000"/>
          <w:sz w:val="22"/>
          <w:szCs w:val="22"/>
          <w:lang w:eastAsia="en-GB"/>
        </w:rPr>
        <w:t>portionate to meet the needs and organisational demands of the relevant administrator and the benchmarks subject to its administration.</w:t>
      </w:r>
    </w:p>
    <w:permEnd w:id="399646742"/>
    <w:p w:rsidR="009A2624" w:rsidRDefault="009A2624" w:rsidP="009A2624">
      <w:r>
        <w:t>&lt;ESMA_QUESTION_DP_BMR_6&gt;</w:t>
      </w:r>
    </w:p>
    <w:p w:rsidR="009A2624" w:rsidRDefault="009A2624" w:rsidP="009A2624"/>
    <w:p w:rsidR="009A2624" w:rsidRPr="007F44BF" w:rsidRDefault="009A2624" w:rsidP="002342EC">
      <w:pPr>
        <w:pStyle w:val="Questionstyle"/>
      </w:pPr>
      <w:r w:rsidRPr="007F44BF">
        <w:t>Do you believe these proposals sufficiently address the needs of all types of benchmarks and administrators? If not, what characteristics do such benchmarks have that would need to be addressed in the proposals?</w:t>
      </w:r>
    </w:p>
    <w:p w:rsidR="009A2624" w:rsidRDefault="009A2624" w:rsidP="009A2624">
      <w:r>
        <w:t>&lt;ESMA_QUESTION_DP_BMR_7&gt;</w:t>
      </w:r>
    </w:p>
    <w:p w:rsidR="009A2624"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1831339887" w:edGrp="everyone"/>
      <w:r w:rsidRPr="00AE4D91">
        <w:rPr>
          <w:rFonts w:ascii="Helvetica" w:hAnsi="Helvetica" w:cs="Helvetica"/>
          <w:bCs/>
          <w:color w:val="000000"/>
          <w:sz w:val="22"/>
          <w:szCs w:val="22"/>
          <w:lang w:eastAsia="en-GB"/>
        </w:rPr>
        <w:t xml:space="preserve">Yes we believe that these proposals sufficiently address the needs of all types of </w:t>
      </w:r>
      <w:r>
        <w:rPr>
          <w:rFonts w:ascii="Helvetica" w:hAnsi="Helvetica" w:cs="Helvetica"/>
          <w:bCs/>
          <w:color w:val="000000"/>
          <w:sz w:val="22"/>
          <w:szCs w:val="22"/>
          <w:lang w:eastAsia="en-GB"/>
        </w:rPr>
        <w:t>benchmarks and administrators.</w:t>
      </w:r>
    </w:p>
    <w:permEnd w:id="1831339887"/>
    <w:p w:rsidR="009A2624" w:rsidRDefault="009A2624" w:rsidP="009A2624">
      <w:r>
        <w:t>&lt;ESMA_QUESTION_DP_BMR_7&gt;</w:t>
      </w:r>
    </w:p>
    <w:p w:rsidR="009A2624" w:rsidRDefault="009A2624" w:rsidP="009A2624"/>
    <w:p w:rsidR="009A2624" w:rsidRPr="007F44BF" w:rsidRDefault="009A2624" w:rsidP="002342EC">
      <w:pPr>
        <w:pStyle w:val="Questionstyle"/>
      </w:pPr>
      <w:r w:rsidRPr="007F44BF">
        <w:t xml:space="preserve">To the extent that you provide benchmarks, do you have in place a pre-existing committee, introduced through other EU legislation, or otherwise, which could satisfy the requirements of an oversight function under Article 5a? Please describe the structure of the committee and the reasons for establishing it. </w:t>
      </w:r>
    </w:p>
    <w:p w:rsidR="009A2624" w:rsidRDefault="009A2624" w:rsidP="009A2624">
      <w:r>
        <w:t>&lt;ESMA_QUESTION_DP_BMR_8&gt;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1187992996" w:edGrp="everyone"/>
      <w:r w:rsidRPr="00AE4D91">
        <w:rPr>
          <w:rFonts w:ascii="Helvetica" w:hAnsi="Helvetica" w:cs="Helvetica"/>
          <w:bCs/>
          <w:color w:val="000000"/>
          <w:sz w:val="22"/>
          <w:szCs w:val="22"/>
          <w:lang w:eastAsia="en-GB"/>
        </w:rPr>
        <w:t>The LME currently administers the benchmark prices for platinum and palladium.  It maintains an oversight committee which is tasked with ensuring the probity of the benchmark administration and publication methodology as well as ensuring proportionate and adequate controls over the submission process.  The oversight committee was established in order to ensure compliance with the IOSCO principles for financial benchmarks.  Subject to the final policy decisions reached by ESMA on this point, we believe that the current arrangements would satisfy the requirements of an oversight function under Article 5a.</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9A2624"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The oversight committee is composed of at least three senior individuals who are appointed by the LME’s Executive Committee.  In addition, each submitter firm may nominate a qualified individual to act as a representative on the oversight committee.  This person may be, but is not required to be, a member of staff of the submitter firm.  No person may be qualified to sit on the oversight committee where they have been involved in either the platinum or palladium price discovery processes, or in trading in the platinum and palladium markets (other than on a de minimis basis) within the preceding 12 months.</w:t>
      </w:r>
    </w:p>
    <w:permEnd w:id="1187992996"/>
    <w:p w:rsidR="009A2624" w:rsidRDefault="009A2624" w:rsidP="009A2624">
      <w:r>
        <w:t>&lt;ESMA_QUESTION_DP_BMR_8&gt;</w:t>
      </w:r>
    </w:p>
    <w:p w:rsidR="009A2624" w:rsidRDefault="009A2624" w:rsidP="009A2624"/>
    <w:p w:rsidR="009A2624" w:rsidRPr="007F44BF" w:rsidRDefault="009A2624" w:rsidP="002342EC">
      <w:pPr>
        <w:pStyle w:val="Questionstyle"/>
      </w:pPr>
      <w:r w:rsidRPr="007F44BF">
        <w:t>Do you agree that an administrator could establish one oversight function for all the benc</w:t>
      </w:r>
      <w:r w:rsidRPr="007F44BF">
        <w:t>h</w:t>
      </w:r>
      <w:r w:rsidRPr="007F44BF">
        <w:t>marks it provides? Do you think it is appropriate for an administrator to have multiple oversight fun</w:t>
      </w:r>
      <w:r w:rsidRPr="007F44BF">
        <w:t>c</w:t>
      </w:r>
      <w:r w:rsidRPr="007F44BF">
        <w:t>tions where it provides benchmarks that have different methodologies, users or seek to measure very different markets or economic realities?</w:t>
      </w:r>
    </w:p>
    <w:p w:rsidR="009A2624" w:rsidRDefault="009A2624" w:rsidP="009A2624">
      <w:r>
        <w:t>&lt;ESMA_QUESTION_DP_BMR_9&gt;</w:t>
      </w:r>
    </w:p>
    <w:p w:rsidR="009A2624"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1251159501" w:edGrp="everyone"/>
      <w:r w:rsidRPr="00AE4D91">
        <w:rPr>
          <w:rFonts w:ascii="Helvetica" w:hAnsi="Helvetica" w:cs="Helvetica"/>
          <w:bCs/>
          <w:color w:val="000000"/>
          <w:sz w:val="22"/>
          <w:szCs w:val="22"/>
          <w:lang w:eastAsia="en-GB"/>
        </w:rPr>
        <w:t xml:space="preserve">Yes we agree that an administrator could establish one oversight function for all benchmarks and that it may also be appropriate to have multiple oversight functions for benchmarks which have different methodologies.  We fully support ESMA’s proposals that the oversight function </w:t>
      </w:r>
      <w:r w:rsidRPr="00AE4D91">
        <w:rPr>
          <w:rFonts w:ascii="Helvetica" w:hAnsi="Helvetica" w:cs="Helvetica"/>
          <w:bCs/>
          <w:color w:val="000000"/>
          <w:sz w:val="22"/>
          <w:szCs w:val="22"/>
          <w:lang w:eastAsia="en-GB"/>
        </w:rPr>
        <w:lastRenderedPageBreak/>
        <w:t>should be flexible and administrators should have the ability to create an oversight function that they believe is proportionate and adequate to manage the risks of the benchmarks administered by it.</w:t>
      </w:r>
    </w:p>
    <w:permEnd w:id="1251159501"/>
    <w:p w:rsidR="009A2624" w:rsidRDefault="009A2624" w:rsidP="009A2624">
      <w:r>
        <w:t>&lt;ESMA_QUESTION_DP_BMR_9&gt;</w:t>
      </w:r>
    </w:p>
    <w:p w:rsidR="009A2624" w:rsidRDefault="009A2624" w:rsidP="009A2624"/>
    <w:p w:rsidR="009A2624" w:rsidRPr="007F44BF" w:rsidRDefault="009A2624" w:rsidP="002342EC">
      <w:pPr>
        <w:pStyle w:val="Questionstyle"/>
      </w:pPr>
      <w:r w:rsidRPr="007F44BF">
        <w:t>If an administrator provides more than one critical benchmark, do you support the approach of one oversight function exercising oversight over all the critical benchmarks? Do you think it is nece</w:t>
      </w:r>
      <w:r w:rsidRPr="007F44BF">
        <w:t>s</w:t>
      </w:r>
      <w:r w:rsidRPr="007F44BF">
        <w:t xml:space="preserve">sary for an oversight function to have sub-functions, to account for the different needs of different types of benchmarks? </w:t>
      </w:r>
    </w:p>
    <w:p w:rsidR="009A2624" w:rsidRDefault="009A2624" w:rsidP="009A2624">
      <w:r>
        <w:t>&lt;ESMA_QUESTION_DP_BMR_10&gt;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1635593124" w:edGrp="everyone"/>
      <w:r w:rsidRPr="00AE4D91">
        <w:rPr>
          <w:rFonts w:ascii="Helvetica" w:hAnsi="Helvetica" w:cs="Helvetica"/>
          <w:bCs/>
          <w:color w:val="000000"/>
          <w:sz w:val="22"/>
          <w:szCs w:val="22"/>
          <w:lang w:eastAsia="en-GB"/>
        </w:rPr>
        <w:t>We support the approach that there should be one oversight function exercising oversight over all of the critical benchmarks.  We believe that the necessity of the sub-functions should be dictated by the relevant benchmark administrator and should be proportionate and adequate to manage the risks of the</w:t>
      </w:r>
      <w:r>
        <w:rPr>
          <w:rFonts w:ascii="Helvetica" w:hAnsi="Helvetica" w:cs="Helvetica"/>
          <w:bCs/>
          <w:color w:val="000000"/>
          <w:sz w:val="22"/>
          <w:szCs w:val="22"/>
          <w:lang w:eastAsia="en-GB"/>
        </w:rPr>
        <w:t xml:space="preserve"> benchmarks administered by it.</w:t>
      </w:r>
    </w:p>
    <w:permEnd w:id="1635593124"/>
    <w:p w:rsidR="009A2624" w:rsidRDefault="009A2624" w:rsidP="009A2624">
      <w:r>
        <w:t>&lt;ESMA_QUESTION_DP_BMR_10&gt;</w:t>
      </w:r>
    </w:p>
    <w:p w:rsidR="009A2624" w:rsidRDefault="009A2624" w:rsidP="009A2624"/>
    <w:p w:rsidR="009A2624" w:rsidRPr="007F44BF" w:rsidRDefault="009A2624" w:rsidP="002342EC">
      <w:pPr>
        <w:pStyle w:val="Questionstyle"/>
      </w:pPr>
      <w:r w:rsidRPr="007F44BF">
        <w:t>Where an administrator provides critical benchmarks and significant or non-significant benc</w:t>
      </w:r>
      <w:r w:rsidRPr="007F44BF">
        <w:t>h</w:t>
      </w:r>
      <w:r w:rsidRPr="007F44BF">
        <w:t xml:space="preserve">marks, do you think it should establish different oversight functions depending on the nature, scale and complexity of the critical benchmarks versus the significant or non-significant benchmarks? </w:t>
      </w:r>
    </w:p>
    <w:p w:rsidR="009A2624" w:rsidRDefault="009A2624" w:rsidP="009A2624">
      <w:r>
        <w:t>&lt;ESMA_QUESTION_DP_BMR_11&gt;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1493710423" w:edGrp="everyone"/>
      <w:r w:rsidRPr="00AE4D91">
        <w:rPr>
          <w:rFonts w:ascii="Helvetica" w:hAnsi="Helvetica" w:cs="Helvetica"/>
          <w:bCs/>
          <w:color w:val="000000"/>
          <w:sz w:val="22"/>
          <w:szCs w:val="22"/>
          <w:lang w:eastAsia="en-GB"/>
        </w:rPr>
        <w:t>We believe that this should be determined on a case-by-case basis.  The methodology of two benchmarks may be very similar and therefore subject to the same vulnerabilities in the determ</w:t>
      </w:r>
      <w:r w:rsidRPr="00AE4D91">
        <w:rPr>
          <w:rFonts w:ascii="Helvetica" w:hAnsi="Helvetica" w:cs="Helvetica"/>
          <w:bCs/>
          <w:color w:val="000000"/>
          <w:sz w:val="22"/>
          <w:szCs w:val="22"/>
          <w:lang w:eastAsia="en-GB"/>
        </w:rPr>
        <w:t>i</w:t>
      </w:r>
      <w:r w:rsidRPr="00AE4D91">
        <w:rPr>
          <w:rFonts w:ascii="Helvetica" w:hAnsi="Helvetica" w:cs="Helvetica"/>
          <w:bCs/>
          <w:color w:val="000000"/>
          <w:sz w:val="22"/>
          <w:szCs w:val="22"/>
          <w:lang w:eastAsia="en-GB"/>
        </w:rPr>
        <w:t>nation process, notwithstanding that only one of the benchmarks is used in the valuation or settlement a large value of financial instruments or investment funds.  However, it should also be open to an administrator to determine that two benchmarks should not be subject to the same level of oversight by their oversight committee as they present fundamentally different risks to their users.</w:t>
      </w:r>
    </w:p>
    <w:permEnd w:id="1493710423"/>
    <w:p w:rsidR="009A2624" w:rsidRDefault="009A2624" w:rsidP="009A2624">
      <w:r>
        <w:t>&lt;ESMA_QUESTION_DP_BMR_11&gt;</w:t>
      </w:r>
    </w:p>
    <w:p w:rsidR="009A2624" w:rsidRDefault="009A2624" w:rsidP="009A2624"/>
    <w:p w:rsidR="009A2624" w:rsidRPr="007F44BF" w:rsidRDefault="009A2624" w:rsidP="002342EC">
      <w:pPr>
        <w:pStyle w:val="Questionstyle"/>
      </w:pPr>
      <w:r w:rsidRPr="007F44BF">
        <w:t xml:space="preserve">In which cases would you agree that contributors should be prevented from participating in oversight committees? </w:t>
      </w:r>
    </w:p>
    <w:p w:rsidR="009A2624" w:rsidRDefault="009A2624" w:rsidP="009A2624">
      <w:r>
        <w:t>&lt;ESMA_QUESTION_DP_BMR_12&gt;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546067852" w:edGrp="everyone"/>
      <w:r w:rsidRPr="00AE4D91">
        <w:rPr>
          <w:rFonts w:ascii="Helvetica" w:hAnsi="Helvetica" w:cs="Helvetica"/>
          <w:bCs/>
          <w:color w:val="000000"/>
          <w:sz w:val="22"/>
          <w:szCs w:val="22"/>
          <w:lang w:eastAsia="en-GB"/>
        </w:rPr>
        <w:t>We do not believe that it would be appropriate for ESMA to mandate an exhaustive or non-exhaustive list of cases to prevent contributors from participating in oversight committees.  We believe that this should be determined by the administrator based on its own assessment of risks and the benefit that contributors may bring to the oversight function.</w:t>
      </w:r>
    </w:p>
    <w:permEnd w:id="546067852"/>
    <w:p w:rsidR="009A2624" w:rsidRDefault="009A2624" w:rsidP="009A2624">
      <w:r>
        <w:t>&lt;ESMA_QUESTION_DP_BMR_12&gt;</w:t>
      </w:r>
    </w:p>
    <w:p w:rsidR="009A2624" w:rsidRDefault="009A2624" w:rsidP="009A2624"/>
    <w:p w:rsidR="009A2624" w:rsidRPr="007F44BF" w:rsidRDefault="009A2624" w:rsidP="002342EC">
      <w:pPr>
        <w:pStyle w:val="Questionstyle"/>
      </w:pPr>
      <w:r w:rsidRPr="007F44BF">
        <w:t>Do you foresee additional costs to your business or, if you are not an administrator, to the business of others resulting from the establishment of multiple oversight functions in connection with the different businesses performed and/or the different nature, scale and type of benchmarks provi</w:t>
      </w:r>
      <w:r w:rsidRPr="007F44BF">
        <w:t>d</w:t>
      </w:r>
      <w:r w:rsidRPr="007F44BF">
        <w:t>ed? Please describe the nature, and where possible provide estimates, of these costs.</w:t>
      </w:r>
    </w:p>
    <w:p w:rsidR="009A2624" w:rsidRDefault="009A2624" w:rsidP="009A2624">
      <w:r>
        <w:t>&lt;ESMA_QUESTION_DP_BMR_13&gt;</w:t>
      </w:r>
    </w:p>
    <w:p w:rsidR="009A2624" w:rsidRDefault="009A2624" w:rsidP="009A2624">
      <w:permStart w:id="333276627" w:edGrp="everyone"/>
      <w:r>
        <w:t>TYPE YOUR TEXT HERE</w:t>
      </w:r>
    </w:p>
    <w:permEnd w:id="333276627"/>
    <w:p w:rsidR="009A2624" w:rsidRDefault="009A2624" w:rsidP="009A2624">
      <w:r>
        <w:t>&lt;ESMA_QUESTION_DP_BMR_13&gt;</w:t>
      </w:r>
    </w:p>
    <w:p w:rsidR="009A2624" w:rsidRDefault="009A2624" w:rsidP="009A2624"/>
    <w:p w:rsidR="009A2624" w:rsidRPr="007F44BF" w:rsidRDefault="009A2624" w:rsidP="002342EC">
      <w:pPr>
        <w:pStyle w:val="Questionstyle"/>
      </w:pPr>
      <w:r w:rsidRPr="007F44BF">
        <w:lastRenderedPageBreak/>
        <w:t xml:space="preserve">Do you agree that, in all cases, an oversight function should not be responsible for overseeing the business decisions of the management body? </w:t>
      </w:r>
    </w:p>
    <w:p w:rsidR="009A2624" w:rsidRDefault="009A2624" w:rsidP="009A2624">
      <w:r>
        <w:t>&lt;ESMA_QUESTION_DP_BMR_14&gt;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235416805" w:edGrp="everyone"/>
      <w:r w:rsidRPr="00AE4D91">
        <w:rPr>
          <w:rFonts w:ascii="Helvetica" w:hAnsi="Helvetica" w:cs="Helvetica"/>
          <w:bCs/>
          <w:color w:val="000000"/>
          <w:sz w:val="22"/>
          <w:szCs w:val="22"/>
          <w:lang w:eastAsia="en-GB"/>
        </w:rPr>
        <w:t>Yes we agree. The management body should remain autonomous.</w:t>
      </w:r>
    </w:p>
    <w:permEnd w:id="235416805"/>
    <w:p w:rsidR="009A2624" w:rsidRDefault="009A2624" w:rsidP="009A2624">
      <w:r>
        <w:t>&lt;ESMA_QUESTION_DP_BMR_14&gt;</w:t>
      </w:r>
    </w:p>
    <w:p w:rsidR="009A2624" w:rsidRDefault="009A2624" w:rsidP="009A2624"/>
    <w:p w:rsidR="009A2624" w:rsidRPr="007F44BF" w:rsidRDefault="009A2624" w:rsidP="002342EC">
      <w:pPr>
        <w:pStyle w:val="Questionstyle"/>
      </w:pPr>
      <w:r w:rsidRPr="007F44BF">
        <w:t>Do you support the proposed positioning of the oversight function of an administrator? If not, please explain your reasons why this positioning may not be appropriate.</w:t>
      </w:r>
    </w:p>
    <w:p w:rsidR="009A2624" w:rsidRDefault="009A2624" w:rsidP="009A2624">
      <w:r>
        <w:t>&lt;ESMA_QUESTION_DP_BMR_15&gt;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1742498845" w:edGrp="everyone"/>
      <w:r w:rsidRPr="00AE4D91">
        <w:rPr>
          <w:rFonts w:ascii="Helvetica" w:hAnsi="Helvetica" w:cs="Helvetica"/>
          <w:bCs/>
          <w:color w:val="000000"/>
          <w:sz w:val="22"/>
          <w:szCs w:val="22"/>
          <w:lang w:eastAsia="en-GB"/>
        </w:rPr>
        <w:t>We support the proposed positioning.</w:t>
      </w:r>
    </w:p>
    <w:permEnd w:id="1742498845"/>
    <w:p w:rsidR="009A2624" w:rsidRDefault="009A2624" w:rsidP="009A2624">
      <w:r>
        <w:t>&lt;ESMA_QUESTION_DP_BMR_15&gt;</w:t>
      </w:r>
    </w:p>
    <w:p w:rsidR="009A2624" w:rsidRDefault="009A2624" w:rsidP="009A2624"/>
    <w:p w:rsidR="009A2624" w:rsidRPr="007F44BF" w:rsidRDefault="009A2624" w:rsidP="002342EC">
      <w:pPr>
        <w:pStyle w:val="Questionstyle"/>
      </w:pPr>
      <w:r w:rsidRPr="007F44BF">
        <w:t>Do you have any additional comments with regard to the procedures for the oversight function as well as the composition and positioning of the oversight function within an administrator’s organ</w:t>
      </w:r>
      <w:r w:rsidRPr="007F44BF">
        <w:t>i</w:t>
      </w:r>
      <w:r w:rsidRPr="007F44BF">
        <w:t>sation?</w:t>
      </w:r>
    </w:p>
    <w:p w:rsidR="009A2624" w:rsidRDefault="009A2624" w:rsidP="009A2624">
      <w:r>
        <w:t>&lt;ESMA_QUESTION_DP_BMR_16&gt;</w:t>
      </w:r>
    </w:p>
    <w:p w:rsidR="00AE4D91" w:rsidRDefault="00AE4D91" w:rsidP="009A2624">
      <w:permStart w:id="1255682279" w:edGrp="everyone"/>
      <w:r w:rsidRPr="00AC05CF">
        <w:rPr>
          <w:rFonts w:ascii="ArialMT" w:hAnsi="ArialMT" w:cs="ArialMT"/>
          <w:bCs/>
          <w:color w:val="000000"/>
          <w:sz w:val="22"/>
          <w:szCs w:val="22"/>
          <w:lang w:eastAsia="en-GB"/>
        </w:rPr>
        <w:t>No we do not have any additional comments</w:t>
      </w:r>
      <w:r>
        <w:rPr>
          <w:rFonts w:ascii="ArialMT" w:hAnsi="ArialMT" w:cs="ArialMT"/>
          <w:bCs/>
          <w:color w:val="000000"/>
          <w:sz w:val="22"/>
          <w:szCs w:val="22"/>
          <w:lang w:eastAsia="en-GB"/>
        </w:rPr>
        <w:t>.</w:t>
      </w:r>
    </w:p>
    <w:permEnd w:id="1255682279"/>
    <w:p w:rsidR="009A2624" w:rsidRDefault="009A2624" w:rsidP="009A2624">
      <w:r>
        <w:t>&lt;ESMA_QUESTION_DP_BMR_16&gt;</w:t>
      </w:r>
    </w:p>
    <w:p w:rsidR="009A2624" w:rsidRDefault="009A2624" w:rsidP="009A2624"/>
    <w:p w:rsidR="009A2624" w:rsidRPr="007F44BF" w:rsidRDefault="009A2624" w:rsidP="002342EC">
      <w:pPr>
        <w:pStyle w:val="Questionstyle"/>
      </w:pPr>
      <w:r w:rsidRPr="007F44BF">
        <w:t>Do you agree with the proposed list of elements of procedures required for all oversight fun</w:t>
      </w:r>
      <w:r w:rsidRPr="007F44BF">
        <w:t>c</w:t>
      </w:r>
      <w:r w:rsidRPr="007F44BF">
        <w:t>tions? Should different procedures be employed for different types of benchmarks?</w:t>
      </w:r>
    </w:p>
    <w:p w:rsidR="009A2624" w:rsidRDefault="009A2624" w:rsidP="009A2624">
      <w:r>
        <w:t>&lt;ESMA_QUESTION_DP_BMR_17&gt;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134745558" w:edGrp="everyone"/>
      <w:r w:rsidRPr="00AE4D91">
        <w:rPr>
          <w:rFonts w:ascii="Helvetica" w:hAnsi="Helvetica" w:cs="Helvetica"/>
          <w:bCs/>
          <w:color w:val="000000"/>
          <w:sz w:val="22"/>
          <w:szCs w:val="22"/>
          <w:lang w:eastAsia="en-GB"/>
        </w:rPr>
        <w:t>Yes we agree.  We do not believe that different procedures should be employed for different types of benchmarks.</w:t>
      </w:r>
    </w:p>
    <w:permEnd w:id="134745558"/>
    <w:p w:rsidR="009A2624" w:rsidRDefault="009A2624" w:rsidP="009A2624">
      <w:r>
        <w:t>&lt;ESMA_QUESTION_DP_BMR_17&gt;</w:t>
      </w:r>
    </w:p>
    <w:p w:rsidR="009A2624" w:rsidRDefault="009A2624" w:rsidP="009A2624"/>
    <w:p w:rsidR="009A2624" w:rsidRPr="007F44BF" w:rsidRDefault="009A2624" w:rsidP="002342EC">
      <w:pPr>
        <w:pStyle w:val="Questionstyle"/>
      </w:pPr>
      <w:r w:rsidRPr="007F44BF">
        <w:t>Do you agree with the proposed treatment of conflicts of interest arising from the composition of an oversight function? Have you identified any additional conflicts which ESMA should consider in drafting the RTS?</w:t>
      </w:r>
    </w:p>
    <w:p w:rsidR="009A2624" w:rsidRDefault="009A2624" w:rsidP="009A2624">
      <w:r>
        <w:t>&lt;ESMA_QUESTION_DP_BMR_18&gt;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89349462" w:edGrp="everyone"/>
      <w:r w:rsidRPr="00AE4D91">
        <w:rPr>
          <w:rFonts w:ascii="Helvetica" w:hAnsi="Helvetica" w:cs="Helvetica"/>
          <w:bCs/>
          <w:color w:val="000000"/>
          <w:sz w:val="22"/>
          <w:szCs w:val="22"/>
          <w:lang w:eastAsia="en-GB"/>
        </w:rPr>
        <w:t>We agree with the proposed treatment of conflicts of interest.  A further example of conflicts of interest could be where a member of the oversight committee also holds an executive function within the business of the administrator and their remuneration is linked to the success and</w:t>
      </w:r>
      <w:r>
        <w:rPr>
          <w:rFonts w:ascii="Helvetica" w:hAnsi="Helvetica" w:cs="Helvetica"/>
          <w:bCs/>
          <w:color w:val="000000"/>
          <w:sz w:val="22"/>
          <w:szCs w:val="22"/>
          <w:lang w:eastAsia="en-GB"/>
        </w:rPr>
        <w:t xml:space="preserve"> use of the relevant benchmark.</w:t>
      </w:r>
    </w:p>
    <w:permEnd w:id="89349462"/>
    <w:p w:rsidR="009A2624" w:rsidRDefault="009A2624" w:rsidP="009A2624">
      <w:r>
        <w:t>&lt;ESMA_QUESTION_DP_BMR_18&gt;</w:t>
      </w:r>
    </w:p>
    <w:p w:rsidR="009A2624" w:rsidRDefault="009A2624" w:rsidP="009A2624"/>
    <w:p w:rsidR="009A2624" w:rsidRPr="007F44BF" w:rsidRDefault="009A2624" w:rsidP="002342EC">
      <w:pPr>
        <w:pStyle w:val="Questionstyle"/>
      </w:pPr>
      <w:r w:rsidRPr="007F44BF">
        <w:t>Do you agree with the list of records to be kept by the administrator for input data verific</w:t>
      </w:r>
      <w:r w:rsidRPr="007F44BF">
        <w:t>a</w:t>
      </w:r>
      <w:r w:rsidRPr="007F44BF">
        <w:t>tion? If not, please specify which information is superfluous / which additional information is needed and why.</w:t>
      </w:r>
    </w:p>
    <w:p w:rsidR="009A2624" w:rsidRDefault="009A2624" w:rsidP="009A2624">
      <w:r>
        <w:t>&lt;ESMA_QUESTION_DP_BMR_19&gt;</w:t>
      </w:r>
    </w:p>
    <w:p w:rsidR="00AE4D91" w:rsidRPr="00AE4D91" w:rsidRDefault="00AE4D91" w:rsidP="00AE4D91">
      <w:pPr>
        <w:tabs>
          <w:tab w:val="left" w:pos="8623"/>
        </w:tabs>
        <w:jc w:val="both"/>
        <w:rPr>
          <w:rFonts w:cs="Arial"/>
          <w:sz w:val="22"/>
          <w:szCs w:val="22"/>
          <w:lang w:eastAsia="en-US"/>
        </w:rPr>
      </w:pPr>
      <w:permStart w:id="1288923191" w:edGrp="everyone"/>
      <w:r w:rsidRPr="00AE4D91">
        <w:rPr>
          <w:rFonts w:ascii="Helvetica" w:hAnsi="Helvetica" w:cs="Helvetica"/>
          <w:bCs/>
          <w:color w:val="000000"/>
          <w:sz w:val="22"/>
          <w:szCs w:val="22"/>
          <w:lang w:eastAsia="en-GB"/>
        </w:rPr>
        <w:t xml:space="preserve">We note ESMA’s comments under the “General Considerations” sections. In particular we have certain comments on the distinction that is made between users of transaction data and non-transaction data and the differentiation in the application of the verifiability obligations to such administrators.  Whilst we fully support the proportional and varied application of the proposals, </w:t>
      </w:r>
      <w:r w:rsidRPr="00AE4D91">
        <w:rPr>
          <w:rFonts w:ascii="Helvetica" w:hAnsi="Helvetica" w:cs="Helvetica"/>
          <w:bCs/>
          <w:color w:val="000000"/>
          <w:sz w:val="22"/>
          <w:szCs w:val="22"/>
          <w:lang w:eastAsia="en-GB"/>
        </w:rPr>
        <w:lastRenderedPageBreak/>
        <w:t xml:space="preserve">we believe that further clarification is required on the definition of “regulated data-benchmark” in order to ensure that the intended proportionality can be applied correctly.  </w:t>
      </w:r>
      <w:r w:rsidRPr="00AE4D91">
        <w:rPr>
          <w:rFonts w:cs="Arial"/>
          <w:sz w:val="22"/>
          <w:szCs w:val="22"/>
          <w:lang w:eastAsia="en-US"/>
        </w:rPr>
        <w:t>We note that under Level I “Regulated Data-Benchmark” is defined as a benchmark determined by the application of a formula from “</w:t>
      </w:r>
      <w:r w:rsidRPr="00AE4D91">
        <w:rPr>
          <w:rFonts w:cs="Arial"/>
          <w:i/>
          <w:sz w:val="22"/>
          <w:szCs w:val="22"/>
          <w:lang w:eastAsia="en-US"/>
        </w:rPr>
        <w:t>input data contributed entirely and directly from…a trading venue…</w:t>
      </w:r>
      <w:r w:rsidRPr="00AE4D91">
        <w:rPr>
          <w:rFonts w:cs="Arial"/>
          <w:sz w:val="22"/>
          <w:szCs w:val="22"/>
          <w:lang w:eastAsia="en-US"/>
        </w:rPr>
        <w:t>”.  There is no explanation given under the Level 1 or under ESMA’s policy proposals to clarify the intended interpretation of “entirely and directly”.  Whilst we understand that this is not within the specific mandate given to ESMA, it does relate to the mandate ESMA has over input data.  As such we believe that ESMA should offer further clarity as to how it proposes interpreting and applying such definition within the remit of its policy proposals.  We believe that such term should include all data that has come directly from a trading venue even where an intermediary is used for the purpose of distributing that data, provided that third party does not apply any formula or calcul</w:t>
      </w:r>
      <w:r w:rsidRPr="00AE4D91">
        <w:rPr>
          <w:rFonts w:cs="Arial"/>
          <w:sz w:val="22"/>
          <w:szCs w:val="22"/>
          <w:lang w:eastAsia="en-US"/>
        </w:rPr>
        <w:t>a</w:t>
      </w:r>
      <w:r w:rsidRPr="00AE4D91">
        <w:rPr>
          <w:rFonts w:cs="Arial"/>
          <w:sz w:val="22"/>
          <w:szCs w:val="22"/>
          <w:lang w:eastAsia="en-US"/>
        </w:rPr>
        <w:t>tions to the distributed data.</w:t>
      </w:r>
    </w:p>
    <w:permEnd w:id="1288923191"/>
    <w:p w:rsidR="009A2624" w:rsidRDefault="009A2624" w:rsidP="009A2624">
      <w:r>
        <w:t>&lt;ESMA_QUESTION_DP_BMR_19&gt;</w:t>
      </w:r>
    </w:p>
    <w:p w:rsidR="009A2624" w:rsidRDefault="009A2624" w:rsidP="009A2624"/>
    <w:p w:rsidR="009A2624" w:rsidRPr="007F44BF" w:rsidRDefault="009A2624" w:rsidP="002342EC">
      <w:pPr>
        <w:pStyle w:val="Questionstyle"/>
      </w:pPr>
      <w:r w:rsidRPr="007F44BF">
        <w:t>Do you agree that, for the information to be transmitted to the administrator in view of ensu</w:t>
      </w:r>
      <w:r w:rsidRPr="007F44BF">
        <w:t>r</w:t>
      </w:r>
      <w:r w:rsidRPr="007F44BF">
        <w:t>ing the verifiability of input data, weekly transmission is sufficient? Would you instead consider it appropriate to leave the frequency of transmission to be defined by the administrator (i.e. in the code of conduct)?</w:t>
      </w:r>
    </w:p>
    <w:p w:rsidR="009A2624" w:rsidRDefault="009A2624" w:rsidP="009A2624">
      <w:r>
        <w:t>&lt;ESMA_QUESTION_DP_BMR_20&gt;</w:t>
      </w:r>
    </w:p>
    <w:p w:rsidR="009A2624" w:rsidRDefault="009A2624" w:rsidP="009A2624">
      <w:permStart w:id="266273791" w:edGrp="everyone"/>
      <w:r>
        <w:t>TYPE YOUR TEXT HERE</w:t>
      </w:r>
    </w:p>
    <w:permEnd w:id="266273791"/>
    <w:p w:rsidR="009A2624" w:rsidRDefault="009A2624" w:rsidP="009A2624">
      <w:r>
        <w:t>&lt;ESMA_QUESTION_DP_BMR_20&gt;</w:t>
      </w:r>
    </w:p>
    <w:p w:rsidR="009A2624" w:rsidRDefault="009A2624" w:rsidP="009A2624"/>
    <w:p w:rsidR="009A2624" w:rsidRPr="007F44BF" w:rsidRDefault="009A2624" w:rsidP="002342EC">
      <w:pPr>
        <w:pStyle w:val="Questionstyle"/>
      </w:pPr>
      <w:r w:rsidRPr="007F44BF">
        <w:t>Do you agree with the concept of appropriateness as elaborated in this section?</w:t>
      </w:r>
    </w:p>
    <w:p w:rsidR="009A2624" w:rsidRDefault="009A2624" w:rsidP="009A2624">
      <w:r>
        <w:t>&lt;ESMA_QUESTION_DP_BMR_21&gt;</w:t>
      </w:r>
    </w:p>
    <w:p w:rsidR="009A2624" w:rsidRDefault="009A2624" w:rsidP="009A2624">
      <w:permStart w:id="243669216" w:edGrp="everyone"/>
      <w:r>
        <w:t>TYPE YOUR TEXT HERE</w:t>
      </w:r>
    </w:p>
    <w:permEnd w:id="243669216"/>
    <w:p w:rsidR="009A2624" w:rsidRDefault="009A2624" w:rsidP="009A2624">
      <w:r>
        <w:t>&lt;ESMA_QUESTION_DP_BMR_21&gt;</w:t>
      </w:r>
    </w:p>
    <w:p w:rsidR="009A2624" w:rsidRDefault="009A2624" w:rsidP="009A2624"/>
    <w:p w:rsidR="009A2624" w:rsidRPr="007F44BF" w:rsidRDefault="009A2624" w:rsidP="002342EC">
      <w:pPr>
        <w:pStyle w:val="Questionstyle"/>
      </w:pPr>
      <w:r w:rsidRPr="007F44BF">
        <w:t>Do you see any other checks an administrator could use to verify the appropriateness of input data?</w:t>
      </w:r>
    </w:p>
    <w:p w:rsidR="009A2624" w:rsidRDefault="009A2624" w:rsidP="009A2624">
      <w:r>
        <w:t>&lt;ESMA_QUESTION_DP_BMR_22&gt;</w:t>
      </w:r>
    </w:p>
    <w:p w:rsidR="009A2624" w:rsidRDefault="009A2624" w:rsidP="009A2624">
      <w:permStart w:id="1758290195" w:edGrp="everyone"/>
      <w:r>
        <w:t>TYPE YOUR TEXT HERE</w:t>
      </w:r>
    </w:p>
    <w:permEnd w:id="1758290195"/>
    <w:p w:rsidR="009A2624" w:rsidRDefault="009A2624" w:rsidP="009A2624">
      <w:r>
        <w:t>&lt;ESMA_QUESTION_DP_BMR_22&gt;</w:t>
      </w:r>
    </w:p>
    <w:p w:rsidR="009A2624" w:rsidRDefault="009A2624" w:rsidP="009A2624"/>
    <w:p w:rsidR="009A2624" w:rsidRPr="007F44BF" w:rsidRDefault="009A2624" w:rsidP="002342EC">
      <w:pPr>
        <w:pStyle w:val="Questionstyle"/>
      </w:pPr>
      <w:r w:rsidRPr="007F44BF">
        <w:t>Would you consider it useful that the administrator maintains records of the analyses pe</w:t>
      </w:r>
      <w:r w:rsidRPr="007F44BF">
        <w:t>r</w:t>
      </w:r>
      <w:r w:rsidRPr="007F44BF">
        <w:t>formed to evaluate the appropriateness of input data?</w:t>
      </w:r>
    </w:p>
    <w:p w:rsidR="009A2624" w:rsidRDefault="009A2624" w:rsidP="009A2624">
      <w:r>
        <w:t>&lt;ESMA_QUESTION_DP_BMR_23&gt;</w:t>
      </w:r>
    </w:p>
    <w:p w:rsidR="009A2624" w:rsidRDefault="009A2624" w:rsidP="009A2624">
      <w:permStart w:id="554324113" w:edGrp="everyone"/>
      <w:r>
        <w:t>TYPE YOUR TEXT HERE</w:t>
      </w:r>
    </w:p>
    <w:permEnd w:id="554324113"/>
    <w:p w:rsidR="009A2624" w:rsidRDefault="009A2624" w:rsidP="009A2624">
      <w:r>
        <w:t>&lt;ESMA_QUESTION_DP_BMR_23&gt;</w:t>
      </w:r>
    </w:p>
    <w:p w:rsidR="009A2624" w:rsidRDefault="009A2624" w:rsidP="009A2624"/>
    <w:p w:rsidR="009A2624" w:rsidRPr="007F44BF" w:rsidRDefault="009A2624" w:rsidP="002342EC">
      <w:pPr>
        <w:pStyle w:val="Questionstyle"/>
      </w:pPr>
      <w:r w:rsidRPr="007F44BF">
        <w:t>Do you see other possible measures to ensure verifiability of input data?</w:t>
      </w:r>
    </w:p>
    <w:p w:rsidR="009A2624" w:rsidRDefault="009A2624" w:rsidP="009A2624">
      <w:r>
        <w:t>&lt;ESMA_QUESTION_DP_BMR_24&gt;</w:t>
      </w:r>
    </w:p>
    <w:p w:rsidR="009A2624" w:rsidRDefault="009A2624" w:rsidP="009A2624">
      <w:permStart w:id="19017924" w:edGrp="everyone"/>
      <w:r>
        <w:t>TYPE YOUR TEXT HERE</w:t>
      </w:r>
    </w:p>
    <w:permEnd w:id="19017924"/>
    <w:p w:rsidR="009A2624" w:rsidRDefault="009A2624" w:rsidP="009A2624">
      <w:r>
        <w:t>&lt;ESMA_QUESTION_DP_BMR_24&gt;</w:t>
      </w:r>
    </w:p>
    <w:p w:rsidR="009A2624" w:rsidRDefault="009A2624" w:rsidP="009A2624"/>
    <w:p w:rsidR="009A2624" w:rsidRPr="007F44BF" w:rsidRDefault="009A2624" w:rsidP="002342EC">
      <w:pPr>
        <w:pStyle w:val="Questionstyle"/>
      </w:pPr>
      <w:r w:rsidRPr="007F44BF">
        <w:t>Do you agree with the identification of the concepts and underpinning activities of evaluation, validation and verifiability, as used in this section?</w:t>
      </w:r>
    </w:p>
    <w:p w:rsidR="009A2624" w:rsidRDefault="009A2624" w:rsidP="009A2624">
      <w:r>
        <w:lastRenderedPageBreak/>
        <w:t>&lt;ESMA_QUESTION_DP_BMR_25&gt;</w:t>
      </w:r>
    </w:p>
    <w:p w:rsidR="009A2624" w:rsidRDefault="009A2624" w:rsidP="009A2624">
      <w:permStart w:id="1425550317" w:edGrp="everyone"/>
      <w:r>
        <w:t>TYPE YOUR TEXT HERE</w:t>
      </w:r>
    </w:p>
    <w:permEnd w:id="1425550317"/>
    <w:p w:rsidR="009A2624" w:rsidRDefault="009A2624" w:rsidP="009A2624">
      <w:r>
        <w:t>&lt;ESMA_QUESTION_DP_BMR_25&gt;</w:t>
      </w:r>
    </w:p>
    <w:p w:rsidR="009A2624" w:rsidRDefault="009A2624" w:rsidP="009A2624"/>
    <w:p w:rsidR="009A2624" w:rsidRPr="007F44BF" w:rsidRDefault="009A2624" w:rsidP="002342EC">
      <w:pPr>
        <w:pStyle w:val="Questionstyle"/>
      </w:pPr>
      <w:r w:rsidRPr="007F44BF">
        <w:t>Do you agree that all staff involved in input data submission should undergo training, but that such training should be more elaborate / should be repeated more frequently where it concerns front office staff contributing to benchmarks?</w:t>
      </w:r>
    </w:p>
    <w:p w:rsidR="009A2624" w:rsidRDefault="009A2624" w:rsidP="009A2624">
      <w:r>
        <w:t>&lt;ESMA_QUESTION_DP_BMR_26&gt;</w:t>
      </w:r>
    </w:p>
    <w:p w:rsidR="009A2624" w:rsidRDefault="009A2624" w:rsidP="009A2624">
      <w:permStart w:id="1468228833" w:edGrp="everyone"/>
      <w:r>
        <w:t>TYPE YOUR TEXT HERE</w:t>
      </w:r>
    </w:p>
    <w:permEnd w:id="1468228833"/>
    <w:p w:rsidR="009A2624" w:rsidRDefault="009A2624" w:rsidP="009A2624">
      <w:r>
        <w:t>&lt;ESMA_QUESTION_DP_BMR_26&gt;</w:t>
      </w:r>
    </w:p>
    <w:p w:rsidR="009A2624" w:rsidRDefault="009A2624" w:rsidP="009A2624"/>
    <w:p w:rsidR="009A2624" w:rsidRPr="007F44BF" w:rsidRDefault="009A2624" w:rsidP="002342EC">
      <w:pPr>
        <w:pStyle w:val="Questionstyle"/>
      </w:pPr>
      <w:r w:rsidRPr="007F44BF">
        <w:t>Do you agree to the three lines of defence-principle as an ideal type of internal oversight architecture?</w:t>
      </w:r>
    </w:p>
    <w:p w:rsidR="009A2624" w:rsidRDefault="009A2624" w:rsidP="009A2624">
      <w:r>
        <w:t>&lt;ESMA_QUESTION_DP_BMR_27&gt;</w:t>
      </w:r>
    </w:p>
    <w:p w:rsidR="009A2624" w:rsidRDefault="009A2624" w:rsidP="009A2624">
      <w:permStart w:id="2030636539" w:edGrp="everyone"/>
      <w:r>
        <w:t>TYPE YOUR TEXT HERE</w:t>
      </w:r>
    </w:p>
    <w:permEnd w:id="2030636539"/>
    <w:p w:rsidR="009A2624" w:rsidRDefault="009A2624" w:rsidP="009A2624">
      <w:r>
        <w:t>&lt;ESMA_QUESTION_DP_BMR_27&gt;</w:t>
      </w:r>
    </w:p>
    <w:p w:rsidR="009A2624" w:rsidRDefault="009A2624" w:rsidP="009A2624"/>
    <w:p w:rsidR="009A2624" w:rsidRPr="007F44BF" w:rsidRDefault="009A2624" w:rsidP="002342EC">
      <w:pPr>
        <w:pStyle w:val="Questionstyle"/>
      </w:pPr>
      <w:r w:rsidRPr="007F44BF">
        <w:t>Do you identify other elements that could improve oversight at contributor level?</w:t>
      </w:r>
    </w:p>
    <w:p w:rsidR="009A2624" w:rsidRDefault="009A2624" w:rsidP="009A2624">
      <w:r>
        <w:t>&lt;ESMA_QUESTION_DP_BMR_28&gt;</w:t>
      </w:r>
    </w:p>
    <w:p w:rsidR="009A2624" w:rsidRDefault="009A2624" w:rsidP="009A2624">
      <w:permStart w:id="320217240" w:edGrp="everyone"/>
      <w:r>
        <w:t>TYPE YOUR TEXT HERE</w:t>
      </w:r>
    </w:p>
    <w:permEnd w:id="320217240"/>
    <w:p w:rsidR="009A2624" w:rsidRDefault="009A2624" w:rsidP="009A2624">
      <w:r>
        <w:t>&lt;ESMA_QUESTION_DP_BMR_28&gt;</w:t>
      </w:r>
    </w:p>
    <w:p w:rsidR="009A2624" w:rsidRDefault="009A2624" w:rsidP="009A2624"/>
    <w:p w:rsidR="009A2624" w:rsidRPr="007F44BF" w:rsidRDefault="009A2624" w:rsidP="002342EC">
      <w:pPr>
        <w:pStyle w:val="Questionstyle"/>
      </w:pPr>
      <w:r w:rsidRPr="007F44BF">
        <w:t>Do you agree with the list of elements contained in a conflict of interest policy? If not, please state which elements should be added / which elements you consider superfluous and why.</w:t>
      </w:r>
    </w:p>
    <w:p w:rsidR="009A2624" w:rsidRDefault="009A2624" w:rsidP="009A2624">
      <w:r>
        <w:t>&lt;ESMA_QUESTION_DP_BMR_29&gt;</w:t>
      </w:r>
    </w:p>
    <w:p w:rsidR="009A2624" w:rsidRDefault="009A2624" w:rsidP="009A2624">
      <w:permStart w:id="549804161" w:edGrp="everyone"/>
      <w:r>
        <w:t>TYPE YOUR TEXT HERE</w:t>
      </w:r>
    </w:p>
    <w:permEnd w:id="549804161"/>
    <w:p w:rsidR="009A2624" w:rsidRDefault="009A2624" w:rsidP="009A2624">
      <w:r>
        <w:t>&lt;ESMA_QUESTION_DP_BMR_29&gt;</w:t>
      </w:r>
    </w:p>
    <w:p w:rsidR="009A2624" w:rsidRDefault="009A2624" w:rsidP="009A2624"/>
    <w:p w:rsidR="009A2624" w:rsidRPr="007F44BF" w:rsidRDefault="009A2624" w:rsidP="002342EC">
      <w:pPr>
        <w:pStyle w:val="Questionstyle"/>
      </w:pPr>
      <w:r w:rsidRPr="007F44BF">
        <w:t>Do you agree that where expert judgement is relied on and/or discretion is used additional appropriate measures to ensure verifiability of input data should be imposed? If not, please specify examples and reasons why you disagree.</w:t>
      </w:r>
    </w:p>
    <w:p w:rsidR="009A2624" w:rsidRDefault="009A2624" w:rsidP="009A2624">
      <w:r>
        <w:t>&lt;ESMA_QUESTION_DP_BMR_30&gt;</w:t>
      </w:r>
    </w:p>
    <w:p w:rsidR="009A2624" w:rsidRDefault="009A2624" w:rsidP="009A2624">
      <w:permStart w:id="411594546" w:edGrp="everyone"/>
      <w:r>
        <w:t>TYPE YOUR TEXT HERE</w:t>
      </w:r>
    </w:p>
    <w:permEnd w:id="411594546"/>
    <w:p w:rsidR="009A2624" w:rsidRDefault="009A2624" w:rsidP="009A2624">
      <w:r>
        <w:t>&lt;ESMA_QUESTION_DP_BMR_30&gt;</w:t>
      </w:r>
    </w:p>
    <w:p w:rsidR="009A2624" w:rsidRDefault="009A2624" w:rsidP="009A2624"/>
    <w:p w:rsidR="009A2624" w:rsidRPr="007F44BF" w:rsidRDefault="009A2624" w:rsidP="002342EC">
      <w:pPr>
        <w:pStyle w:val="Questionstyle"/>
      </w:pPr>
      <w:r w:rsidRPr="007F44BF">
        <w:t xml:space="preserve">Do you agree to the list of criteria that can justify differentiation? If not, please specify why you disagree. </w:t>
      </w:r>
    </w:p>
    <w:p w:rsidR="009A2624" w:rsidRDefault="009A2624" w:rsidP="009A2624">
      <w:r>
        <w:t>&lt;ESMA_QUESTION_DP_BMR_31&gt;</w:t>
      </w:r>
    </w:p>
    <w:p w:rsidR="009A2624" w:rsidRDefault="009A2624" w:rsidP="009A2624">
      <w:permStart w:id="297884131" w:edGrp="everyone"/>
      <w:r>
        <w:t>TYPE YOUR TEXT HERE</w:t>
      </w:r>
    </w:p>
    <w:permEnd w:id="297884131"/>
    <w:p w:rsidR="009A2624" w:rsidRDefault="009A2624" w:rsidP="009A2624">
      <w:r>
        <w:t>&lt;ESMA_QUESTION_DP_BMR_31&gt;</w:t>
      </w:r>
    </w:p>
    <w:p w:rsidR="009A2624" w:rsidRDefault="009A2624" w:rsidP="009A2624"/>
    <w:p w:rsidR="009A2624" w:rsidRPr="007F44BF" w:rsidRDefault="009A2624" w:rsidP="002342EC">
      <w:pPr>
        <w:pStyle w:val="Questionstyle"/>
      </w:pPr>
      <w:r w:rsidRPr="007F44BF">
        <w:t>Do you agree to the list of elements that are amenable to proportional implementation? If not, please specify why you disagree.</w:t>
      </w:r>
    </w:p>
    <w:p w:rsidR="009A2624" w:rsidRDefault="009A2624" w:rsidP="009A2624">
      <w:r>
        <w:t>&lt;ESMA_QUESTION_DP_BMR_32&gt;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1258441127" w:edGrp="everyone"/>
      <w:r w:rsidRPr="00AE4D91">
        <w:rPr>
          <w:rFonts w:ascii="Helvetica" w:hAnsi="Helvetica" w:cs="Helvetica"/>
          <w:bCs/>
          <w:color w:val="000000"/>
          <w:sz w:val="22"/>
          <w:szCs w:val="22"/>
          <w:lang w:eastAsia="en-GB"/>
        </w:rPr>
        <w:lastRenderedPageBreak/>
        <w:t>We support a fully proportional implementation on the obligations imposed on submitters to benchmarks.  We note ESMA’s concerns at paragraph 147 of the Discussion Paper which co</w:t>
      </w:r>
      <w:r w:rsidRPr="00AE4D91">
        <w:rPr>
          <w:rFonts w:ascii="Helvetica" w:hAnsi="Helvetica" w:cs="Helvetica"/>
          <w:bCs/>
          <w:color w:val="000000"/>
          <w:sz w:val="22"/>
          <w:szCs w:val="22"/>
          <w:lang w:eastAsia="en-GB"/>
        </w:rPr>
        <w:t>m</w:t>
      </w:r>
      <w:r w:rsidRPr="00AE4D91">
        <w:rPr>
          <w:rFonts w:ascii="Helvetica" w:hAnsi="Helvetica" w:cs="Helvetica"/>
          <w:bCs/>
          <w:color w:val="000000"/>
          <w:sz w:val="22"/>
          <w:szCs w:val="22"/>
          <w:lang w:eastAsia="en-GB"/>
        </w:rPr>
        <w:t xml:space="preserve">ments that </w:t>
      </w:r>
      <w:r w:rsidRPr="00AE4D91">
        <w:rPr>
          <w:rFonts w:ascii="Helvetica" w:hAnsi="Helvetica" w:cs="Helvetica"/>
          <w:bCs/>
          <w:i/>
          <w:color w:val="000000"/>
          <w:sz w:val="22"/>
          <w:szCs w:val="22"/>
          <w:lang w:eastAsia="en-GB"/>
        </w:rPr>
        <w:t>“[t]here is a balance to be found between ensuring a sufficiently detailed code…and the risk of a benchmark becoming non-representative by introducing demanding requirements which may cause unsupervised contributors to cease voluntarily contributing to that benchmark”.</w:t>
      </w:r>
      <w:r w:rsidRPr="00AE4D91">
        <w:rPr>
          <w:rFonts w:ascii="Helvetica" w:hAnsi="Helvetica" w:cs="Helvetica"/>
          <w:bCs/>
          <w:color w:val="000000"/>
          <w:sz w:val="22"/>
          <w:szCs w:val="22"/>
          <w:lang w:eastAsia="en-GB"/>
        </w:rPr>
        <w:t xml:space="preserve">  We share ESMA’s concerns in this regard but believe that this concern validly applies to the proposals around input data and the potential imposition of onerous obligations on contributors by administrators.  One of the key concerns already being expressed by submitters is the vo</w:t>
      </w:r>
      <w:r w:rsidRPr="00AE4D91">
        <w:rPr>
          <w:rFonts w:ascii="Helvetica" w:hAnsi="Helvetica" w:cs="Helvetica"/>
          <w:bCs/>
          <w:color w:val="000000"/>
          <w:sz w:val="22"/>
          <w:szCs w:val="22"/>
          <w:lang w:eastAsia="en-GB"/>
        </w:rPr>
        <w:t>l</w:t>
      </w:r>
      <w:r w:rsidRPr="00AE4D91">
        <w:rPr>
          <w:rFonts w:ascii="Helvetica" w:hAnsi="Helvetica" w:cs="Helvetica"/>
          <w:bCs/>
          <w:color w:val="000000"/>
          <w:sz w:val="22"/>
          <w:szCs w:val="22"/>
          <w:lang w:eastAsia="en-GB"/>
        </w:rPr>
        <w:t>ume of additional regulatory burden that will apply as a direct result of them participating in a benchmark submission process.  It is the experience of the LME that some submitters are a</w:t>
      </w:r>
      <w:r w:rsidRPr="00AE4D91">
        <w:rPr>
          <w:rFonts w:ascii="Helvetica" w:hAnsi="Helvetica" w:cs="Helvetica"/>
          <w:bCs/>
          <w:color w:val="000000"/>
          <w:sz w:val="22"/>
          <w:szCs w:val="22"/>
          <w:lang w:eastAsia="en-GB"/>
        </w:rPr>
        <w:t>l</w:t>
      </w:r>
      <w:r w:rsidRPr="00AE4D91">
        <w:rPr>
          <w:rFonts w:ascii="Helvetica" w:hAnsi="Helvetica" w:cs="Helvetica"/>
          <w:bCs/>
          <w:color w:val="000000"/>
          <w:sz w:val="22"/>
          <w:szCs w:val="22"/>
          <w:lang w:eastAsia="en-GB"/>
        </w:rPr>
        <w:t>ready signalling their desire to resign as a participant of the process.  We understand additiona</w:t>
      </w:r>
      <w:r w:rsidRPr="00AE4D91">
        <w:rPr>
          <w:rFonts w:ascii="Helvetica" w:hAnsi="Helvetica" w:cs="Helvetica"/>
          <w:bCs/>
          <w:color w:val="000000"/>
          <w:sz w:val="22"/>
          <w:szCs w:val="22"/>
          <w:lang w:eastAsia="en-GB"/>
        </w:rPr>
        <w:t>l</w:t>
      </w:r>
      <w:r w:rsidRPr="00AE4D91">
        <w:rPr>
          <w:rFonts w:ascii="Helvetica" w:hAnsi="Helvetica" w:cs="Helvetica"/>
          <w:bCs/>
          <w:color w:val="000000"/>
          <w:sz w:val="22"/>
          <w:szCs w:val="22"/>
          <w:lang w:eastAsia="en-GB"/>
        </w:rPr>
        <w:t>ly that this concern is the reason that the obligations in relation to critical benchmarks will come into force immediately – in order to ensure that critical benchmarks will continue to have submi</w:t>
      </w:r>
      <w:r w:rsidRPr="00AE4D91">
        <w:rPr>
          <w:rFonts w:ascii="Helvetica" w:hAnsi="Helvetica" w:cs="Helvetica"/>
          <w:bCs/>
          <w:color w:val="000000"/>
          <w:sz w:val="22"/>
          <w:szCs w:val="22"/>
          <w:lang w:eastAsia="en-GB"/>
        </w:rPr>
        <w:t>t</w:t>
      </w:r>
      <w:r w:rsidRPr="00AE4D91">
        <w:rPr>
          <w:rFonts w:ascii="Helvetica" w:hAnsi="Helvetica" w:cs="Helvetica"/>
          <w:bCs/>
          <w:color w:val="000000"/>
          <w:sz w:val="22"/>
          <w:szCs w:val="22"/>
          <w:lang w:eastAsia="en-GB"/>
        </w:rPr>
        <w:t>ters notwithstanding the severity of the obligations imposed on them.</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We therefore strongly urge ESMA to ensure that the obligations imposed on contributors, both in relation to the manner in which administrators are required to verify input data as well as the code of conduct, is proportional to the risk presented by such submitter and takes into account the risk of that submitter resigning from their role.</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AE4D91" w:rsidRPr="00AE4D91" w:rsidRDefault="00AE4D91" w:rsidP="00AE4D91">
      <w:pPr>
        <w:jc w:val="both"/>
        <w:rPr>
          <w:rFonts w:cs="Arial"/>
          <w:sz w:val="22"/>
          <w:szCs w:val="22"/>
          <w:lang w:eastAsia="en-US"/>
        </w:rPr>
      </w:pPr>
      <w:r w:rsidRPr="00AE4D91">
        <w:rPr>
          <w:rFonts w:ascii="Helvetica" w:hAnsi="Helvetica" w:cs="Helvetica"/>
          <w:bCs/>
          <w:color w:val="000000"/>
          <w:sz w:val="22"/>
          <w:szCs w:val="22"/>
          <w:lang w:eastAsia="en-GB"/>
        </w:rPr>
        <w:t xml:space="preserve">In addition, we believe that the definition of “contributor” requires some further clarification.  </w:t>
      </w:r>
      <w:r w:rsidRPr="00AE4D91">
        <w:rPr>
          <w:rFonts w:cs="Arial"/>
          <w:sz w:val="22"/>
          <w:szCs w:val="22"/>
          <w:lang w:eastAsia="en-US"/>
        </w:rPr>
        <w:t>Under the Level 1 text, the definition of “contributor” is a “</w:t>
      </w:r>
      <w:r w:rsidRPr="00AE4D91">
        <w:rPr>
          <w:rFonts w:cs="Arial"/>
          <w:i/>
          <w:sz w:val="22"/>
          <w:szCs w:val="22"/>
          <w:lang w:eastAsia="en-US"/>
        </w:rPr>
        <w:t>natural person contributing input data</w:t>
      </w:r>
      <w:r w:rsidRPr="00AE4D91">
        <w:rPr>
          <w:rFonts w:cs="Arial"/>
          <w:sz w:val="22"/>
          <w:szCs w:val="22"/>
          <w:lang w:eastAsia="en-US"/>
        </w:rPr>
        <w:t>”.  The definition of “contribution of input data” is “</w:t>
      </w:r>
      <w:r w:rsidRPr="00AE4D91">
        <w:rPr>
          <w:rFonts w:cs="Arial"/>
          <w:i/>
          <w:sz w:val="22"/>
          <w:szCs w:val="22"/>
          <w:lang w:eastAsia="en-US"/>
        </w:rPr>
        <w:t>providing input data not readily available to an administrator, or to another person for the purpose of passing to an administrator, that is r</w:t>
      </w:r>
      <w:r w:rsidRPr="00AE4D91">
        <w:rPr>
          <w:rFonts w:cs="Arial"/>
          <w:i/>
          <w:sz w:val="22"/>
          <w:szCs w:val="22"/>
          <w:lang w:eastAsia="en-US"/>
        </w:rPr>
        <w:t>e</w:t>
      </w:r>
      <w:r w:rsidRPr="00AE4D91">
        <w:rPr>
          <w:rFonts w:cs="Arial"/>
          <w:i/>
          <w:sz w:val="22"/>
          <w:szCs w:val="22"/>
          <w:lang w:eastAsia="en-US"/>
        </w:rPr>
        <w:t xml:space="preserve">quired in connection with the determination of a benchmark and is provided for that purpose”.  </w:t>
      </w:r>
      <w:r w:rsidRPr="00AE4D91">
        <w:rPr>
          <w:rFonts w:cs="Arial"/>
          <w:sz w:val="22"/>
          <w:szCs w:val="22"/>
          <w:lang w:eastAsia="en-US"/>
        </w:rPr>
        <w:t>This suggests that the only persons to whom the relevant obligations under the Benchmark Regulations should apply are those providing input data to an administrator, specifically in order for that administrator to create a benchmark based on the data provided.</w:t>
      </w:r>
    </w:p>
    <w:p w:rsidR="00AE4D91" w:rsidRPr="00AE4D91" w:rsidRDefault="00AE4D91" w:rsidP="00AE4D91">
      <w:pPr>
        <w:jc w:val="both"/>
        <w:rPr>
          <w:rFonts w:cs="Arial"/>
          <w:sz w:val="22"/>
          <w:szCs w:val="22"/>
          <w:lang w:eastAsia="en-US"/>
        </w:rPr>
      </w:pPr>
    </w:p>
    <w:p w:rsidR="00AE4D91" w:rsidRPr="00AE4D91" w:rsidRDefault="00AE4D91" w:rsidP="00AE4D91">
      <w:pPr>
        <w:jc w:val="both"/>
        <w:rPr>
          <w:rFonts w:cs="Arial"/>
          <w:sz w:val="22"/>
          <w:szCs w:val="22"/>
          <w:lang w:eastAsia="en-US"/>
        </w:rPr>
      </w:pPr>
      <w:r w:rsidRPr="00AE4D91">
        <w:rPr>
          <w:rFonts w:cs="Arial"/>
          <w:sz w:val="22"/>
          <w:szCs w:val="22"/>
          <w:lang w:eastAsia="en-US"/>
        </w:rPr>
        <w:t>However, we note that at paragraph 139 of the Discussion Paper, when considering the scope of the Code of Conduct obligations, ESMA states that “[i]nput data that is readily available to an administrator is not considered a contribution”.  Whilst this is partially consistent with the defin</w:t>
      </w:r>
      <w:r w:rsidRPr="00AE4D91">
        <w:rPr>
          <w:rFonts w:cs="Arial"/>
          <w:sz w:val="22"/>
          <w:szCs w:val="22"/>
          <w:lang w:eastAsia="en-US"/>
        </w:rPr>
        <w:t>i</w:t>
      </w:r>
      <w:r w:rsidRPr="00AE4D91">
        <w:rPr>
          <w:rFonts w:cs="Arial"/>
          <w:sz w:val="22"/>
          <w:szCs w:val="22"/>
          <w:lang w:eastAsia="en-US"/>
        </w:rPr>
        <w:t>tion under the Level 1 it does not refer to the requirement that the input data must also be co</w:t>
      </w:r>
      <w:r w:rsidRPr="00AE4D91">
        <w:rPr>
          <w:rFonts w:cs="Arial"/>
          <w:sz w:val="22"/>
          <w:szCs w:val="22"/>
          <w:lang w:eastAsia="en-US"/>
        </w:rPr>
        <w:t>n</w:t>
      </w:r>
      <w:r w:rsidRPr="00AE4D91">
        <w:rPr>
          <w:rFonts w:cs="Arial"/>
          <w:sz w:val="22"/>
          <w:szCs w:val="22"/>
          <w:lang w:eastAsia="en-US"/>
        </w:rPr>
        <w:t>tributed specifically with the intention of it being used as part of the determination of a benc</w:t>
      </w:r>
      <w:r w:rsidRPr="00AE4D91">
        <w:rPr>
          <w:rFonts w:cs="Arial"/>
          <w:sz w:val="22"/>
          <w:szCs w:val="22"/>
          <w:lang w:eastAsia="en-US"/>
        </w:rPr>
        <w:t>h</w:t>
      </w:r>
      <w:r w:rsidRPr="00AE4D91">
        <w:rPr>
          <w:rFonts w:cs="Arial"/>
          <w:sz w:val="22"/>
          <w:szCs w:val="22"/>
          <w:lang w:eastAsia="en-US"/>
        </w:rPr>
        <w:t>mark.  We therefore urge ESMA to clarify that its view of a “contributor” is a person who contri</w:t>
      </w:r>
      <w:r w:rsidRPr="00AE4D91">
        <w:rPr>
          <w:rFonts w:cs="Arial"/>
          <w:sz w:val="22"/>
          <w:szCs w:val="22"/>
          <w:lang w:eastAsia="en-US"/>
        </w:rPr>
        <w:t>b</w:t>
      </w:r>
      <w:r w:rsidRPr="00AE4D91">
        <w:rPr>
          <w:rFonts w:cs="Arial"/>
          <w:sz w:val="22"/>
          <w:szCs w:val="22"/>
          <w:lang w:eastAsia="en-US"/>
        </w:rPr>
        <w:t>utes data that are both (i) not otherwise available to that administrator and (ii) intended to be used in connection with the determination of a benchmark.</w:t>
      </w:r>
    </w:p>
    <w:permEnd w:id="1258441127"/>
    <w:p w:rsidR="009A2624" w:rsidRDefault="009A2624" w:rsidP="009A2624">
      <w:r>
        <w:t>&lt;ESMA_QUESTION_DP_BMR_32&gt;</w:t>
      </w:r>
    </w:p>
    <w:p w:rsidR="009A2624" w:rsidRDefault="009A2624" w:rsidP="009A2624"/>
    <w:p w:rsidR="009A2624" w:rsidRPr="007F44BF" w:rsidRDefault="009A2624" w:rsidP="002342EC">
      <w:pPr>
        <w:pStyle w:val="Questionstyle"/>
      </w:pPr>
      <w:r w:rsidRPr="007F44BF">
        <w:t>Do you agree to the list of elements that are not amenable to proportional implementation? If not, please specify why you disagree.</w:t>
      </w:r>
    </w:p>
    <w:p w:rsidR="009A2624" w:rsidRDefault="009A2624" w:rsidP="009A2624">
      <w:r>
        <w:t>&lt;ESMA_QUESTION_DP_BMR_33&gt;</w:t>
      </w:r>
    </w:p>
    <w:p w:rsidR="009A2624" w:rsidRDefault="009A2624" w:rsidP="009A2624">
      <w:permStart w:id="2008171697" w:edGrp="everyone"/>
      <w:r>
        <w:t>TYPE YOUR TEXT HERE</w:t>
      </w:r>
    </w:p>
    <w:permEnd w:id="2008171697"/>
    <w:p w:rsidR="009A2624" w:rsidRDefault="009A2624" w:rsidP="009A2624">
      <w:r>
        <w:t>&lt;ESMA_QUESTION_DP_BMR_33&gt;</w:t>
      </w:r>
    </w:p>
    <w:p w:rsidR="009A2624" w:rsidRDefault="009A2624" w:rsidP="009A2624"/>
    <w:p w:rsidR="009A2624" w:rsidRPr="007F44BF" w:rsidRDefault="009A2624" w:rsidP="002342EC">
      <w:pPr>
        <w:pStyle w:val="Questionstyle"/>
      </w:pPr>
      <w:r w:rsidRPr="007F44BF">
        <w:t>Do you consider the proposed list of key elements sufficiently granular “</w:t>
      </w:r>
      <w:r w:rsidRPr="007F44BF">
        <w:rPr>
          <w:i/>
        </w:rPr>
        <w:t>to allow users to understand how a benchmark is provided and to assess its representativeness, its relevance to partic</w:t>
      </w:r>
      <w:r w:rsidRPr="007F44BF">
        <w:rPr>
          <w:i/>
        </w:rPr>
        <w:t>u</w:t>
      </w:r>
      <w:r w:rsidRPr="007F44BF">
        <w:rPr>
          <w:i/>
        </w:rPr>
        <w:t>lar users and its appropriateness as a reference for financial instruments and contracts</w:t>
      </w:r>
      <w:r w:rsidRPr="007F44BF">
        <w:t>”?</w:t>
      </w:r>
    </w:p>
    <w:p w:rsidR="009A2624" w:rsidRDefault="009A2624" w:rsidP="009A2624">
      <w:r>
        <w:t>&lt;ESMA_QUESTION_DP_BMR_34&gt;</w:t>
      </w:r>
    </w:p>
    <w:p w:rsidR="009A2624" w:rsidRDefault="009A2624" w:rsidP="009A2624">
      <w:permStart w:id="1043153365" w:edGrp="everyone"/>
      <w:r>
        <w:t>TYPE YOUR TEXT HERE</w:t>
      </w:r>
    </w:p>
    <w:permEnd w:id="1043153365"/>
    <w:p w:rsidR="009A2624" w:rsidRDefault="009A2624" w:rsidP="009A2624">
      <w:r>
        <w:lastRenderedPageBreak/>
        <w:t>&lt;ESMA_QUESTION_DP_BMR_34&gt;</w:t>
      </w:r>
    </w:p>
    <w:p w:rsidR="009A2624" w:rsidRDefault="009A2624" w:rsidP="009A2624"/>
    <w:p w:rsidR="009A2624" w:rsidRPr="007F44BF" w:rsidRDefault="009A2624" w:rsidP="002342EC">
      <w:pPr>
        <w:pStyle w:val="Questionstyle"/>
      </w:pPr>
      <w:r w:rsidRPr="007F44BF">
        <w:t>Beyond the list of key elements, could you identify other elements of benchmark methodology that should be disclosed? If yes, please explain the reason why these elements should be disclosed.</w:t>
      </w:r>
    </w:p>
    <w:p w:rsidR="009A2624" w:rsidRDefault="009A2624" w:rsidP="009A2624">
      <w:r>
        <w:t>&lt;ESMA_QUESTION_DP_BMR_35&gt;</w:t>
      </w:r>
    </w:p>
    <w:p w:rsidR="009A2624" w:rsidRDefault="009A2624" w:rsidP="009A2624">
      <w:permStart w:id="171081015" w:edGrp="everyone"/>
      <w:r>
        <w:t>TYPE YOUR TEXT HERE</w:t>
      </w:r>
    </w:p>
    <w:permEnd w:id="171081015"/>
    <w:p w:rsidR="009A2624" w:rsidRDefault="009A2624" w:rsidP="009A2624">
      <w:r>
        <w:t>&lt;ESMA_QUESTION_DP_BMR_35&gt;</w:t>
      </w:r>
    </w:p>
    <w:p w:rsidR="009A2624" w:rsidRDefault="009A2624" w:rsidP="009A2624"/>
    <w:p w:rsidR="009A2624" w:rsidRPr="007F44BF" w:rsidRDefault="009A2624" w:rsidP="002342EC">
      <w:pPr>
        <w:pStyle w:val="Questionstyle"/>
      </w:pPr>
      <w:r w:rsidRPr="007F44BF">
        <w:t xml:space="preserve">Do you agree that the proposed key elements must be disclosed </w:t>
      </w:r>
      <w:r w:rsidRPr="007F44BF">
        <w:rPr>
          <w:i/>
        </w:rPr>
        <w:t>to the public</w:t>
      </w:r>
      <w:r w:rsidRPr="007F44BF">
        <w:t xml:space="preserve"> (linked to Article 3, para 1, subpara 1, point (a))? If not, please specify why not.</w:t>
      </w:r>
    </w:p>
    <w:p w:rsidR="009A2624" w:rsidRDefault="009A2624" w:rsidP="009A2624">
      <w:r>
        <w:t>&lt;ESMA_QUESTION_DP_BMR_36&gt;</w:t>
      </w:r>
    </w:p>
    <w:p w:rsidR="009A2624" w:rsidRDefault="009A2624" w:rsidP="009A2624">
      <w:permStart w:id="170811488" w:edGrp="everyone"/>
      <w:r>
        <w:t>TYPE YOUR TEXT HERE</w:t>
      </w:r>
    </w:p>
    <w:permEnd w:id="170811488"/>
    <w:p w:rsidR="009A2624" w:rsidRDefault="009A2624" w:rsidP="009A2624">
      <w:r>
        <w:t>&lt;ESMA_QUESTION_DP_BMR_36&gt;</w:t>
      </w:r>
    </w:p>
    <w:p w:rsidR="009A2624" w:rsidRDefault="009A2624" w:rsidP="009A2624"/>
    <w:p w:rsidR="009A2624" w:rsidRPr="007F44BF" w:rsidRDefault="009A2624" w:rsidP="002342EC">
      <w:pPr>
        <w:pStyle w:val="Questionstyle"/>
        <w:rPr>
          <w:noProof/>
        </w:rPr>
      </w:pPr>
      <w:r w:rsidRPr="007F44BF">
        <w:rPr>
          <w:noProof/>
        </w:rPr>
        <w:t>Do you agree with ESMA’s proposal about the information to be made public concerning the internal review of the methodology? Please suggest any other information you consider useful to disclose on the topic.</w:t>
      </w:r>
    </w:p>
    <w:p w:rsidR="009A2624" w:rsidRDefault="009A2624" w:rsidP="009A2624">
      <w:r>
        <w:t>&lt;ESMA_QUESTION_DP_BMR_37&gt;</w:t>
      </w:r>
    </w:p>
    <w:p w:rsidR="009A2624" w:rsidRDefault="009A2624" w:rsidP="009A2624">
      <w:permStart w:id="269371209" w:edGrp="everyone"/>
      <w:r>
        <w:t>TYPE YOUR TEXT HERE</w:t>
      </w:r>
    </w:p>
    <w:permEnd w:id="269371209"/>
    <w:p w:rsidR="009A2624" w:rsidRDefault="009A2624" w:rsidP="009A2624">
      <w:r>
        <w:t>&lt;ESMA_QUESTION_DP_BMR_37&gt;</w:t>
      </w:r>
    </w:p>
    <w:p w:rsidR="009A2624" w:rsidRDefault="009A2624" w:rsidP="009A2624"/>
    <w:p w:rsidR="009A2624" w:rsidRPr="007F44BF" w:rsidRDefault="009A2624" w:rsidP="002342EC">
      <w:pPr>
        <w:pStyle w:val="Questionstyle"/>
        <w:rPr>
          <w:noProof/>
        </w:rPr>
      </w:pPr>
      <w:r w:rsidRPr="007F44BF">
        <w:rPr>
          <w:noProof/>
        </w:rPr>
        <w:t>Do you agree with the above proposals to specify the information to be provided to benchmark users and, more in general, stakeholders regarding material changes in benchmark methodology?</w:t>
      </w:r>
    </w:p>
    <w:p w:rsidR="009A2624" w:rsidRDefault="009A2624" w:rsidP="009A2624">
      <w:r>
        <w:t>&lt;ESMA_QUESTION_DP_BMR_38&gt;</w:t>
      </w:r>
    </w:p>
    <w:p w:rsidR="009A2624" w:rsidRDefault="009A2624" w:rsidP="009A2624">
      <w:permStart w:id="755833791" w:edGrp="everyone"/>
      <w:r>
        <w:t>TYPE YOUR TEXT HERE</w:t>
      </w:r>
    </w:p>
    <w:permEnd w:id="755833791"/>
    <w:p w:rsidR="009A2624" w:rsidRDefault="009A2624" w:rsidP="009A2624">
      <w:r>
        <w:t>&lt;ESMA_QUESTION_DP_BMR_38&gt;</w:t>
      </w:r>
    </w:p>
    <w:p w:rsidR="009A2624" w:rsidRDefault="009A2624" w:rsidP="009A2624"/>
    <w:p w:rsidR="009A2624" w:rsidRPr="007F44BF" w:rsidRDefault="009A2624" w:rsidP="002342EC">
      <w:pPr>
        <w:pStyle w:val="Questionstyle"/>
        <w:rPr>
          <w:noProof/>
        </w:rPr>
      </w:pPr>
      <w:r w:rsidRPr="007F44BF">
        <w:rPr>
          <w:noProof/>
        </w:rPr>
        <w:t xml:space="preserve">Do you agree, in particular, on the opportunity that also the replies received in response to the consultation are made available to the public, where allowed by respondents? </w:t>
      </w:r>
    </w:p>
    <w:p w:rsidR="009A2624" w:rsidRDefault="009A2624" w:rsidP="009A2624">
      <w:r>
        <w:t>&lt;ESMA_QUESTION_DP_BMR_39&gt;</w:t>
      </w:r>
    </w:p>
    <w:p w:rsidR="009A2624" w:rsidRDefault="009A2624" w:rsidP="009A2624">
      <w:permStart w:id="1622940252" w:edGrp="everyone"/>
      <w:r>
        <w:t>TYPE YOUR TEXT HERE</w:t>
      </w:r>
    </w:p>
    <w:permEnd w:id="1622940252"/>
    <w:p w:rsidR="009A2624" w:rsidRDefault="009A2624" w:rsidP="009A2624">
      <w:r>
        <w:t>&lt;ESMA_QUESTION_DP_BMR_39&gt;</w:t>
      </w:r>
    </w:p>
    <w:p w:rsidR="009A2624" w:rsidRDefault="009A2624" w:rsidP="009A2624"/>
    <w:p w:rsidR="009A2624" w:rsidRPr="007F44BF" w:rsidRDefault="009A2624" w:rsidP="002342EC">
      <w:pPr>
        <w:pStyle w:val="Questionstyle"/>
      </w:pPr>
      <w:r w:rsidRPr="007F44BF">
        <w:t>Do you agree that the publication requirements for key elements of methodology apply r</w:t>
      </w:r>
      <w:r w:rsidRPr="007F44BF">
        <w:t>e</w:t>
      </w:r>
      <w:r w:rsidRPr="007F44BF">
        <w:t>gardless of benchmark type? If not, please state which type of benchmark would be exempt / which elements of methodology would be exempt and why.</w:t>
      </w:r>
    </w:p>
    <w:p w:rsidR="009A2624" w:rsidRDefault="009A2624" w:rsidP="009A2624">
      <w:r>
        <w:t>&lt;ESMA_QUESTION_DP_BMR_40&gt;</w:t>
      </w:r>
    </w:p>
    <w:p w:rsidR="009A2624" w:rsidRDefault="009A2624" w:rsidP="009A2624">
      <w:permStart w:id="1955620583" w:edGrp="everyone"/>
      <w:r>
        <w:t>TYPE YOUR TEXT HERE</w:t>
      </w:r>
    </w:p>
    <w:permEnd w:id="1955620583"/>
    <w:p w:rsidR="009A2624" w:rsidRDefault="009A2624" w:rsidP="009A2624">
      <w:r>
        <w:t>&lt;ESMA_QUESTION_DP_BMR_40&gt;</w:t>
      </w:r>
    </w:p>
    <w:p w:rsidR="009A2624" w:rsidRDefault="009A2624" w:rsidP="009A2624"/>
    <w:p w:rsidR="009A2624" w:rsidRPr="007F44BF" w:rsidRDefault="009A2624" w:rsidP="002342EC">
      <w:pPr>
        <w:pStyle w:val="Questionstyle"/>
      </w:pPr>
      <w:r w:rsidRPr="007F44BF">
        <w:t xml:space="preserve">Do you agree that the publication requirements for the internal review of methodology apply regardless of benchmark type? If not, please state which information regarding the internal review </w:t>
      </w:r>
      <w:r w:rsidRPr="007F44BF">
        <w:lastRenderedPageBreak/>
        <w:t>could be differentiated and according to which characteristic of the benchmark or of its input data or of its methodology.</w:t>
      </w:r>
    </w:p>
    <w:p w:rsidR="009A2624" w:rsidRDefault="009A2624" w:rsidP="009A2624">
      <w:r>
        <w:t>&lt;ESMA_QUESTION_DP_BMR_41&gt;</w:t>
      </w:r>
    </w:p>
    <w:p w:rsidR="009A2624" w:rsidRDefault="009A2624" w:rsidP="009A2624">
      <w:permStart w:id="1673988051" w:edGrp="everyone"/>
      <w:r>
        <w:t>TYPE YOUR TEXT HERE</w:t>
      </w:r>
    </w:p>
    <w:permEnd w:id="1673988051"/>
    <w:p w:rsidR="009A2624" w:rsidRDefault="009A2624" w:rsidP="009A2624">
      <w:r>
        <w:t>&lt;ESMA_QUESTION_DP_BMR_41&gt;</w:t>
      </w:r>
    </w:p>
    <w:p w:rsidR="009A2624" w:rsidRDefault="009A2624" w:rsidP="009A2624"/>
    <w:p w:rsidR="009A2624" w:rsidRPr="007F44BF" w:rsidRDefault="009A2624" w:rsidP="002342EC">
      <w:pPr>
        <w:pStyle w:val="Questionstyle"/>
      </w:pPr>
      <w:r w:rsidRPr="007F44BF">
        <w:t>Do you agree that, in the requirements regarding the procedure for material change, the pr</w:t>
      </w:r>
      <w:r w:rsidRPr="007F44BF">
        <w:t>o</w:t>
      </w:r>
      <w:r w:rsidRPr="007F44BF">
        <w:t>portionality built into the Level 1 text covers all needs for proportional application?</w:t>
      </w:r>
    </w:p>
    <w:p w:rsidR="009A2624" w:rsidRDefault="009A2624" w:rsidP="009A2624">
      <w:r>
        <w:t>&lt;ESMA_QUESTION_DP_BMR_42&gt;</w:t>
      </w:r>
    </w:p>
    <w:p w:rsidR="009A2624" w:rsidRDefault="009A2624" w:rsidP="009A2624">
      <w:permStart w:id="450306467" w:edGrp="everyone"/>
      <w:r>
        <w:t>TYPE YOUR TEXT HERE</w:t>
      </w:r>
    </w:p>
    <w:permEnd w:id="450306467"/>
    <w:p w:rsidR="009A2624" w:rsidRDefault="009A2624" w:rsidP="009A2624">
      <w:r>
        <w:t>&lt;ESMA_QUESTION_DP_BMR_42&gt;</w:t>
      </w:r>
    </w:p>
    <w:p w:rsidR="009A2624" w:rsidRDefault="009A2624" w:rsidP="009A2624"/>
    <w:p w:rsidR="009A2624" w:rsidRPr="007F44BF" w:rsidRDefault="009A2624" w:rsidP="002342EC">
      <w:pPr>
        <w:pStyle w:val="Questionstyle"/>
      </w:pPr>
      <w:r w:rsidRPr="007F44BF">
        <w:t>Do you agree that a benchmark administrator could have a standard code for all types of benchmarks? If not, should there be separate codes depending on whether a benchmark is critical, significant or non-significant? Please take into account your answer to this question when responding to all subsequent questions.</w:t>
      </w:r>
    </w:p>
    <w:p w:rsidR="009A2624" w:rsidRDefault="009A2624" w:rsidP="009A2624">
      <w:r>
        <w:t>&lt;ESMA_QUESTION_DP_BMR_43&gt;</w:t>
      </w:r>
    </w:p>
    <w:p w:rsidR="009A2624" w:rsidRDefault="009A2624" w:rsidP="009A2624">
      <w:permStart w:id="193158920" w:edGrp="everyone"/>
      <w:r>
        <w:t>TYPE YOUR TEXT HERE</w:t>
      </w:r>
    </w:p>
    <w:permEnd w:id="193158920"/>
    <w:p w:rsidR="009A2624" w:rsidRDefault="009A2624" w:rsidP="009A2624">
      <w:r>
        <w:t>&lt;ESMA_QUESTION_DP_BMR_43&gt;</w:t>
      </w:r>
    </w:p>
    <w:p w:rsidR="009A2624" w:rsidRDefault="009A2624" w:rsidP="009A2624"/>
    <w:p w:rsidR="009A2624" w:rsidRPr="007F44BF" w:rsidRDefault="009A2624" w:rsidP="002342EC">
      <w:pPr>
        <w:pStyle w:val="Questionstyle"/>
      </w:pPr>
      <w:r w:rsidRPr="007F44BF">
        <w:t>Do you believe that an administrator should be mandated to tailor a code of conduct, depen</w:t>
      </w:r>
      <w:r w:rsidRPr="007F44BF">
        <w:t>d</w:t>
      </w:r>
      <w:r w:rsidRPr="007F44BF">
        <w:t>ing on the market or economic reality it seeks to measure and/or the methodology applied for the determination of the benchmark? Please explain your answer using examples of different categories or sectors of benchmarks, where applicable.</w:t>
      </w:r>
    </w:p>
    <w:p w:rsidR="009A2624" w:rsidRDefault="009A2624" w:rsidP="009A2624">
      <w:r>
        <w:t>&lt;ESMA_QUESTION_DP_BMR_44&gt;</w:t>
      </w:r>
    </w:p>
    <w:p w:rsidR="009A2624" w:rsidRDefault="009A2624" w:rsidP="009A2624">
      <w:permStart w:id="348539255" w:edGrp="everyone"/>
      <w:r>
        <w:t>TYPE YOUR TEXT HERE</w:t>
      </w:r>
    </w:p>
    <w:permEnd w:id="348539255"/>
    <w:p w:rsidR="009A2624" w:rsidRDefault="009A2624" w:rsidP="009A2624">
      <w:r>
        <w:t>&lt;ESMA_QUESTION_DP_BMR_44&gt;</w:t>
      </w:r>
    </w:p>
    <w:p w:rsidR="009A2624" w:rsidRDefault="009A2624" w:rsidP="009A2624"/>
    <w:p w:rsidR="009A2624" w:rsidRPr="007F44BF" w:rsidRDefault="009A2624" w:rsidP="002342EC">
      <w:pPr>
        <w:pStyle w:val="Questionstyle"/>
      </w:pPr>
      <w:r w:rsidRPr="007F44BF">
        <w:t>Do you agree with the above requirements for a contributor’s contribution process? Is there anything else that should be included?</w:t>
      </w:r>
    </w:p>
    <w:p w:rsidR="009A2624" w:rsidRDefault="009A2624" w:rsidP="009A2624">
      <w:r>
        <w:t>&lt;ESMA_QUESTION_DP_BMR_45&gt;</w:t>
      </w:r>
    </w:p>
    <w:p w:rsidR="009A2624" w:rsidRDefault="009A2624" w:rsidP="009A2624">
      <w:permStart w:id="339948093" w:edGrp="everyone"/>
      <w:r>
        <w:t>TYPE YOUR TEXT HERE</w:t>
      </w:r>
    </w:p>
    <w:permEnd w:id="339948093"/>
    <w:p w:rsidR="009A2624" w:rsidRDefault="009A2624" w:rsidP="009A2624">
      <w:r>
        <w:t>&lt;ESMA_QUESTION_DP_BMR_45&gt;</w:t>
      </w:r>
    </w:p>
    <w:p w:rsidR="009A2624" w:rsidRDefault="009A2624" w:rsidP="009A2624"/>
    <w:p w:rsidR="009A2624" w:rsidRPr="007F44BF" w:rsidRDefault="009A2624" w:rsidP="002342EC">
      <w:pPr>
        <w:pStyle w:val="Questionstyle"/>
      </w:pPr>
      <w:r w:rsidRPr="007F44BF">
        <w:t>Do you agree that the details of the code of conduct to be specified by ESMA may still allow administrators to tailor the details of their codes of conduct with respect to the specific benchmarks provided?</w:t>
      </w:r>
    </w:p>
    <w:p w:rsidR="009A2624" w:rsidRDefault="009A2624" w:rsidP="009A2624">
      <w:r>
        <w:t>&lt;ESMA_QUESTION_DP_BMR_46&gt;</w:t>
      </w:r>
    </w:p>
    <w:p w:rsidR="009A2624" w:rsidRDefault="009A2624" w:rsidP="009A2624">
      <w:permStart w:id="1510307025" w:edGrp="everyone"/>
      <w:r>
        <w:t>TYPE YOUR TEXT HERE</w:t>
      </w:r>
    </w:p>
    <w:permEnd w:id="1510307025"/>
    <w:p w:rsidR="009A2624" w:rsidRDefault="009A2624" w:rsidP="009A2624">
      <w:r>
        <w:t>&lt;ESMA_QUESTION_DP_BMR_46&gt;</w:t>
      </w:r>
    </w:p>
    <w:p w:rsidR="009A2624" w:rsidRDefault="009A2624" w:rsidP="009A2624"/>
    <w:p w:rsidR="009A2624" w:rsidRPr="007F44BF" w:rsidRDefault="009A2624" w:rsidP="002342EC">
      <w:pPr>
        <w:pStyle w:val="Questionstyle"/>
      </w:pPr>
      <w:r w:rsidRPr="007F44BF">
        <w:t>Do you agree that such information should be required from contributors under the code of conduct? Should any additional information be requested?</w:t>
      </w:r>
    </w:p>
    <w:p w:rsidR="009A2624" w:rsidRDefault="009A2624" w:rsidP="009A2624">
      <w:r>
        <w:lastRenderedPageBreak/>
        <w:t>&lt;ESMA_QUESTION_DP_BMR_47&gt;</w:t>
      </w:r>
    </w:p>
    <w:p w:rsidR="009A2624" w:rsidRDefault="009A2624" w:rsidP="009A2624">
      <w:permStart w:id="1589068583" w:edGrp="everyone"/>
      <w:r>
        <w:t>TYPE YOUR TEXT HERE</w:t>
      </w:r>
    </w:p>
    <w:permEnd w:id="1589068583"/>
    <w:p w:rsidR="009A2624" w:rsidRDefault="009A2624" w:rsidP="009A2624">
      <w:r>
        <w:t>&lt;ESMA_QUESTION_DP_BMR_47&gt;</w:t>
      </w:r>
    </w:p>
    <w:p w:rsidR="009A2624" w:rsidRDefault="009A2624" w:rsidP="009A2624"/>
    <w:p w:rsidR="009A2624" w:rsidRPr="007F44BF" w:rsidRDefault="009A2624" w:rsidP="002342EC">
      <w:pPr>
        <w:pStyle w:val="Questionstyle"/>
      </w:pPr>
      <w:r w:rsidRPr="007F44BF">
        <w:t>Are their ways in which contributors may manage possible conflicts of interest at the level of the submitters? Should those conflicts, where managed, be disclosed to the administrator?</w:t>
      </w:r>
    </w:p>
    <w:p w:rsidR="009A2624" w:rsidRDefault="009A2624" w:rsidP="009A2624">
      <w:r>
        <w:t>&lt;ESMA_QUESTION_DP_BMR_48&gt;</w:t>
      </w:r>
    </w:p>
    <w:p w:rsidR="009A2624" w:rsidRDefault="009A2624" w:rsidP="009A2624">
      <w:permStart w:id="1097354136" w:edGrp="everyone"/>
      <w:r>
        <w:t>TYPE YOUR TEXT HERE</w:t>
      </w:r>
    </w:p>
    <w:permEnd w:id="1097354136"/>
    <w:p w:rsidR="009A2624" w:rsidRDefault="009A2624" w:rsidP="009A2624">
      <w:r>
        <w:t>&lt;ESMA_QUESTION_DP_BMR_48&gt;</w:t>
      </w:r>
    </w:p>
    <w:p w:rsidR="009A2624" w:rsidRDefault="009A2624" w:rsidP="009A2624"/>
    <w:p w:rsidR="009A2624" w:rsidRPr="007F44BF" w:rsidRDefault="009A2624" w:rsidP="002342EC">
      <w:pPr>
        <w:pStyle w:val="Questionstyle"/>
      </w:pPr>
      <w:r w:rsidRPr="007F44BF">
        <w:t>Do you foresee any obstacles to the administrator’s ability to evaluate the authorisation of any submitters to contribute input data on behalf of a contributor?</w:t>
      </w:r>
    </w:p>
    <w:p w:rsidR="009A2624" w:rsidRDefault="009A2624" w:rsidP="009A2624">
      <w:r>
        <w:t>&lt;ESMA_QUESTION_DP_BMR_49&gt;</w:t>
      </w:r>
    </w:p>
    <w:p w:rsidR="009A2624" w:rsidRDefault="009A2624" w:rsidP="009A2624">
      <w:permStart w:id="1102016671" w:edGrp="everyone"/>
      <w:r>
        <w:t>TYPE YOUR TEXT HERE</w:t>
      </w:r>
    </w:p>
    <w:permEnd w:id="1102016671"/>
    <w:p w:rsidR="009A2624" w:rsidRDefault="009A2624" w:rsidP="009A2624">
      <w:r>
        <w:t>&lt;ESMA_QUESTION_DP_BMR_49&gt;</w:t>
      </w:r>
    </w:p>
    <w:p w:rsidR="009A2624" w:rsidRDefault="009A2624" w:rsidP="009A2624"/>
    <w:p w:rsidR="009A2624" w:rsidRPr="007F44BF" w:rsidRDefault="009A2624" w:rsidP="002342EC">
      <w:pPr>
        <w:pStyle w:val="Questionstyle"/>
      </w:pPr>
      <w:r w:rsidRPr="007F44BF">
        <w:t>Do you agree that a contributor’s contribution process should foresee clear rules for the excl</w:t>
      </w:r>
      <w:r w:rsidRPr="007F44BF">
        <w:t>u</w:t>
      </w:r>
      <w:r w:rsidRPr="007F44BF">
        <w:t>sion of data sources? Should any other information be supplied to administrators to allow them to ensure contributors have provided all relevant input data?</w:t>
      </w:r>
    </w:p>
    <w:p w:rsidR="009A2624" w:rsidRDefault="009A2624" w:rsidP="009A2624">
      <w:r>
        <w:t>&lt;ESMA_QUESTION_DP_BMR_50&gt;</w:t>
      </w:r>
    </w:p>
    <w:p w:rsidR="009A2624" w:rsidRDefault="009A2624" w:rsidP="009A2624">
      <w:permStart w:id="1878792969" w:edGrp="everyone"/>
      <w:r>
        <w:t>TYPE YOUR TEXT HERE</w:t>
      </w:r>
    </w:p>
    <w:permEnd w:id="1878792969"/>
    <w:p w:rsidR="009A2624" w:rsidRDefault="009A2624" w:rsidP="009A2624">
      <w:r>
        <w:t>&lt;ESMA_QUESTION_DP_BMR_50&gt;</w:t>
      </w:r>
    </w:p>
    <w:p w:rsidR="009A2624" w:rsidRDefault="009A2624" w:rsidP="009A2624"/>
    <w:p w:rsidR="009A2624" w:rsidRPr="007F44BF" w:rsidRDefault="009A2624" w:rsidP="002342EC">
      <w:pPr>
        <w:pStyle w:val="Questionstyle"/>
      </w:pPr>
      <w:r w:rsidRPr="007F44BF">
        <w:t>Do you think that the listed procedures for submitting input data are comprehensive? If not, what is missing?</w:t>
      </w:r>
    </w:p>
    <w:p w:rsidR="009A2624" w:rsidRDefault="009A2624" w:rsidP="009A2624">
      <w:r>
        <w:t>&lt;ESMA_QUESTION_DP_BMR_51&gt;</w:t>
      </w:r>
    </w:p>
    <w:p w:rsidR="009A2624" w:rsidRDefault="009A2624" w:rsidP="009A2624">
      <w:permStart w:id="1479178156" w:edGrp="everyone"/>
      <w:r>
        <w:t>TYPE YOUR TEXT HERE</w:t>
      </w:r>
    </w:p>
    <w:permEnd w:id="1479178156"/>
    <w:p w:rsidR="009A2624" w:rsidRDefault="009A2624" w:rsidP="009A2624">
      <w:r>
        <w:t>&lt;ESMA_QUESTION_DP_BMR_51&gt;</w:t>
      </w:r>
    </w:p>
    <w:p w:rsidR="009A2624" w:rsidRDefault="009A2624" w:rsidP="009A2624"/>
    <w:p w:rsidR="009A2624" w:rsidRPr="007F44BF" w:rsidRDefault="009A2624" w:rsidP="002342EC">
      <w:pPr>
        <w:pStyle w:val="Questionstyle"/>
      </w:pPr>
      <w:r w:rsidRPr="007F44BF">
        <w:t>Do you agree that rules are necessary to provide consistency of contributors’ behaviour over the time? Should this be set out in the code of conduct or in the benchmark methodology, or both?</w:t>
      </w:r>
    </w:p>
    <w:p w:rsidR="009A2624" w:rsidRDefault="009A2624" w:rsidP="009A2624">
      <w:r>
        <w:t>&lt;ESMA_QUESTION_DP_BMR_52&gt;</w:t>
      </w:r>
    </w:p>
    <w:p w:rsidR="009A2624" w:rsidRDefault="009A2624" w:rsidP="009A2624">
      <w:permStart w:id="276830663" w:edGrp="everyone"/>
      <w:r>
        <w:t>TYPE YOUR TEXT HERE</w:t>
      </w:r>
    </w:p>
    <w:permEnd w:id="276830663"/>
    <w:p w:rsidR="009A2624" w:rsidRDefault="009A2624" w:rsidP="009A2624">
      <w:r>
        <w:t>&lt;ESMA_QUESTION_DP_BMR_52&gt;</w:t>
      </w:r>
    </w:p>
    <w:p w:rsidR="009A2624" w:rsidRDefault="009A2624" w:rsidP="009A2624"/>
    <w:p w:rsidR="009A2624" w:rsidRPr="007F44BF" w:rsidRDefault="009A2624" w:rsidP="002342EC">
      <w:pPr>
        <w:pStyle w:val="Questionstyle"/>
      </w:pPr>
      <w:r w:rsidRPr="007F44BF">
        <w:t xml:space="preserve">Should policies, in addition to those set out in the methodology, be in place at the level of the contributors, regarding the use of discretion in providing input data? </w:t>
      </w:r>
    </w:p>
    <w:p w:rsidR="009A2624" w:rsidRDefault="009A2624" w:rsidP="009A2624">
      <w:r>
        <w:t>&lt;ESMA_QUESTION_DP_BMR_53&gt;</w:t>
      </w:r>
    </w:p>
    <w:p w:rsidR="009A2624" w:rsidRDefault="009A2624" w:rsidP="009A2624">
      <w:permStart w:id="287912799" w:edGrp="everyone"/>
      <w:r>
        <w:t>TYPE YOUR TEXT HERE</w:t>
      </w:r>
    </w:p>
    <w:permEnd w:id="287912799"/>
    <w:p w:rsidR="009A2624" w:rsidRDefault="009A2624" w:rsidP="009A2624">
      <w:r>
        <w:t>&lt;ESMA_QUESTION_DP_BMR_53&gt;</w:t>
      </w:r>
    </w:p>
    <w:p w:rsidR="009A2624" w:rsidRDefault="009A2624" w:rsidP="009A2624"/>
    <w:p w:rsidR="009A2624" w:rsidRPr="007F44BF" w:rsidRDefault="009A2624" w:rsidP="002342EC">
      <w:pPr>
        <w:pStyle w:val="Questionstyle"/>
      </w:pPr>
      <w:r w:rsidRPr="007F44BF">
        <w:t xml:space="preserve">Do you agree with the list of checks for validation purposes? What other methods could be included? </w:t>
      </w:r>
    </w:p>
    <w:p w:rsidR="009A2624" w:rsidRDefault="009A2624" w:rsidP="009A2624">
      <w:r>
        <w:t>&lt;ESMA_QUESTION_DP_BMR_54&gt;</w:t>
      </w:r>
    </w:p>
    <w:p w:rsidR="009A2624" w:rsidRDefault="009A2624" w:rsidP="009A2624">
      <w:permStart w:id="1169883240" w:edGrp="everyone"/>
      <w:r>
        <w:t>TYPE YOUR TEXT HERE</w:t>
      </w:r>
    </w:p>
    <w:permEnd w:id="1169883240"/>
    <w:p w:rsidR="009A2624" w:rsidRDefault="009A2624" w:rsidP="009A2624">
      <w:r>
        <w:lastRenderedPageBreak/>
        <w:t>&lt;ESMA_QUESTION_DP_BMR_54&gt;</w:t>
      </w:r>
    </w:p>
    <w:p w:rsidR="009A2624" w:rsidRDefault="009A2624" w:rsidP="009A2624"/>
    <w:p w:rsidR="009A2624" w:rsidRPr="007F44BF" w:rsidRDefault="009A2624" w:rsidP="002342EC">
      <w:pPr>
        <w:pStyle w:val="Questionstyle"/>
      </w:pPr>
      <w:r w:rsidRPr="007F44BF">
        <w:t>Do you agree with the minimum information requirement for record keeping? If not would you propose additional/alternative information?</w:t>
      </w:r>
    </w:p>
    <w:p w:rsidR="009A2624" w:rsidRDefault="009A2624" w:rsidP="009A2624">
      <w:r>
        <w:t>&lt;ESMA_QUESTION_DP_BMR_55&gt;</w:t>
      </w:r>
    </w:p>
    <w:p w:rsidR="009A2624" w:rsidRDefault="009A2624" w:rsidP="009A2624">
      <w:permStart w:id="2074569741" w:edGrp="everyone"/>
      <w:r>
        <w:t>TYPE YOUR TEXT HERE</w:t>
      </w:r>
    </w:p>
    <w:permEnd w:id="2074569741"/>
    <w:p w:rsidR="009A2624" w:rsidRDefault="009A2624" w:rsidP="009A2624">
      <w:r>
        <w:t>&lt;ESMA_QUESTION_DP_BMR_55&gt;</w:t>
      </w:r>
    </w:p>
    <w:p w:rsidR="009A2624" w:rsidRDefault="009A2624" w:rsidP="009A2624"/>
    <w:p w:rsidR="009A2624" w:rsidRPr="007F44BF" w:rsidRDefault="009A2624" w:rsidP="002342EC">
      <w:pPr>
        <w:pStyle w:val="Questionstyle"/>
      </w:pPr>
      <w:r w:rsidRPr="007F44BF">
        <w:t>Do you support the recording of the use of expert judgement and of discretion? Should admi</w:t>
      </w:r>
      <w:r w:rsidRPr="007F44BF">
        <w:t>n</w:t>
      </w:r>
      <w:r w:rsidRPr="007F44BF">
        <w:t>istrators require the same records for all types of benchmarks?</w:t>
      </w:r>
    </w:p>
    <w:p w:rsidR="009A2624" w:rsidRDefault="009A2624" w:rsidP="009A2624">
      <w:r>
        <w:t>&lt;ESMA_QUESTION_DP_BMR_56&gt;</w:t>
      </w:r>
    </w:p>
    <w:p w:rsidR="009A2624" w:rsidRDefault="009A2624" w:rsidP="009A2624">
      <w:permStart w:id="182220607" w:edGrp="everyone"/>
      <w:r>
        <w:t>TYPE YOUR TEXT HERE</w:t>
      </w:r>
    </w:p>
    <w:permEnd w:id="182220607"/>
    <w:p w:rsidR="009A2624" w:rsidRDefault="009A2624" w:rsidP="009A2624">
      <w:r>
        <w:t>&lt;ESMA_QUESTION_DP_BMR_56&gt;</w:t>
      </w:r>
    </w:p>
    <w:p w:rsidR="009A2624" w:rsidRDefault="009A2624" w:rsidP="009A2624"/>
    <w:p w:rsidR="009A2624" w:rsidRPr="007F44BF" w:rsidRDefault="009A2624" w:rsidP="002342EC">
      <w:pPr>
        <w:pStyle w:val="Questionstyle"/>
      </w:pPr>
      <w:r w:rsidRPr="007F44BF">
        <w:t xml:space="preserve">Do you agree that an administrator could require contributors to have in place a documented   escalation process to report suspicious transactions?  </w:t>
      </w:r>
    </w:p>
    <w:p w:rsidR="009A2624" w:rsidRDefault="009A2624" w:rsidP="009A2624">
      <w:r>
        <w:t>&lt;ESMA_QUESTION_DP_BMR_57&gt;</w:t>
      </w:r>
    </w:p>
    <w:p w:rsidR="009A2624" w:rsidRDefault="009A2624" w:rsidP="009A2624">
      <w:permStart w:id="902192598" w:edGrp="everyone"/>
      <w:r>
        <w:t>TYPE YOUR TEXT HERE</w:t>
      </w:r>
    </w:p>
    <w:permEnd w:id="902192598"/>
    <w:p w:rsidR="009A2624" w:rsidRDefault="009A2624" w:rsidP="009A2624">
      <w:r>
        <w:t>&lt;ESMA_QUESTION_DP_BMR_57&gt;</w:t>
      </w:r>
    </w:p>
    <w:p w:rsidR="009A2624" w:rsidRDefault="009A2624" w:rsidP="009A2624"/>
    <w:p w:rsidR="009A2624" w:rsidRPr="007F44BF" w:rsidRDefault="009A2624" w:rsidP="002342EC">
      <w:pPr>
        <w:pStyle w:val="Questionstyle"/>
      </w:pPr>
      <w:r w:rsidRPr="007F44BF">
        <w:t>Do you agree with the list of policies, procedures and controls that would allow the identific</w:t>
      </w:r>
      <w:r w:rsidRPr="007F44BF">
        <w:t>a</w:t>
      </w:r>
      <w:r w:rsidRPr="007F44BF">
        <w:t>tion and management of conflicts of interest? Should other requirements be included?</w:t>
      </w:r>
    </w:p>
    <w:p w:rsidR="009A2624" w:rsidRDefault="009A2624" w:rsidP="009A2624">
      <w:r>
        <w:t>&lt;ESMA_QUESTION_DP_BMR_58&gt;</w:t>
      </w:r>
    </w:p>
    <w:p w:rsidR="009A2624" w:rsidRDefault="009A2624" w:rsidP="009A2624">
      <w:permStart w:id="30683665" w:edGrp="everyone"/>
      <w:r>
        <w:t>TYPE YOUR TEXT HERE</w:t>
      </w:r>
    </w:p>
    <w:permEnd w:id="30683665"/>
    <w:p w:rsidR="009A2624" w:rsidRDefault="009A2624" w:rsidP="009A2624">
      <w:r>
        <w:t>&lt;ESMA_QUESTION_DP_BMR_58&gt;</w:t>
      </w:r>
    </w:p>
    <w:p w:rsidR="009A2624" w:rsidRDefault="009A2624" w:rsidP="009A2624"/>
    <w:p w:rsidR="009A2624" w:rsidRPr="007F44BF" w:rsidRDefault="009A2624" w:rsidP="002342EC">
      <w:pPr>
        <w:pStyle w:val="Questionstyle"/>
      </w:pPr>
      <w:r w:rsidRPr="007F44BF">
        <w:t>Do you have any additional comments with regard to the contents of a code of conduct in accordance with Article 9(2)?</w:t>
      </w:r>
    </w:p>
    <w:p w:rsidR="009A2624" w:rsidRDefault="009A2624" w:rsidP="009A2624">
      <w:r>
        <w:t>&lt;ESMA_QUESTION_DP_BMR_59&gt;</w:t>
      </w:r>
    </w:p>
    <w:p w:rsidR="009A2624" w:rsidRDefault="009A2624" w:rsidP="009A2624">
      <w:permStart w:id="1210140845" w:edGrp="everyone"/>
      <w:r>
        <w:t>TYPE YOUR TEXT HERE</w:t>
      </w:r>
    </w:p>
    <w:permEnd w:id="1210140845"/>
    <w:p w:rsidR="009A2624" w:rsidRDefault="009A2624" w:rsidP="009A2624">
      <w:r>
        <w:t>&lt;ESMA_QUESTION_DP_BMR_59&gt;</w:t>
      </w:r>
    </w:p>
    <w:p w:rsidR="009A2624" w:rsidRDefault="009A2624" w:rsidP="009A2624"/>
    <w:p w:rsidR="009A2624" w:rsidRPr="007F44BF" w:rsidRDefault="009A2624" w:rsidP="002342EC">
      <w:pPr>
        <w:pStyle w:val="Questionstyle"/>
      </w:pPr>
      <w:r w:rsidRPr="007F44BF">
        <w:t>Do you agree with the above list of requirements? Do you think that those requirements are appropriate for all benchmarks? If not what do you think should be the criteria we should use?</w:t>
      </w:r>
    </w:p>
    <w:p w:rsidR="009A2624" w:rsidRDefault="009A2624" w:rsidP="009A2624">
      <w:r>
        <w:t>&lt;ESMA_QUESTION_DP_BMR_60&gt;</w:t>
      </w:r>
    </w:p>
    <w:p w:rsidR="009A2624" w:rsidRDefault="009A2624" w:rsidP="009A2624">
      <w:permStart w:id="1952868705" w:edGrp="everyone"/>
      <w:r>
        <w:t>TYPE YOUR TEXT HERE</w:t>
      </w:r>
    </w:p>
    <w:permEnd w:id="1952868705"/>
    <w:p w:rsidR="009A2624" w:rsidRDefault="009A2624" w:rsidP="009A2624">
      <w:r>
        <w:t>&lt;ESMA_QUESTION_DP_BMR_60&gt;</w:t>
      </w:r>
    </w:p>
    <w:p w:rsidR="009A2624" w:rsidRDefault="009A2624" w:rsidP="009A2624"/>
    <w:p w:rsidR="009A2624" w:rsidRPr="007F44BF" w:rsidRDefault="009A2624" w:rsidP="002342EC">
      <w:pPr>
        <w:pStyle w:val="Questionstyle"/>
      </w:pPr>
      <w:r w:rsidRPr="007F44BF">
        <w:t xml:space="preserve">Do you agree that information regarding breaches to the BMR or to Code of Conduct should also be made available to the Benchmark Administrator? </w:t>
      </w:r>
    </w:p>
    <w:p w:rsidR="009A2624" w:rsidRDefault="009A2624" w:rsidP="009A2624">
      <w:r>
        <w:t>&lt;ESMA_QUESTION_DP_BMR_61&gt;</w:t>
      </w:r>
    </w:p>
    <w:p w:rsidR="009A2624" w:rsidRDefault="009A2624" w:rsidP="009A2624">
      <w:permStart w:id="106900492" w:edGrp="everyone"/>
      <w:r>
        <w:t>TYPE YOUR TEXT HERE</w:t>
      </w:r>
    </w:p>
    <w:permEnd w:id="106900492"/>
    <w:p w:rsidR="009A2624" w:rsidRDefault="009A2624" w:rsidP="009A2624">
      <w:r>
        <w:t>&lt;ESMA_QUESTION_DP_BMR_61&gt;</w:t>
      </w:r>
    </w:p>
    <w:p w:rsidR="009A2624" w:rsidRDefault="009A2624" w:rsidP="009A2624"/>
    <w:p w:rsidR="009A2624" w:rsidRPr="007F44BF" w:rsidRDefault="009A2624" w:rsidP="002342EC">
      <w:pPr>
        <w:pStyle w:val="Questionstyle"/>
      </w:pPr>
      <w:r w:rsidRPr="007F44BF">
        <w:lastRenderedPageBreak/>
        <w:t>Do you think that the external audit covering benchmark activities, where available, should also be made available, on request, to the Benchmark Administrator?</w:t>
      </w:r>
    </w:p>
    <w:p w:rsidR="009A2624" w:rsidRDefault="009A2624" w:rsidP="009A2624">
      <w:r>
        <w:t>&lt;ESMA_QUESTION_DP_BMR_62&gt;</w:t>
      </w:r>
    </w:p>
    <w:p w:rsidR="009A2624" w:rsidRDefault="009A2624" w:rsidP="009A2624">
      <w:permStart w:id="707535764" w:edGrp="everyone"/>
      <w:r>
        <w:t>TYPE YOUR TEXT HERE</w:t>
      </w:r>
    </w:p>
    <w:permEnd w:id="707535764"/>
    <w:p w:rsidR="009A2624" w:rsidRDefault="009A2624" w:rsidP="009A2624">
      <w:r>
        <w:t>&lt;ESMA_QUESTION_DP_BMR_62&gt;</w:t>
      </w:r>
    </w:p>
    <w:p w:rsidR="009A2624" w:rsidRDefault="009A2624" w:rsidP="009A2624"/>
    <w:p w:rsidR="009A2624" w:rsidRPr="007F44BF" w:rsidRDefault="009A2624" w:rsidP="002342EC">
      <w:pPr>
        <w:pStyle w:val="Questionstyle"/>
      </w:pPr>
      <w:r w:rsidRPr="007F44BF">
        <w:t>Do you agree with the proposed criteria for the specific elements of systems and controls as listed in Article 11(2)(a) to (c)?  If not, what should be alternative criteria to substantiate these el</w:t>
      </w:r>
      <w:r w:rsidRPr="007F44BF">
        <w:t>e</w:t>
      </w:r>
      <w:r w:rsidRPr="007F44BF">
        <w:t xml:space="preserve">ments? </w:t>
      </w:r>
    </w:p>
    <w:p w:rsidR="009A2624" w:rsidRDefault="009A2624" w:rsidP="009A2624">
      <w:r>
        <w:t>&lt;ESMA_QUESTION_DP_BMR_63&gt;</w:t>
      </w:r>
    </w:p>
    <w:p w:rsidR="009A2624" w:rsidRDefault="009A2624" w:rsidP="009A2624">
      <w:permStart w:id="1079780939" w:edGrp="everyone"/>
      <w:r>
        <w:t>TYPE YOUR TEXT HERE</w:t>
      </w:r>
    </w:p>
    <w:permEnd w:id="1079780939"/>
    <w:p w:rsidR="009A2624" w:rsidRDefault="009A2624" w:rsidP="009A2624">
      <w:r>
        <w:t>&lt;ESMA_QUESTION_DP_BMR_63&gt;</w:t>
      </w:r>
    </w:p>
    <w:p w:rsidR="009A2624" w:rsidRDefault="009A2624" w:rsidP="009A2624"/>
    <w:p w:rsidR="009A2624" w:rsidRPr="007F44BF" w:rsidRDefault="009A2624" w:rsidP="002342EC">
      <w:pPr>
        <w:pStyle w:val="Questionstyle"/>
      </w:pPr>
      <w:r w:rsidRPr="007F44BF">
        <w:t>Do you agree that the submitters should not be remunerated for the level of their contribution but could be remunerated for the quality of input and their ability to manage the conflicts of interest instead?</w:t>
      </w:r>
    </w:p>
    <w:p w:rsidR="009A2624" w:rsidRDefault="009A2624" w:rsidP="009A2624">
      <w:r>
        <w:t>&lt;ESMA_QUESTION_DP_BMR_64&gt;</w:t>
      </w:r>
    </w:p>
    <w:p w:rsidR="009A2624" w:rsidRDefault="009A2624" w:rsidP="009A2624">
      <w:permStart w:id="964769843" w:edGrp="everyone"/>
      <w:r>
        <w:t>TYPE YOUR TEXT HERE</w:t>
      </w:r>
    </w:p>
    <w:permEnd w:id="964769843"/>
    <w:p w:rsidR="009A2624" w:rsidRDefault="009A2624" w:rsidP="009A2624">
      <w:r>
        <w:t>&lt;ESMA_QUESTION_DP_BMR_64&gt;</w:t>
      </w:r>
    </w:p>
    <w:p w:rsidR="009A2624" w:rsidRDefault="009A2624" w:rsidP="009A2624"/>
    <w:p w:rsidR="009A2624" w:rsidRPr="007F44BF" w:rsidRDefault="009A2624" w:rsidP="002342EC">
      <w:pPr>
        <w:pStyle w:val="Questionstyle"/>
      </w:pPr>
      <w:r w:rsidRPr="007F44BF">
        <w:t>What would be a reasonable delay for signing-off on the contribution? What are the reasons that would justify a delay in the sign off?</w:t>
      </w:r>
    </w:p>
    <w:p w:rsidR="009A2624" w:rsidRDefault="009A2624" w:rsidP="009A2624">
      <w:r>
        <w:t>&lt;ESMA_QUESTION_DP_BMR_65&gt;</w:t>
      </w:r>
    </w:p>
    <w:p w:rsidR="009A2624" w:rsidRDefault="009A2624" w:rsidP="009A2624">
      <w:permStart w:id="521427957" w:edGrp="everyone"/>
      <w:r>
        <w:t>TYPE YOUR TEXT HERE</w:t>
      </w:r>
    </w:p>
    <w:permEnd w:id="521427957"/>
    <w:p w:rsidR="009A2624" w:rsidRDefault="009A2624" w:rsidP="009A2624">
      <w:r>
        <w:t>&lt;ESMA_QUESTION_DP_BMR_65&gt;</w:t>
      </w:r>
    </w:p>
    <w:p w:rsidR="009A2624" w:rsidRDefault="009A2624" w:rsidP="009A2624"/>
    <w:p w:rsidR="009A2624" w:rsidRPr="007F44BF" w:rsidRDefault="009A2624" w:rsidP="002342EC">
      <w:pPr>
        <w:pStyle w:val="Questionstyle"/>
      </w:pPr>
      <w:r w:rsidRPr="007F44BF">
        <w:t>Is the mentioned delay an element that may be established by the administrator in line with the applicable methodology and in consideration of the underlying, of the type of input data and of supervised contributors?</w:t>
      </w:r>
      <w:r w:rsidRPr="007F44BF" w:rsidDel="00866898">
        <w:t xml:space="preserve"> </w:t>
      </w:r>
    </w:p>
    <w:p w:rsidR="009A2624" w:rsidRDefault="009A2624" w:rsidP="009A2624">
      <w:r>
        <w:t>&lt;ESMA_QUESTION_DP_BMR_66&gt;</w:t>
      </w:r>
    </w:p>
    <w:p w:rsidR="009A2624" w:rsidRDefault="009A2624" w:rsidP="009A2624">
      <w:permStart w:id="2133265214" w:edGrp="everyone"/>
      <w:r>
        <w:t>TYPE YOUR TEXT HERE</w:t>
      </w:r>
    </w:p>
    <w:permEnd w:id="2133265214"/>
    <w:p w:rsidR="009A2624" w:rsidRDefault="009A2624" w:rsidP="009A2624">
      <w:r>
        <w:t>&lt;ESMA_QUESTION_DP_BMR_66&gt;</w:t>
      </w:r>
    </w:p>
    <w:p w:rsidR="009A2624" w:rsidRDefault="009A2624" w:rsidP="009A2624"/>
    <w:p w:rsidR="009A2624" w:rsidRPr="007F44BF" w:rsidRDefault="009A2624" w:rsidP="002342EC">
      <w:pPr>
        <w:pStyle w:val="Questionstyle"/>
      </w:pPr>
      <w:r w:rsidRPr="007F44BF">
        <w:t xml:space="preserve">In case of a contribution made through an automated process what should be the adequate level of seniority for signing-off? </w:t>
      </w:r>
    </w:p>
    <w:p w:rsidR="009A2624" w:rsidRDefault="009A2624" w:rsidP="009A2624">
      <w:r>
        <w:t>&lt;ESMA_QUESTION_DP_BMR_67&gt;</w:t>
      </w:r>
    </w:p>
    <w:p w:rsidR="009A2624" w:rsidRDefault="009A2624" w:rsidP="009A2624">
      <w:permStart w:id="1399471399" w:edGrp="everyone"/>
      <w:r>
        <w:t>TYPE YOUR TEXT HERE</w:t>
      </w:r>
    </w:p>
    <w:permEnd w:id="1399471399"/>
    <w:p w:rsidR="009A2624" w:rsidRDefault="009A2624" w:rsidP="009A2624">
      <w:r>
        <w:t>&lt;ESMA_QUESTION_DP_BMR_67&gt;</w:t>
      </w:r>
    </w:p>
    <w:p w:rsidR="009A2624" w:rsidRDefault="009A2624" w:rsidP="009A2624"/>
    <w:p w:rsidR="009A2624" w:rsidRPr="007F44BF" w:rsidRDefault="009A2624" w:rsidP="002342EC">
      <w:pPr>
        <w:pStyle w:val="Questionstyle"/>
      </w:pPr>
      <w:r w:rsidRPr="007F44BF">
        <w:t xml:space="preserve">Do you agree with the above policies? Are there any other policies that should be in place at contributor’s level when expert judgement is used? </w:t>
      </w:r>
    </w:p>
    <w:p w:rsidR="009A2624" w:rsidRDefault="009A2624" w:rsidP="009A2624">
      <w:r>
        <w:t>&lt;ESMA_QUESTION_DP_BMR_68&gt;</w:t>
      </w:r>
    </w:p>
    <w:p w:rsidR="009A2624" w:rsidRDefault="009A2624" w:rsidP="009A2624">
      <w:permStart w:id="1182747460" w:edGrp="everyone"/>
      <w:r>
        <w:t>TYPE YOUR TEXT HERE</w:t>
      </w:r>
    </w:p>
    <w:permEnd w:id="1182747460"/>
    <w:p w:rsidR="009A2624" w:rsidRDefault="009A2624" w:rsidP="009A2624">
      <w:r>
        <w:t>&lt;ESMA_QUESTION_DP_BMR_68&gt;</w:t>
      </w:r>
    </w:p>
    <w:p w:rsidR="009A2624" w:rsidRDefault="009A2624" w:rsidP="009A2624"/>
    <w:p w:rsidR="009A2624" w:rsidRPr="007F44BF" w:rsidRDefault="009A2624" w:rsidP="002342EC">
      <w:pPr>
        <w:pStyle w:val="Questionstyle"/>
      </w:pPr>
      <w:r w:rsidRPr="007F44BF">
        <w:t>Do you agree with this approach? If so, what do you think are the main distinctions – amid the identified detailed measures that a supervised contributor will be required to put in place - that it is possible to introduce to cater for the different types, characteristics of benchmarks and of supervised contributors?</w:t>
      </w:r>
    </w:p>
    <w:p w:rsidR="009A2624" w:rsidRDefault="009A2624" w:rsidP="009A2624">
      <w:r>
        <w:t>&lt;ESMA_QUESTION_DP_BMR_69&gt;</w:t>
      </w:r>
    </w:p>
    <w:p w:rsidR="009A2624" w:rsidRDefault="009A2624" w:rsidP="009A2624">
      <w:permStart w:id="1153837720" w:edGrp="everyone"/>
      <w:r>
        <w:t>TYPE YOUR TEXT HERE</w:t>
      </w:r>
    </w:p>
    <w:permEnd w:id="1153837720"/>
    <w:p w:rsidR="009A2624" w:rsidRDefault="009A2624" w:rsidP="009A2624">
      <w:r>
        <w:t>&lt;ESMA_QUESTION_DP_BMR_69&gt;</w:t>
      </w:r>
    </w:p>
    <w:p w:rsidR="009A2624" w:rsidRDefault="009A2624" w:rsidP="009A2624"/>
    <w:p w:rsidR="009A2624" w:rsidRPr="007F44BF" w:rsidRDefault="009A2624" w:rsidP="002342EC">
      <w:pPr>
        <w:pStyle w:val="Questionstyle"/>
      </w:pPr>
      <w:r w:rsidRPr="007F44BF">
        <w:t xml:space="preserve">Do you foresee additional costs to your business or, if you are not a supervised contributor, to the business of others resulting from the implementation of any of the listed requirements? Please describe the nature, and where possible provide estimates, of these costs. </w:t>
      </w:r>
    </w:p>
    <w:p w:rsidR="009A2624" w:rsidRDefault="009A2624" w:rsidP="009A2624">
      <w:r>
        <w:t>&lt;ESMA_QUESTION_DP_BMR_70&gt;</w:t>
      </w:r>
    </w:p>
    <w:p w:rsidR="009A2624" w:rsidRDefault="009A2624" w:rsidP="009A2624">
      <w:permStart w:id="1798837244" w:edGrp="everyone"/>
      <w:r>
        <w:t>TYPE YOUR TEXT HERE</w:t>
      </w:r>
    </w:p>
    <w:permEnd w:id="1798837244"/>
    <w:p w:rsidR="009A2624" w:rsidRDefault="009A2624" w:rsidP="009A2624">
      <w:r>
        <w:t>&lt;ESMA_QUESTION_DP_BMR_70&gt;</w:t>
      </w:r>
    </w:p>
    <w:p w:rsidR="009A2624" w:rsidRDefault="009A2624" w:rsidP="009A2624"/>
    <w:p w:rsidR="009A2624" w:rsidRPr="007F44BF" w:rsidRDefault="009A2624" w:rsidP="002342EC">
      <w:pPr>
        <w:pStyle w:val="Questionstyle"/>
      </w:pPr>
      <w:r w:rsidRPr="007F44BF">
        <w:t>Could the approach proposed, i.e. the use of the field total issued nominal amount in the context of MiFIR / MAR reference data, be used for the assessment of the  “nominal amount” under BMR Article 13(1)(i) for bonds, other forms of securitised debt and money-market instruments? If not, please suggest alternative approaches</w:t>
      </w:r>
    </w:p>
    <w:p w:rsidR="009A2624" w:rsidRDefault="009A2624" w:rsidP="009A2624">
      <w:r>
        <w:t>&lt;ESMA_QUESTION_DP_BMR_71&gt;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975897294" w:edGrp="everyone"/>
      <w:r w:rsidRPr="00AE4D91">
        <w:rPr>
          <w:rFonts w:ascii="Helvetica" w:hAnsi="Helvetica" w:cs="Helvetica"/>
          <w:bCs/>
          <w:color w:val="000000"/>
          <w:sz w:val="22"/>
          <w:szCs w:val="22"/>
          <w:lang w:eastAsia="en-GB"/>
        </w:rPr>
        <w:t>There are a number of issues associated with this approach.  MiFID II and MiFIR are not e</w:t>
      </w:r>
      <w:r w:rsidRPr="00AE4D91">
        <w:rPr>
          <w:rFonts w:ascii="Helvetica" w:hAnsi="Helvetica" w:cs="Helvetica"/>
          <w:bCs/>
          <w:color w:val="000000"/>
          <w:sz w:val="22"/>
          <w:szCs w:val="22"/>
          <w:lang w:eastAsia="en-GB"/>
        </w:rPr>
        <w:t>x</w:t>
      </w:r>
      <w:r w:rsidRPr="00AE4D91">
        <w:rPr>
          <w:rFonts w:ascii="Helvetica" w:hAnsi="Helvetica" w:cs="Helvetica"/>
          <w:bCs/>
          <w:color w:val="000000"/>
          <w:sz w:val="22"/>
          <w:szCs w:val="22"/>
          <w:lang w:eastAsia="en-GB"/>
        </w:rPr>
        <w:t>pected to be introduced until 3 January 2018 and therefore reporting under this regime will not commence until that date. Whilst MAR is due to come into force in July 2016, the relevant repor</w:t>
      </w:r>
      <w:r w:rsidRPr="00AE4D91">
        <w:rPr>
          <w:rFonts w:ascii="Helvetica" w:hAnsi="Helvetica" w:cs="Helvetica"/>
          <w:bCs/>
          <w:color w:val="000000"/>
          <w:sz w:val="22"/>
          <w:szCs w:val="22"/>
          <w:lang w:eastAsia="en-GB"/>
        </w:rPr>
        <w:t>t</w:t>
      </w:r>
      <w:r w:rsidRPr="00AE4D91">
        <w:rPr>
          <w:rFonts w:ascii="Helvetica" w:hAnsi="Helvetica" w:cs="Helvetica"/>
          <w:bCs/>
          <w:color w:val="000000"/>
          <w:sz w:val="22"/>
          <w:szCs w:val="22"/>
          <w:lang w:eastAsia="en-GB"/>
        </w:rPr>
        <w:t>ing obligations have already been identified as posing material concerns for regulators and it is therefore expected that they will not come into force on this date. Whilst the implementation date for the Benchmarks Regulation remains unconfirmed we understand that it is likely to come into force towards the end of 2017 or early 2018.  Therefore it remains a question of practicality as to how ESMA would collate sufficient information to determine which benchmarks should be cat</w:t>
      </w:r>
      <w:r w:rsidRPr="00AE4D91">
        <w:rPr>
          <w:rFonts w:ascii="Helvetica" w:hAnsi="Helvetica" w:cs="Helvetica"/>
          <w:bCs/>
          <w:color w:val="000000"/>
          <w:sz w:val="22"/>
          <w:szCs w:val="22"/>
          <w:lang w:eastAsia="en-GB"/>
        </w:rPr>
        <w:t>e</w:t>
      </w:r>
      <w:r w:rsidRPr="00AE4D91">
        <w:rPr>
          <w:rFonts w:ascii="Helvetica" w:hAnsi="Helvetica" w:cs="Helvetica"/>
          <w:bCs/>
          <w:color w:val="000000"/>
          <w:sz w:val="22"/>
          <w:szCs w:val="22"/>
          <w:lang w:eastAsia="en-GB"/>
        </w:rPr>
        <w:t>gorised as “critical” under this test in time for the implementation of the regulation.  This is of particular relevance in light of the calls for the obligations on critical benchmark administrators and submitters to critical benchmarks to apply immediately following the introduction of the Regulation.</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However, if ESMA is able to overcome this issue – for example through appropriate transitional provisions whereby the relevant provisions under the Benchmarks Regulation would not come into force until such time as ESMA has enough information to correctly categorise the relevant benchmarks then we believe that this suggestions could prove workable.</w:t>
      </w:r>
    </w:p>
    <w:permEnd w:id="975897294"/>
    <w:p w:rsidR="009A2624" w:rsidRDefault="009A2624" w:rsidP="009A2624">
      <w:r>
        <w:t>&lt;ESMA_QUESTION_DP_BMR_71&gt;</w:t>
      </w:r>
    </w:p>
    <w:p w:rsidR="009A2624" w:rsidRDefault="009A2624" w:rsidP="009A2624"/>
    <w:p w:rsidR="009A2624" w:rsidRPr="007F44BF" w:rsidRDefault="009A2624" w:rsidP="002342EC">
      <w:pPr>
        <w:pStyle w:val="Questionstyle"/>
      </w:pPr>
      <w:r>
        <w:t xml:space="preserve">Are you aware of any </w:t>
      </w:r>
      <w:r w:rsidRPr="00520FE9">
        <w:t>shares in companies,</w:t>
      </w:r>
      <w:r>
        <w:t xml:space="preserve"> </w:t>
      </w:r>
      <w:r w:rsidRPr="00520FE9">
        <w:t>other securities equivalent to shares in companies, partnerships or other entities,</w:t>
      </w:r>
      <w:r>
        <w:t xml:space="preserve"> </w:t>
      </w:r>
      <w:r w:rsidRPr="00520FE9">
        <w:t>depositary receipts in respect of shares,</w:t>
      </w:r>
      <w:r>
        <w:t xml:space="preserve"> </w:t>
      </w:r>
      <w:r w:rsidRPr="00520FE9">
        <w:t xml:space="preserve">emission allowances </w:t>
      </w:r>
      <w:r w:rsidRPr="007F44BF">
        <w:t>for which a benchmark</w:t>
      </w:r>
      <w:r w:rsidRPr="007F44BF" w:rsidDel="00452693">
        <w:t xml:space="preserve"> </w:t>
      </w:r>
      <w:r w:rsidRPr="007F44BF">
        <w:t xml:space="preserve">is used as a reference? </w:t>
      </w:r>
    </w:p>
    <w:p w:rsidR="009A2624" w:rsidRDefault="009A2624" w:rsidP="009A2624">
      <w:r>
        <w:t>&lt;ESMA_QUESTION_DP_BMR_72&gt;</w:t>
      </w:r>
    </w:p>
    <w:p w:rsidR="009A2624" w:rsidRDefault="009A2624" w:rsidP="009A2624">
      <w:permStart w:id="1742228687" w:edGrp="everyone"/>
      <w:r>
        <w:t>TYPE YOUR TEXT HERE</w:t>
      </w:r>
    </w:p>
    <w:permEnd w:id="1742228687"/>
    <w:p w:rsidR="009A2624" w:rsidRDefault="009A2624" w:rsidP="009A2624">
      <w:r>
        <w:t>&lt;ESMA_QUESTION_DP_BMR_72&gt;</w:t>
      </w:r>
    </w:p>
    <w:p w:rsidR="009A2624" w:rsidRDefault="009A2624" w:rsidP="009A2624"/>
    <w:p w:rsidR="009A2624" w:rsidRPr="007F44BF" w:rsidRDefault="009A2624" w:rsidP="002342EC">
      <w:pPr>
        <w:pStyle w:val="Questionstyle"/>
      </w:pPr>
      <w:r w:rsidRPr="007F44BF">
        <w:t>Do you have any suggestion for defining the assessment of the nominal amount of these fina</w:t>
      </w:r>
      <w:r w:rsidRPr="007F44BF">
        <w:t>n</w:t>
      </w:r>
      <w:r w:rsidRPr="007F44BF">
        <w:t>cial instruments when they refer to a benchmark?</w:t>
      </w:r>
    </w:p>
    <w:p w:rsidR="009A2624" w:rsidRDefault="009A2624" w:rsidP="009A2624">
      <w:r>
        <w:t>&lt;ESMA_QUESTION_DP_BMR_73&gt;</w:t>
      </w:r>
    </w:p>
    <w:p w:rsidR="009A2624" w:rsidRDefault="009A2624" w:rsidP="009A2624">
      <w:permStart w:id="1586897730" w:edGrp="everyone"/>
      <w:r>
        <w:t>TYPE YOUR TEXT HERE</w:t>
      </w:r>
    </w:p>
    <w:permEnd w:id="1586897730"/>
    <w:p w:rsidR="009A2624" w:rsidRDefault="009A2624" w:rsidP="009A2624">
      <w:r>
        <w:t>&lt;ESMA_QUESTION_DP_BMR_73&gt;</w:t>
      </w:r>
    </w:p>
    <w:p w:rsidR="009A2624" w:rsidRDefault="009A2624" w:rsidP="009A2624"/>
    <w:p w:rsidR="009A2624" w:rsidRPr="007F44BF" w:rsidRDefault="009A2624" w:rsidP="002342EC">
      <w:pPr>
        <w:pStyle w:val="Questionstyle"/>
      </w:pPr>
      <w:r w:rsidRPr="007F44BF">
        <w:t>Do you agree with ESMA proposal in relation to the value of units in collective investment undertakings? If not, please explain why</w:t>
      </w:r>
    </w:p>
    <w:p w:rsidR="009A2624" w:rsidRDefault="009A2624" w:rsidP="009A2624">
      <w:r>
        <w:t>&lt;ESMA_QUESTION_DP_BMR_74&gt;</w:t>
      </w:r>
    </w:p>
    <w:p w:rsidR="009A2624" w:rsidRDefault="009A2624" w:rsidP="009A2624">
      <w:permStart w:id="783246557" w:edGrp="everyone"/>
      <w:r>
        <w:t>TYPE YOUR TEXT HERE</w:t>
      </w:r>
    </w:p>
    <w:permEnd w:id="783246557"/>
    <w:p w:rsidR="009A2624" w:rsidRDefault="009A2624" w:rsidP="009A2624">
      <w:r>
        <w:t>&lt;ESMA_QUESTION_DP_BMR_74&gt;</w:t>
      </w:r>
    </w:p>
    <w:p w:rsidR="009A2624" w:rsidRDefault="009A2624" w:rsidP="009A2624"/>
    <w:p w:rsidR="009A2624" w:rsidRPr="007F44BF" w:rsidRDefault="009A2624" w:rsidP="002342EC">
      <w:pPr>
        <w:pStyle w:val="Questionstyle"/>
      </w:pPr>
      <w:r w:rsidRPr="007F44BF">
        <w:t>Do you agree with the approach of using the notional amount, as used and defined in the EMIR reporting regime, for the assessment of notional amount of derivatives under BMR Article 13(1)(i)? If not, please suggest alternative approaches.</w:t>
      </w:r>
    </w:p>
    <w:p w:rsidR="009A2624" w:rsidRDefault="009A2624" w:rsidP="009A2624">
      <w:r>
        <w:t>&lt;ESMA_QUESTION_DP_BMR_75&gt;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34810034" w:edGrp="everyone"/>
      <w:r w:rsidRPr="00AE4D91">
        <w:rPr>
          <w:rFonts w:ascii="Helvetica" w:hAnsi="Helvetica" w:cs="Helvetica"/>
          <w:bCs/>
          <w:color w:val="000000"/>
          <w:sz w:val="22"/>
          <w:szCs w:val="22"/>
          <w:lang w:eastAsia="en-GB"/>
        </w:rPr>
        <w:t>Yes we agree with the proposed approach of using the notional amount as defined under the EMIR reporting regime.  We note, however, that for derivative contracts where the notional is calculated using the price of the underlying asset and where such price is only available at the time of settlement then the contract will be valued at the date of the conclusion of the contract.  For certain derivative contracts the date of the conclusion of the contract may be several years in the future and as such a true picture of the value of contracts referencing the benchmark may remain unclear.</w:t>
      </w:r>
    </w:p>
    <w:permEnd w:id="34810034"/>
    <w:p w:rsidR="009A2624" w:rsidRDefault="009A2624" w:rsidP="009A2624">
      <w:r>
        <w:t>&lt;ESMA_QUESTION_DP_BMR_75&gt;</w:t>
      </w:r>
    </w:p>
    <w:p w:rsidR="009A2624" w:rsidRDefault="009A2624" w:rsidP="009A2624"/>
    <w:p w:rsidR="009A2624" w:rsidRPr="007F44BF" w:rsidRDefault="009A2624" w:rsidP="002342EC">
      <w:pPr>
        <w:pStyle w:val="Questionstyle"/>
      </w:pPr>
      <w:r w:rsidRPr="007F44BF">
        <w:t>Which are your views on the two options proposed to assess the net asset value of investment funds? Should you have a preference for an alternative option, please provide details and explain the reasons for your preference.</w:t>
      </w:r>
    </w:p>
    <w:p w:rsidR="009A2624" w:rsidRDefault="009A2624" w:rsidP="009A2624">
      <w:r>
        <w:t>&lt;ESMA_QUESTION_DP_BMR_76&gt;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1138771537" w:edGrp="everyone"/>
      <w:r w:rsidRPr="00AE4D91">
        <w:rPr>
          <w:rFonts w:ascii="Helvetica" w:hAnsi="Helvetica" w:cs="Helvetica"/>
          <w:bCs/>
          <w:color w:val="000000"/>
          <w:sz w:val="22"/>
          <w:szCs w:val="22"/>
          <w:lang w:eastAsia="en-GB"/>
        </w:rPr>
        <w:t>The two options both seem to present concerns and potential inaccuracies</w:t>
      </w:r>
      <w:r w:rsidR="001111D8">
        <w:rPr>
          <w:rFonts w:ascii="Helvetica" w:hAnsi="Helvetica" w:cs="Helvetica"/>
          <w:bCs/>
          <w:color w:val="000000"/>
          <w:sz w:val="22"/>
          <w:szCs w:val="22"/>
          <w:lang w:eastAsia="en-GB"/>
        </w:rPr>
        <w:t xml:space="preserve"> which ESMA has identified in its paper</w:t>
      </w:r>
      <w:r w:rsidRPr="00AE4D91">
        <w:rPr>
          <w:rFonts w:ascii="Helvetica" w:hAnsi="Helvetica" w:cs="Helvetica"/>
          <w:bCs/>
          <w:color w:val="000000"/>
          <w:sz w:val="22"/>
          <w:szCs w:val="22"/>
          <w:lang w:eastAsia="en-GB"/>
        </w:rPr>
        <w:t>.  We believe, howev</w:t>
      </w:r>
      <w:r w:rsidR="001111D8">
        <w:rPr>
          <w:rFonts w:ascii="Helvetica" w:hAnsi="Helvetica" w:cs="Helvetica"/>
          <w:bCs/>
          <w:color w:val="000000"/>
          <w:sz w:val="22"/>
          <w:szCs w:val="22"/>
          <w:lang w:eastAsia="en-GB"/>
        </w:rPr>
        <w:t>e</w:t>
      </w:r>
      <w:r w:rsidRPr="00AE4D91">
        <w:rPr>
          <w:rFonts w:ascii="Helvetica" w:hAnsi="Helvetica" w:cs="Helvetica"/>
          <w:bCs/>
          <w:color w:val="000000"/>
          <w:sz w:val="22"/>
          <w:szCs w:val="22"/>
          <w:lang w:eastAsia="en-GB"/>
        </w:rPr>
        <w:t>r, that given the AIFMD applies based on valuations provided by the relevant AIFM, it would be more appropriate to rely on the first option – to use the valuations published under the AIFMD and UCITS.</w:t>
      </w:r>
    </w:p>
    <w:permEnd w:id="1138771537"/>
    <w:p w:rsidR="009A2624" w:rsidRDefault="009A2624" w:rsidP="009A2624">
      <w:r>
        <w:t>&lt;ESMA_QUESTION_DP_BMR_76&gt;</w:t>
      </w:r>
    </w:p>
    <w:p w:rsidR="009A2624" w:rsidRDefault="009A2624" w:rsidP="009A2624"/>
    <w:p w:rsidR="009A2624" w:rsidRPr="007F44BF" w:rsidRDefault="009A2624" w:rsidP="002342EC">
      <w:pPr>
        <w:pStyle w:val="Questionstyle"/>
      </w:pPr>
      <w:r w:rsidRPr="007F44BF">
        <w:t xml:space="preserve">Which are your views on the two approaches proposed to assess the </w:t>
      </w:r>
      <w:r w:rsidRPr="00DB2E46">
        <w:t>nominal amount of fina</w:t>
      </w:r>
      <w:r w:rsidRPr="00DB2E46">
        <w:t>n</w:t>
      </w:r>
      <w:r w:rsidRPr="00DB2E46">
        <w:t xml:space="preserve">cial instruments other than derivatives, the notional amount of derivatives </w:t>
      </w:r>
      <w:r>
        <w:t xml:space="preserve">and the </w:t>
      </w:r>
      <w:r w:rsidRPr="007F44BF">
        <w:t xml:space="preserve">net asset value of an investment fund referencing a benchmark within a combination of </w:t>
      </w:r>
      <w:r>
        <w:t>benchmarks</w:t>
      </w:r>
      <w:r w:rsidRPr="007F44BF">
        <w:t>? Please provide details and explain the reasons for your preference. Do you think there are other possible approaches? If yes, please explain.</w:t>
      </w:r>
    </w:p>
    <w:p w:rsidR="009A2624" w:rsidRDefault="009A2624" w:rsidP="009A2624">
      <w:r>
        <w:t>&lt;ESMA_QUESTION_DP_BMR_77&gt;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880358507" w:edGrp="everyone"/>
      <w:r w:rsidRPr="00AE4D91">
        <w:rPr>
          <w:rFonts w:ascii="Helvetica" w:hAnsi="Helvetica" w:cs="Helvetica"/>
          <w:bCs/>
          <w:color w:val="000000"/>
          <w:sz w:val="22"/>
          <w:szCs w:val="22"/>
          <w:lang w:eastAsia="en-GB"/>
        </w:rPr>
        <w:t xml:space="preserve">We agree with the first proposal – that only a portion of the nominal amount of the financial instrument or notional amount of the derivative should be taken into account.  This will ensure that the application of the obligations under the Benchmarks Regulation can remain appropriate </w:t>
      </w:r>
      <w:r w:rsidRPr="00AE4D91">
        <w:rPr>
          <w:rFonts w:ascii="Helvetica" w:hAnsi="Helvetica" w:cs="Helvetica"/>
          <w:bCs/>
          <w:color w:val="000000"/>
          <w:sz w:val="22"/>
          <w:szCs w:val="22"/>
          <w:lang w:eastAsia="en-GB"/>
        </w:rPr>
        <w:lastRenderedPageBreak/>
        <w:t>and will take into account only the true value of financial instruments or derivatives relying on the relevant benchmark.</w:t>
      </w:r>
    </w:p>
    <w:permEnd w:id="880358507"/>
    <w:p w:rsidR="009A2624" w:rsidRDefault="009A2624" w:rsidP="009A2624">
      <w:r>
        <w:t>&lt;ESMA_QUESTION_DP_BMR_77&gt;</w:t>
      </w:r>
    </w:p>
    <w:p w:rsidR="009A2624" w:rsidRDefault="009A2624" w:rsidP="009A2624"/>
    <w:p w:rsidR="009A2624" w:rsidRPr="007F44BF" w:rsidRDefault="009A2624" w:rsidP="002342EC">
      <w:pPr>
        <w:pStyle w:val="Questionstyle"/>
      </w:pPr>
      <w:r w:rsidRPr="007F44BF">
        <w:rPr>
          <w:bCs/>
          <w:iCs/>
        </w:rPr>
        <w:t xml:space="preserve">Do you agree with the ‘relative impact’ approach, i.e. define one or more value and “ratios” for each of the five areas (markets integrity; or financial stability; or consumers; or the real economy; or the financing of households and corporations) that need to be assessed according to </w:t>
      </w:r>
      <w:r w:rsidRPr="007F44BF">
        <w:t>Article 13(1)(c), subparagraph (iii)? If not, please elaborate on other options that you consider more suitable.</w:t>
      </w:r>
    </w:p>
    <w:p w:rsidR="009A2624" w:rsidRDefault="009A2624" w:rsidP="009A2624">
      <w:r>
        <w:t>&lt;ESMA_QUESTION_DP_BMR_78&gt;</w:t>
      </w:r>
    </w:p>
    <w:p w:rsidR="00AE4D91" w:rsidRPr="00AE4D91" w:rsidRDefault="00AE4D91" w:rsidP="00AE4D91">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896488160" w:edGrp="everyone"/>
      <w:r w:rsidRPr="00AE4D91">
        <w:rPr>
          <w:rFonts w:ascii="Helvetica" w:hAnsi="Helvetica" w:cs="Helvetica"/>
          <w:bCs/>
          <w:color w:val="000000"/>
          <w:sz w:val="22"/>
          <w:szCs w:val="22"/>
          <w:lang w:eastAsia="en-GB"/>
        </w:rPr>
        <w:t>We agree with the proposed approach and believe that subject to its appropriate calibration, this should offer a proportionate methodology for assessing whether the third limb of the qualitative test is satisfied and the benchmark can be appropriately classified as critical.</w:t>
      </w:r>
    </w:p>
    <w:p w:rsidR="00AE4D91" w:rsidRPr="00AE4D91" w:rsidRDefault="00AE4D91" w:rsidP="00AE4D91">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Given the implications of being classified as a critical benchmark, it is of vital importance that the relevant assessment is sufficiently defined and robust so that it does not yield different results following each biennial reassessment.  We therefore fully support ESMA’s view that the a</w:t>
      </w:r>
      <w:r w:rsidRPr="00AE4D91">
        <w:rPr>
          <w:rFonts w:ascii="Helvetica" w:hAnsi="Helvetica" w:cs="Helvetica"/>
          <w:bCs/>
          <w:color w:val="000000"/>
          <w:sz w:val="22"/>
          <w:szCs w:val="22"/>
          <w:lang w:eastAsia="en-GB"/>
        </w:rPr>
        <w:t>p</w:t>
      </w:r>
      <w:r w:rsidRPr="00AE4D91">
        <w:rPr>
          <w:rFonts w:ascii="Helvetica" w:hAnsi="Helvetica" w:cs="Helvetica"/>
          <w:bCs/>
          <w:color w:val="000000"/>
          <w:sz w:val="22"/>
          <w:szCs w:val="22"/>
          <w:lang w:eastAsia="en-GB"/>
        </w:rPr>
        <w:t>proach for the test should be relative rather than absolute.  This is of particular importance given that the relevant limb of the qualitative test is intended to measure the impact of a potential, unquantifiable and unknown event.  Whilst the results of cessation or unreliability can be h</w:t>
      </w:r>
      <w:r w:rsidRPr="00AE4D91">
        <w:rPr>
          <w:rFonts w:ascii="Helvetica" w:hAnsi="Helvetica" w:cs="Helvetica"/>
          <w:bCs/>
          <w:color w:val="000000"/>
          <w:sz w:val="22"/>
          <w:szCs w:val="22"/>
          <w:lang w:eastAsia="en-GB"/>
        </w:rPr>
        <w:t>y</w:t>
      </w:r>
      <w:r w:rsidRPr="00AE4D91">
        <w:rPr>
          <w:rFonts w:ascii="Helvetica" w:hAnsi="Helvetica" w:cs="Helvetica"/>
          <w:bCs/>
          <w:color w:val="000000"/>
          <w:sz w:val="22"/>
          <w:szCs w:val="22"/>
          <w:lang w:eastAsia="en-GB"/>
        </w:rPr>
        <w:t xml:space="preserve">pothesised, they cannot be known or measured.  This means that the assessment must ensure with a high level of certainty that the risks associated with a particular benchmark are sufficiently undeniable as to be able to predict the expected results.  </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We believe that the suggested ratios are appropriate but should be subject to significant further refinement which we believe could be appropriately done through bilateral discussion between benchmark administrators and national regulators.  In addition, it remains unclear how the va</w:t>
      </w:r>
      <w:r w:rsidRPr="00AE4D91">
        <w:rPr>
          <w:rFonts w:ascii="Helvetica" w:hAnsi="Helvetica" w:cs="Helvetica"/>
          <w:bCs/>
          <w:color w:val="000000"/>
          <w:sz w:val="22"/>
          <w:szCs w:val="22"/>
          <w:lang w:eastAsia="en-GB"/>
        </w:rPr>
        <w:t>l</w:t>
      </w:r>
      <w:r w:rsidRPr="00AE4D91">
        <w:rPr>
          <w:rFonts w:ascii="Helvetica" w:hAnsi="Helvetica" w:cs="Helvetica"/>
          <w:bCs/>
          <w:color w:val="000000"/>
          <w:sz w:val="22"/>
          <w:szCs w:val="22"/>
          <w:lang w:eastAsia="en-GB"/>
        </w:rPr>
        <w:t>ues suggested will be calculated and we therefore seek further clarification on whether these values will simply follow those relied on for the quantitative test (which could lead to duplication of errors) or whether independent analysis will be conducted in order to take account of the increased scope of the assessment.</w:t>
      </w:r>
    </w:p>
    <w:permEnd w:id="896488160"/>
    <w:p w:rsidR="009A2624" w:rsidRDefault="009A2624" w:rsidP="009A2624">
      <w:r>
        <w:t>&lt;ESMA_QUESTION_DP_BMR_78&gt;</w:t>
      </w:r>
    </w:p>
    <w:p w:rsidR="009A2624" w:rsidRDefault="009A2624" w:rsidP="009A2624"/>
    <w:p w:rsidR="009A2624" w:rsidRPr="007F44BF" w:rsidRDefault="009A2624" w:rsidP="002342EC">
      <w:pPr>
        <w:pStyle w:val="Questionstyle"/>
        <w:rPr>
          <w:bCs/>
          <w:iCs/>
        </w:rPr>
      </w:pPr>
      <w:r w:rsidRPr="007F44BF">
        <w:t xml:space="preserve">What kind of other objective grounds could be used to assess the potential impact of the discontinuity or unreliability of the benchmark besides the ones mentioned above (e.g. GDP, consumer credit agreement etc.)? </w:t>
      </w:r>
    </w:p>
    <w:p w:rsidR="009A2624" w:rsidRDefault="009A2624" w:rsidP="009A2624">
      <w:r>
        <w:t>&lt;ESMA_QUESTION_DP_BMR_79&gt;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499848517" w:edGrp="everyone"/>
      <w:r w:rsidRPr="00AE4D91">
        <w:rPr>
          <w:rFonts w:ascii="Helvetica" w:hAnsi="Helvetica" w:cs="Helvetica"/>
          <w:bCs/>
          <w:color w:val="000000"/>
          <w:sz w:val="22"/>
          <w:szCs w:val="22"/>
          <w:lang w:eastAsia="en-GB"/>
        </w:rPr>
        <w:t>As noted above, there is a material concern in imposing onerous obligations on benchmark administrators and submitters based on unknown and unmeasurable hypotheses.  Therefore the objective grounds on which any assessment is made must be reasonable and plausible.  This means that the grounds must be limited to those which could be in the reasonable expectation of the regulators when seeking to impose the “critical benchmark” obligations on administrators and submitters. We believe that it may be appropriate to consider whether the cessation or unreliabi</w:t>
      </w:r>
      <w:r w:rsidRPr="00AE4D91">
        <w:rPr>
          <w:rFonts w:ascii="Helvetica" w:hAnsi="Helvetica" w:cs="Helvetica"/>
          <w:bCs/>
          <w:color w:val="000000"/>
          <w:sz w:val="22"/>
          <w:szCs w:val="22"/>
          <w:lang w:eastAsia="en-GB"/>
        </w:rPr>
        <w:t>l</w:t>
      </w:r>
      <w:r w:rsidRPr="00AE4D91">
        <w:rPr>
          <w:rFonts w:ascii="Helvetica" w:hAnsi="Helvetica" w:cs="Helvetica"/>
          <w:bCs/>
          <w:color w:val="000000"/>
          <w:sz w:val="22"/>
          <w:szCs w:val="22"/>
          <w:lang w:eastAsia="en-GB"/>
        </w:rPr>
        <w:t>ity of a benchmark would cause any market infrastructure providers to suffer financial detriment to the extent that they would be unable to continue meeting their regulatory capital obligations.</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In addition, ESMA should also consider the potential consequences of defining a benchmark as critical and imposing the critical benchmark obligations on the administrator and contributors.  For example, if the classification of a benchmark as “critical” causes a sufficient number of su</w:t>
      </w:r>
      <w:r w:rsidRPr="00AE4D91">
        <w:rPr>
          <w:rFonts w:ascii="Helvetica" w:hAnsi="Helvetica" w:cs="Helvetica"/>
          <w:bCs/>
          <w:color w:val="000000"/>
          <w:sz w:val="22"/>
          <w:szCs w:val="22"/>
          <w:lang w:eastAsia="en-GB"/>
        </w:rPr>
        <w:t>b</w:t>
      </w:r>
      <w:r w:rsidRPr="00AE4D91">
        <w:rPr>
          <w:rFonts w:ascii="Helvetica" w:hAnsi="Helvetica" w:cs="Helvetica"/>
          <w:bCs/>
          <w:color w:val="000000"/>
          <w:sz w:val="22"/>
          <w:szCs w:val="22"/>
          <w:lang w:eastAsia="en-GB"/>
        </w:rPr>
        <w:t xml:space="preserve">mitters to cease contributing input data for fear of the resulting regulatory burden, it should be </w:t>
      </w:r>
      <w:r w:rsidRPr="00AE4D91">
        <w:rPr>
          <w:rFonts w:ascii="Helvetica" w:hAnsi="Helvetica" w:cs="Helvetica"/>
          <w:bCs/>
          <w:color w:val="000000"/>
          <w:sz w:val="22"/>
          <w:szCs w:val="22"/>
          <w:lang w:eastAsia="en-GB"/>
        </w:rPr>
        <w:lastRenderedPageBreak/>
        <w:t>assessed as to whether this would introduce more risk and potential detriment to the market than assessing the benchmark as significant.</w:t>
      </w:r>
    </w:p>
    <w:permEnd w:id="499848517"/>
    <w:p w:rsidR="009A2624" w:rsidRDefault="009A2624" w:rsidP="009A2624">
      <w:r>
        <w:t>&lt;ESMA_QUESTION_DP_BMR_79&gt;</w:t>
      </w:r>
    </w:p>
    <w:p w:rsidR="009A2624" w:rsidRDefault="009A2624" w:rsidP="009A2624"/>
    <w:p w:rsidR="009A2624" w:rsidRPr="007F44BF" w:rsidRDefault="009A2624" w:rsidP="002342EC">
      <w:pPr>
        <w:pStyle w:val="Questionstyle"/>
      </w:pPr>
      <w:r w:rsidRPr="007F44BF">
        <w:t>Do you agree with ESMA’s approach to further define the above criteria? Particularly, do you think that ESMA should develop more concrete guidance for the possible rejection of the NCA under Article 14c para 2? Do you believe that NCAs should take into consideration additional elements in their assessment?</w:t>
      </w:r>
    </w:p>
    <w:p w:rsidR="009A2624" w:rsidRDefault="009A2624" w:rsidP="009A2624">
      <w:r>
        <w:t>&lt;ESMA_QUESTION_DP_BMR_80&gt;</w:t>
      </w:r>
    </w:p>
    <w:p w:rsidR="009A2624" w:rsidRDefault="009A2624" w:rsidP="009A2624">
      <w:permStart w:id="1042819739" w:edGrp="everyone"/>
      <w:r>
        <w:t>TYPE YOUR TEXT HERE</w:t>
      </w:r>
    </w:p>
    <w:permEnd w:id="1042819739"/>
    <w:p w:rsidR="009A2624" w:rsidRDefault="009A2624" w:rsidP="009A2624">
      <w:r>
        <w:t>&lt;ESMA_QUESTION_DP_BMR_80&gt;</w:t>
      </w:r>
    </w:p>
    <w:p w:rsidR="009A2624" w:rsidRDefault="009A2624" w:rsidP="009A2624"/>
    <w:p w:rsidR="009A2624" w:rsidRPr="007F44BF" w:rsidRDefault="009A2624" w:rsidP="002342EC">
      <w:pPr>
        <w:pStyle w:val="Questionstyle"/>
      </w:pPr>
      <w:r w:rsidRPr="007F44BF">
        <w:t>Do you think that the fields identified for the template are sufficient for the competent autho</w:t>
      </w:r>
      <w:r w:rsidRPr="007F44BF">
        <w:t>r</w:t>
      </w:r>
      <w:r w:rsidRPr="007F44BF">
        <w:t>ity and the stakeholders to form an opinion on the representativeness, reliability and integrity of a benchmark, notwithstanding the non-application of some material requirements? Could you suggest additional fields?</w:t>
      </w:r>
    </w:p>
    <w:p w:rsidR="009A2624" w:rsidRDefault="009A2624" w:rsidP="009A2624">
      <w:r>
        <w:t>&lt;ESMA_QUESTION_DP_BMR_81&gt;</w:t>
      </w:r>
    </w:p>
    <w:p w:rsidR="009A2624" w:rsidRDefault="009A2624" w:rsidP="009A2624">
      <w:permStart w:id="2135047124" w:edGrp="everyone"/>
      <w:r>
        <w:t>TYPE YOUR TEXT HERE</w:t>
      </w:r>
    </w:p>
    <w:permEnd w:id="2135047124"/>
    <w:p w:rsidR="009A2624" w:rsidRDefault="009A2624" w:rsidP="009A2624">
      <w:r>
        <w:t>&lt;ESMA_QUESTION_DP_BMR_81&gt;</w:t>
      </w:r>
    </w:p>
    <w:p w:rsidR="009A2624" w:rsidRDefault="009A2624" w:rsidP="009A2624"/>
    <w:p w:rsidR="009A2624" w:rsidRPr="007F44BF" w:rsidRDefault="009A2624" w:rsidP="002342EC">
      <w:pPr>
        <w:pStyle w:val="Questionstyle"/>
      </w:pPr>
      <w:r w:rsidRPr="007F44BF">
        <w:t>Do you agree with the suggested minimum aspects for defining the market or economic reality measured by the benchmark?</w:t>
      </w:r>
    </w:p>
    <w:p w:rsidR="009A2624" w:rsidRDefault="009A2624" w:rsidP="009A2624">
      <w:r>
        <w:t>&lt;ESMA_QUESTION_DP_BMR_82&gt;</w:t>
      </w:r>
    </w:p>
    <w:p w:rsidR="009A2624" w:rsidRDefault="009A2624" w:rsidP="009A2624">
      <w:permStart w:id="1207921359" w:edGrp="everyone"/>
      <w:r>
        <w:t>TYPE YOUR TEXT HERE</w:t>
      </w:r>
    </w:p>
    <w:permEnd w:id="1207921359"/>
    <w:p w:rsidR="009A2624" w:rsidRDefault="009A2624" w:rsidP="009A2624">
      <w:r>
        <w:t>&lt;ESMA_QUESTION_DP_BMR_82&gt;</w:t>
      </w:r>
    </w:p>
    <w:p w:rsidR="009A2624" w:rsidRDefault="009A2624" w:rsidP="009A2624"/>
    <w:p w:rsidR="009A2624" w:rsidRPr="007F44BF" w:rsidRDefault="009A2624" w:rsidP="002342EC">
      <w:pPr>
        <w:pStyle w:val="Questionstyle"/>
      </w:pPr>
      <w:r w:rsidRPr="007F44BF">
        <w:t>Do you think the circumstances under which a benchmark determination may become unreli</w:t>
      </w:r>
      <w:r w:rsidRPr="007F44BF">
        <w:t>a</w:t>
      </w:r>
      <w:r w:rsidRPr="007F44BF">
        <w:t>ble can be sufficiently described by the suggested aspects?</w:t>
      </w:r>
    </w:p>
    <w:p w:rsidR="009A2624" w:rsidRDefault="009A2624" w:rsidP="009A2624">
      <w:r>
        <w:t>&lt;ESMA_QUESTION_DP_BMR_83&gt;</w:t>
      </w:r>
    </w:p>
    <w:p w:rsidR="009A2624" w:rsidRDefault="009A2624" w:rsidP="009A2624">
      <w:permStart w:id="1108821187" w:edGrp="everyone"/>
      <w:r>
        <w:t>TYPE YOUR TEXT HERE</w:t>
      </w:r>
    </w:p>
    <w:permEnd w:id="1108821187"/>
    <w:p w:rsidR="009A2624" w:rsidRDefault="009A2624" w:rsidP="009A2624">
      <w:r>
        <w:t>&lt;ESMA_QUESTION_DP_BMR_83&gt;</w:t>
      </w:r>
    </w:p>
    <w:p w:rsidR="009A2624" w:rsidRDefault="009A2624" w:rsidP="009A2624"/>
    <w:p w:rsidR="009A2624" w:rsidRPr="007F44BF" w:rsidRDefault="009A2624" w:rsidP="002342EC">
      <w:pPr>
        <w:pStyle w:val="Questionstyle"/>
      </w:pPr>
      <w:r w:rsidRPr="007F44BF">
        <w:rPr>
          <w:bCs/>
        </w:rPr>
        <w:t>Do you agree with the minimum information on the exercise of discretion to be included in the benchmark statement?</w:t>
      </w:r>
    </w:p>
    <w:p w:rsidR="009A2624" w:rsidRDefault="009A2624" w:rsidP="009A2624">
      <w:r>
        <w:t>&lt;ESMA_QUESTION_DP_BMR_84&gt;</w:t>
      </w:r>
    </w:p>
    <w:p w:rsidR="009A2624" w:rsidRDefault="009A2624" w:rsidP="009A2624">
      <w:permStart w:id="2098807108" w:edGrp="everyone"/>
      <w:r>
        <w:t>TYPE YOUR TEXT HERE</w:t>
      </w:r>
    </w:p>
    <w:permEnd w:id="2098807108"/>
    <w:p w:rsidR="009A2624" w:rsidRDefault="009A2624" w:rsidP="009A2624">
      <w:r>
        <w:t>&lt;ESMA_QUESTION_DP_BMR_84&gt;</w:t>
      </w:r>
    </w:p>
    <w:p w:rsidR="009A2624" w:rsidRDefault="009A2624" w:rsidP="009A2624"/>
    <w:p w:rsidR="009A2624" w:rsidRPr="007F44BF" w:rsidRDefault="009A2624" w:rsidP="002342EC">
      <w:pPr>
        <w:pStyle w:val="Questionstyle"/>
        <w:rPr>
          <w:bCs/>
        </w:rPr>
      </w:pPr>
      <w:r w:rsidRPr="007F44BF">
        <w:rPr>
          <w:bCs/>
        </w:rPr>
        <w:t>Are there any further precise minimum contents for a benchmark statement that should apply to each benchmark beyond those stated in Art. 15(2) points (a) to (g) BMR?</w:t>
      </w:r>
    </w:p>
    <w:p w:rsidR="009A2624" w:rsidRDefault="009A2624" w:rsidP="009A2624">
      <w:r>
        <w:t>&lt;ESMA_QUESTION_DP_BMR_85&gt;</w:t>
      </w:r>
    </w:p>
    <w:p w:rsidR="009A2624" w:rsidRDefault="009A2624" w:rsidP="009A2624">
      <w:permStart w:id="459832538" w:edGrp="everyone"/>
      <w:r>
        <w:t>TYPE YOUR TEXT HERE</w:t>
      </w:r>
    </w:p>
    <w:permEnd w:id="459832538"/>
    <w:p w:rsidR="009A2624" w:rsidRDefault="009A2624" w:rsidP="009A2624">
      <w:r>
        <w:t>&lt;ESMA_QUESTION_DP_BMR_85&gt;</w:t>
      </w:r>
    </w:p>
    <w:p w:rsidR="009A2624" w:rsidRDefault="009A2624" w:rsidP="009A2624"/>
    <w:p w:rsidR="009A2624" w:rsidRPr="007F44BF" w:rsidRDefault="009A2624" w:rsidP="002342EC">
      <w:pPr>
        <w:pStyle w:val="Questionstyle"/>
        <w:rPr>
          <w:bCs/>
        </w:rPr>
      </w:pPr>
      <w:r w:rsidRPr="007F44BF">
        <w:rPr>
          <w:bCs/>
        </w:rPr>
        <w:lastRenderedPageBreak/>
        <w:t>Do you agree that a concise description of the additional requirements including references, if any, would be sufficient for the information purposes of the benchmark statement for interest rate benchmarks?</w:t>
      </w:r>
    </w:p>
    <w:p w:rsidR="009A2624" w:rsidRDefault="009A2624" w:rsidP="009A2624">
      <w:r>
        <w:t>&lt;ESMA_QUESTION_DP_BMR_86&gt;</w:t>
      </w:r>
    </w:p>
    <w:p w:rsidR="009A2624" w:rsidRDefault="009A2624" w:rsidP="009A2624">
      <w:permStart w:id="50800321" w:edGrp="everyone"/>
      <w:r>
        <w:t>TYPE YOUR TEXT HERE</w:t>
      </w:r>
    </w:p>
    <w:permEnd w:id="50800321"/>
    <w:p w:rsidR="009A2624" w:rsidRDefault="009A2624" w:rsidP="009A2624">
      <w:r>
        <w:t>&lt;ESMA_QUESTION_DP_BMR_86&gt;</w:t>
      </w:r>
    </w:p>
    <w:p w:rsidR="009A2624" w:rsidRDefault="009A2624" w:rsidP="009A2624"/>
    <w:p w:rsidR="009A2624" w:rsidRPr="007F44BF" w:rsidRDefault="009A2624" w:rsidP="002342EC">
      <w:pPr>
        <w:pStyle w:val="Questionstyle"/>
      </w:pPr>
      <w:r w:rsidRPr="007F44BF">
        <w:t>Do you agree that the statement for commodity benchmarks should be delimited as d</w:t>
      </w:r>
      <w:r w:rsidRPr="007F44BF">
        <w:t>e</w:t>
      </w:r>
      <w:r w:rsidRPr="007F44BF">
        <w:t>scribed? Otherwise, what other information would be essential in your opinion?</w:t>
      </w:r>
    </w:p>
    <w:p w:rsidR="009A2624" w:rsidRDefault="009A2624" w:rsidP="009A2624">
      <w:r>
        <w:t>&lt;ESMA_QUESTION_DP_BMR_87&gt;</w:t>
      </w:r>
    </w:p>
    <w:p w:rsidR="009A2624" w:rsidRDefault="009A2624" w:rsidP="009A2624">
      <w:permStart w:id="1012161196" w:edGrp="everyone"/>
      <w:r>
        <w:t>TYPE YOUR TEXT HERE</w:t>
      </w:r>
    </w:p>
    <w:permEnd w:id="1012161196"/>
    <w:p w:rsidR="009A2624" w:rsidRDefault="009A2624" w:rsidP="009A2624">
      <w:r>
        <w:t>&lt;ESMA_QUESTION_DP_BMR_87&gt;</w:t>
      </w:r>
    </w:p>
    <w:p w:rsidR="009A2624" w:rsidRDefault="009A2624" w:rsidP="009A2624"/>
    <w:p w:rsidR="009A2624" w:rsidRPr="007F44BF" w:rsidRDefault="009A2624" w:rsidP="002342EC">
      <w:pPr>
        <w:pStyle w:val="Questionstyle"/>
        <w:rPr>
          <w:bCs/>
        </w:rPr>
      </w:pPr>
      <w:r w:rsidRPr="007F44BF">
        <w:rPr>
          <w:bCs/>
        </w:rPr>
        <w:t>Do you agree with ESMA's approach not to include further material requirements for the content of benchmark statements regarding regulated-data benchmarks?</w:t>
      </w:r>
    </w:p>
    <w:p w:rsidR="009A2624" w:rsidRDefault="009A2624" w:rsidP="009A2624">
      <w:r>
        <w:t>&lt;ESMA_QUESTION_DP_BMR_88&gt;</w:t>
      </w:r>
    </w:p>
    <w:p w:rsidR="009A2624" w:rsidRDefault="009A2624" w:rsidP="009A2624">
      <w:permStart w:id="137111227" w:edGrp="everyone"/>
      <w:r>
        <w:t>TYPE YOUR TEXT HERE</w:t>
      </w:r>
    </w:p>
    <w:permEnd w:id="137111227"/>
    <w:p w:rsidR="009A2624" w:rsidRDefault="009A2624" w:rsidP="009A2624">
      <w:r>
        <w:t>&lt;ESMA_QUESTION_DP_BMR_88&gt;</w:t>
      </w:r>
    </w:p>
    <w:p w:rsidR="009A2624" w:rsidRDefault="009A2624" w:rsidP="009A2624"/>
    <w:p w:rsidR="009A2624" w:rsidRPr="007F44BF" w:rsidRDefault="009A2624" w:rsidP="002342EC">
      <w:pPr>
        <w:pStyle w:val="Questionstyle"/>
        <w:rPr>
          <w:bCs/>
        </w:rPr>
      </w:pPr>
      <w:r w:rsidRPr="007F44BF">
        <w:rPr>
          <w:bCs/>
        </w:rPr>
        <w:t>Do you agree with the suggested additional content required for statements regarding critical benchmarks? If not, please precise why and indicate what alternative or additional information you consider appropriate in case a benchmark qualifies as critical.</w:t>
      </w:r>
    </w:p>
    <w:p w:rsidR="009A2624" w:rsidRDefault="009A2624" w:rsidP="009A2624">
      <w:r>
        <w:t>&lt;ESMA_QUESTION_DP_BMR_89&gt;</w:t>
      </w:r>
    </w:p>
    <w:p w:rsidR="009A2624" w:rsidRDefault="009A2624" w:rsidP="009A2624">
      <w:permStart w:id="1931025809" w:edGrp="everyone"/>
      <w:r>
        <w:t>TYPE YOUR TEXT HERE</w:t>
      </w:r>
    </w:p>
    <w:permEnd w:id="1931025809"/>
    <w:p w:rsidR="009A2624" w:rsidRDefault="009A2624" w:rsidP="009A2624">
      <w:r>
        <w:t>&lt;ESMA_QUESTION_DP_BMR_89&gt;</w:t>
      </w:r>
    </w:p>
    <w:p w:rsidR="009A2624" w:rsidRDefault="009A2624" w:rsidP="009A2624"/>
    <w:p w:rsidR="009A2624" w:rsidRPr="007F44BF" w:rsidRDefault="009A2624" w:rsidP="002342EC">
      <w:pPr>
        <w:pStyle w:val="Questionstyle"/>
      </w:pPr>
      <w:r w:rsidRPr="007F44BF">
        <w:t>Do you agree with the suggested additional requirements for significant benchmarks? Which of the three options proposed you prefer, and why?</w:t>
      </w:r>
    </w:p>
    <w:p w:rsidR="009A2624" w:rsidRDefault="009A2624" w:rsidP="009A2624">
      <w:r>
        <w:t>&lt;ESMA_QUESTION_DP_BMR_90&gt;</w:t>
      </w:r>
    </w:p>
    <w:p w:rsidR="009A2624" w:rsidRDefault="009A2624" w:rsidP="009A2624">
      <w:permStart w:id="829508694" w:edGrp="everyone"/>
      <w:r>
        <w:t>TYPE YOUR TEXT HERE</w:t>
      </w:r>
    </w:p>
    <w:permEnd w:id="829508694"/>
    <w:p w:rsidR="009A2624" w:rsidRDefault="009A2624" w:rsidP="009A2624">
      <w:r>
        <w:t>&lt;ESMA_QUESTION_DP_BMR_90&gt;</w:t>
      </w:r>
    </w:p>
    <w:p w:rsidR="009A2624" w:rsidRDefault="009A2624" w:rsidP="009A2624"/>
    <w:p w:rsidR="009A2624" w:rsidRPr="007F44BF" w:rsidRDefault="009A2624" w:rsidP="002342EC">
      <w:pPr>
        <w:pStyle w:val="Questionstyle"/>
      </w:pPr>
      <w:r w:rsidRPr="007F44BF">
        <w:t>Do you agree with the suggested additional requirements for non-significant benchmarks? If not, please explain why and indicate what alternative or additional information you consider appr</w:t>
      </w:r>
      <w:r w:rsidRPr="007F44BF">
        <w:t>o</w:t>
      </w:r>
      <w:r w:rsidRPr="007F44BF">
        <w:t xml:space="preserve">priate in case a benchmark is non-significant.  </w:t>
      </w:r>
    </w:p>
    <w:p w:rsidR="009A2624" w:rsidRDefault="009A2624" w:rsidP="009A2624">
      <w:r>
        <w:t>&lt;ESMA_QUESTION_DP_BMR_91&gt;</w:t>
      </w:r>
    </w:p>
    <w:p w:rsidR="009A2624" w:rsidRDefault="009A2624" w:rsidP="009A2624">
      <w:permStart w:id="810316164" w:edGrp="everyone"/>
      <w:r>
        <w:t>TYPE YOUR TEXT HERE</w:t>
      </w:r>
    </w:p>
    <w:permEnd w:id="810316164"/>
    <w:p w:rsidR="009A2624" w:rsidRDefault="009A2624" w:rsidP="009A2624">
      <w:r>
        <w:t>&lt;ESMA_QUESTION_DP_BMR_91&gt;</w:t>
      </w:r>
    </w:p>
    <w:p w:rsidR="009A2624" w:rsidRDefault="009A2624" w:rsidP="009A2624"/>
    <w:p w:rsidR="009A2624" w:rsidRPr="007F44BF" w:rsidRDefault="009A2624" w:rsidP="002342EC">
      <w:pPr>
        <w:pStyle w:val="Questionstyle"/>
      </w:pPr>
      <w:r w:rsidRPr="007F44BF">
        <w:t>Are there any further contents for a benchmark statement that should apply to the various classes of benchmarks identified in this chapter?</w:t>
      </w:r>
    </w:p>
    <w:p w:rsidR="009A2624" w:rsidRDefault="009A2624" w:rsidP="009A2624">
      <w:r>
        <w:t>&lt;ESMA_QUESTION_DP_BMR_92&gt;</w:t>
      </w:r>
    </w:p>
    <w:p w:rsidR="009A2624" w:rsidRDefault="009A2624" w:rsidP="009A2624">
      <w:permStart w:id="1673332778" w:edGrp="everyone"/>
      <w:r>
        <w:t>TYPE YOUR TEXT HERE</w:t>
      </w:r>
    </w:p>
    <w:permEnd w:id="1673332778"/>
    <w:p w:rsidR="009A2624" w:rsidRDefault="009A2624" w:rsidP="009A2624">
      <w:r>
        <w:t>&lt;ESMA_QUESTION_DP_BMR_92&gt;</w:t>
      </w:r>
    </w:p>
    <w:p w:rsidR="009A2624" w:rsidRDefault="009A2624" w:rsidP="009A2624"/>
    <w:p w:rsidR="009A2624" w:rsidRPr="007F44BF" w:rsidRDefault="009A2624" w:rsidP="002342EC">
      <w:pPr>
        <w:pStyle w:val="Questionstyle"/>
      </w:pPr>
      <w:r w:rsidRPr="007F44BF">
        <w:rPr>
          <w:rFonts w:eastAsia="Times New Roman"/>
        </w:rPr>
        <w:t xml:space="preserve">Do you </w:t>
      </w:r>
      <w:r w:rsidRPr="007F44BF">
        <w:t>agree with the approach outlined above regarding information of a general nature and financial information? Do you see any particular cases, such as certain types of providers, for which these requirements need to be adapted?</w:t>
      </w:r>
    </w:p>
    <w:p w:rsidR="009A2624" w:rsidRDefault="009A2624" w:rsidP="009A2624">
      <w:r>
        <w:t>&lt;ESMA_QUESTION_DP_BMR_93&gt;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2109938038" w:edGrp="everyone"/>
      <w:r w:rsidRPr="00AE4D91">
        <w:rPr>
          <w:rFonts w:ascii="Helvetica" w:hAnsi="Helvetica" w:cs="Helvetica"/>
          <w:bCs/>
          <w:color w:val="000000"/>
          <w:sz w:val="22"/>
          <w:szCs w:val="22"/>
          <w:lang w:eastAsia="en-GB"/>
        </w:rPr>
        <w:t>We agree with the proposed approach.  We believe that where an entity is already subject to the supervisory jurisdiction of the regulator to whom it will be applying, it should not be required to submit this information again.</w:t>
      </w:r>
    </w:p>
    <w:permEnd w:id="2109938038"/>
    <w:p w:rsidR="009A2624" w:rsidRDefault="009A2624" w:rsidP="009A2624">
      <w:r>
        <w:t>&lt;ESMA_QUESTION_DP_BMR_93&gt;</w:t>
      </w:r>
    </w:p>
    <w:p w:rsidR="009A2624" w:rsidRDefault="009A2624" w:rsidP="009A2624"/>
    <w:p w:rsidR="009A2624" w:rsidRPr="007F44BF" w:rsidRDefault="009A2624" w:rsidP="002342EC">
      <w:pPr>
        <w:pStyle w:val="Questionstyle"/>
      </w:pPr>
      <w:r w:rsidRPr="007F44BF">
        <w:t>Do you agree with ESMA’s approach to the above points? Do you believe that any specific cases exist, related either to the type of provider or the type of conflict of interest, that require specific information to be provided in addition to what initially identified by ESMA?</w:t>
      </w:r>
    </w:p>
    <w:p w:rsidR="009A2624" w:rsidRDefault="009A2624" w:rsidP="009A2624">
      <w:r>
        <w:t>&lt;ESMA_QUESTION_DP_BMR_94&gt;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84935979" w:edGrp="everyone"/>
      <w:r w:rsidRPr="00AE4D91">
        <w:rPr>
          <w:rFonts w:ascii="Helvetica" w:hAnsi="Helvetica" w:cs="Helvetica"/>
          <w:bCs/>
          <w:color w:val="000000"/>
          <w:sz w:val="22"/>
          <w:szCs w:val="22"/>
          <w:lang w:eastAsia="en-GB"/>
        </w:rPr>
        <w:t>We agree with the proposed approach.  We believe that where an entity is already subject to the supervisory jurisdiction of the regulator to whom it will be applying, it should not be required to submit this information again and should, instead, be permitted to refer to its existing regulatory reference number (or equivalent).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MT" w:hAnsi="ArialMT" w:cs="ArialMT"/>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MT" w:hAnsi="ArialMT" w:cs="ArialMT"/>
          <w:color w:val="000000"/>
          <w:sz w:val="22"/>
          <w:szCs w:val="22"/>
          <w:lang w:eastAsia="en-GB"/>
        </w:rPr>
      </w:pPr>
      <w:r w:rsidRPr="00AE4D91">
        <w:rPr>
          <w:rFonts w:ascii="ArialMT" w:hAnsi="ArialMT" w:cs="ArialMT"/>
          <w:color w:val="000000"/>
          <w:sz w:val="22"/>
          <w:szCs w:val="22"/>
          <w:lang w:eastAsia="en-GB"/>
        </w:rPr>
        <w:t>In relation to conflicts of interest, we believe that specific conflicts may exist where the benc</w:t>
      </w:r>
      <w:r w:rsidRPr="00AE4D91">
        <w:rPr>
          <w:rFonts w:ascii="ArialMT" w:hAnsi="ArialMT" w:cs="ArialMT"/>
          <w:color w:val="000000"/>
          <w:sz w:val="22"/>
          <w:szCs w:val="22"/>
          <w:lang w:eastAsia="en-GB"/>
        </w:rPr>
        <w:t>h</w:t>
      </w:r>
      <w:r w:rsidRPr="00AE4D91">
        <w:rPr>
          <w:rFonts w:ascii="ArialMT" w:hAnsi="ArialMT" w:cs="ArialMT"/>
          <w:color w:val="000000"/>
          <w:sz w:val="22"/>
          <w:szCs w:val="22"/>
          <w:lang w:eastAsia="en-GB"/>
        </w:rPr>
        <w:t xml:space="preserve">mark administrator is within the same corporate group as a user of that benchmark.  </w:t>
      </w:r>
    </w:p>
    <w:permEnd w:id="84935979"/>
    <w:p w:rsidR="009A2624" w:rsidRDefault="009A2624" w:rsidP="009A2624">
      <w:r>
        <w:t>&lt;ESMA_QUESTION_DP_BMR_94&gt;</w:t>
      </w:r>
    </w:p>
    <w:p w:rsidR="009A2624" w:rsidRDefault="009A2624" w:rsidP="009A2624"/>
    <w:p w:rsidR="009A2624" w:rsidRPr="007F44BF" w:rsidRDefault="009A2624" w:rsidP="002342EC">
      <w:pPr>
        <w:pStyle w:val="Questionstyle"/>
      </w:pPr>
      <w:r w:rsidRPr="007F44BF">
        <w:t>Do you agree with the proposals outlined for the above points? Do you see any areas requiring particular attention or adaptation?</w:t>
      </w:r>
    </w:p>
    <w:p w:rsidR="009A2624" w:rsidRDefault="009A2624" w:rsidP="009A2624">
      <w:r>
        <w:t>&lt;ESMA_QUESTION_DP_BMR_95&gt;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416643123" w:edGrp="everyone"/>
      <w:r w:rsidRPr="00AE4D91">
        <w:rPr>
          <w:rFonts w:ascii="Helvetica" w:hAnsi="Helvetica" w:cs="Helvetica"/>
          <w:bCs/>
          <w:color w:val="000000"/>
          <w:sz w:val="22"/>
          <w:szCs w:val="22"/>
          <w:lang w:eastAsia="en-GB"/>
        </w:rPr>
        <w:t>We do not believe that a benchmark administrator should be required to assess whether the benchmarks it administers are critical, significant or non-significant without having first been advised of such classification by the relevant national regulator.  In view of ESMA’s policy pr</w:t>
      </w:r>
      <w:r w:rsidRPr="00AE4D91">
        <w:rPr>
          <w:rFonts w:ascii="Helvetica" w:hAnsi="Helvetica" w:cs="Helvetica"/>
          <w:bCs/>
          <w:color w:val="000000"/>
          <w:sz w:val="22"/>
          <w:szCs w:val="22"/>
          <w:lang w:eastAsia="en-GB"/>
        </w:rPr>
        <w:t>o</w:t>
      </w:r>
      <w:r w:rsidRPr="00AE4D91">
        <w:rPr>
          <w:rFonts w:ascii="Helvetica" w:hAnsi="Helvetica" w:cs="Helvetica"/>
          <w:bCs/>
          <w:color w:val="000000"/>
          <w:sz w:val="22"/>
          <w:szCs w:val="22"/>
          <w:lang w:eastAsia="en-GB"/>
        </w:rPr>
        <w:t>posals around the valuation of financial instruments and funds and basing such valuation on data submitted to regulators, it would not be possible for an administrator to make this asses</w:t>
      </w:r>
      <w:r w:rsidRPr="00AE4D91">
        <w:rPr>
          <w:rFonts w:ascii="Helvetica" w:hAnsi="Helvetica" w:cs="Helvetica"/>
          <w:bCs/>
          <w:color w:val="000000"/>
          <w:sz w:val="22"/>
          <w:szCs w:val="22"/>
          <w:lang w:eastAsia="en-GB"/>
        </w:rPr>
        <w:t>s</w:t>
      </w:r>
      <w:r w:rsidRPr="00AE4D91">
        <w:rPr>
          <w:rFonts w:ascii="Helvetica" w:hAnsi="Helvetica" w:cs="Helvetica"/>
          <w:bCs/>
          <w:color w:val="000000"/>
          <w:sz w:val="22"/>
          <w:szCs w:val="22"/>
          <w:lang w:eastAsia="en-GB"/>
        </w:rPr>
        <w:t xml:space="preserve">ment independently.  Therefore if the administrator is to provide an indication of the category of benchmark it administers, this should only be done following discussions and agreement with the relevant regulator. </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We otherwise agree with the proposals.</w:t>
      </w:r>
    </w:p>
    <w:permEnd w:id="416643123"/>
    <w:p w:rsidR="009A2624" w:rsidRDefault="009A2624" w:rsidP="009A2624">
      <w:r>
        <w:t>&lt;ESMA_QUESTION_DP_BMR_95&gt;</w:t>
      </w:r>
    </w:p>
    <w:p w:rsidR="009A2624" w:rsidRDefault="009A2624" w:rsidP="009A2624"/>
    <w:p w:rsidR="009A2624" w:rsidRPr="007F44BF" w:rsidRDefault="009A2624" w:rsidP="002342EC">
      <w:pPr>
        <w:pStyle w:val="Questionstyle"/>
      </w:pPr>
      <w:r w:rsidRPr="007F44BF">
        <w:t>Can you suggest other specific situations for which it is important to identify the information elements to be provided in the authorisation application?</w:t>
      </w:r>
    </w:p>
    <w:p w:rsidR="009A2624" w:rsidRDefault="009A2624" w:rsidP="009A2624">
      <w:r>
        <w:t>&lt;ESMA_QUESTION_DP_BMR_96&gt;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1403611628" w:edGrp="everyone"/>
      <w:r w:rsidRPr="00AE4D91">
        <w:rPr>
          <w:rFonts w:ascii="Helvetica" w:hAnsi="Helvetica" w:cs="Helvetica"/>
          <w:bCs/>
          <w:color w:val="000000"/>
          <w:sz w:val="22"/>
          <w:szCs w:val="22"/>
          <w:lang w:eastAsia="en-GB"/>
        </w:rPr>
        <w:t>No we do not believe that there are other specific situations where it is important to identify information elements to be provided in the authorisation application.  We do believe, however, that where an application is being submitted by an entity that is already subject to authorisation or supervision by the relevant national regulator, only information that has not previously been made available to that regulator should be submitted.</w:t>
      </w:r>
    </w:p>
    <w:permEnd w:id="1403611628"/>
    <w:p w:rsidR="009A2624" w:rsidRDefault="009A2624" w:rsidP="009A2624">
      <w:r>
        <w:t>&lt;ESMA_QUESTION_DP_BMR_96&gt;</w:t>
      </w:r>
    </w:p>
    <w:p w:rsidR="009A2624" w:rsidRDefault="009A2624" w:rsidP="009A2624"/>
    <w:p w:rsidR="009A2624" w:rsidRPr="007F44BF" w:rsidRDefault="009A2624" w:rsidP="002342EC">
      <w:pPr>
        <w:pStyle w:val="Questionstyle"/>
      </w:pPr>
      <w:r w:rsidRPr="007F44BF">
        <w:t xml:space="preserve">Do you agree with the proposed approach towards registration? How should the information requirements for registration deviate from the requirements for authorisation? </w:t>
      </w:r>
    </w:p>
    <w:p w:rsidR="009A2624" w:rsidRDefault="009A2624" w:rsidP="009A2624">
      <w:r>
        <w:t>&lt;ESMA_QUESTION_DP_BMR_97&gt;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1155086888" w:edGrp="everyone"/>
      <w:r w:rsidRPr="00AE4D91">
        <w:rPr>
          <w:rFonts w:ascii="Helvetica" w:hAnsi="Helvetica" w:cs="Helvetica"/>
          <w:bCs/>
          <w:color w:val="000000"/>
          <w:sz w:val="22"/>
          <w:szCs w:val="22"/>
          <w:lang w:eastAsia="en-GB"/>
        </w:rPr>
        <w:t>We agree with the proposed approach to registration.  We fully support the proposal that the information requirements are proportionally adapted to take account of the position of the regi</w:t>
      </w:r>
      <w:r w:rsidRPr="00AE4D91">
        <w:rPr>
          <w:rFonts w:ascii="Helvetica" w:hAnsi="Helvetica" w:cs="Helvetica"/>
          <w:bCs/>
          <w:color w:val="000000"/>
          <w:sz w:val="22"/>
          <w:szCs w:val="22"/>
          <w:lang w:eastAsia="en-GB"/>
        </w:rPr>
        <w:t>s</w:t>
      </w:r>
      <w:r w:rsidRPr="00AE4D91">
        <w:rPr>
          <w:rFonts w:ascii="Helvetica" w:hAnsi="Helvetica" w:cs="Helvetica"/>
          <w:bCs/>
          <w:color w:val="000000"/>
          <w:sz w:val="22"/>
          <w:szCs w:val="22"/>
          <w:lang w:eastAsia="en-GB"/>
        </w:rPr>
        <w:t xml:space="preserve">trant.  In particular we believe that the application for registration by a supervised entity should be scaled down in consideration of the information already available to the relevant regulator.  </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bCs/>
          <w:color w:val="000000"/>
          <w:sz w:val="22"/>
          <w:szCs w:val="22"/>
          <w:lang w:eastAsia="en-GB"/>
        </w:rPr>
      </w:pPr>
      <w:r w:rsidRPr="00AE4D91">
        <w:rPr>
          <w:rFonts w:ascii="Helvetica" w:hAnsi="Helvetica" w:cs="Helvetica"/>
          <w:bCs/>
          <w:color w:val="000000"/>
          <w:sz w:val="22"/>
          <w:szCs w:val="22"/>
          <w:lang w:eastAsia="en-GB"/>
        </w:rPr>
        <w:t>We believe, in addition, that such proportionality should also apply in the case of registration by exempt persons already subject to the supervision of the relevant regulator.  For example this could apply to Regulated Investment Exchanges.</w:t>
      </w:r>
    </w:p>
    <w:permEnd w:id="1155086888"/>
    <w:p w:rsidR="009A2624" w:rsidRDefault="009A2624" w:rsidP="009A2624">
      <w:r>
        <w:t>&lt;ESMA_QUESTION_DP_BMR_97&gt;</w:t>
      </w:r>
    </w:p>
    <w:p w:rsidR="009A2624" w:rsidRDefault="009A2624" w:rsidP="009A2624"/>
    <w:p w:rsidR="009A2624" w:rsidRPr="007F44BF" w:rsidRDefault="009A2624" w:rsidP="002342EC">
      <w:pPr>
        <w:pStyle w:val="Questionstyle"/>
      </w:pPr>
      <w:r w:rsidRPr="007F44BF">
        <w:t>Do you believe there are any specific types of supervised entities which would require special treatment within the registration regime? If yes, which ones and why?</w:t>
      </w:r>
    </w:p>
    <w:p w:rsidR="009A2624" w:rsidRDefault="009A2624" w:rsidP="009A2624">
      <w:r>
        <w:t>&lt;ESMA_QUESTION_DP_BMR_98&gt;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896272024" w:edGrp="everyone"/>
      <w:r w:rsidRPr="00AE4D91">
        <w:rPr>
          <w:rFonts w:ascii="Helvetica" w:hAnsi="Helvetica" w:cs="Helvetica"/>
          <w:bCs/>
          <w:color w:val="000000"/>
          <w:sz w:val="22"/>
          <w:szCs w:val="22"/>
          <w:lang w:eastAsia="en-GB"/>
        </w:rPr>
        <w:t>We believe that the registration regime should be applied proportionally to all entities based on the number and complexity of benchmarks for which they act as administrator, the level of exis</w:t>
      </w:r>
      <w:r w:rsidRPr="00AE4D91">
        <w:rPr>
          <w:rFonts w:ascii="Helvetica" w:hAnsi="Helvetica" w:cs="Helvetica"/>
          <w:bCs/>
          <w:color w:val="000000"/>
          <w:sz w:val="22"/>
          <w:szCs w:val="22"/>
          <w:lang w:eastAsia="en-GB"/>
        </w:rPr>
        <w:t>t</w:t>
      </w:r>
      <w:r w:rsidRPr="00AE4D91">
        <w:rPr>
          <w:rFonts w:ascii="Helvetica" w:hAnsi="Helvetica" w:cs="Helvetica"/>
          <w:bCs/>
          <w:color w:val="000000"/>
          <w:sz w:val="22"/>
          <w:szCs w:val="22"/>
          <w:lang w:eastAsia="en-GB"/>
        </w:rPr>
        <w:t xml:space="preserve">ing supervision to which they are subject and the size and scale of other business activities undertaken by the administrator. </w:t>
      </w:r>
    </w:p>
    <w:permEnd w:id="896272024"/>
    <w:p w:rsidR="009A2624" w:rsidRDefault="009A2624" w:rsidP="009A2624">
      <w:r>
        <w:t>&lt;ESMA_QUESTION_DP_BMR_98&gt;</w:t>
      </w:r>
    </w:p>
    <w:p w:rsidR="009A2624" w:rsidRDefault="009A2624" w:rsidP="009A2624"/>
    <w:p w:rsidR="009A2624" w:rsidRPr="007F44BF" w:rsidRDefault="009A2624" w:rsidP="002342EC">
      <w:pPr>
        <w:pStyle w:val="Questionstyle"/>
      </w:pPr>
      <w:r w:rsidRPr="007F44BF">
        <w:t>Do you have any suggestions on which information should be included in the application for the recognition of a third country administrator?</w:t>
      </w:r>
    </w:p>
    <w:p w:rsidR="009A2624" w:rsidRDefault="009A2624" w:rsidP="009A2624">
      <w:r>
        <w:t>&lt;ESMA_QUESTION_DP_BMR_99&gt;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258154791" w:edGrp="everyone"/>
      <w:r w:rsidRPr="00AE4D91">
        <w:rPr>
          <w:rFonts w:ascii="Helvetica" w:hAnsi="Helvetica" w:cs="Helvetica"/>
          <w:bCs/>
          <w:color w:val="000000"/>
          <w:sz w:val="22"/>
          <w:szCs w:val="22"/>
          <w:lang w:eastAsia="en-GB"/>
        </w:rPr>
        <w:t>The principles underlying the creation of the Benchmark Regulation: the substantiation of benchmark determination methodology, the protection of European investors and the reliability of data used for the creation of such benchmarks represent a fundamental requirement in ensu</w:t>
      </w:r>
      <w:r w:rsidRPr="00AE4D91">
        <w:rPr>
          <w:rFonts w:ascii="Helvetica" w:hAnsi="Helvetica" w:cs="Helvetica"/>
          <w:bCs/>
          <w:color w:val="000000"/>
          <w:sz w:val="22"/>
          <w:szCs w:val="22"/>
          <w:lang w:eastAsia="en-GB"/>
        </w:rPr>
        <w:t>r</w:t>
      </w:r>
      <w:r w:rsidRPr="00AE4D91">
        <w:rPr>
          <w:rFonts w:ascii="Helvetica" w:hAnsi="Helvetica" w:cs="Helvetica"/>
          <w:bCs/>
          <w:color w:val="000000"/>
          <w:sz w:val="22"/>
          <w:szCs w:val="22"/>
          <w:lang w:eastAsia="en-GB"/>
        </w:rPr>
        <w:t>ing and maintaining the efficient and orderly operation of the European capital markets.  Howe</w:t>
      </w:r>
      <w:r w:rsidRPr="00AE4D91">
        <w:rPr>
          <w:rFonts w:ascii="Helvetica" w:hAnsi="Helvetica" w:cs="Helvetica"/>
          <w:bCs/>
          <w:color w:val="000000"/>
          <w:sz w:val="22"/>
          <w:szCs w:val="22"/>
          <w:lang w:eastAsia="en-GB"/>
        </w:rPr>
        <w:t>v</w:t>
      </w:r>
      <w:r w:rsidRPr="00AE4D91">
        <w:rPr>
          <w:rFonts w:ascii="Helvetica" w:hAnsi="Helvetica" w:cs="Helvetica"/>
          <w:bCs/>
          <w:color w:val="000000"/>
          <w:sz w:val="22"/>
          <w:szCs w:val="22"/>
          <w:lang w:eastAsia="en-GB"/>
        </w:rPr>
        <w:t>er, in maintaining a high level of security and robust regulation for European benchmark users, it is critical that the European capital markets are not damaged through any undue limitations on the non-European indices to which they are permitted access.  Whilst we note that such indices may not be subject to such strict regulation and legislative oversight, they nonetheless play a fundamental role in the efficient operation of European capital markets and to investor prote</w:t>
      </w:r>
      <w:r w:rsidRPr="00AE4D91">
        <w:rPr>
          <w:rFonts w:ascii="Helvetica" w:hAnsi="Helvetica" w:cs="Helvetica"/>
          <w:bCs/>
          <w:color w:val="000000"/>
          <w:sz w:val="22"/>
          <w:szCs w:val="22"/>
          <w:lang w:eastAsia="en-GB"/>
        </w:rPr>
        <w:t>c</w:t>
      </w:r>
      <w:r w:rsidRPr="00AE4D91">
        <w:rPr>
          <w:rFonts w:ascii="Helvetica" w:hAnsi="Helvetica" w:cs="Helvetica"/>
          <w:bCs/>
          <w:color w:val="000000"/>
          <w:sz w:val="22"/>
          <w:szCs w:val="22"/>
          <w:lang w:eastAsia="en-GB"/>
        </w:rPr>
        <w:t xml:space="preserve">tion.  </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As such, it is important that the policy proposals in relation to the access requirements for third country benchmark administrators are practical, proportionate and permit a genuine avenue through which benchmarks administered by third country administrators can be published within the European Union.</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r w:rsidRPr="00AE4D91">
        <w:rPr>
          <w:rFonts w:ascii="Helvetica" w:hAnsi="Helvetica" w:cs="Helvetica"/>
          <w:bCs/>
          <w:color w:val="000000"/>
          <w:sz w:val="22"/>
          <w:szCs w:val="22"/>
          <w:lang w:eastAsia="en-GB"/>
        </w:rPr>
        <w:t>Therefore, whilst we agree with ESMA’s proposals in relation to the information that a third cou</w:t>
      </w:r>
      <w:r w:rsidRPr="00AE4D91">
        <w:rPr>
          <w:rFonts w:ascii="Helvetica" w:hAnsi="Helvetica" w:cs="Helvetica"/>
          <w:bCs/>
          <w:color w:val="000000"/>
          <w:sz w:val="22"/>
          <w:szCs w:val="22"/>
          <w:lang w:eastAsia="en-GB"/>
        </w:rPr>
        <w:t>n</w:t>
      </w:r>
      <w:r w:rsidRPr="00AE4D91">
        <w:rPr>
          <w:rFonts w:ascii="Helvetica" w:hAnsi="Helvetica" w:cs="Helvetica"/>
          <w:bCs/>
          <w:color w:val="000000"/>
          <w:sz w:val="22"/>
          <w:szCs w:val="22"/>
          <w:lang w:eastAsia="en-GB"/>
        </w:rPr>
        <w:t>try administrator should be required to include in their application for recognition, we also believe that this should be adjusted proportionally depending on the size, nature and usage of the benchmark(s) administered by the relevant applicant.  In addition, where the information r</w:t>
      </w:r>
      <w:r w:rsidRPr="00AE4D91">
        <w:rPr>
          <w:rFonts w:ascii="Helvetica" w:hAnsi="Helvetica" w:cs="Helvetica"/>
          <w:bCs/>
          <w:color w:val="000000"/>
          <w:sz w:val="22"/>
          <w:szCs w:val="22"/>
          <w:lang w:eastAsia="en-GB"/>
        </w:rPr>
        <w:t>e</w:t>
      </w:r>
      <w:r w:rsidRPr="00AE4D91">
        <w:rPr>
          <w:rFonts w:ascii="Helvetica" w:hAnsi="Helvetica" w:cs="Helvetica"/>
          <w:bCs/>
          <w:color w:val="000000"/>
          <w:sz w:val="22"/>
          <w:szCs w:val="22"/>
          <w:lang w:eastAsia="en-GB"/>
        </w:rPr>
        <w:t>quired is not available or is subject to statutory confidentiality obligations, then the application should not be required to provide such information.</w:t>
      </w:r>
    </w:p>
    <w:permEnd w:id="258154791"/>
    <w:p w:rsidR="009A2624" w:rsidRDefault="009A2624" w:rsidP="009A2624">
      <w:r>
        <w:t>&lt;ESMA_QUESTION_DP_BMR_99&gt;</w:t>
      </w:r>
    </w:p>
    <w:p w:rsidR="009A2624" w:rsidRDefault="009A2624" w:rsidP="009A2624"/>
    <w:p w:rsidR="009A2624" w:rsidRPr="007F44BF" w:rsidRDefault="009A2624" w:rsidP="002342EC">
      <w:pPr>
        <w:pStyle w:val="Questionstyle"/>
      </w:pPr>
      <w:r w:rsidRPr="007F44BF">
        <w:t>Do you agree with the general approach proposed by ESMA for the presentation of the info</w:t>
      </w:r>
      <w:r w:rsidRPr="007F44BF">
        <w:t>r</w:t>
      </w:r>
      <w:r w:rsidRPr="007F44BF">
        <w:t>mation required in Article 21a(6) of the BMR?</w:t>
      </w:r>
      <w:r w:rsidRPr="007F44BF" w:rsidDel="008F434D">
        <w:t xml:space="preserve"> </w:t>
      </w:r>
    </w:p>
    <w:p w:rsidR="009A2624" w:rsidRDefault="009A2624" w:rsidP="009A2624">
      <w:r>
        <w:t>&lt;ESMA_QUESTION_DP_BMR_100&gt;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575369474" w:edGrp="everyone"/>
      <w:r w:rsidRPr="00AE4D91">
        <w:rPr>
          <w:rFonts w:ascii="Helvetica" w:hAnsi="Helvetica" w:cs="Helvetica"/>
          <w:bCs/>
          <w:color w:val="000000"/>
          <w:sz w:val="22"/>
          <w:szCs w:val="22"/>
          <w:lang w:eastAsia="en-GB"/>
        </w:rPr>
        <w:t>We agree that it should be the responsibility of the applicant third country administrator to hig</w:t>
      </w:r>
      <w:r w:rsidRPr="00AE4D91">
        <w:rPr>
          <w:rFonts w:ascii="Helvetica" w:hAnsi="Helvetica" w:cs="Helvetica"/>
          <w:bCs/>
          <w:color w:val="000000"/>
          <w:sz w:val="22"/>
          <w:szCs w:val="22"/>
          <w:lang w:eastAsia="en-GB"/>
        </w:rPr>
        <w:t>h</w:t>
      </w:r>
      <w:r w:rsidRPr="00AE4D91">
        <w:rPr>
          <w:rFonts w:ascii="Helvetica" w:hAnsi="Helvetica" w:cs="Helvetica"/>
          <w:bCs/>
          <w:color w:val="000000"/>
          <w:sz w:val="22"/>
          <w:szCs w:val="22"/>
          <w:lang w:eastAsia="en-GB"/>
        </w:rPr>
        <w:t>light the obligations from which it should be exempt.  However, we have concerns that third country administrators would be required to specify whether their benchmarks are significant or non-significant given the quantitative elements of the test (and the methods by which such va</w:t>
      </w:r>
      <w:r w:rsidRPr="00AE4D91">
        <w:rPr>
          <w:rFonts w:ascii="Helvetica" w:hAnsi="Helvetica" w:cs="Helvetica"/>
          <w:bCs/>
          <w:color w:val="000000"/>
          <w:sz w:val="22"/>
          <w:szCs w:val="22"/>
          <w:lang w:eastAsia="en-GB"/>
        </w:rPr>
        <w:t>l</w:t>
      </w:r>
      <w:r w:rsidRPr="00AE4D91">
        <w:rPr>
          <w:rFonts w:ascii="Helvetica" w:hAnsi="Helvetica" w:cs="Helvetica"/>
          <w:bCs/>
          <w:color w:val="000000"/>
          <w:sz w:val="22"/>
          <w:szCs w:val="22"/>
          <w:lang w:eastAsia="en-GB"/>
        </w:rPr>
        <w:t>ues are likely to be calculated).  Therefore we believe that third country administrators should be able to assess whether the benchmarks that they administer are significant or non-significant based on qualitative factors only.</w:t>
      </w:r>
    </w:p>
    <w:permEnd w:id="575369474"/>
    <w:p w:rsidR="009A2624" w:rsidRDefault="009A2624" w:rsidP="009A2624">
      <w:r>
        <w:t>&lt;ESMA_QUESTION_DP_BMR_100&gt;</w:t>
      </w:r>
    </w:p>
    <w:p w:rsidR="009A2624" w:rsidRDefault="009A2624" w:rsidP="009A2624"/>
    <w:p w:rsidR="009A2624" w:rsidRPr="007F44BF" w:rsidRDefault="009A2624" w:rsidP="002342EC">
      <w:pPr>
        <w:pStyle w:val="Questionstyle"/>
      </w:pPr>
      <w:r w:rsidRPr="007F44BF">
        <w:t xml:space="preserve">For each of the </w:t>
      </w:r>
      <w:r>
        <w:t>three</w:t>
      </w:r>
      <w:r w:rsidRPr="007F44BF">
        <w:t xml:space="preserve"> above mentioned elements, please provide your views on what should be the measures to determine the conditions whether there is an ‘objective reason’ for the endors</w:t>
      </w:r>
      <w:r w:rsidRPr="007F44BF">
        <w:t>e</w:t>
      </w:r>
      <w:r w:rsidRPr="007F44BF">
        <w:t xml:space="preserve">ment of a third country benchmark. </w:t>
      </w:r>
    </w:p>
    <w:p w:rsidR="009A2624" w:rsidRDefault="009A2624" w:rsidP="009A2624">
      <w:r>
        <w:t>&lt;ESMA_QUESTION_DP_BMR_101&gt;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MT" w:hAnsi="ArialMT" w:cs="ArialMT"/>
          <w:bCs/>
          <w:color w:val="000000"/>
          <w:sz w:val="22"/>
          <w:szCs w:val="22"/>
          <w:lang w:eastAsia="en-GB"/>
        </w:rPr>
      </w:pPr>
      <w:permStart w:id="1682003198" w:edGrp="everyone"/>
      <w:r w:rsidRPr="00AE4D91">
        <w:rPr>
          <w:rFonts w:ascii="ArialMT" w:hAnsi="ArialMT" w:cs="ArialMT"/>
          <w:b/>
          <w:bCs/>
          <w:i/>
          <w:color w:val="000000"/>
          <w:sz w:val="22"/>
          <w:szCs w:val="22"/>
          <w:lang w:eastAsia="en-GB"/>
        </w:rPr>
        <w:t>(i) Geographical proximity</w:t>
      </w:r>
      <w:r w:rsidRPr="00AE4D91">
        <w:rPr>
          <w:rFonts w:ascii="ArialMT" w:hAnsi="ArialMT" w:cs="ArialMT"/>
          <w:bCs/>
          <w:color w:val="000000"/>
          <w:sz w:val="22"/>
          <w:szCs w:val="22"/>
          <w:lang w:eastAsia="en-GB"/>
        </w:rPr>
        <w:t xml:space="preserve"> - This could be relevant in relation to commodity benchmarks.  For example where specific information relating to the spot price of a mineral or mined ore was required in order to prepare the relevant benchmark then this would be geographically specific to the location in which that mineral/ore was located.</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MT" w:hAnsi="ArialMT" w:cs="ArialMT"/>
          <w:bCs/>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MT" w:hAnsi="ArialMT" w:cs="ArialMT"/>
          <w:bCs/>
          <w:color w:val="000000"/>
          <w:sz w:val="22"/>
          <w:szCs w:val="22"/>
          <w:lang w:eastAsia="en-GB"/>
        </w:rPr>
      </w:pPr>
      <w:r w:rsidRPr="00AE4D91">
        <w:rPr>
          <w:rFonts w:ascii="ArialMT" w:hAnsi="ArialMT" w:cs="ArialMT"/>
          <w:b/>
          <w:bCs/>
          <w:i/>
          <w:color w:val="000000"/>
          <w:sz w:val="22"/>
          <w:szCs w:val="22"/>
          <w:lang w:eastAsia="en-GB"/>
        </w:rPr>
        <w:t xml:space="preserve">(ii) Availability of input data – </w:t>
      </w:r>
      <w:r w:rsidRPr="00AE4D91">
        <w:rPr>
          <w:rFonts w:ascii="ArialMT" w:hAnsi="ArialMT" w:cs="ArialMT"/>
          <w:bCs/>
          <w:color w:val="000000"/>
          <w:sz w:val="22"/>
          <w:szCs w:val="22"/>
          <w:lang w:eastAsia="en-GB"/>
        </w:rPr>
        <w:t>this could be relevant in any number of circumstances where the specific knowledge relating to a benchmark could only be found in one particular location.  Co</w:t>
      </w:r>
      <w:r w:rsidRPr="00AE4D91">
        <w:rPr>
          <w:rFonts w:ascii="ArialMT" w:hAnsi="ArialMT" w:cs="ArialMT"/>
          <w:bCs/>
          <w:color w:val="000000"/>
          <w:sz w:val="22"/>
          <w:szCs w:val="22"/>
          <w:lang w:eastAsia="en-GB"/>
        </w:rPr>
        <w:t>n</w:t>
      </w:r>
      <w:r w:rsidRPr="00AE4D91">
        <w:rPr>
          <w:rFonts w:ascii="ArialMT" w:hAnsi="ArialMT" w:cs="ArialMT"/>
          <w:bCs/>
          <w:color w:val="000000"/>
          <w:sz w:val="22"/>
          <w:szCs w:val="22"/>
          <w:lang w:eastAsia="en-GB"/>
        </w:rPr>
        <w:t>versely, it could be the case that a wide-spread of input data was required in order to provide the global scope of a benchmark.  Where a benchmark is an index of a particular exchange, then this input data would only be available on that exchange.</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MT" w:hAnsi="ArialMT" w:cs="ArialMT"/>
          <w:bCs/>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MT" w:hAnsi="ArialMT" w:cs="ArialMT"/>
          <w:bCs/>
          <w:color w:val="000000"/>
          <w:sz w:val="22"/>
          <w:szCs w:val="22"/>
          <w:lang w:eastAsia="en-GB"/>
        </w:rPr>
      </w:pPr>
      <w:r w:rsidRPr="00AE4D91">
        <w:rPr>
          <w:rFonts w:ascii="ArialMT" w:hAnsi="ArialMT" w:cs="ArialMT"/>
          <w:b/>
          <w:bCs/>
          <w:i/>
          <w:color w:val="000000"/>
          <w:sz w:val="22"/>
          <w:szCs w:val="22"/>
          <w:lang w:eastAsia="en-GB"/>
        </w:rPr>
        <w:t xml:space="preserve">(iii) Specific skills – </w:t>
      </w:r>
      <w:r w:rsidRPr="00AE4D91">
        <w:rPr>
          <w:rFonts w:ascii="ArialMT" w:hAnsi="ArialMT" w:cs="ArialMT"/>
          <w:bCs/>
          <w:color w:val="000000"/>
          <w:sz w:val="22"/>
          <w:szCs w:val="22"/>
          <w:lang w:eastAsia="en-GB"/>
        </w:rPr>
        <w:t>this could be relevant in a number of circumstances.  For example where there was high liquidity in commodity trading then this may be based in a third country jurisdi</w:t>
      </w:r>
      <w:r w:rsidRPr="00AE4D91">
        <w:rPr>
          <w:rFonts w:ascii="ArialMT" w:hAnsi="ArialMT" w:cs="ArialMT"/>
          <w:bCs/>
          <w:color w:val="000000"/>
          <w:sz w:val="22"/>
          <w:szCs w:val="22"/>
          <w:lang w:eastAsia="en-GB"/>
        </w:rPr>
        <w:t>c</w:t>
      </w:r>
      <w:r w:rsidRPr="00AE4D91">
        <w:rPr>
          <w:rFonts w:ascii="ArialMT" w:hAnsi="ArialMT" w:cs="ArialMT"/>
          <w:bCs/>
          <w:color w:val="000000"/>
          <w:sz w:val="22"/>
          <w:szCs w:val="22"/>
          <w:lang w:eastAsia="en-GB"/>
        </w:rPr>
        <w:t>tion only.  Alternatively, it could be the case that the legislative or regulatory framework of a particular jurisdiction meant that trading in certain types of instruments was prevalent in one jurisdiction where it did not appear in others.  In this case the specific skills required in order to administer a benchmark relating to those instruments would be found only in that jurisdiction.</w:t>
      </w:r>
    </w:p>
    <w:permEnd w:id="1682003198"/>
    <w:p w:rsidR="009A2624" w:rsidRDefault="009A2624" w:rsidP="009A2624">
      <w:r>
        <w:t>&lt;ESMA_QUESTION_DP_BMR_101&gt;</w:t>
      </w:r>
    </w:p>
    <w:p w:rsidR="009A2624" w:rsidRDefault="009A2624" w:rsidP="009A2624"/>
    <w:p w:rsidR="009A2624" w:rsidRPr="007F44BF" w:rsidRDefault="009A2624" w:rsidP="002342EC">
      <w:pPr>
        <w:pStyle w:val="Questionstyle"/>
      </w:pPr>
      <w:r w:rsidRPr="007F44BF">
        <w:t xml:space="preserve">Do you consider that there are any other elements that could be taken into consideration to substantiate the ‘objective reason’ for the provision and endorsement for use in the Union of a third country benchmark or family of benchmarks? </w:t>
      </w:r>
    </w:p>
    <w:p w:rsidR="009A2624" w:rsidRDefault="009A2624" w:rsidP="009A2624">
      <w:r>
        <w:t>&lt;ESMA_QUESTION_DP_BMR_102&gt;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807822320" w:edGrp="everyone"/>
      <w:r w:rsidRPr="00AE4D91">
        <w:rPr>
          <w:rFonts w:ascii="Helvetica" w:hAnsi="Helvetica" w:cs="Helvetica"/>
          <w:bCs/>
          <w:color w:val="000000"/>
          <w:sz w:val="22"/>
          <w:szCs w:val="22"/>
          <w:lang w:eastAsia="en-GB"/>
        </w:rPr>
        <w:t>We believe that an additional element could be reliance by investors or financial institutions within the European Union such that the cessation of that benchmark could lead to significant detriment.  It may be appropriate to apply the qualitative test used to assess a “critical benc</w:t>
      </w:r>
      <w:r w:rsidRPr="00AE4D91">
        <w:rPr>
          <w:rFonts w:ascii="Helvetica" w:hAnsi="Helvetica" w:cs="Helvetica"/>
          <w:bCs/>
          <w:color w:val="000000"/>
          <w:sz w:val="22"/>
          <w:szCs w:val="22"/>
          <w:lang w:eastAsia="en-GB"/>
        </w:rPr>
        <w:t>h</w:t>
      </w:r>
      <w:r w:rsidRPr="00AE4D91">
        <w:rPr>
          <w:rFonts w:ascii="Helvetica" w:hAnsi="Helvetica" w:cs="Helvetica"/>
          <w:bCs/>
          <w:color w:val="000000"/>
          <w:sz w:val="22"/>
          <w:szCs w:val="22"/>
          <w:lang w:eastAsia="en-GB"/>
        </w:rPr>
        <w:t>mark” to the risks of failing to endorse a third country benchmark.  Where relative thresholds are met, then the benchmark should be endorsed for use in the Union.</w:t>
      </w:r>
    </w:p>
    <w:permEnd w:id="807822320"/>
    <w:p w:rsidR="009A2624" w:rsidRDefault="009A2624" w:rsidP="009A2624">
      <w:r>
        <w:t>&lt;ESMA_QUESTION_DP_BMR_102&gt;</w:t>
      </w:r>
    </w:p>
    <w:p w:rsidR="009A2624" w:rsidRDefault="009A2624" w:rsidP="009A2624"/>
    <w:p w:rsidR="009A2624" w:rsidRPr="007F44BF" w:rsidRDefault="009A2624" w:rsidP="002342EC">
      <w:pPr>
        <w:pStyle w:val="Questionstyle"/>
      </w:pPr>
      <w:r w:rsidRPr="007F44BF">
        <w:lastRenderedPageBreak/>
        <w:t>Do you agree that in the situations identified above by ESMA the cessation or the changing of an existing benchmark to conform with the requirements of this Regulation could reasonably result in a force majeure event, frustrate or otherwise breach the terms of any financial contract or financial instrument which references a benchmark? If not, please explain the reasons why.</w:t>
      </w:r>
    </w:p>
    <w:p w:rsidR="009A2624" w:rsidRDefault="009A2624" w:rsidP="009A2624">
      <w:r>
        <w:t>&lt;ESMA_QUESTION_DP_BMR_103&gt;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501247460" w:edGrp="everyone"/>
      <w:r w:rsidRPr="00AE4D91">
        <w:rPr>
          <w:rFonts w:ascii="Helvetica" w:hAnsi="Helvetica" w:cs="Helvetica"/>
          <w:bCs/>
          <w:color w:val="000000"/>
          <w:sz w:val="22"/>
          <w:szCs w:val="22"/>
          <w:lang w:eastAsia="en-GB"/>
        </w:rPr>
        <w:t>Yes we agree.</w:t>
      </w:r>
    </w:p>
    <w:permEnd w:id="501247460"/>
    <w:p w:rsidR="009A2624" w:rsidRDefault="009A2624" w:rsidP="009A2624">
      <w:r>
        <w:t>&lt;ESMA_QUESTION_DP_BMR_103&gt;</w:t>
      </w:r>
    </w:p>
    <w:p w:rsidR="009A2624" w:rsidRDefault="009A2624" w:rsidP="009A2624"/>
    <w:p w:rsidR="009A2624" w:rsidRPr="007F44BF" w:rsidRDefault="009A2624" w:rsidP="002342EC">
      <w:pPr>
        <w:pStyle w:val="Questionstyle"/>
      </w:pPr>
      <w:r w:rsidRPr="007F44BF">
        <w:t>Which other circumstances could cause the consequences mentioned in Article 39(3) in case existing benchmarks are due to be adapted to the Regulation or to be ceased?</w:t>
      </w:r>
    </w:p>
    <w:p w:rsidR="009A2624" w:rsidRDefault="009A2624" w:rsidP="009A2624">
      <w:r>
        <w:t>&lt;ESMA_QUESTION_DP_BMR_104&gt;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478692149" w:edGrp="everyone"/>
      <w:r w:rsidRPr="00AE4D91">
        <w:rPr>
          <w:rFonts w:ascii="Helvetica" w:hAnsi="Helvetica" w:cs="Helvetica"/>
          <w:bCs/>
          <w:color w:val="000000"/>
          <w:sz w:val="22"/>
          <w:szCs w:val="22"/>
          <w:lang w:eastAsia="en-GB"/>
        </w:rPr>
        <w:t>A contract could be frustrated in any circumstances where the contract is specific as to the fo</w:t>
      </w:r>
      <w:r w:rsidRPr="00AE4D91">
        <w:rPr>
          <w:rFonts w:ascii="Helvetica" w:hAnsi="Helvetica" w:cs="Helvetica"/>
          <w:bCs/>
          <w:color w:val="000000"/>
          <w:sz w:val="22"/>
          <w:szCs w:val="22"/>
          <w:lang w:eastAsia="en-GB"/>
        </w:rPr>
        <w:t>r</w:t>
      </w:r>
      <w:r w:rsidRPr="00AE4D91">
        <w:rPr>
          <w:rFonts w:ascii="Helvetica" w:hAnsi="Helvetica" w:cs="Helvetica"/>
          <w:bCs/>
          <w:color w:val="000000"/>
          <w:sz w:val="22"/>
          <w:szCs w:val="22"/>
          <w:lang w:eastAsia="en-GB"/>
        </w:rPr>
        <w:t xml:space="preserve">mation of the price being relied on.  Frustration of a contract could also occur where the price on which the contract was referencing was changed to the extent that it could no longer be said to be the price used in the contract.  </w:t>
      </w:r>
    </w:p>
    <w:permEnd w:id="478692149"/>
    <w:p w:rsidR="009A2624" w:rsidRDefault="009A2624" w:rsidP="009A2624">
      <w:r>
        <w:t>&lt;ESMA_QUESTION_DP_BMR_104&gt;</w:t>
      </w:r>
    </w:p>
    <w:p w:rsidR="009A2624" w:rsidRDefault="009A2624" w:rsidP="009A2624"/>
    <w:p w:rsidR="009A2624" w:rsidRPr="008925F6" w:rsidRDefault="009A2624" w:rsidP="002342EC">
      <w:pPr>
        <w:pStyle w:val="Questionstyle"/>
      </w:pPr>
      <w:r w:rsidRPr="00FD6B87">
        <w:t>Do you agree with the propos</w:t>
      </w:r>
      <w:r>
        <w:t>ed definition of “force majeure event</w:t>
      </w:r>
      <w:r w:rsidRPr="00FD6B87">
        <w:t>”? If not, please explain the reasons and propose an alternative.</w:t>
      </w:r>
    </w:p>
    <w:p w:rsidR="009A2624" w:rsidRDefault="009A2624" w:rsidP="009A2624">
      <w:r>
        <w:t>&lt;ESMA_QUESTION_DP_BMR_105&gt;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MT" w:hAnsi="ArialMT" w:cs="ArialMT"/>
          <w:color w:val="000000"/>
          <w:sz w:val="22"/>
          <w:szCs w:val="22"/>
          <w:lang w:eastAsia="en-GB"/>
        </w:rPr>
      </w:pPr>
      <w:permStart w:id="1408971047" w:edGrp="everyone"/>
      <w:r w:rsidRPr="00AE4D91">
        <w:rPr>
          <w:rFonts w:ascii="ArialMT" w:hAnsi="ArialMT" w:cs="ArialMT"/>
          <w:color w:val="000000"/>
          <w:sz w:val="22"/>
          <w:szCs w:val="22"/>
          <w:lang w:eastAsia="en-GB"/>
        </w:rPr>
        <w:t>We disagree with the proposed definition of “force majeure event” as we believe that it is unduly restrictive.  We have set out a proposed revision follows (additions are underlined and deletions are crossed through):</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MT" w:hAnsi="ArialMT" w:cs="ArialMT"/>
          <w:color w:val="000000"/>
          <w:sz w:val="22"/>
          <w:szCs w:val="22"/>
          <w:lang w:eastAsia="en-GB"/>
        </w:rPr>
      </w:pP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MT" w:hAnsi="ArialMT" w:cs="ArialMT"/>
          <w:b/>
          <w:i/>
          <w:color w:val="000000"/>
          <w:sz w:val="22"/>
          <w:szCs w:val="22"/>
          <w:lang w:eastAsia="en-GB"/>
        </w:rPr>
      </w:pPr>
      <w:r w:rsidRPr="00AE4D91">
        <w:rPr>
          <w:rFonts w:ascii="ArialMT" w:hAnsi="ArialMT" w:cs="ArialMT"/>
          <w:i/>
          <w:color w:val="000000"/>
          <w:sz w:val="22"/>
          <w:szCs w:val="22"/>
          <w:lang w:eastAsia="en-GB"/>
        </w:rPr>
        <w:t>“a</w:t>
      </w:r>
      <w:r w:rsidRPr="00AE4D91">
        <w:rPr>
          <w:rFonts w:ascii="ArialMT" w:hAnsi="ArialMT" w:cs="ArialMT"/>
          <w:i/>
          <w:strike/>
          <w:color w:val="000000"/>
          <w:sz w:val="22"/>
          <w:szCs w:val="22"/>
          <w:lang w:eastAsia="en-GB"/>
        </w:rPr>
        <w:t>n extraordinary and</w:t>
      </w:r>
      <w:r w:rsidRPr="00AE4D91">
        <w:rPr>
          <w:rFonts w:ascii="ArialMT" w:hAnsi="ArialMT" w:cs="ArialMT"/>
          <w:i/>
          <w:color w:val="000000"/>
          <w:sz w:val="22"/>
          <w:szCs w:val="22"/>
          <w:lang w:eastAsia="en-GB"/>
        </w:rPr>
        <w:t xml:space="preserve"> </w:t>
      </w:r>
      <w:r w:rsidRPr="00AE4D91">
        <w:rPr>
          <w:rFonts w:ascii="ArialMT" w:hAnsi="ArialMT" w:cs="ArialMT"/>
          <w:i/>
          <w:color w:val="000000"/>
          <w:sz w:val="22"/>
          <w:szCs w:val="22"/>
          <w:u w:val="single"/>
          <w:lang w:eastAsia="en-GB"/>
        </w:rPr>
        <w:t>reasonably</w:t>
      </w:r>
      <w:r w:rsidRPr="00AE4D91">
        <w:rPr>
          <w:rFonts w:ascii="ArialMT" w:hAnsi="ArialMT" w:cs="ArialMT"/>
          <w:i/>
          <w:color w:val="000000"/>
          <w:sz w:val="22"/>
          <w:szCs w:val="22"/>
          <w:lang w:eastAsia="en-GB"/>
        </w:rPr>
        <w:t xml:space="preserve"> unforeseeable, external </w:t>
      </w:r>
      <w:r w:rsidRPr="00AE4D91">
        <w:rPr>
          <w:rFonts w:ascii="ArialMT" w:hAnsi="ArialMT" w:cs="ArialMT"/>
          <w:i/>
          <w:color w:val="000000"/>
          <w:sz w:val="22"/>
          <w:szCs w:val="22"/>
          <w:u w:val="single"/>
          <w:lang w:eastAsia="en-GB"/>
        </w:rPr>
        <w:t>or internal</w:t>
      </w:r>
      <w:r w:rsidRPr="00AE4D91">
        <w:rPr>
          <w:rFonts w:ascii="ArialMT" w:hAnsi="ArialMT" w:cs="ArialMT"/>
          <w:i/>
          <w:color w:val="000000"/>
          <w:sz w:val="22"/>
          <w:szCs w:val="22"/>
          <w:lang w:eastAsia="en-GB"/>
        </w:rPr>
        <w:t xml:space="preserve"> set of circumstances b</w:t>
      </w:r>
      <w:r w:rsidRPr="00AE4D91">
        <w:rPr>
          <w:rFonts w:ascii="ArialMT" w:hAnsi="ArialMT" w:cs="ArialMT"/>
          <w:i/>
          <w:color w:val="000000"/>
          <w:sz w:val="22"/>
          <w:szCs w:val="22"/>
          <w:lang w:eastAsia="en-GB"/>
        </w:rPr>
        <w:t>e</w:t>
      </w:r>
      <w:r w:rsidRPr="00AE4D91">
        <w:rPr>
          <w:rFonts w:ascii="ArialMT" w:hAnsi="ArialMT" w:cs="ArialMT"/>
          <w:i/>
          <w:color w:val="000000"/>
          <w:sz w:val="22"/>
          <w:szCs w:val="22"/>
          <w:lang w:eastAsia="en-GB"/>
        </w:rPr>
        <w:t xml:space="preserve">yond the </w:t>
      </w:r>
      <w:r w:rsidRPr="00AE4D91">
        <w:rPr>
          <w:rFonts w:ascii="ArialMT" w:hAnsi="ArialMT" w:cs="ArialMT"/>
          <w:i/>
          <w:color w:val="000000"/>
          <w:sz w:val="22"/>
          <w:szCs w:val="22"/>
          <w:u w:val="single"/>
          <w:lang w:eastAsia="en-GB"/>
        </w:rPr>
        <w:t>reasonable</w:t>
      </w:r>
      <w:r w:rsidRPr="00AE4D91">
        <w:rPr>
          <w:rFonts w:ascii="ArialMT" w:hAnsi="ArialMT" w:cs="ArialMT"/>
          <w:i/>
          <w:color w:val="000000"/>
          <w:sz w:val="22"/>
          <w:szCs w:val="22"/>
          <w:lang w:eastAsia="en-GB"/>
        </w:rPr>
        <w:t xml:space="preserve"> control of </w:t>
      </w:r>
      <w:r w:rsidRPr="00AE4D91">
        <w:rPr>
          <w:rFonts w:ascii="ArialMT" w:hAnsi="ArialMT" w:cs="ArialMT"/>
          <w:i/>
          <w:color w:val="000000"/>
          <w:sz w:val="22"/>
          <w:szCs w:val="22"/>
          <w:u w:val="single"/>
          <w:lang w:eastAsia="en-GB"/>
        </w:rPr>
        <w:t>one or both of</w:t>
      </w:r>
      <w:r w:rsidRPr="00AE4D91">
        <w:rPr>
          <w:rFonts w:ascii="ArialMT" w:hAnsi="ArialMT" w:cs="ArialMT"/>
          <w:i/>
          <w:color w:val="000000"/>
          <w:sz w:val="22"/>
          <w:szCs w:val="22"/>
          <w:lang w:eastAsia="en-GB"/>
        </w:rPr>
        <w:t xml:space="preserve"> the contracting parties of a financial contract or a financial instrument, that </w:t>
      </w:r>
      <w:r w:rsidRPr="00AE4D91">
        <w:rPr>
          <w:rFonts w:ascii="ArialMT" w:hAnsi="ArialMT" w:cs="ArialMT"/>
          <w:i/>
          <w:color w:val="000000"/>
          <w:sz w:val="22"/>
          <w:szCs w:val="22"/>
          <w:u w:val="single"/>
          <w:lang w:eastAsia="en-GB"/>
        </w:rPr>
        <w:t>was</w:t>
      </w:r>
      <w:r w:rsidRPr="00AE4D91">
        <w:rPr>
          <w:rFonts w:ascii="ArialMT" w:hAnsi="ArialMT" w:cs="ArialMT"/>
          <w:i/>
          <w:color w:val="000000"/>
          <w:sz w:val="22"/>
          <w:szCs w:val="22"/>
          <w:lang w:eastAsia="en-GB"/>
        </w:rPr>
        <w:t xml:space="preserve"> </w:t>
      </w:r>
      <w:r w:rsidRPr="00AE4D91">
        <w:rPr>
          <w:rFonts w:ascii="ArialMT" w:hAnsi="ArialMT" w:cs="ArialMT"/>
          <w:i/>
          <w:strike/>
          <w:color w:val="000000"/>
          <w:sz w:val="22"/>
          <w:szCs w:val="22"/>
          <w:lang w:eastAsia="en-GB"/>
        </w:rPr>
        <w:t>has</w:t>
      </w:r>
      <w:r w:rsidRPr="00AE4D91">
        <w:rPr>
          <w:rFonts w:ascii="ArialMT" w:hAnsi="ArialMT" w:cs="ArialMT"/>
          <w:i/>
          <w:color w:val="000000"/>
          <w:sz w:val="22"/>
          <w:szCs w:val="22"/>
          <w:lang w:eastAsia="en-GB"/>
        </w:rPr>
        <w:t xml:space="preserve"> not, </w:t>
      </w:r>
      <w:r w:rsidRPr="00AE4D91">
        <w:rPr>
          <w:rFonts w:ascii="ArialMT" w:hAnsi="ArialMT" w:cs="ArialMT"/>
          <w:i/>
          <w:color w:val="000000"/>
          <w:sz w:val="22"/>
          <w:szCs w:val="22"/>
          <w:u w:val="single"/>
          <w:lang w:eastAsia="en-GB"/>
        </w:rPr>
        <w:t>and could not reasonably have been,</w:t>
      </w:r>
      <w:r w:rsidRPr="00AE4D91">
        <w:rPr>
          <w:rFonts w:ascii="ArialMT" w:hAnsi="ArialMT" w:cs="ArialMT"/>
          <w:i/>
          <w:color w:val="000000"/>
          <w:sz w:val="22"/>
          <w:szCs w:val="22"/>
          <w:lang w:eastAsia="en-GB"/>
        </w:rPr>
        <w:t xml:space="preserve"> considered by such parties at the time the contract was concluded and that cannot be, </w:t>
      </w:r>
      <w:r w:rsidRPr="00AE4D91">
        <w:rPr>
          <w:rFonts w:ascii="ArialMT" w:hAnsi="ArialMT" w:cs="ArialMT"/>
          <w:i/>
          <w:color w:val="000000"/>
          <w:sz w:val="22"/>
          <w:szCs w:val="22"/>
          <w:u w:val="single"/>
          <w:lang w:eastAsia="en-GB"/>
        </w:rPr>
        <w:t>or could not have been,</w:t>
      </w:r>
      <w:r w:rsidRPr="00AE4D91">
        <w:rPr>
          <w:rFonts w:ascii="ArialMT" w:hAnsi="ArialMT" w:cs="ArialMT"/>
          <w:i/>
          <w:color w:val="000000"/>
          <w:sz w:val="22"/>
          <w:szCs w:val="22"/>
          <w:lang w:eastAsia="en-GB"/>
        </w:rPr>
        <w:t xml:space="preserve"> pr</w:t>
      </w:r>
      <w:r w:rsidRPr="00AE4D91">
        <w:rPr>
          <w:rFonts w:ascii="ArialMT" w:hAnsi="ArialMT" w:cs="ArialMT"/>
          <w:i/>
          <w:color w:val="000000"/>
          <w:sz w:val="22"/>
          <w:szCs w:val="22"/>
          <w:lang w:eastAsia="en-GB"/>
        </w:rPr>
        <w:t>e</w:t>
      </w:r>
      <w:r w:rsidRPr="00AE4D91">
        <w:rPr>
          <w:rFonts w:ascii="ArialMT" w:hAnsi="ArialMT" w:cs="ArialMT"/>
          <w:i/>
          <w:color w:val="000000"/>
          <w:sz w:val="22"/>
          <w:szCs w:val="22"/>
          <w:lang w:eastAsia="en-GB"/>
        </w:rPr>
        <w:t xml:space="preserve">vented </w:t>
      </w:r>
      <w:r w:rsidRPr="00AE4D91">
        <w:rPr>
          <w:rFonts w:ascii="ArialMT" w:hAnsi="ArialMT" w:cs="ArialMT"/>
          <w:i/>
          <w:strike/>
          <w:color w:val="000000"/>
          <w:sz w:val="22"/>
          <w:szCs w:val="22"/>
          <w:lang w:eastAsia="en-GB"/>
        </w:rPr>
        <w:t>even</w:t>
      </w:r>
      <w:r w:rsidRPr="00AE4D91">
        <w:rPr>
          <w:rFonts w:ascii="ArialMT" w:hAnsi="ArialMT" w:cs="ArialMT"/>
          <w:i/>
          <w:color w:val="000000"/>
          <w:sz w:val="22"/>
          <w:szCs w:val="22"/>
          <w:lang w:eastAsia="en-GB"/>
        </w:rPr>
        <w:t xml:space="preserve"> through the use of </w:t>
      </w:r>
      <w:r w:rsidRPr="00AE4D91">
        <w:rPr>
          <w:rFonts w:ascii="ArialMT" w:hAnsi="ArialMT" w:cs="ArialMT"/>
          <w:i/>
          <w:color w:val="000000"/>
          <w:sz w:val="22"/>
          <w:szCs w:val="22"/>
          <w:u w:val="single"/>
          <w:lang w:eastAsia="en-GB"/>
        </w:rPr>
        <w:t>reasonable</w:t>
      </w:r>
      <w:r w:rsidRPr="00AE4D91">
        <w:rPr>
          <w:rFonts w:ascii="ArialMT" w:hAnsi="ArialMT" w:cs="ArialMT"/>
          <w:i/>
          <w:color w:val="000000"/>
          <w:sz w:val="22"/>
          <w:szCs w:val="22"/>
          <w:lang w:eastAsia="en-GB"/>
        </w:rPr>
        <w:t xml:space="preserve"> </w:t>
      </w:r>
      <w:r w:rsidRPr="00AE4D91">
        <w:rPr>
          <w:rFonts w:ascii="ArialMT" w:hAnsi="ArialMT" w:cs="ArialMT"/>
          <w:i/>
          <w:strike/>
          <w:color w:val="000000"/>
          <w:sz w:val="22"/>
          <w:szCs w:val="22"/>
          <w:lang w:eastAsia="en-GB"/>
        </w:rPr>
        <w:t>utmost</w:t>
      </w:r>
      <w:r w:rsidRPr="00AE4D91">
        <w:rPr>
          <w:rFonts w:ascii="ArialMT" w:hAnsi="ArialMT" w:cs="ArialMT"/>
          <w:i/>
          <w:color w:val="000000"/>
          <w:sz w:val="22"/>
          <w:szCs w:val="22"/>
          <w:lang w:eastAsia="en-GB"/>
        </w:rPr>
        <w:t xml:space="preserve"> due diligence or </w:t>
      </w:r>
      <w:r w:rsidRPr="00AE4D91">
        <w:rPr>
          <w:rFonts w:ascii="ArialMT" w:hAnsi="ArialMT" w:cs="ArialMT"/>
          <w:i/>
          <w:strike/>
          <w:color w:val="000000"/>
          <w:sz w:val="22"/>
          <w:szCs w:val="22"/>
          <w:lang w:eastAsia="en-GB"/>
        </w:rPr>
        <w:t>and</w:t>
      </w:r>
      <w:r w:rsidRPr="00AE4D91">
        <w:rPr>
          <w:rFonts w:ascii="ArialMT" w:hAnsi="ArialMT" w:cs="ArialMT"/>
          <w:i/>
          <w:color w:val="000000"/>
          <w:sz w:val="22"/>
          <w:szCs w:val="22"/>
          <w:lang w:eastAsia="en-GB"/>
        </w:rPr>
        <w:t xml:space="preserve"> </w:t>
      </w:r>
      <w:r w:rsidRPr="00AE4D91">
        <w:rPr>
          <w:rFonts w:ascii="ArialMT" w:hAnsi="ArialMT" w:cs="ArialMT"/>
          <w:i/>
          <w:color w:val="000000"/>
          <w:sz w:val="22"/>
          <w:szCs w:val="22"/>
          <w:u w:val="single"/>
          <w:lang w:eastAsia="en-GB"/>
        </w:rPr>
        <w:t>reasonable</w:t>
      </w:r>
      <w:r w:rsidRPr="00AE4D91">
        <w:rPr>
          <w:rFonts w:ascii="ArialMT" w:hAnsi="ArialMT" w:cs="ArialMT"/>
          <w:i/>
          <w:color w:val="000000"/>
          <w:sz w:val="22"/>
          <w:szCs w:val="22"/>
          <w:lang w:eastAsia="en-GB"/>
        </w:rPr>
        <w:t xml:space="preserve"> technical, </w:t>
      </w:r>
      <w:r w:rsidRPr="00AE4D91">
        <w:rPr>
          <w:rFonts w:ascii="ArialMT" w:hAnsi="ArialMT" w:cs="ArialMT"/>
          <w:i/>
          <w:strike/>
          <w:color w:val="000000"/>
          <w:sz w:val="22"/>
          <w:szCs w:val="22"/>
          <w:lang w:eastAsia="en-GB"/>
        </w:rPr>
        <w:t>and</w:t>
      </w:r>
      <w:r w:rsidRPr="00AE4D91">
        <w:rPr>
          <w:rFonts w:ascii="ArialMT" w:hAnsi="ArialMT" w:cs="ArialMT"/>
          <w:i/>
          <w:color w:val="000000"/>
          <w:sz w:val="22"/>
          <w:szCs w:val="22"/>
          <w:lang w:eastAsia="en-GB"/>
        </w:rPr>
        <w:t xml:space="preserve"> </w:t>
      </w:r>
      <w:r w:rsidRPr="00AE4D91">
        <w:rPr>
          <w:rFonts w:ascii="ArialMT" w:hAnsi="ArialMT" w:cs="ArialMT"/>
          <w:i/>
          <w:color w:val="000000"/>
          <w:sz w:val="22"/>
          <w:szCs w:val="22"/>
          <w:u w:val="single"/>
          <w:lang w:eastAsia="en-GB"/>
        </w:rPr>
        <w:t>reasonable</w:t>
      </w:r>
      <w:r w:rsidRPr="00AE4D91">
        <w:rPr>
          <w:rFonts w:ascii="ArialMT" w:hAnsi="ArialMT" w:cs="ArialMT"/>
          <w:i/>
          <w:color w:val="000000"/>
          <w:sz w:val="22"/>
          <w:szCs w:val="22"/>
          <w:lang w:eastAsia="en-GB"/>
        </w:rPr>
        <w:t xml:space="preserve"> financial </w:t>
      </w:r>
      <w:r w:rsidRPr="00AE4D91">
        <w:rPr>
          <w:rFonts w:ascii="ArialMT" w:hAnsi="ArialMT" w:cs="ArialMT"/>
          <w:i/>
          <w:color w:val="000000"/>
          <w:sz w:val="22"/>
          <w:szCs w:val="22"/>
          <w:u w:val="single"/>
          <w:lang w:eastAsia="en-GB"/>
        </w:rPr>
        <w:t>or any other</w:t>
      </w:r>
      <w:r w:rsidRPr="00AE4D91">
        <w:rPr>
          <w:rFonts w:ascii="ArialMT" w:hAnsi="ArialMT" w:cs="ArialMT"/>
          <w:i/>
          <w:color w:val="000000"/>
          <w:sz w:val="22"/>
          <w:szCs w:val="22"/>
          <w:lang w:eastAsia="en-GB"/>
        </w:rPr>
        <w:t xml:space="preserve"> reasonable means </w:t>
      </w:r>
      <w:r w:rsidRPr="00AE4D91">
        <w:rPr>
          <w:rFonts w:ascii="ArialMT" w:hAnsi="ArialMT" w:cs="ArialMT"/>
          <w:i/>
          <w:color w:val="000000"/>
          <w:sz w:val="22"/>
          <w:szCs w:val="22"/>
          <w:u w:val="single"/>
          <w:lang w:eastAsia="en-GB"/>
        </w:rPr>
        <w:t>and where such circumstances prevent</w:t>
      </w:r>
      <w:r w:rsidRPr="00AE4D91">
        <w:rPr>
          <w:rFonts w:ascii="ArialMT" w:hAnsi="ArialMT" w:cs="ArialMT"/>
          <w:i/>
          <w:color w:val="000000"/>
          <w:sz w:val="22"/>
          <w:szCs w:val="22"/>
          <w:lang w:eastAsia="en-GB"/>
        </w:rPr>
        <w:t xml:space="preserve"> </w:t>
      </w:r>
      <w:r w:rsidRPr="00AE4D91">
        <w:rPr>
          <w:rFonts w:ascii="ArialMT" w:hAnsi="ArialMT" w:cs="ArialMT"/>
          <w:i/>
          <w:strike/>
          <w:color w:val="000000"/>
          <w:sz w:val="22"/>
          <w:szCs w:val="22"/>
          <w:lang w:eastAsia="en-GB"/>
        </w:rPr>
        <w:t>which makes it impossible for either</w:t>
      </w:r>
      <w:r w:rsidRPr="00AE4D91">
        <w:rPr>
          <w:rFonts w:ascii="ArialMT" w:hAnsi="ArialMT" w:cs="ArialMT"/>
          <w:i/>
          <w:color w:val="000000"/>
          <w:sz w:val="22"/>
          <w:szCs w:val="22"/>
          <w:lang w:eastAsia="en-GB"/>
        </w:rPr>
        <w:t xml:space="preserve"> </w:t>
      </w:r>
      <w:r w:rsidRPr="00AE4D91">
        <w:rPr>
          <w:rFonts w:ascii="ArialMT" w:hAnsi="ArialMT" w:cs="ArialMT"/>
          <w:i/>
          <w:color w:val="000000"/>
          <w:sz w:val="22"/>
          <w:szCs w:val="22"/>
          <w:u w:val="single"/>
          <w:lang w:eastAsia="en-GB"/>
        </w:rPr>
        <w:t>one</w:t>
      </w:r>
      <w:r w:rsidRPr="00AE4D91">
        <w:rPr>
          <w:rFonts w:ascii="ArialMT" w:hAnsi="ArialMT" w:cs="ArialMT"/>
          <w:i/>
          <w:color w:val="000000"/>
          <w:sz w:val="22"/>
          <w:szCs w:val="22"/>
          <w:lang w:eastAsia="en-GB"/>
        </w:rPr>
        <w:t xml:space="preserve"> party </w:t>
      </w:r>
      <w:r w:rsidRPr="00AE4D91">
        <w:rPr>
          <w:rFonts w:ascii="ArialMT" w:hAnsi="ArialMT" w:cs="ArialMT"/>
          <w:i/>
          <w:color w:val="000000"/>
          <w:sz w:val="22"/>
          <w:szCs w:val="22"/>
          <w:u w:val="single"/>
          <w:lang w:eastAsia="en-GB"/>
        </w:rPr>
        <w:t>or both parties</w:t>
      </w:r>
      <w:r w:rsidRPr="00AE4D91">
        <w:rPr>
          <w:rFonts w:ascii="ArialMT" w:hAnsi="ArialMT" w:cs="ArialMT"/>
          <w:i/>
          <w:color w:val="000000"/>
          <w:sz w:val="22"/>
          <w:szCs w:val="22"/>
          <w:lang w:eastAsia="en-GB"/>
        </w:rPr>
        <w:t xml:space="preserve"> </w:t>
      </w:r>
      <w:r w:rsidRPr="00AE4D91">
        <w:rPr>
          <w:rFonts w:ascii="ArialMT" w:hAnsi="ArialMT" w:cs="ArialMT"/>
          <w:i/>
          <w:strike/>
          <w:color w:val="000000"/>
          <w:sz w:val="22"/>
          <w:szCs w:val="22"/>
          <w:lang w:eastAsia="en-GB"/>
        </w:rPr>
        <w:t>to</w:t>
      </w:r>
      <w:r w:rsidRPr="00AE4D91">
        <w:rPr>
          <w:rFonts w:ascii="ArialMT" w:hAnsi="ArialMT" w:cs="ArialMT"/>
          <w:i/>
          <w:color w:val="000000"/>
          <w:sz w:val="22"/>
          <w:szCs w:val="22"/>
          <w:lang w:eastAsia="en-GB"/>
        </w:rPr>
        <w:t xml:space="preserve"> perform</w:t>
      </w:r>
      <w:r w:rsidRPr="00AE4D91">
        <w:rPr>
          <w:rFonts w:ascii="ArialMT" w:hAnsi="ArialMT" w:cs="ArialMT"/>
          <w:i/>
          <w:color w:val="000000"/>
          <w:sz w:val="22"/>
          <w:szCs w:val="22"/>
          <w:u w:val="single"/>
          <w:lang w:eastAsia="en-GB"/>
        </w:rPr>
        <w:t>ing</w:t>
      </w:r>
      <w:r w:rsidRPr="00AE4D91">
        <w:rPr>
          <w:rFonts w:ascii="ArialMT" w:hAnsi="ArialMT" w:cs="ArialMT"/>
          <w:i/>
          <w:color w:val="000000"/>
          <w:sz w:val="22"/>
          <w:szCs w:val="22"/>
          <w:lang w:eastAsia="en-GB"/>
        </w:rPr>
        <w:t xml:space="preserve"> its </w:t>
      </w:r>
      <w:r w:rsidRPr="00AE4D91">
        <w:rPr>
          <w:rFonts w:ascii="ArialMT" w:hAnsi="ArialMT" w:cs="ArialMT"/>
          <w:i/>
          <w:color w:val="000000"/>
          <w:sz w:val="22"/>
          <w:szCs w:val="22"/>
          <w:u w:val="single"/>
          <w:lang w:eastAsia="en-GB"/>
        </w:rPr>
        <w:t>or their</w:t>
      </w:r>
      <w:r w:rsidRPr="00AE4D91">
        <w:rPr>
          <w:rFonts w:ascii="ArialMT" w:hAnsi="ArialMT" w:cs="ArialMT"/>
          <w:i/>
          <w:color w:val="000000"/>
          <w:sz w:val="22"/>
          <w:szCs w:val="22"/>
          <w:lang w:eastAsia="en-GB"/>
        </w:rPr>
        <w:t xml:space="preserve"> oblig</w:t>
      </w:r>
      <w:r w:rsidRPr="00AE4D91">
        <w:rPr>
          <w:rFonts w:ascii="ArialMT" w:hAnsi="ArialMT" w:cs="ArialMT"/>
          <w:i/>
          <w:color w:val="000000"/>
          <w:sz w:val="22"/>
          <w:szCs w:val="22"/>
          <w:lang w:eastAsia="en-GB"/>
        </w:rPr>
        <w:t>a</w:t>
      </w:r>
      <w:r w:rsidRPr="00AE4D91">
        <w:rPr>
          <w:rFonts w:ascii="ArialMT" w:hAnsi="ArialMT" w:cs="ArialMT"/>
          <w:i/>
          <w:color w:val="000000"/>
          <w:sz w:val="22"/>
          <w:szCs w:val="22"/>
          <w:lang w:eastAsia="en-GB"/>
        </w:rPr>
        <w:t xml:space="preserve">tions under the financial contract or the financial instrument despite </w:t>
      </w:r>
      <w:r w:rsidRPr="00AE4D91">
        <w:rPr>
          <w:rFonts w:ascii="ArialMT" w:hAnsi="ArialMT" w:cs="ArialMT"/>
          <w:i/>
          <w:color w:val="000000"/>
          <w:sz w:val="22"/>
          <w:szCs w:val="22"/>
          <w:u w:val="single"/>
          <w:lang w:eastAsia="en-GB"/>
        </w:rPr>
        <w:t>that party or both parties making</w:t>
      </w:r>
      <w:r w:rsidRPr="00AE4D91">
        <w:rPr>
          <w:rFonts w:ascii="ArialMT" w:hAnsi="ArialMT" w:cs="ArialMT"/>
          <w:i/>
          <w:color w:val="000000"/>
          <w:sz w:val="22"/>
          <w:szCs w:val="22"/>
          <w:lang w:eastAsia="en-GB"/>
        </w:rPr>
        <w:t xml:space="preserve"> </w:t>
      </w:r>
      <w:r w:rsidRPr="00AE4D91">
        <w:rPr>
          <w:rFonts w:ascii="ArialMT" w:hAnsi="ArialMT" w:cs="ArialMT"/>
          <w:i/>
          <w:strike/>
          <w:color w:val="000000"/>
          <w:sz w:val="22"/>
          <w:szCs w:val="22"/>
          <w:lang w:eastAsia="en-GB"/>
        </w:rPr>
        <w:t>all</w:t>
      </w:r>
      <w:r w:rsidRPr="00AE4D91">
        <w:rPr>
          <w:rFonts w:ascii="ArialMT" w:hAnsi="ArialMT" w:cs="ArialMT"/>
          <w:i/>
          <w:color w:val="000000"/>
          <w:sz w:val="22"/>
          <w:szCs w:val="22"/>
          <w:lang w:eastAsia="en-GB"/>
        </w:rPr>
        <w:t xml:space="preserve"> reasonable efforts to </w:t>
      </w:r>
      <w:r w:rsidRPr="00AE4D91">
        <w:rPr>
          <w:rFonts w:ascii="ArialMT" w:hAnsi="ArialMT" w:cs="ArialMT"/>
          <w:i/>
          <w:color w:val="000000"/>
          <w:sz w:val="22"/>
          <w:szCs w:val="22"/>
          <w:u w:val="single"/>
          <w:lang w:eastAsia="en-GB"/>
        </w:rPr>
        <w:t>perform such obligations</w:t>
      </w:r>
      <w:r w:rsidRPr="00AE4D91">
        <w:rPr>
          <w:rFonts w:ascii="ArialMT" w:hAnsi="ArialMT" w:cs="ArialMT"/>
          <w:i/>
          <w:color w:val="000000"/>
          <w:sz w:val="22"/>
          <w:szCs w:val="22"/>
          <w:lang w:eastAsia="en-GB"/>
        </w:rPr>
        <w:t xml:space="preserve"> </w:t>
      </w:r>
      <w:r w:rsidRPr="00AE4D91">
        <w:rPr>
          <w:rFonts w:ascii="ArialMT" w:hAnsi="ArialMT" w:cs="ArialMT"/>
          <w:i/>
          <w:strike/>
          <w:color w:val="000000"/>
          <w:sz w:val="22"/>
          <w:szCs w:val="22"/>
          <w:lang w:eastAsia="en-GB"/>
        </w:rPr>
        <w:t>the contrary</w:t>
      </w:r>
      <w:r w:rsidRPr="00AE4D91">
        <w:rPr>
          <w:rFonts w:ascii="ArialMT" w:hAnsi="ArialMT" w:cs="ArialMT"/>
          <w:i/>
          <w:color w:val="000000"/>
          <w:sz w:val="22"/>
          <w:szCs w:val="22"/>
          <w:lang w:eastAsia="en-GB"/>
        </w:rPr>
        <w:t>”.</w:t>
      </w:r>
    </w:p>
    <w:permEnd w:id="1408971047"/>
    <w:p w:rsidR="009A2624" w:rsidRDefault="009A2624" w:rsidP="009A2624">
      <w:r>
        <w:t>&lt;ESMA_QUESTION_DP_BMR_105&gt;</w:t>
      </w:r>
    </w:p>
    <w:p w:rsidR="009A2624" w:rsidRDefault="009A2624" w:rsidP="009A2624"/>
    <w:p w:rsidR="009A2624" w:rsidRPr="007F44BF" w:rsidRDefault="009A2624" w:rsidP="002342EC">
      <w:pPr>
        <w:pStyle w:val="Questionstyle"/>
      </w:pPr>
      <w:r w:rsidRPr="007F44BF">
        <w:t>Are the two envisaged options (with respect to the term until which a non-compliant benc</w:t>
      </w:r>
      <w:r w:rsidRPr="007F44BF">
        <w:t>h</w:t>
      </w:r>
      <w:r w:rsidRPr="007F44BF">
        <w:t xml:space="preserve">mark may be used) adequate: i.e. either (i) fix a time limit until when a non-compliant benchmark may be used or (ii) fix a minimum threshold which will trigger the prohibition to further use a non-compliant benchmark in existing financial instruments/financial contracts? </w:t>
      </w:r>
    </w:p>
    <w:p w:rsidR="009A2624" w:rsidRDefault="009A2624" w:rsidP="009A2624">
      <w:r>
        <w:t>&lt;ESMA_QUESTION_DP_BMR_106&gt;</w:t>
      </w:r>
    </w:p>
    <w:p w:rsidR="009A2624" w:rsidRDefault="009A2624" w:rsidP="009A2624">
      <w:permStart w:id="198246930" w:edGrp="everyone"/>
      <w:r>
        <w:t>TYPE YOUR TEXT HERE</w:t>
      </w:r>
    </w:p>
    <w:permEnd w:id="198246930"/>
    <w:p w:rsidR="009A2624" w:rsidRDefault="009A2624" w:rsidP="009A2624">
      <w:r>
        <w:t>&lt;ESMA_QUESTION_DP_BMR_106&gt;</w:t>
      </w:r>
    </w:p>
    <w:p w:rsidR="009A2624" w:rsidRDefault="009A2624" w:rsidP="009A2624"/>
    <w:p w:rsidR="009A2624" w:rsidRPr="007F44BF" w:rsidRDefault="009A2624" w:rsidP="002342EC">
      <w:pPr>
        <w:pStyle w:val="Questionstyle"/>
      </w:pPr>
      <w:r w:rsidRPr="007F44BF">
        <w:t>Which thresholds would be appropriate to foresee and how might a time limit be fixed? Please detail the reasons behind any suggestion.</w:t>
      </w:r>
    </w:p>
    <w:p w:rsidR="009A2624" w:rsidRDefault="009A2624" w:rsidP="009A2624">
      <w:r>
        <w:lastRenderedPageBreak/>
        <w:t>&lt;ESMA_QUESTION_DP_BMR_107&gt;</w:t>
      </w:r>
    </w:p>
    <w:p w:rsidR="009A2624" w:rsidRDefault="009A2624" w:rsidP="009A2624">
      <w:permStart w:id="1228804658" w:edGrp="everyone"/>
      <w:r>
        <w:t>TYPE YOUR TEXT HERE</w:t>
      </w:r>
    </w:p>
    <w:permEnd w:id="1228804658"/>
    <w:p w:rsidR="009A2624" w:rsidRDefault="009A2624" w:rsidP="009A2624">
      <w:r>
        <w:t>&lt;ESMA_QUESTION_DP_BMR_107&gt;</w:t>
      </w:r>
    </w:p>
    <w:p w:rsidR="009A2624" w:rsidRDefault="009A2624" w:rsidP="009A2624"/>
    <w:p w:rsidR="009A2624" w:rsidRPr="007F44BF" w:rsidRDefault="009A2624" w:rsidP="002342EC">
      <w:pPr>
        <w:pStyle w:val="Questionstyle"/>
      </w:pPr>
      <w:r w:rsidRPr="007F44BF">
        <w:t>Is the envisaged identification process of non-compliant benchmarks adequate? Do you have other suggestions?</w:t>
      </w:r>
    </w:p>
    <w:p w:rsidR="009A2624" w:rsidRDefault="009A2624" w:rsidP="009A2624">
      <w:r>
        <w:t>&lt;ESMA_QUESTION_DP_BMR_108&gt;</w:t>
      </w:r>
    </w:p>
    <w:p w:rsidR="009A2624" w:rsidRDefault="009A2624" w:rsidP="009A2624">
      <w:permStart w:id="1886650810" w:edGrp="everyone"/>
      <w:r>
        <w:t>TYPE YOUR TEXT HERE</w:t>
      </w:r>
    </w:p>
    <w:permEnd w:id="1886650810"/>
    <w:p w:rsidR="009A2624" w:rsidRDefault="009A2624" w:rsidP="009A2624">
      <w:r>
        <w:t>&lt;ESMA_QUESTION_DP_BMR_108&gt;</w:t>
      </w:r>
    </w:p>
    <w:p w:rsidR="009A2624" w:rsidRDefault="009A2624" w:rsidP="009A2624"/>
    <w:p w:rsidR="009A2624" w:rsidRPr="007F44BF" w:rsidRDefault="009A2624" w:rsidP="002342EC">
      <w:pPr>
        <w:pStyle w:val="Questionstyle"/>
      </w:pPr>
      <w:r w:rsidRPr="007F44BF">
        <w:t>Is the envisaged procedure enabling the competent authority to perform the assessment required by Article 39(3) correct in your view? Please advise what shall be considered in addition.</w:t>
      </w:r>
    </w:p>
    <w:p w:rsidR="009A2624" w:rsidRDefault="009A2624" w:rsidP="009A2624">
      <w:r>
        <w:t>&lt;ESMA_QUESTION_DP_BMR_109&gt;</w:t>
      </w:r>
    </w:p>
    <w:p w:rsidR="009A2624" w:rsidRDefault="009A2624" w:rsidP="009A2624">
      <w:permStart w:id="60970693" w:edGrp="everyone"/>
      <w:r>
        <w:t>TYPE YOUR TEXT HERE</w:t>
      </w:r>
    </w:p>
    <w:permEnd w:id="60970693"/>
    <w:p w:rsidR="009A2624" w:rsidRDefault="009A2624" w:rsidP="009A2624">
      <w:r>
        <w:t>&lt;ESMA_QUESTION_DP_BMR_109&gt;</w:t>
      </w:r>
    </w:p>
    <w:p w:rsidR="009A2624" w:rsidRDefault="009A2624" w:rsidP="009A2624"/>
    <w:p w:rsidR="009A2624" w:rsidRPr="007F44BF" w:rsidRDefault="009A2624" w:rsidP="002342EC">
      <w:pPr>
        <w:pStyle w:val="Questionstyle"/>
      </w:pPr>
      <w:r w:rsidRPr="007F44BF">
        <w:t>Which information it would be opportune to receive by benchmark providers on the one side and benchmark users that are supervised entities on the other side?</w:t>
      </w:r>
    </w:p>
    <w:p w:rsidR="009A2624" w:rsidRDefault="009A2624" w:rsidP="009A2624">
      <w:r>
        <w:t>&lt;ESMA_QUESTION_DP_BMR_110&gt;</w:t>
      </w:r>
    </w:p>
    <w:p w:rsidR="009A2624" w:rsidRDefault="009A2624" w:rsidP="009A2624">
      <w:permStart w:id="2013624974" w:edGrp="everyone"/>
      <w:r>
        <w:t>TYPE YOUR TEXT HERE</w:t>
      </w:r>
    </w:p>
    <w:permEnd w:id="2013624974"/>
    <w:p w:rsidR="009A2624" w:rsidRDefault="009A2624" w:rsidP="009A2624">
      <w:r>
        <w:t>&lt;ESMA_QUESTION_DP_BMR_110&gt;</w:t>
      </w:r>
    </w:p>
    <w:p w:rsidR="009A2624" w:rsidRDefault="009A2624" w:rsidP="009A2624"/>
    <w:p w:rsidR="009A2624" w:rsidRPr="007F44BF" w:rsidRDefault="009A2624" w:rsidP="002342EC">
      <w:pPr>
        <w:pStyle w:val="Questionstyle"/>
      </w:pPr>
      <w:r w:rsidRPr="007F44BF">
        <w:t xml:space="preserve">Do you agree that the different users of a benchmark that are supervised entities should liaise directly with the competent authority of the administrator and not with the respective competent authorities (if different)? </w:t>
      </w:r>
    </w:p>
    <w:p w:rsidR="009A2624" w:rsidRDefault="009A2624" w:rsidP="009A2624">
      <w:r>
        <w:t>&lt;ESMA_QUESTION_DP_BMR_111&gt;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603142712" w:edGrp="everyone"/>
      <w:r w:rsidRPr="00AE4D91">
        <w:rPr>
          <w:rFonts w:ascii="Helvetica" w:hAnsi="Helvetica" w:cs="Helvetica"/>
          <w:bCs/>
          <w:color w:val="000000"/>
          <w:sz w:val="22"/>
          <w:szCs w:val="22"/>
          <w:lang w:eastAsia="en-GB"/>
        </w:rPr>
        <w:t>Yes we agree.</w:t>
      </w:r>
    </w:p>
    <w:permEnd w:id="603142712"/>
    <w:p w:rsidR="009A2624" w:rsidRDefault="009A2624" w:rsidP="009A2624">
      <w:r>
        <w:t>&lt;ESMA_QUESTION_DP_BMR_111&gt;</w:t>
      </w:r>
    </w:p>
    <w:p w:rsidR="009A2624" w:rsidRDefault="009A2624" w:rsidP="009A2624"/>
    <w:p w:rsidR="009A2624" w:rsidRPr="007F44BF" w:rsidRDefault="009A2624" w:rsidP="002342EC">
      <w:pPr>
        <w:pStyle w:val="Questionstyle"/>
      </w:pPr>
      <w:r w:rsidRPr="007F44BF">
        <w:t>Would it be possible for relevant benchmark providers/users that are supervised entities to provide to the competent authority an estimate of the number and value of financial instr</w:t>
      </w:r>
      <w:r w:rsidRPr="007F44BF">
        <w:t>u</w:t>
      </w:r>
      <w:r w:rsidRPr="007F44BF">
        <w:t>ments/contracts referencing to a non-compliant benchmark being affected by the cess</w:t>
      </w:r>
      <w:r w:rsidRPr="007F44BF">
        <w:t>a</w:t>
      </w:r>
      <w:r w:rsidRPr="007F44BF">
        <w:t>tion/adaptation of such benchmark?</w:t>
      </w:r>
    </w:p>
    <w:p w:rsidR="009A2624" w:rsidRDefault="009A2624" w:rsidP="009A2624">
      <w:r>
        <w:t>&lt;ESMA_QUESTION_DP_BMR_112&gt;</w:t>
      </w:r>
    </w:p>
    <w:p w:rsidR="00AE4D91" w:rsidRPr="00AE4D91" w:rsidRDefault="00AE4D91" w:rsidP="00AE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color w:val="000000"/>
          <w:sz w:val="22"/>
          <w:szCs w:val="22"/>
          <w:lang w:eastAsia="en-GB"/>
        </w:rPr>
      </w:pPr>
      <w:permStart w:id="381114627" w:edGrp="everyone"/>
      <w:r w:rsidRPr="00AE4D91">
        <w:rPr>
          <w:rFonts w:ascii="Helvetica" w:hAnsi="Helvetica" w:cs="Helvetica"/>
          <w:bCs/>
          <w:color w:val="000000"/>
          <w:sz w:val="22"/>
          <w:szCs w:val="22"/>
          <w:lang w:eastAsia="en-GB"/>
        </w:rPr>
        <w:t>It may be possible but not always practical.  It would depend on a number of factors including the type of the underlying assets and the sophistication of the benchmark user.</w:t>
      </w:r>
    </w:p>
    <w:permEnd w:id="381114627"/>
    <w:p w:rsidR="009A2624" w:rsidRDefault="009A2624" w:rsidP="009A2624">
      <w:r>
        <w:t>&lt;ESMA_QUESTION_DP_BMR_112&gt;</w:t>
      </w:r>
    </w:p>
    <w:p w:rsidR="009A2624" w:rsidRDefault="009A2624" w:rsidP="009A2624"/>
    <w:p w:rsidR="009A2624" w:rsidRDefault="009A2624" w:rsidP="002342EC">
      <w:pPr>
        <w:pStyle w:val="Questionstyle"/>
      </w:pPr>
      <w:r w:rsidRPr="007F44BF">
        <w:t>Would it be possible to evaluate how many out of these financial contracts or financial instr</w:t>
      </w:r>
      <w:r w:rsidRPr="007F44BF">
        <w:t>u</w:t>
      </w:r>
      <w:r w:rsidRPr="007F44BF">
        <w:t>ments are affected in a manner that the cessation/adaptation of the non-compliant benchmark would result in a force majeure event or frustration of contracts?</w:t>
      </w:r>
    </w:p>
    <w:p w:rsidR="009A2624" w:rsidRDefault="009A2624" w:rsidP="009A2624">
      <w:r>
        <w:t>&lt;ESMA_QUESTION_DP_BMR_113&gt;</w:t>
      </w:r>
    </w:p>
    <w:p w:rsidR="00AE4D91" w:rsidRPr="00AE4D91" w:rsidRDefault="00AE4D91" w:rsidP="00AE4D91">
      <w:pPr>
        <w:jc w:val="both"/>
        <w:rPr>
          <w:rFonts w:cs="Arial"/>
          <w:sz w:val="22"/>
          <w:szCs w:val="22"/>
          <w:lang w:eastAsia="en-US"/>
        </w:rPr>
      </w:pPr>
      <w:permStart w:id="1336153644" w:edGrp="everyone"/>
      <w:r w:rsidRPr="00AE4D91">
        <w:rPr>
          <w:rFonts w:cs="Arial"/>
          <w:sz w:val="22"/>
          <w:szCs w:val="22"/>
          <w:lang w:eastAsia="en-US"/>
        </w:rPr>
        <w:t>Yes.  This is something that the benchmark users should be able to assess subject to being able to rely on ESMA’s guidance clarifying the circumstances under which a contract would be fru</w:t>
      </w:r>
      <w:r w:rsidRPr="00AE4D91">
        <w:rPr>
          <w:rFonts w:cs="Arial"/>
          <w:sz w:val="22"/>
          <w:szCs w:val="22"/>
          <w:lang w:eastAsia="en-US"/>
        </w:rPr>
        <w:t>s</w:t>
      </w:r>
      <w:r w:rsidRPr="00AE4D91">
        <w:rPr>
          <w:rFonts w:cs="Arial"/>
          <w:sz w:val="22"/>
          <w:szCs w:val="22"/>
          <w:lang w:eastAsia="en-US"/>
        </w:rPr>
        <w:t>trated and when it would result in a force majeure event.</w:t>
      </w:r>
    </w:p>
    <w:permEnd w:id="1336153644"/>
    <w:p w:rsidR="009A2624" w:rsidRDefault="009A2624" w:rsidP="009A2624">
      <w:r>
        <w:lastRenderedPageBreak/>
        <w:t>&lt;ESMA_QUESTION_DP_BMR_113&gt;</w:t>
      </w:r>
    </w:p>
    <w:p w:rsidR="009A2624" w:rsidRDefault="009A2624" w:rsidP="009A2624"/>
    <w:p w:rsidR="00F31E57" w:rsidRPr="0075015C" w:rsidRDefault="00F31E57" w:rsidP="008701E5">
      <w:pPr>
        <w:pStyle w:val="QuestionsFORM"/>
        <w:numPr>
          <w:ilvl w:val="0"/>
          <w:numId w:val="0"/>
        </w:numPr>
        <w:rPr>
          <w:lang w:val="fr-FR"/>
        </w:rPr>
      </w:pPr>
    </w:p>
    <w:sectPr w:rsidR="00F31E57" w:rsidRPr="0075015C" w:rsidSect="00A8728B">
      <w:headerReference w:type="even" r:id="rId16"/>
      <w:headerReference w:type="first" r:id="rId17"/>
      <w:footerReference w:type="first" r:id="rId1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B7E" w:rsidRDefault="007A2B7E">
      <w:r>
        <w:separator/>
      </w:r>
    </w:p>
    <w:p w:rsidR="007A2B7E" w:rsidRDefault="007A2B7E"/>
  </w:endnote>
  <w:endnote w:type="continuationSeparator" w:id="0">
    <w:p w:rsidR="007A2B7E" w:rsidRDefault="007A2B7E">
      <w:r>
        <w:continuationSeparator/>
      </w:r>
    </w:p>
    <w:p w:rsidR="007A2B7E" w:rsidRDefault="007A2B7E"/>
  </w:endnote>
  <w:endnote w:type="continuationNotice" w:id="1">
    <w:p w:rsidR="007A2B7E" w:rsidRDefault="007A2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A2B7E" w:rsidRPr="00616B9B" w:rsidTr="00315E96">
      <w:trPr>
        <w:trHeight w:val="284"/>
      </w:trPr>
      <w:tc>
        <w:tcPr>
          <w:tcW w:w="8460" w:type="dxa"/>
        </w:tcPr>
        <w:p w:rsidR="007A2B7E" w:rsidRPr="00315E96" w:rsidRDefault="007A2B7E" w:rsidP="00315E96">
          <w:pPr>
            <w:pStyle w:val="00Footer"/>
            <w:rPr>
              <w:lang w:val="fr-FR"/>
            </w:rPr>
          </w:pPr>
        </w:p>
      </w:tc>
      <w:tc>
        <w:tcPr>
          <w:tcW w:w="952" w:type="dxa"/>
        </w:tcPr>
        <w:p w:rsidR="007A2B7E" w:rsidRPr="00616B9B" w:rsidRDefault="007A2B7E"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353380">
            <w:rPr>
              <w:rFonts w:cs="Arial"/>
              <w:noProof/>
              <w:sz w:val="22"/>
              <w:szCs w:val="22"/>
            </w:rPr>
            <w:t>32</w:t>
          </w:r>
          <w:r w:rsidRPr="00616B9B">
            <w:rPr>
              <w:rFonts w:cs="Arial"/>
              <w:noProof/>
              <w:sz w:val="22"/>
              <w:szCs w:val="22"/>
            </w:rPr>
            <w:fldChar w:fldCharType="end"/>
          </w:r>
        </w:p>
      </w:tc>
    </w:tr>
  </w:tbl>
  <w:p w:rsidR="007A2B7E" w:rsidRDefault="007A2B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7E" w:rsidRDefault="007A2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B7E" w:rsidRDefault="007A2B7E">
      <w:r>
        <w:separator/>
      </w:r>
    </w:p>
    <w:p w:rsidR="007A2B7E" w:rsidRDefault="007A2B7E"/>
  </w:footnote>
  <w:footnote w:type="continuationSeparator" w:id="0">
    <w:p w:rsidR="007A2B7E" w:rsidRDefault="007A2B7E">
      <w:r>
        <w:continuationSeparator/>
      </w:r>
    </w:p>
    <w:p w:rsidR="007A2B7E" w:rsidRDefault="007A2B7E"/>
  </w:footnote>
  <w:footnote w:type="continuationNotice" w:id="1">
    <w:p w:rsidR="007A2B7E" w:rsidRDefault="007A2B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7E" w:rsidRDefault="007A2B7E">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7E" w:rsidRDefault="007A2B7E"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7E" w:rsidRDefault="007A2B7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A2B7E" w:rsidRPr="002F4496" w:rsidTr="000C06C9">
      <w:trPr>
        <w:trHeight w:val="284"/>
      </w:trPr>
      <w:tc>
        <w:tcPr>
          <w:tcW w:w="8460" w:type="dxa"/>
        </w:tcPr>
        <w:p w:rsidR="007A2B7E" w:rsidRPr="000C3B6D" w:rsidRDefault="007A2B7E" w:rsidP="000C06C9">
          <w:pPr>
            <w:pStyle w:val="00Footer"/>
            <w:rPr>
              <w:lang w:val="fr-FR"/>
            </w:rPr>
          </w:pPr>
        </w:p>
      </w:tc>
      <w:tc>
        <w:tcPr>
          <w:tcW w:w="952" w:type="dxa"/>
        </w:tcPr>
        <w:p w:rsidR="007A2B7E" w:rsidRPr="00146B34" w:rsidRDefault="007A2B7E" w:rsidP="000C06C9">
          <w:pPr>
            <w:pStyle w:val="00aPagenumber"/>
            <w:rPr>
              <w:lang w:val="fr-FR"/>
            </w:rPr>
          </w:pPr>
        </w:p>
      </w:tc>
    </w:tr>
  </w:tbl>
  <w:p w:rsidR="007A2B7E" w:rsidRPr="00DB46C3" w:rsidRDefault="007A2B7E">
    <w:pPr>
      <w:rPr>
        <w:lang w:val="fr-FR"/>
      </w:rPr>
    </w:pPr>
  </w:p>
  <w:p w:rsidR="007A2B7E" w:rsidRPr="002F4496" w:rsidRDefault="007A2B7E">
    <w:pPr>
      <w:pStyle w:val="Header"/>
      <w:rPr>
        <w:lang w:val="fr-FR"/>
      </w:rPr>
    </w:pPr>
  </w:p>
  <w:p w:rsidR="007A2B7E" w:rsidRPr="002F4496" w:rsidRDefault="007A2B7E" w:rsidP="000C06C9">
    <w:pPr>
      <w:pStyle w:val="Header"/>
      <w:tabs>
        <w:tab w:val="clear" w:pos="4536"/>
        <w:tab w:val="clear" w:pos="9072"/>
        <w:tab w:val="left" w:pos="8227"/>
      </w:tabs>
      <w:rPr>
        <w:lang w:val="fr-FR"/>
      </w:rPr>
    </w:pPr>
  </w:p>
  <w:p w:rsidR="007A2B7E" w:rsidRPr="002F4496" w:rsidRDefault="007A2B7E" w:rsidP="000C06C9">
    <w:pPr>
      <w:pStyle w:val="Header"/>
      <w:tabs>
        <w:tab w:val="clear" w:pos="4536"/>
        <w:tab w:val="clear" w:pos="9072"/>
        <w:tab w:val="left" w:pos="8227"/>
      </w:tabs>
      <w:rPr>
        <w:lang w:val="fr-FR"/>
      </w:rPr>
    </w:pPr>
  </w:p>
  <w:p w:rsidR="007A2B7E" w:rsidRPr="002F4496" w:rsidRDefault="007A2B7E">
    <w:pPr>
      <w:pStyle w:val="Header"/>
      <w:rPr>
        <w:lang w:val="fr-FR"/>
      </w:rPr>
    </w:pPr>
  </w:p>
  <w:p w:rsidR="007A2B7E" w:rsidRPr="002F4496" w:rsidRDefault="007A2B7E">
    <w:pPr>
      <w:pStyle w:val="Header"/>
      <w:rPr>
        <w:lang w:val="fr-FR"/>
      </w:rPr>
    </w:pPr>
  </w:p>
  <w:p w:rsidR="007A2B7E" w:rsidRPr="002F4496" w:rsidRDefault="007A2B7E">
    <w:pPr>
      <w:pStyle w:val="Header"/>
      <w:rPr>
        <w:lang w:val="fr-FR"/>
      </w:rPr>
    </w:pPr>
  </w:p>
  <w:p w:rsidR="007A2B7E" w:rsidRPr="002F4496" w:rsidRDefault="007A2B7E">
    <w:pPr>
      <w:pStyle w:val="Header"/>
      <w:rPr>
        <w:lang w:val="fr-FR"/>
      </w:rPr>
    </w:pPr>
  </w:p>
  <w:p w:rsidR="007A2B7E" w:rsidRPr="002F4496" w:rsidRDefault="007A2B7E">
    <w:pPr>
      <w:pStyle w:val="Header"/>
      <w:rPr>
        <w:highlight w:val="yellow"/>
        <w:lang w:val="fr-FR"/>
      </w:rPr>
    </w:pPr>
  </w:p>
  <w:p w:rsidR="007A2B7E" w:rsidRDefault="007A2B7E">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79018B6"/>
    <w:multiLevelType w:val="hybridMultilevel"/>
    <w:tmpl w:val="2580F932"/>
    <w:lvl w:ilvl="0" w:tplc="81A8B1DE">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151F5D"/>
    <w:multiLevelType w:val="hybridMultilevel"/>
    <w:tmpl w:val="2580F932"/>
    <w:lvl w:ilvl="0" w:tplc="81A8B1DE">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4">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6"/>
  </w:num>
  <w:num w:numId="5">
    <w:abstractNumId w:val="28"/>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5"/>
  </w:num>
  <w:num w:numId="15">
    <w:abstractNumId w:val="11"/>
  </w:num>
  <w:num w:numId="16">
    <w:abstractNumId w:val="1"/>
  </w:num>
  <w:num w:numId="17">
    <w:abstractNumId w:val="15"/>
  </w:num>
  <w:num w:numId="18">
    <w:abstractNumId w:val="16"/>
  </w:num>
  <w:num w:numId="19">
    <w:abstractNumId w:val="18"/>
  </w:num>
  <w:num w:numId="20">
    <w:abstractNumId w:val="29"/>
  </w:num>
  <w:num w:numId="21">
    <w:abstractNumId w:val="38"/>
  </w:num>
  <w:num w:numId="22">
    <w:abstractNumId w:val="27"/>
  </w:num>
  <w:num w:numId="23">
    <w:abstractNumId w:val="10"/>
  </w:num>
  <w:num w:numId="24">
    <w:abstractNumId w:val="32"/>
  </w:num>
  <w:num w:numId="25">
    <w:abstractNumId w:val="31"/>
  </w:num>
  <w:num w:numId="26">
    <w:abstractNumId w:val="21"/>
  </w:num>
  <w:num w:numId="27">
    <w:abstractNumId w:val="35"/>
  </w:num>
  <w:num w:numId="28">
    <w:abstractNumId w:val="41"/>
  </w:num>
  <w:num w:numId="29">
    <w:abstractNumId w:val="8"/>
  </w:num>
  <w:num w:numId="30">
    <w:abstractNumId w:val="4"/>
  </w:num>
  <w:num w:numId="31">
    <w:abstractNumId w:val="24"/>
  </w:num>
  <w:num w:numId="32">
    <w:abstractNumId w:val="2"/>
  </w:num>
  <w:num w:numId="33">
    <w:abstractNumId w:val="7"/>
  </w:num>
  <w:num w:numId="34">
    <w:abstractNumId w:val="22"/>
  </w:num>
  <w:num w:numId="35">
    <w:abstractNumId w:val="37"/>
  </w:num>
  <w:num w:numId="36">
    <w:abstractNumId w:val="36"/>
  </w:num>
  <w:num w:numId="37">
    <w:abstractNumId w:val="12"/>
  </w:num>
  <w:num w:numId="38">
    <w:abstractNumId w:val="3"/>
  </w:num>
  <w:num w:numId="39">
    <w:abstractNumId w:val="39"/>
  </w:num>
  <w:num w:numId="40">
    <w:abstractNumId w:val="23"/>
  </w:num>
  <w:num w:numId="41">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d4hXHTwV+8tzQ+64uFVbj4nB/CE=" w:salt="uAGLBiGOJ16iFctlZPqyxA=="/>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0918"/>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371F"/>
    <w:rsid w:val="000B55C0"/>
    <w:rsid w:val="000B5DF2"/>
    <w:rsid w:val="000C06C9"/>
    <w:rsid w:val="000C1DCC"/>
    <w:rsid w:val="000C1FBC"/>
    <w:rsid w:val="000C28EF"/>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1D8"/>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284"/>
    <w:rsid w:val="002E7F4B"/>
    <w:rsid w:val="002F0C91"/>
    <w:rsid w:val="002F0E3E"/>
    <w:rsid w:val="002F1B19"/>
    <w:rsid w:val="002F1FBF"/>
    <w:rsid w:val="002F4139"/>
    <w:rsid w:val="00300046"/>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3380"/>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D8A"/>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1F5"/>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7F7A"/>
    <w:rsid w:val="006607C2"/>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C6D7D"/>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77D07"/>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B7E"/>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4D91"/>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1E2C"/>
    <w:rsid w:val="00BE425B"/>
    <w:rsid w:val="00BE51BB"/>
    <w:rsid w:val="00BE5F12"/>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7E8"/>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9E0"/>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B42A6-E402-448E-B6A2-76FCE6458D9C}">
  <ds:schemaRefs>
    <ds:schemaRef ds:uri="http://schemas.openxmlformats.org/officeDocument/2006/bibliography"/>
  </ds:schemaRefs>
</ds:datastoreItem>
</file>

<file path=customXml/itemProps2.xml><?xml version="1.0" encoding="utf-8"?>
<ds:datastoreItem xmlns:ds="http://schemas.openxmlformats.org/officeDocument/2006/customXml" ds:itemID="{4F81260D-5399-4825-A0E7-5AB584AF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32</Pages>
  <Words>11285</Words>
  <Characters>64283</Characters>
  <Application>Microsoft Office Word</Application>
  <DocSecurity>8</DocSecurity>
  <Lines>535</Lines>
  <Paragraphs>150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75418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katy.hyams</cp:lastModifiedBy>
  <cp:revision>10</cp:revision>
  <cp:lastPrinted>2015-02-18T11:01:00Z</cp:lastPrinted>
  <dcterms:created xsi:type="dcterms:W3CDTF">2016-03-30T15:28:00Z</dcterms:created>
  <dcterms:modified xsi:type="dcterms:W3CDTF">2016-03-31T13:29:00Z</dcterms:modified>
</cp:coreProperties>
</file>