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bookmarkStart w:id="0" w:name="_GoBack"/>
            <w:bookmarkEnd w:id="0"/>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D34282" w:rsidRDefault="00D34282" w:rsidP="00D34282">
      <w:permStart w:id="929834177" w:edGrp="everyone"/>
    </w:p>
    <w:permEnd w:id="929834177"/>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494567" w:rsidRPr="00275A17" w:rsidRDefault="00494567" w:rsidP="00494567">
      <w:pPr>
        <w:rPr>
          <w:rFonts w:ascii="Franklin Gothic Book" w:hAnsi="Franklin Gothic Book"/>
          <w:sz w:val="21"/>
          <w:szCs w:val="21"/>
          <w:lang w:eastAsia="en-US"/>
        </w:rPr>
      </w:pPr>
      <w:permStart w:id="475948466" w:edGrp="everyone"/>
      <w:r w:rsidRPr="00275A17">
        <w:rPr>
          <w:rFonts w:ascii="Franklin Gothic Book" w:hAnsi="Franklin Gothic Book"/>
          <w:sz w:val="21"/>
          <w:szCs w:val="21"/>
          <w:lang w:eastAsia="en-US"/>
        </w:rPr>
        <w:t xml:space="preserve">Yes, </w:t>
      </w:r>
      <w:r w:rsidRPr="00275A17">
        <w:rPr>
          <w:rFonts w:ascii="Franklin Gothic Book" w:hAnsi="Franklin Gothic Book"/>
          <w:i/>
          <w:sz w:val="21"/>
          <w:szCs w:val="21"/>
          <w:lang w:eastAsia="en-US"/>
        </w:rPr>
        <w:t>“made available to the public”</w:t>
      </w:r>
      <w:r w:rsidRPr="00275A17">
        <w:rPr>
          <w:rFonts w:ascii="Franklin Gothic Book" w:hAnsi="Franklin Gothic Book"/>
          <w:sz w:val="21"/>
          <w:szCs w:val="21"/>
          <w:lang w:eastAsia="en-US"/>
        </w:rPr>
        <w:t xml:space="preserve"> should be defined in an open manner and as broadly as possible so as to not unduly restrict the number of benchmarks in scope. It is not in the best interest of investor prote</w:t>
      </w:r>
      <w:r w:rsidRPr="00275A17">
        <w:rPr>
          <w:rFonts w:ascii="Franklin Gothic Book" w:hAnsi="Franklin Gothic Book"/>
          <w:sz w:val="21"/>
          <w:szCs w:val="21"/>
          <w:lang w:eastAsia="en-US"/>
        </w:rPr>
        <w:t>c</w:t>
      </w:r>
      <w:r w:rsidRPr="00275A17">
        <w:rPr>
          <w:rFonts w:ascii="Franklin Gothic Book" w:hAnsi="Franklin Gothic Book"/>
          <w:sz w:val="21"/>
          <w:szCs w:val="21"/>
          <w:lang w:eastAsia="en-US"/>
        </w:rPr>
        <w:t xml:space="preserve">tion if administrators could stop “publishing” as a way to get out of the BMR. IIA feels an appropriate definition would read as follows: </w:t>
      </w:r>
      <w:r w:rsidRPr="00275A17">
        <w:rPr>
          <w:rFonts w:ascii="Franklin Gothic Book" w:hAnsi="Franklin Gothic Book"/>
          <w:i/>
          <w:sz w:val="21"/>
          <w:szCs w:val="21"/>
          <w:lang w:eastAsia="en-US"/>
        </w:rPr>
        <w:t>“’made available to the public’ means the provision of any benchmark to another entity for the purposes of issuing or creating a financial instrument or financial contract or benchmarking the performance of an investment fund”</w:t>
      </w:r>
      <w:r>
        <w:rPr>
          <w:rFonts w:ascii="Franklin Gothic Book" w:hAnsi="Franklin Gothic Book"/>
          <w:sz w:val="21"/>
          <w:szCs w:val="21"/>
          <w:lang w:eastAsia="en-US"/>
        </w:rPr>
        <w:t>.</w:t>
      </w:r>
    </w:p>
    <w:permEnd w:id="475948466"/>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494567" w:rsidRPr="00455918" w:rsidRDefault="00494567" w:rsidP="00494567">
      <w:pPr>
        <w:rPr>
          <w:rFonts w:ascii="Franklin Gothic Book" w:hAnsi="Franklin Gothic Book" w:cs="Helvetica"/>
          <w:color w:val="000000"/>
          <w:sz w:val="21"/>
          <w:szCs w:val="21"/>
        </w:rPr>
      </w:pPr>
      <w:permStart w:id="418974283" w:edGrp="everyone"/>
      <w:r w:rsidRPr="00455918">
        <w:rPr>
          <w:rFonts w:ascii="Franklin Gothic Book" w:hAnsi="Franklin Gothic Book" w:cs="Helvetica"/>
          <w:color w:val="000000"/>
          <w:sz w:val="21"/>
          <w:szCs w:val="21"/>
        </w:rPr>
        <w:t>The mechanism of publishing should not matter, but the fact it is made available. The publication process should focus on any provision of a benchmark to another entity for the purposes of issuing or creating a financial instrument or financial contract or benchmarking the performance of an investment fund. Focu</w:t>
      </w:r>
      <w:r w:rsidRPr="00455918">
        <w:rPr>
          <w:rFonts w:ascii="Franklin Gothic Book" w:hAnsi="Franklin Gothic Book" w:cs="Helvetica"/>
          <w:color w:val="000000"/>
          <w:sz w:val="21"/>
          <w:szCs w:val="21"/>
        </w:rPr>
        <w:t>s</w:t>
      </w:r>
      <w:r w:rsidRPr="00455918">
        <w:rPr>
          <w:rFonts w:ascii="Franklin Gothic Book" w:hAnsi="Franklin Gothic Book" w:cs="Helvetica"/>
          <w:color w:val="000000"/>
          <w:sz w:val="21"/>
          <w:szCs w:val="21"/>
        </w:rPr>
        <w:t xml:space="preserve">ing on any such provision or dissemination ensures that the scope of Regulation is not unduly restricted in terms of the number of benchmarks covered. </w:t>
      </w:r>
    </w:p>
    <w:permEnd w:id="418974283"/>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494567" w:rsidRPr="00AF7278" w:rsidRDefault="00494567" w:rsidP="00494567">
      <w:pPr>
        <w:rPr>
          <w:rFonts w:ascii="Franklin Gothic Book" w:hAnsi="Franklin Gothic Book"/>
          <w:sz w:val="21"/>
          <w:szCs w:val="21"/>
        </w:rPr>
      </w:pPr>
      <w:permStart w:id="90784725" w:edGrp="everyone"/>
      <w:r w:rsidRPr="00AF7278">
        <w:rPr>
          <w:rFonts w:ascii="Franklin Gothic Book" w:hAnsi="Franklin Gothic Book"/>
          <w:sz w:val="21"/>
          <w:szCs w:val="21"/>
        </w:rPr>
        <w:t xml:space="preserve">Yes, ESMA’s proposal to align with the IOSCO Principles on the overall responsibility of the administrator is an appropriate and sound approach. The administrator should retain overall responsibility of all aspects of the benchmark determination process, including </w:t>
      </w:r>
      <w:r w:rsidRPr="00AF7278">
        <w:rPr>
          <w:rFonts w:ascii="Franklin Gothic Book" w:hAnsi="Franklin Gothic Book"/>
          <w:i/>
          <w:sz w:val="21"/>
          <w:szCs w:val="21"/>
        </w:rPr>
        <w:t>“development, determination and dissemination, oper</w:t>
      </w:r>
      <w:r w:rsidRPr="00AF7278">
        <w:rPr>
          <w:rFonts w:ascii="Franklin Gothic Book" w:hAnsi="Franklin Gothic Book"/>
          <w:i/>
          <w:sz w:val="21"/>
          <w:szCs w:val="21"/>
        </w:rPr>
        <w:t>a</w:t>
      </w:r>
      <w:r w:rsidRPr="00AF7278">
        <w:rPr>
          <w:rFonts w:ascii="Franklin Gothic Book" w:hAnsi="Franklin Gothic Book"/>
          <w:i/>
          <w:sz w:val="21"/>
          <w:szCs w:val="21"/>
        </w:rPr>
        <w:t>tion and governance”</w:t>
      </w:r>
      <w:r w:rsidRPr="00AF7278">
        <w:rPr>
          <w:rFonts w:ascii="Franklin Gothic Book" w:hAnsi="Franklin Gothic Book"/>
          <w:sz w:val="21"/>
          <w:szCs w:val="21"/>
        </w:rPr>
        <w:t xml:space="preserve"> as stated in </w:t>
      </w:r>
      <w:r>
        <w:rPr>
          <w:rFonts w:ascii="Franklin Gothic Book" w:hAnsi="Franklin Gothic Book"/>
          <w:sz w:val="21"/>
          <w:szCs w:val="21"/>
        </w:rPr>
        <w:t>p</w:t>
      </w:r>
      <w:r w:rsidRPr="00AF7278">
        <w:rPr>
          <w:rFonts w:ascii="Franklin Gothic Book" w:hAnsi="Franklin Gothic Book"/>
          <w:sz w:val="21"/>
          <w:szCs w:val="21"/>
        </w:rPr>
        <w:t xml:space="preserve">aragraph 25. Further, essential to retaining overall responsibility is the concept that the administrator be responsible for </w:t>
      </w:r>
      <w:r w:rsidRPr="00AF7278">
        <w:rPr>
          <w:rFonts w:ascii="Franklin Gothic Book" w:hAnsi="Franklin Gothic Book"/>
          <w:i/>
          <w:sz w:val="21"/>
          <w:szCs w:val="21"/>
        </w:rPr>
        <w:t>“the development of the methodology and the esta</w:t>
      </w:r>
      <w:r w:rsidRPr="00AF7278">
        <w:rPr>
          <w:rFonts w:ascii="Franklin Gothic Book" w:hAnsi="Franklin Gothic Book"/>
          <w:i/>
          <w:sz w:val="21"/>
          <w:szCs w:val="21"/>
        </w:rPr>
        <w:t>b</w:t>
      </w:r>
      <w:r w:rsidRPr="00AF7278">
        <w:rPr>
          <w:rFonts w:ascii="Franklin Gothic Book" w:hAnsi="Franklin Gothic Book"/>
          <w:i/>
          <w:sz w:val="21"/>
          <w:szCs w:val="21"/>
        </w:rPr>
        <w:t>lishment of governance arrangements”</w:t>
      </w:r>
      <w:r w:rsidRPr="00AF7278">
        <w:rPr>
          <w:rFonts w:ascii="Franklin Gothic Book" w:hAnsi="Franklin Gothic Book"/>
          <w:sz w:val="21"/>
          <w:szCs w:val="21"/>
        </w:rPr>
        <w:t xml:space="preserve"> so that the administrator is responsible for those requirements set forth in the Regulation that pertain to methodology quality, in particular the characteristics of a methodo</w:t>
      </w:r>
      <w:r w:rsidRPr="00AF7278">
        <w:rPr>
          <w:rFonts w:ascii="Franklin Gothic Book" w:hAnsi="Franklin Gothic Book"/>
          <w:sz w:val="21"/>
          <w:szCs w:val="21"/>
        </w:rPr>
        <w:t>l</w:t>
      </w:r>
      <w:r w:rsidRPr="00AF7278">
        <w:rPr>
          <w:rFonts w:ascii="Franklin Gothic Book" w:hAnsi="Franklin Gothic Book"/>
          <w:sz w:val="21"/>
          <w:szCs w:val="21"/>
        </w:rPr>
        <w:t xml:space="preserve">ogy set forth under Article 13. To be clear, administrators have control to </w:t>
      </w:r>
      <w:proofErr w:type="gramStart"/>
      <w:r w:rsidRPr="00AF7278">
        <w:rPr>
          <w:rFonts w:ascii="Franklin Gothic Book" w:hAnsi="Franklin Gothic Book"/>
          <w:sz w:val="21"/>
          <w:szCs w:val="21"/>
        </w:rPr>
        <w:t>whom</w:t>
      </w:r>
      <w:proofErr w:type="gramEnd"/>
      <w:r w:rsidRPr="00AF7278">
        <w:rPr>
          <w:rFonts w:ascii="Franklin Gothic Book" w:hAnsi="Franklin Gothic Book"/>
          <w:sz w:val="21"/>
          <w:szCs w:val="21"/>
        </w:rPr>
        <w:t xml:space="preserve"> they license indices for use, but it does not mean they control the distribution of indices.</w:t>
      </w:r>
    </w:p>
    <w:permEnd w:id="90784725"/>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494567" w:rsidRPr="00A37D13" w:rsidRDefault="00494567" w:rsidP="00494567">
      <w:pPr>
        <w:rPr>
          <w:rFonts w:ascii="Franklin Gothic Book" w:hAnsi="Franklin Gothic Book" w:cs="Helvetica"/>
          <w:color w:val="000000"/>
          <w:sz w:val="21"/>
          <w:szCs w:val="21"/>
        </w:rPr>
      </w:pPr>
      <w:permStart w:id="272775568" w:edGrp="everyone"/>
      <w:r w:rsidRPr="00A37D13">
        <w:rPr>
          <w:rFonts w:ascii="Franklin Gothic Book" w:hAnsi="Franklin Gothic Book" w:cs="Helvetica"/>
          <w:color w:val="000000"/>
          <w:sz w:val="21"/>
          <w:szCs w:val="21"/>
        </w:rPr>
        <w:t xml:space="preserve">As set forth in Paragraph 30, we agree that the issuance of financial instruments should </w:t>
      </w:r>
      <w:r w:rsidRPr="00AF7278">
        <w:rPr>
          <w:rFonts w:ascii="Franklin Gothic Book" w:hAnsi="Franklin Gothic Book" w:cs="Helvetica"/>
          <w:i/>
          <w:color w:val="000000"/>
          <w:sz w:val="21"/>
          <w:szCs w:val="21"/>
        </w:rPr>
        <w:t xml:space="preserve">“more generally cover the act of creating a financial instrument which references an index or a composition of indices </w:t>
      </w:r>
      <w:r>
        <w:rPr>
          <w:rFonts w:ascii="Franklin Gothic Book" w:hAnsi="Franklin Gothic Book" w:cs="Helvetica"/>
          <w:i/>
          <w:color w:val="000000"/>
          <w:sz w:val="21"/>
          <w:szCs w:val="21"/>
        </w:rPr>
        <w:t>[</w:t>
      </w:r>
      <w:r w:rsidRPr="00AF7278">
        <w:rPr>
          <w:rFonts w:ascii="Franklin Gothic Book" w:hAnsi="Franklin Gothic Book" w:cs="Helvetica"/>
          <w:i/>
          <w:color w:val="000000"/>
          <w:sz w:val="21"/>
          <w:szCs w:val="21"/>
        </w:rPr>
        <w:t>…</w:t>
      </w:r>
      <w:r>
        <w:rPr>
          <w:rFonts w:ascii="Franklin Gothic Book" w:hAnsi="Franklin Gothic Book" w:cs="Helvetica"/>
          <w:i/>
          <w:color w:val="000000"/>
          <w:sz w:val="21"/>
          <w:szCs w:val="21"/>
        </w:rPr>
        <w:t>]</w:t>
      </w:r>
      <w:r w:rsidRPr="00AF7278">
        <w:rPr>
          <w:rFonts w:ascii="Franklin Gothic Book" w:hAnsi="Franklin Gothic Book" w:cs="Helvetica"/>
          <w:i/>
          <w:color w:val="000000"/>
          <w:sz w:val="21"/>
          <w:szCs w:val="21"/>
        </w:rPr>
        <w:t xml:space="preserve"> or of entering into reciprocal contracts with third parties”</w:t>
      </w:r>
      <w:r w:rsidRPr="00A37D13">
        <w:rPr>
          <w:rFonts w:ascii="Franklin Gothic Book" w:hAnsi="Franklin Gothic Book" w:cs="Helvetica"/>
          <w:color w:val="000000"/>
          <w:sz w:val="21"/>
          <w:szCs w:val="21"/>
        </w:rPr>
        <w:t xml:space="preserve">. Note that we believe “reference” covers both a product whose price is directly determined by the benchmark </w:t>
      </w:r>
      <w:r>
        <w:rPr>
          <w:rFonts w:ascii="Franklin Gothic Book" w:hAnsi="Franklin Gothic Book" w:cs="Helvetica"/>
          <w:color w:val="000000"/>
          <w:sz w:val="21"/>
          <w:szCs w:val="21"/>
        </w:rPr>
        <w:t>and</w:t>
      </w:r>
      <w:r w:rsidRPr="00A37D13">
        <w:rPr>
          <w:rFonts w:ascii="Franklin Gothic Book" w:hAnsi="Franklin Gothic Book" w:cs="Helvetica"/>
          <w:color w:val="000000"/>
          <w:sz w:val="21"/>
          <w:szCs w:val="21"/>
        </w:rPr>
        <w:t xml:space="preserve"> a product meant to track the benc</w:t>
      </w:r>
      <w:r w:rsidRPr="00A37D13">
        <w:rPr>
          <w:rFonts w:ascii="Franklin Gothic Book" w:hAnsi="Franklin Gothic Book" w:cs="Helvetica"/>
          <w:color w:val="000000"/>
          <w:sz w:val="21"/>
          <w:szCs w:val="21"/>
        </w:rPr>
        <w:t>h</w:t>
      </w:r>
      <w:r w:rsidRPr="00A37D13">
        <w:rPr>
          <w:rFonts w:ascii="Franklin Gothic Book" w:hAnsi="Franklin Gothic Book" w:cs="Helvetica"/>
          <w:color w:val="000000"/>
          <w:sz w:val="21"/>
          <w:szCs w:val="21"/>
        </w:rPr>
        <w:t xml:space="preserve">mark. The issuance of financial instruments should be interpreted broadly because “use of a benchmark” determines the scope of the regulation and we feel that the scope of the regulation should be broad enough to include indices used for all types of investment products. The inclusion of issuance of financial </w:t>
      </w:r>
      <w:r w:rsidRPr="00A37D13">
        <w:rPr>
          <w:rFonts w:ascii="Franklin Gothic Book" w:hAnsi="Franklin Gothic Book" w:cs="Helvetica"/>
          <w:color w:val="000000"/>
          <w:sz w:val="21"/>
          <w:szCs w:val="21"/>
        </w:rPr>
        <w:lastRenderedPageBreak/>
        <w:t>instrument should be broad in scope though certain types will be difficult, if not impossible, to obtain accurate data to measure when applying to thresholds for significant/non-significant categorizations.</w:t>
      </w:r>
    </w:p>
    <w:permEnd w:id="272775568"/>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494567" w:rsidRPr="00AF7278" w:rsidRDefault="00494567" w:rsidP="00494567">
      <w:pPr>
        <w:rPr>
          <w:rFonts w:ascii="Franklin Gothic Book" w:hAnsi="Franklin Gothic Book"/>
          <w:sz w:val="21"/>
          <w:szCs w:val="21"/>
        </w:rPr>
      </w:pPr>
      <w:permStart w:id="212758558" w:edGrp="everyone"/>
      <w:r w:rsidRPr="00AF7278">
        <w:rPr>
          <w:rFonts w:ascii="Franklin Gothic Book" w:hAnsi="Franklin Gothic Book"/>
          <w:sz w:val="21"/>
          <w:szCs w:val="21"/>
        </w:rPr>
        <w:t>The creation of financial instruments by any entity should be deemed to fall under the concept of “iss</w:t>
      </w:r>
      <w:r w:rsidRPr="00AF7278">
        <w:rPr>
          <w:rFonts w:ascii="Franklin Gothic Book" w:hAnsi="Franklin Gothic Book"/>
          <w:sz w:val="21"/>
          <w:szCs w:val="21"/>
        </w:rPr>
        <w:t>u</w:t>
      </w:r>
      <w:r w:rsidRPr="00AF7278">
        <w:rPr>
          <w:rFonts w:ascii="Franklin Gothic Book" w:hAnsi="Franklin Gothic Book"/>
          <w:sz w:val="21"/>
          <w:szCs w:val="21"/>
        </w:rPr>
        <w:t>ance of a financial instrument”. The concept of issuer should not be the most important consideration.  There can be any number of issuers for the same index based on legal structure and regulatory authority of the issuer.  The fact is all financial instruments have an issuer and it should not matter to the BMR who the issuer is for it to apply.</w:t>
      </w:r>
    </w:p>
    <w:permEnd w:id="212758558"/>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494567" w:rsidRPr="007D5A00" w:rsidRDefault="00494567" w:rsidP="00494567">
      <w:pPr>
        <w:rPr>
          <w:rFonts w:ascii="Franklin Gothic Book" w:hAnsi="Franklin Gothic Book"/>
          <w:sz w:val="21"/>
          <w:szCs w:val="21"/>
        </w:rPr>
      </w:pPr>
      <w:permStart w:id="1257905071" w:edGrp="everyone"/>
      <w:r w:rsidRPr="007D5A00">
        <w:rPr>
          <w:rFonts w:ascii="Franklin Gothic Book" w:hAnsi="Franklin Gothic Book"/>
          <w:sz w:val="21"/>
          <w:szCs w:val="21"/>
        </w:rPr>
        <w:t>IIA agrees that the governance structure should be appropriate to the benchmark, ownership and control structure and nature scale and complexity of the benchmark set out on Paragraph 43 of the DP. We also agree that the governance structure can be accomplished through a series of committees. IIA believes the governance structure and terms of reference should be made public as IOSCO recommended. However, we believe that care needs to be taken when considering the introduction external parties into benchmark governance structures, such as stakeholders and INEDS.   This could introduce very serious conflicts of interest into benchmark administration, jeopardize the independence of the index and could conflict with securities disclosures laws. This is particularly true for widely used benchmarks. Stakeholders include those parties who have issued financial products off of the index and are exactly the parties that could benefit from particular index changes. Additionally, if those parties could get access to price sensitive information (such as index changes, index performance) before the rest of the market, that would violate securities disclosure laws and this would interject the conflicts of interests the BMR is trying to eliminate.  Market participants with sufficient knowledge about which the market is designed to measure will be the stakeholders who have the conflicts.  Further, the BMR did not require external parties to be included in the oversight and as such requiring it in the technical standards would be going beyond the Level 1 text.</w:t>
      </w:r>
    </w:p>
    <w:p w:rsidR="00494567" w:rsidRPr="007D5A00" w:rsidRDefault="00494567" w:rsidP="00494567">
      <w:pPr>
        <w:rPr>
          <w:rFonts w:ascii="Franklin Gothic Book" w:hAnsi="Franklin Gothic Book"/>
          <w:sz w:val="21"/>
          <w:szCs w:val="21"/>
        </w:rPr>
      </w:pPr>
      <w:r w:rsidRPr="007D5A00">
        <w:rPr>
          <w:rFonts w:ascii="Franklin Gothic Book" w:hAnsi="Franklin Gothic Book"/>
          <w:sz w:val="21"/>
          <w:szCs w:val="21"/>
        </w:rPr>
        <w:t>IIA is concerned the oversight function is being conflated with the need for a sound benchmark gover</w:t>
      </w:r>
      <w:r w:rsidRPr="007D5A00">
        <w:rPr>
          <w:rFonts w:ascii="Franklin Gothic Book" w:hAnsi="Franklin Gothic Book"/>
          <w:sz w:val="21"/>
          <w:szCs w:val="21"/>
        </w:rPr>
        <w:t>n</w:t>
      </w:r>
      <w:r w:rsidRPr="007D5A00">
        <w:rPr>
          <w:rFonts w:ascii="Franklin Gothic Book" w:hAnsi="Franklin Gothic Book"/>
          <w:sz w:val="21"/>
          <w:szCs w:val="21"/>
        </w:rPr>
        <w:t>ance regime.  The oversight function should not be tasked with questioning analytical or editorial dec</w:t>
      </w:r>
      <w:r w:rsidRPr="007D5A00">
        <w:rPr>
          <w:rFonts w:ascii="Franklin Gothic Book" w:hAnsi="Franklin Gothic Book"/>
          <w:sz w:val="21"/>
          <w:szCs w:val="21"/>
        </w:rPr>
        <w:t>i</w:t>
      </w:r>
      <w:r w:rsidRPr="007D5A00">
        <w:rPr>
          <w:rFonts w:ascii="Franklin Gothic Book" w:hAnsi="Franklin Gothic Book"/>
          <w:sz w:val="21"/>
          <w:szCs w:val="21"/>
        </w:rPr>
        <w:t>sions made by a governance regime.  We do not agree that the function of benchmark oversight set out in Paragraph 37 of the DP, ensuring “there is an effective challenge to the board or equivalent management of the benchmark administrator.” Benchmark governance and management of a benchmark administr</w:t>
      </w:r>
      <w:r w:rsidRPr="007D5A00">
        <w:rPr>
          <w:rFonts w:ascii="Franklin Gothic Book" w:hAnsi="Franklin Gothic Book"/>
          <w:sz w:val="21"/>
          <w:szCs w:val="21"/>
        </w:rPr>
        <w:t>a</w:t>
      </w:r>
      <w:r w:rsidRPr="007D5A00">
        <w:rPr>
          <w:rFonts w:ascii="Franklin Gothic Book" w:hAnsi="Franklin Gothic Book"/>
          <w:sz w:val="21"/>
          <w:szCs w:val="21"/>
        </w:rPr>
        <w:t>tor’s business are distinct functions and should be handled differently.</w:t>
      </w:r>
    </w:p>
    <w:p w:rsidR="00494567" w:rsidRPr="007D5A00" w:rsidRDefault="00494567" w:rsidP="00494567">
      <w:pPr>
        <w:rPr>
          <w:rFonts w:ascii="Franklin Gothic Book" w:hAnsi="Franklin Gothic Book"/>
          <w:sz w:val="21"/>
          <w:szCs w:val="21"/>
        </w:rPr>
      </w:pPr>
      <w:r w:rsidRPr="007D5A00">
        <w:rPr>
          <w:rFonts w:ascii="Franklin Gothic Book" w:hAnsi="Franklin Gothic Book"/>
          <w:sz w:val="21"/>
          <w:szCs w:val="21"/>
        </w:rPr>
        <w:t>It seems like the regulation should focus on the existence of conflicts of interests, especially when “ove</w:t>
      </w:r>
      <w:r w:rsidRPr="007D5A00">
        <w:rPr>
          <w:rFonts w:ascii="Franklin Gothic Book" w:hAnsi="Franklin Gothic Book"/>
          <w:sz w:val="21"/>
          <w:szCs w:val="21"/>
        </w:rPr>
        <w:t>r</w:t>
      </w:r>
      <w:r w:rsidRPr="007D5A00">
        <w:rPr>
          <w:rFonts w:ascii="Franklin Gothic Book" w:hAnsi="Franklin Gothic Book"/>
          <w:sz w:val="21"/>
          <w:szCs w:val="21"/>
        </w:rPr>
        <w:t>sight committee members” have a vested interest in the level of the benchmark.  Independent administr</w:t>
      </w:r>
      <w:r w:rsidRPr="007D5A00">
        <w:rPr>
          <w:rFonts w:ascii="Franklin Gothic Book" w:hAnsi="Franklin Gothic Book"/>
          <w:sz w:val="21"/>
          <w:szCs w:val="21"/>
        </w:rPr>
        <w:t>a</w:t>
      </w:r>
      <w:r w:rsidRPr="007D5A00">
        <w:rPr>
          <w:rFonts w:ascii="Franklin Gothic Book" w:hAnsi="Franklin Gothic Book"/>
          <w:sz w:val="21"/>
          <w:szCs w:val="21"/>
        </w:rPr>
        <w:t>tors do not have positions in the component securities nor do they issue products on their benchmarks.</w:t>
      </w:r>
    </w:p>
    <w:permEnd w:id="1257905071"/>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494567" w:rsidRPr="007D5A00" w:rsidRDefault="00494567" w:rsidP="00494567">
      <w:pPr>
        <w:rPr>
          <w:rFonts w:ascii="Franklin Gothic Book" w:hAnsi="Franklin Gothic Book"/>
          <w:sz w:val="21"/>
          <w:szCs w:val="21"/>
        </w:rPr>
      </w:pPr>
      <w:permStart w:id="1161636274" w:edGrp="everyone"/>
      <w:r w:rsidRPr="007D5A00">
        <w:rPr>
          <w:rFonts w:ascii="Franklin Gothic Book" w:hAnsi="Franklin Gothic Book"/>
          <w:sz w:val="21"/>
          <w:szCs w:val="21"/>
        </w:rPr>
        <w:lastRenderedPageBreak/>
        <w:t>IIA agrees that the governance structure should be appropriate to the benchmark, ownership and control structure and nature scale and complexity of the benchmark. IIA also agrees that the governance stru</w:t>
      </w:r>
      <w:r w:rsidRPr="007D5A00">
        <w:rPr>
          <w:rFonts w:ascii="Franklin Gothic Book" w:hAnsi="Franklin Gothic Book"/>
          <w:sz w:val="21"/>
          <w:szCs w:val="21"/>
        </w:rPr>
        <w:t>c</w:t>
      </w:r>
      <w:r w:rsidRPr="007D5A00">
        <w:rPr>
          <w:rFonts w:ascii="Franklin Gothic Book" w:hAnsi="Franklin Gothic Book"/>
          <w:sz w:val="21"/>
          <w:szCs w:val="21"/>
        </w:rPr>
        <w:t>ture can be accomplished through a series of committees. We believe the governance structure and terms of reference should be made public as IOSCO recommended. However, IIA believes that care needs to be taken when considering the introduction external parties into benchmark governance structures, such as stakeholders and INEDs. It could introduce very serious conflicts of interest into benchmark administr</w:t>
      </w:r>
      <w:r w:rsidRPr="007D5A00">
        <w:rPr>
          <w:rFonts w:ascii="Franklin Gothic Book" w:hAnsi="Franklin Gothic Book"/>
          <w:sz w:val="21"/>
          <w:szCs w:val="21"/>
        </w:rPr>
        <w:t>a</w:t>
      </w:r>
      <w:r w:rsidRPr="007D5A00">
        <w:rPr>
          <w:rFonts w:ascii="Franklin Gothic Book" w:hAnsi="Franklin Gothic Book"/>
          <w:sz w:val="21"/>
          <w:szCs w:val="21"/>
        </w:rPr>
        <w:t>tion, jeopardize the independence of the index and could conflict with securities disclosures laws. This is particularly true for widely used benchmarks. Stakeholders include those parties who have issued fina</w:t>
      </w:r>
      <w:r w:rsidRPr="007D5A00">
        <w:rPr>
          <w:rFonts w:ascii="Franklin Gothic Book" w:hAnsi="Franklin Gothic Book"/>
          <w:sz w:val="21"/>
          <w:szCs w:val="21"/>
        </w:rPr>
        <w:t>n</w:t>
      </w:r>
      <w:r w:rsidRPr="007D5A00">
        <w:rPr>
          <w:rFonts w:ascii="Franklin Gothic Book" w:hAnsi="Franklin Gothic Book"/>
          <w:sz w:val="21"/>
          <w:szCs w:val="21"/>
        </w:rPr>
        <w:t>cial products off of the index and are exactly the parties that could benefit from particular index changes. Additionally, if those parties could get access to price sensitive information (such as index changes, index performance) before the rest of the market,  that would violate securities disclosure laws.  Further, the BMR did not require external parties to be included in the oversight and as such requiring it in the tec</w:t>
      </w:r>
      <w:r w:rsidRPr="007D5A00">
        <w:rPr>
          <w:rFonts w:ascii="Franklin Gothic Book" w:hAnsi="Franklin Gothic Book"/>
          <w:sz w:val="21"/>
          <w:szCs w:val="21"/>
        </w:rPr>
        <w:t>h</w:t>
      </w:r>
      <w:r w:rsidRPr="007D5A00">
        <w:rPr>
          <w:rFonts w:ascii="Franklin Gothic Book" w:hAnsi="Franklin Gothic Book"/>
          <w:sz w:val="21"/>
          <w:szCs w:val="21"/>
        </w:rPr>
        <w:t>nical standards would be going beyond the Level 1 text.</w:t>
      </w:r>
    </w:p>
    <w:p w:rsidR="00494567" w:rsidRPr="007D5A00" w:rsidRDefault="00494567" w:rsidP="00494567">
      <w:pPr>
        <w:rPr>
          <w:rFonts w:ascii="Franklin Gothic Book" w:hAnsi="Franklin Gothic Book"/>
          <w:sz w:val="21"/>
          <w:szCs w:val="21"/>
        </w:rPr>
      </w:pPr>
      <w:r w:rsidRPr="007D5A00">
        <w:rPr>
          <w:rFonts w:ascii="Franklin Gothic Book" w:hAnsi="Franklin Gothic Book"/>
          <w:sz w:val="21"/>
          <w:szCs w:val="21"/>
        </w:rPr>
        <w:t>We do not agree that the function of benchmark oversight is to challenge the board or management of the benchmark administrator. Benchmark governance is about benchmark governance and management of a business is about management of a business. They are different functions and the BMR is not about regulating the management of benchmark administrator businesses.</w:t>
      </w:r>
    </w:p>
    <w:permEnd w:id="1161636274"/>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494567" w:rsidRDefault="00494567" w:rsidP="00494567">
      <w:pPr>
        <w:rPr>
          <w:rFonts w:ascii="Franklin Gothic Book" w:hAnsi="Franklin Gothic Book"/>
          <w:sz w:val="21"/>
          <w:szCs w:val="21"/>
        </w:rPr>
      </w:pPr>
      <w:permStart w:id="842727661" w:edGrp="everyone"/>
      <w:r w:rsidRPr="007D5A00">
        <w:rPr>
          <w:rFonts w:ascii="Franklin Gothic Book" w:hAnsi="Franklin Gothic Book"/>
          <w:sz w:val="21"/>
          <w:szCs w:val="21"/>
        </w:rPr>
        <w:t xml:space="preserve">Many IIA members have had an oversight structure in place for many years for the purpose of escalation, consistency in applying our methodology, and good governance. </w:t>
      </w:r>
      <w:r>
        <w:rPr>
          <w:rFonts w:ascii="Franklin Gothic Book" w:hAnsi="Franklin Gothic Book"/>
          <w:sz w:val="21"/>
          <w:szCs w:val="21"/>
        </w:rPr>
        <w:t>P</w:t>
      </w:r>
      <w:r w:rsidRPr="007D5A00">
        <w:rPr>
          <w:rFonts w:ascii="Franklin Gothic Book" w:hAnsi="Franklin Gothic Book"/>
          <w:sz w:val="21"/>
          <w:szCs w:val="21"/>
        </w:rPr>
        <w:t>er the recommendation of IOSCO, many</w:t>
      </w:r>
      <w:r>
        <w:rPr>
          <w:rFonts w:ascii="Franklin Gothic Book" w:hAnsi="Franklin Gothic Book"/>
          <w:sz w:val="21"/>
          <w:szCs w:val="21"/>
        </w:rPr>
        <w:t xml:space="preserve"> (</w:t>
      </w:r>
      <w:r w:rsidRPr="007D5A00">
        <w:rPr>
          <w:rFonts w:ascii="Franklin Gothic Book" w:hAnsi="Franklin Gothic Book"/>
          <w:sz w:val="21"/>
          <w:szCs w:val="21"/>
        </w:rPr>
        <w:t>if not al</w:t>
      </w:r>
      <w:r>
        <w:rPr>
          <w:rFonts w:ascii="Franklin Gothic Book" w:hAnsi="Franklin Gothic Book"/>
          <w:sz w:val="21"/>
          <w:szCs w:val="21"/>
        </w:rPr>
        <w:t>l) IIA members have published their governance structure and their</w:t>
      </w:r>
      <w:r w:rsidRPr="007D5A00">
        <w:rPr>
          <w:rFonts w:ascii="Franklin Gothic Book" w:hAnsi="Franklin Gothic Book"/>
          <w:sz w:val="21"/>
          <w:szCs w:val="21"/>
        </w:rPr>
        <w:t xml:space="preserve"> terms of reference on their websites.  </w:t>
      </w:r>
    </w:p>
    <w:permEnd w:id="842727661"/>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494567" w:rsidRPr="007D5A00" w:rsidRDefault="00494567" w:rsidP="00494567">
      <w:pPr>
        <w:rPr>
          <w:rFonts w:ascii="Franklin Gothic Book" w:hAnsi="Franklin Gothic Book"/>
          <w:sz w:val="21"/>
          <w:szCs w:val="21"/>
        </w:rPr>
      </w:pPr>
      <w:permStart w:id="1405304250" w:edGrp="everyone"/>
      <w:r w:rsidRPr="007D5A00">
        <w:rPr>
          <w:rFonts w:ascii="Franklin Gothic Book" w:hAnsi="Franklin Gothic Book"/>
          <w:sz w:val="21"/>
          <w:szCs w:val="21"/>
        </w:rPr>
        <w:t>An oversight function can include different sub-functions. Different methodologies may not trigger the need for different oversight. However different asset classes may because of the differences in types of input data. Oversight should be adapted to the different needs of the benchmark. If there are common processes, then common oversight function may be appropriate. If there are different processes, then different oversight functions may be appropriate.  It should also scale to the type of organization admini</w:t>
      </w:r>
      <w:r w:rsidRPr="007D5A00">
        <w:rPr>
          <w:rFonts w:ascii="Franklin Gothic Book" w:hAnsi="Franklin Gothic Book"/>
          <w:sz w:val="21"/>
          <w:szCs w:val="21"/>
        </w:rPr>
        <w:t>s</w:t>
      </w:r>
      <w:r w:rsidRPr="007D5A00">
        <w:rPr>
          <w:rFonts w:ascii="Franklin Gothic Book" w:hAnsi="Franklin Gothic Book"/>
          <w:sz w:val="21"/>
          <w:szCs w:val="21"/>
        </w:rPr>
        <w:t xml:space="preserve">tering the benchmark. </w:t>
      </w:r>
      <w:r>
        <w:rPr>
          <w:rFonts w:ascii="Franklin Gothic Book" w:hAnsi="Franklin Gothic Book"/>
          <w:sz w:val="21"/>
          <w:szCs w:val="21"/>
        </w:rPr>
        <w:t>For example, it is not practical for a</w:t>
      </w:r>
      <w:r w:rsidRPr="007D5A00">
        <w:rPr>
          <w:rFonts w:ascii="Franklin Gothic Book" w:hAnsi="Franklin Gothic Book"/>
          <w:sz w:val="21"/>
          <w:szCs w:val="21"/>
        </w:rPr>
        <w:t>n administrator calculating hundreds of tho</w:t>
      </w:r>
      <w:r w:rsidRPr="007D5A00">
        <w:rPr>
          <w:rFonts w:ascii="Franklin Gothic Book" w:hAnsi="Franklin Gothic Book"/>
          <w:sz w:val="21"/>
          <w:szCs w:val="21"/>
        </w:rPr>
        <w:t>u</w:t>
      </w:r>
      <w:r w:rsidRPr="007D5A00">
        <w:rPr>
          <w:rFonts w:ascii="Franklin Gothic Book" w:hAnsi="Franklin Gothic Book"/>
          <w:sz w:val="21"/>
          <w:szCs w:val="21"/>
        </w:rPr>
        <w:t>san</w:t>
      </w:r>
      <w:r>
        <w:rPr>
          <w:rFonts w:ascii="Franklin Gothic Book" w:hAnsi="Franklin Gothic Book"/>
          <w:sz w:val="21"/>
          <w:szCs w:val="21"/>
        </w:rPr>
        <w:t>ds of indexes</w:t>
      </w:r>
      <w:r w:rsidRPr="007D5A00">
        <w:rPr>
          <w:rFonts w:ascii="Franklin Gothic Book" w:hAnsi="Franklin Gothic Book"/>
          <w:sz w:val="21"/>
          <w:szCs w:val="21"/>
        </w:rPr>
        <w:t xml:space="preserve"> to have hun</w:t>
      </w:r>
      <w:r>
        <w:rPr>
          <w:rFonts w:ascii="Franklin Gothic Book" w:hAnsi="Franklin Gothic Book"/>
          <w:sz w:val="21"/>
          <w:szCs w:val="21"/>
        </w:rPr>
        <w:t>dreds of committees.  There needs to be a realistic, proportional approach.</w:t>
      </w:r>
    </w:p>
    <w:permEnd w:id="1405304250"/>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494567" w:rsidRPr="007D5A00" w:rsidRDefault="00494567" w:rsidP="00494567">
      <w:pPr>
        <w:rPr>
          <w:rFonts w:ascii="Franklin Gothic Book" w:hAnsi="Franklin Gothic Book"/>
          <w:sz w:val="21"/>
          <w:szCs w:val="21"/>
        </w:rPr>
      </w:pPr>
      <w:permStart w:id="686105109" w:edGrp="everyone"/>
      <w:r w:rsidRPr="007D5A00">
        <w:rPr>
          <w:rFonts w:ascii="Franklin Gothic Book" w:hAnsi="Franklin Gothic Book"/>
          <w:sz w:val="21"/>
          <w:szCs w:val="21"/>
        </w:rPr>
        <w:lastRenderedPageBreak/>
        <w:t>Oversight should be adapted to the different needs of the benchmark. Different asset classes may b</w:t>
      </w:r>
      <w:r w:rsidRPr="007D5A00">
        <w:rPr>
          <w:rFonts w:ascii="Franklin Gothic Book" w:hAnsi="Franklin Gothic Book"/>
          <w:sz w:val="21"/>
          <w:szCs w:val="21"/>
        </w:rPr>
        <w:t>e</w:t>
      </w:r>
      <w:r w:rsidRPr="007D5A00">
        <w:rPr>
          <w:rFonts w:ascii="Franklin Gothic Book" w:hAnsi="Franklin Gothic Book"/>
          <w:sz w:val="21"/>
          <w:szCs w:val="21"/>
        </w:rPr>
        <w:t xml:space="preserve">cause of the differences in types of input data. If there are common processes, then common oversight function may be appropriate. If there are different processes, then different oversight functions may be appropriate.  </w:t>
      </w:r>
    </w:p>
    <w:permEnd w:id="686105109"/>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494567" w:rsidRPr="007D5A00" w:rsidRDefault="00494567" w:rsidP="00494567">
      <w:pPr>
        <w:rPr>
          <w:rFonts w:ascii="Franklin Gothic Book" w:hAnsi="Franklin Gothic Book"/>
          <w:sz w:val="21"/>
          <w:szCs w:val="21"/>
        </w:rPr>
      </w:pPr>
      <w:permStart w:id="870392264" w:edGrp="everyone"/>
      <w:r w:rsidRPr="007D5A00">
        <w:rPr>
          <w:rFonts w:ascii="Franklin Gothic Book" w:hAnsi="Franklin Gothic Book"/>
          <w:sz w:val="21"/>
          <w:szCs w:val="21"/>
        </w:rPr>
        <w:t xml:space="preserve">The differences in oversight come from the differences in the benchmarks (including the asset class being measured), not the amount tracking the benchmarks. </w:t>
      </w:r>
      <w:r>
        <w:rPr>
          <w:rFonts w:ascii="Franklin Gothic Book" w:hAnsi="Franklin Gothic Book"/>
          <w:sz w:val="21"/>
          <w:szCs w:val="21"/>
        </w:rPr>
        <w:t>For example, h</w:t>
      </w:r>
      <w:r w:rsidRPr="007D5A00">
        <w:rPr>
          <w:rFonts w:ascii="Franklin Gothic Book" w:hAnsi="Franklin Gothic Book"/>
          <w:sz w:val="21"/>
          <w:szCs w:val="21"/>
        </w:rPr>
        <w:t>ow a real estate index is calculated using data points about commercial buildings is much different than how equity indexes are calculated using stock exchange and other data. Those differences are around input data, calculation processes, publication timetables, etc. That is what requires different oversight, with expertise required in the various areas, not whether EUR250M or EUR50BN are tracking the index.</w:t>
      </w:r>
    </w:p>
    <w:permEnd w:id="870392264"/>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494567" w:rsidRPr="007D5A00" w:rsidRDefault="00494567" w:rsidP="00494567">
      <w:pPr>
        <w:rPr>
          <w:rFonts w:ascii="Franklin Gothic Book" w:hAnsi="Franklin Gothic Book"/>
          <w:sz w:val="21"/>
          <w:szCs w:val="21"/>
        </w:rPr>
      </w:pPr>
      <w:permStart w:id="574753232" w:edGrp="everyone"/>
      <w:r w:rsidRPr="007D5A00">
        <w:rPr>
          <w:rFonts w:ascii="Franklin Gothic Book" w:hAnsi="Franklin Gothic Book"/>
          <w:sz w:val="21"/>
          <w:szCs w:val="21"/>
        </w:rPr>
        <w:t xml:space="preserve">It is difficult to say so in all circumstances, the regulation should neither require nor prevent participation depending on circumstances unique </w:t>
      </w:r>
      <w:r>
        <w:rPr>
          <w:rFonts w:ascii="Franklin Gothic Book" w:hAnsi="Franklin Gothic Book"/>
          <w:sz w:val="21"/>
          <w:szCs w:val="21"/>
        </w:rPr>
        <w:t>to the benchmark being measured as long as any conflicts of interest are adequately managed.</w:t>
      </w:r>
    </w:p>
    <w:permEnd w:id="574753232"/>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t>&lt;ESMA_QUESTION_DP_BMR_13&gt;</w:t>
      </w:r>
    </w:p>
    <w:p w:rsidR="00494567" w:rsidRPr="007D5A00" w:rsidRDefault="00494567" w:rsidP="00494567">
      <w:pPr>
        <w:rPr>
          <w:rFonts w:ascii="Franklin Gothic Book" w:hAnsi="Franklin Gothic Book"/>
          <w:sz w:val="21"/>
          <w:szCs w:val="21"/>
        </w:rPr>
      </w:pPr>
      <w:permStart w:id="1132165366" w:edGrp="everyone"/>
      <w:r w:rsidRPr="007D5A00">
        <w:rPr>
          <w:rFonts w:ascii="Franklin Gothic Book" w:hAnsi="Franklin Gothic Book"/>
          <w:sz w:val="21"/>
          <w:szCs w:val="21"/>
        </w:rPr>
        <w:t>This is difficult for our members to quantify without knowing the extent of the changes, but if administr</w:t>
      </w:r>
      <w:r w:rsidRPr="007D5A00">
        <w:rPr>
          <w:rFonts w:ascii="Franklin Gothic Book" w:hAnsi="Franklin Gothic Book"/>
          <w:sz w:val="21"/>
          <w:szCs w:val="21"/>
        </w:rPr>
        <w:t>a</w:t>
      </w:r>
      <w:r w:rsidRPr="007D5A00">
        <w:rPr>
          <w:rFonts w:ascii="Franklin Gothic Book" w:hAnsi="Franklin Gothic Book"/>
          <w:sz w:val="21"/>
          <w:szCs w:val="21"/>
        </w:rPr>
        <w:t>tors were required to materially change our governance structure, then there could be costs associated, depending on what was required to change. For example if a full oversight function had to all be in a single specific location there would be a cost of relocating people or hiring those senior people with the expertise in that location.</w:t>
      </w:r>
    </w:p>
    <w:permEnd w:id="1132165366"/>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494567" w:rsidRPr="007D5A00" w:rsidRDefault="00494567" w:rsidP="00494567">
      <w:pPr>
        <w:rPr>
          <w:rFonts w:ascii="Franklin Gothic Book" w:hAnsi="Franklin Gothic Book"/>
          <w:sz w:val="21"/>
          <w:szCs w:val="21"/>
        </w:rPr>
      </w:pPr>
      <w:permStart w:id="245922500" w:edGrp="everyone"/>
      <w:r w:rsidRPr="007D5A00">
        <w:rPr>
          <w:rFonts w:ascii="Franklin Gothic Book" w:hAnsi="Franklin Gothic Book"/>
          <w:sz w:val="21"/>
          <w:szCs w:val="21"/>
        </w:rPr>
        <w:t xml:space="preserve">No. The index oversight function is about oversight of the administration of the index, not the business as a whole. That is the responsibility of management and that is governed by other rules about company board membership, management, etc. It is not appropriate to include management of a business into benchmark oversight functions. Further, IIA does not believe that the </w:t>
      </w:r>
      <w:proofErr w:type="gramStart"/>
      <w:r w:rsidRPr="007D5A00">
        <w:rPr>
          <w:rFonts w:ascii="Franklin Gothic Book" w:hAnsi="Franklin Gothic Book"/>
          <w:sz w:val="21"/>
          <w:szCs w:val="21"/>
        </w:rPr>
        <w:t>roles of the oversight function is</w:t>
      </w:r>
      <w:proofErr w:type="gramEnd"/>
      <w:r w:rsidRPr="007D5A00">
        <w:rPr>
          <w:rFonts w:ascii="Franklin Gothic Book" w:hAnsi="Franklin Gothic Book"/>
          <w:sz w:val="21"/>
          <w:szCs w:val="21"/>
        </w:rPr>
        <w:t xml:space="preserve"> to “challenge” benchmark administration. Its purpose is to advise, provide an escalation point and co</w:t>
      </w:r>
      <w:r w:rsidRPr="007D5A00">
        <w:rPr>
          <w:rFonts w:ascii="Franklin Gothic Book" w:hAnsi="Franklin Gothic Book"/>
          <w:sz w:val="21"/>
          <w:szCs w:val="21"/>
        </w:rPr>
        <w:t>n</w:t>
      </w:r>
      <w:r w:rsidRPr="007D5A00">
        <w:rPr>
          <w:rFonts w:ascii="Franklin Gothic Book" w:hAnsi="Franklin Gothic Book"/>
          <w:sz w:val="21"/>
          <w:szCs w:val="21"/>
        </w:rPr>
        <w:t xml:space="preserve">sistent application of policy as well as identify and address policy risk. </w:t>
      </w:r>
    </w:p>
    <w:permEnd w:id="245922500"/>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494567" w:rsidRPr="007D5A00" w:rsidRDefault="00494567" w:rsidP="00494567">
      <w:pPr>
        <w:rPr>
          <w:rFonts w:ascii="Franklin Gothic Book" w:hAnsi="Franklin Gothic Book"/>
          <w:sz w:val="21"/>
          <w:szCs w:val="21"/>
        </w:rPr>
      </w:pPr>
      <w:permStart w:id="1802400975" w:edGrp="everyone"/>
      <w:r w:rsidRPr="007D5A00">
        <w:rPr>
          <w:rFonts w:ascii="Franklin Gothic Book" w:hAnsi="Franklin Gothic Book"/>
          <w:sz w:val="21"/>
          <w:szCs w:val="21"/>
        </w:rPr>
        <w:t xml:space="preserve">IIA does not believe that the analogy of board committees (such as remuneration) is accurate for index governance functions. Nor do we believe that the </w:t>
      </w:r>
      <w:proofErr w:type="gramStart"/>
      <w:r w:rsidRPr="007D5A00">
        <w:rPr>
          <w:rFonts w:ascii="Franklin Gothic Book" w:hAnsi="Franklin Gothic Book"/>
          <w:sz w:val="21"/>
          <w:szCs w:val="21"/>
        </w:rPr>
        <w:t>roles of the oversight function is</w:t>
      </w:r>
      <w:proofErr w:type="gramEnd"/>
      <w:r w:rsidRPr="007D5A00">
        <w:rPr>
          <w:rFonts w:ascii="Franklin Gothic Book" w:hAnsi="Franklin Gothic Book"/>
          <w:sz w:val="21"/>
          <w:szCs w:val="21"/>
        </w:rPr>
        <w:t xml:space="preserve"> to “challenge” benc</w:t>
      </w:r>
      <w:r w:rsidRPr="007D5A00">
        <w:rPr>
          <w:rFonts w:ascii="Franklin Gothic Book" w:hAnsi="Franklin Gothic Book"/>
          <w:sz w:val="21"/>
          <w:szCs w:val="21"/>
        </w:rPr>
        <w:t>h</w:t>
      </w:r>
      <w:r w:rsidRPr="007D5A00">
        <w:rPr>
          <w:rFonts w:ascii="Franklin Gothic Book" w:hAnsi="Franklin Gothic Book"/>
          <w:sz w:val="21"/>
          <w:szCs w:val="21"/>
        </w:rPr>
        <w:t>mark administration. Its purpose is to advise, provide an escalation point and consistent application of policy as well as identify and address policy risk. It is also not the purpose of the benchmark oversight function to sight to challenge the management of the business. Its role is oversight of the benchmark administration. The BMR is not regulation management of benchmark administrators.</w:t>
      </w:r>
      <w:r>
        <w:rPr>
          <w:rFonts w:ascii="Franklin Gothic Book" w:hAnsi="Franklin Gothic Book"/>
          <w:sz w:val="21"/>
          <w:szCs w:val="21"/>
        </w:rPr>
        <w:t xml:space="preserve"> Independent benchmark administrators should not be forced </w:t>
      </w:r>
      <w:proofErr w:type="spellStart"/>
      <w:r>
        <w:rPr>
          <w:rFonts w:ascii="Franklin Gothic Book" w:hAnsi="Franklin Gothic Book"/>
          <w:sz w:val="21"/>
          <w:szCs w:val="21"/>
        </w:rPr>
        <w:t>t</w:t>
      </w:r>
      <w:proofErr w:type="spellEnd"/>
      <w:r>
        <w:rPr>
          <w:rFonts w:ascii="Franklin Gothic Book" w:hAnsi="Franklin Gothic Book"/>
          <w:sz w:val="21"/>
          <w:szCs w:val="21"/>
        </w:rPr>
        <w:t xml:space="preserve"> include INEDs in any oversight function as set forth in the third bullet of Paragraph 43 of the DP.  This could introduce conflicts of interests that did not previou</w:t>
      </w:r>
      <w:r>
        <w:rPr>
          <w:rFonts w:ascii="Franklin Gothic Book" w:hAnsi="Franklin Gothic Book"/>
          <w:sz w:val="21"/>
          <w:szCs w:val="21"/>
        </w:rPr>
        <w:t>s</w:t>
      </w:r>
      <w:r>
        <w:rPr>
          <w:rFonts w:ascii="Franklin Gothic Book" w:hAnsi="Franklin Gothic Book"/>
          <w:sz w:val="21"/>
          <w:szCs w:val="21"/>
        </w:rPr>
        <w:t>ly exist because those with sufficient market knowledge about that market might be stakeholders with a vested interest in the outcome of the benchmark level.</w:t>
      </w:r>
    </w:p>
    <w:permEnd w:id="180240097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494567" w:rsidRDefault="00494567" w:rsidP="00494567">
      <w:pPr>
        <w:rPr>
          <w:rFonts w:ascii="Franklin Gothic Book" w:hAnsi="Franklin Gothic Book"/>
          <w:sz w:val="21"/>
          <w:szCs w:val="21"/>
        </w:rPr>
      </w:pPr>
      <w:permStart w:id="28520424" w:edGrp="everyone"/>
      <w:r>
        <w:rPr>
          <w:rFonts w:ascii="Franklin Gothic Book" w:hAnsi="Franklin Gothic Book"/>
          <w:sz w:val="21"/>
          <w:szCs w:val="21"/>
        </w:rPr>
        <w:t>The oversight function should be relevant to the benchmark and should not introduce unnatural requir</w:t>
      </w:r>
      <w:r>
        <w:rPr>
          <w:rFonts w:ascii="Franklin Gothic Book" w:hAnsi="Franklin Gothic Book"/>
          <w:sz w:val="21"/>
          <w:szCs w:val="21"/>
        </w:rPr>
        <w:t>e</w:t>
      </w:r>
      <w:r>
        <w:rPr>
          <w:rFonts w:ascii="Franklin Gothic Book" w:hAnsi="Franklin Gothic Book"/>
          <w:sz w:val="21"/>
          <w:szCs w:val="21"/>
        </w:rPr>
        <w:t>ments into benchmark administration.    M</w:t>
      </w:r>
      <w:r w:rsidRPr="007D5A00">
        <w:rPr>
          <w:rFonts w:ascii="Franklin Gothic Book" w:hAnsi="Franklin Gothic Book"/>
          <w:sz w:val="21"/>
          <w:szCs w:val="21"/>
        </w:rPr>
        <w:t>andating that parties that gain to benefit from benchmark changes (such as contributors, users and stakeholders) be included in governance committees</w:t>
      </w:r>
      <w:r>
        <w:rPr>
          <w:rFonts w:ascii="Franklin Gothic Book" w:hAnsi="Franklin Gothic Book"/>
          <w:sz w:val="21"/>
          <w:szCs w:val="21"/>
        </w:rPr>
        <w:t xml:space="preserve"> could  interject conflicts of interests into the process that do not exist today and would be antithetical to the purpose of the BMR.</w:t>
      </w:r>
    </w:p>
    <w:permEnd w:id="28520424"/>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494567" w:rsidRPr="007D5A00" w:rsidRDefault="00494567" w:rsidP="00494567">
      <w:pPr>
        <w:rPr>
          <w:rFonts w:ascii="Franklin Gothic Book" w:hAnsi="Franklin Gothic Book"/>
          <w:sz w:val="21"/>
          <w:szCs w:val="21"/>
        </w:rPr>
      </w:pPr>
      <w:permStart w:id="988049236" w:edGrp="everyone"/>
      <w:r w:rsidRPr="007D5A00">
        <w:rPr>
          <w:rFonts w:ascii="Franklin Gothic Book" w:hAnsi="Franklin Gothic Book"/>
          <w:sz w:val="21"/>
          <w:szCs w:val="21"/>
        </w:rPr>
        <w:t xml:space="preserve">Yes to both questions. </w:t>
      </w:r>
    </w:p>
    <w:permEnd w:id="988049236"/>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494567" w:rsidRDefault="00494567" w:rsidP="00494567">
      <w:pPr>
        <w:rPr>
          <w:rFonts w:ascii="Franklin Gothic Book" w:hAnsi="Franklin Gothic Book"/>
          <w:sz w:val="21"/>
          <w:szCs w:val="21"/>
        </w:rPr>
      </w:pPr>
      <w:permStart w:id="843841646" w:edGrp="everyone"/>
      <w:r w:rsidRPr="007D5A00">
        <w:rPr>
          <w:rFonts w:ascii="Franklin Gothic Book" w:hAnsi="Franklin Gothic Book"/>
          <w:sz w:val="21"/>
          <w:szCs w:val="21"/>
        </w:rPr>
        <w:t>Yes to the first question. Stakeholders on committees can also introduce conflicts of interest</w:t>
      </w:r>
      <w:r>
        <w:rPr>
          <w:rFonts w:ascii="Franklin Gothic Book" w:hAnsi="Franklin Gothic Book"/>
          <w:sz w:val="21"/>
          <w:szCs w:val="21"/>
        </w:rPr>
        <w:t>.</w:t>
      </w:r>
      <w:r w:rsidRPr="007D5A00">
        <w:rPr>
          <w:rFonts w:ascii="Franklin Gothic Book" w:hAnsi="Franklin Gothic Book"/>
          <w:sz w:val="21"/>
          <w:szCs w:val="21"/>
        </w:rPr>
        <w:t xml:space="preserve"> </w:t>
      </w:r>
    </w:p>
    <w:permEnd w:id="843841646"/>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494567" w:rsidRPr="00AF7278" w:rsidRDefault="00494567" w:rsidP="00494567">
      <w:pPr>
        <w:rPr>
          <w:rFonts w:ascii="Franklin Gothic Book" w:hAnsi="Franklin Gothic Book"/>
          <w:sz w:val="21"/>
          <w:szCs w:val="21"/>
        </w:rPr>
      </w:pPr>
      <w:permStart w:id="2137807767" w:edGrp="everyone"/>
      <w:r w:rsidRPr="00AF7278">
        <w:rPr>
          <w:rFonts w:ascii="Franklin Gothic Book" w:hAnsi="Franklin Gothic Book"/>
          <w:sz w:val="21"/>
          <w:szCs w:val="21"/>
        </w:rPr>
        <w:t>The list of records required to be kept by administrators needs to be aligned with the type of input data used for a particular benchmark and the risks posed by such category of input data. The list of records may make sense for input data sourced from contributors, provided a contribution is appropriately d</w:t>
      </w:r>
      <w:r w:rsidRPr="00AF7278">
        <w:rPr>
          <w:rFonts w:ascii="Franklin Gothic Book" w:hAnsi="Franklin Gothic Book"/>
          <w:sz w:val="21"/>
          <w:szCs w:val="21"/>
        </w:rPr>
        <w:t>e</w:t>
      </w:r>
      <w:r w:rsidRPr="00AF7278">
        <w:rPr>
          <w:rFonts w:ascii="Franklin Gothic Book" w:hAnsi="Franklin Gothic Book"/>
          <w:sz w:val="21"/>
          <w:szCs w:val="21"/>
        </w:rPr>
        <w:lastRenderedPageBreak/>
        <w:t xml:space="preserve">fined. Independent administrators do not have access to books and records of contributors and do not know if data is excluded or not. Input data sourced from data vendors which “is readily available to an administrator” should not be considered a contribution in line with Paragraph 139. Our view, as further expressed in our response to </w:t>
      </w:r>
      <w:r>
        <w:rPr>
          <w:rFonts w:ascii="Franklin Gothic Book" w:hAnsi="Franklin Gothic Book"/>
          <w:sz w:val="21"/>
          <w:szCs w:val="21"/>
        </w:rPr>
        <w:t xml:space="preserve">question </w:t>
      </w:r>
      <w:r w:rsidRPr="00AF7278">
        <w:rPr>
          <w:rFonts w:ascii="Franklin Gothic Book" w:hAnsi="Franklin Gothic Book"/>
          <w:sz w:val="21"/>
          <w:szCs w:val="21"/>
        </w:rPr>
        <w:t>45, is that “readily available” means “input data not created for the sole purpose of calculating a benchmark.” This is a view expressed by various members of ESMA. In this context, readily available data should be treated similarly to regulated data since the benchmark admini</w:t>
      </w:r>
      <w:r w:rsidRPr="00AF7278">
        <w:rPr>
          <w:rFonts w:ascii="Franklin Gothic Book" w:hAnsi="Franklin Gothic Book"/>
          <w:sz w:val="21"/>
          <w:szCs w:val="21"/>
        </w:rPr>
        <w:t>s</w:t>
      </w:r>
      <w:r w:rsidRPr="00AF7278">
        <w:rPr>
          <w:rFonts w:ascii="Franklin Gothic Book" w:hAnsi="Franklin Gothic Book"/>
          <w:sz w:val="21"/>
          <w:szCs w:val="21"/>
        </w:rPr>
        <w:t>trator does not have access to the details of the price formation. As discussed in Paragraph 68 of the consultation paper, administrators don’t have to keep records of input data for regulated data benc</w:t>
      </w:r>
      <w:r w:rsidRPr="00AF7278">
        <w:rPr>
          <w:rFonts w:ascii="Franklin Gothic Book" w:hAnsi="Franklin Gothic Book"/>
          <w:sz w:val="21"/>
          <w:szCs w:val="21"/>
        </w:rPr>
        <w:t>h</w:t>
      </w:r>
      <w:r w:rsidRPr="00AF7278">
        <w:rPr>
          <w:rFonts w:ascii="Franklin Gothic Book" w:hAnsi="Franklin Gothic Book"/>
          <w:sz w:val="21"/>
          <w:szCs w:val="21"/>
        </w:rPr>
        <w:t>marks but verifiability “in this case must be understood as checking the provenance and transmission of the input data used” which can be done through appropriate quality assurance practices. IIA also believes ESMA will need to clarify exactly what data the requirements would apply. Benchmark administrators should not have to duplicate “readily available” data produced for purposes of the benchmark. Data retention may already be required for supervised entities to store under MiFID and other regulation ma</w:t>
      </w:r>
      <w:r w:rsidRPr="00AF7278">
        <w:rPr>
          <w:rFonts w:ascii="Franklin Gothic Book" w:hAnsi="Franklin Gothic Book"/>
          <w:sz w:val="21"/>
          <w:szCs w:val="21"/>
        </w:rPr>
        <w:t>k</w:t>
      </w:r>
      <w:r w:rsidRPr="00AF7278">
        <w:rPr>
          <w:rFonts w:ascii="Franklin Gothic Book" w:hAnsi="Franklin Gothic Book"/>
          <w:sz w:val="21"/>
          <w:szCs w:val="21"/>
        </w:rPr>
        <w:t>ing those data duplicative.</w:t>
      </w:r>
    </w:p>
    <w:permEnd w:id="2137807767"/>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494567" w:rsidRPr="00AF7278" w:rsidRDefault="00494567" w:rsidP="00494567">
      <w:pPr>
        <w:contextualSpacing/>
        <w:rPr>
          <w:rFonts w:ascii="Franklin Gothic Book" w:hAnsi="Franklin Gothic Book"/>
          <w:sz w:val="21"/>
          <w:szCs w:val="21"/>
        </w:rPr>
      </w:pPr>
      <w:permStart w:id="1602688086" w:edGrp="everyone"/>
      <w:r w:rsidRPr="00AF7278">
        <w:rPr>
          <w:rFonts w:ascii="Franklin Gothic Book" w:hAnsi="Franklin Gothic Book"/>
          <w:sz w:val="21"/>
          <w:szCs w:val="21"/>
        </w:rPr>
        <w:t>Although weekly sounds like a reasonable frequency requirement for the transmission of certain benc</w:t>
      </w:r>
      <w:r w:rsidRPr="00AF7278">
        <w:rPr>
          <w:rFonts w:ascii="Franklin Gothic Book" w:hAnsi="Franklin Gothic Book"/>
          <w:sz w:val="21"/>
          <w:szCs w:val="21"/>
        </w:rPr>
        <w:t>h</w:t>
      </w:r>
      <w:r w:rsidRPr="00AF7278">
        <w:rPr>
          <w:rFonts w:ascii="Franklin Gothic Book" w:hAnsi="Franklin Gothic Book"/>
          <w:sz w:val="21"/>
          <w:szCs w:val="21"/>
        </w:rPr>
        <w:t>marks for verifiability purposes, but the frequency of information transmission should be</w:t>
      </w:r>
      <w:r>
        <w:rPr>
          <w:rFonts w:ascii="Franklin Gothic Book" w:hAnsi="Franklin Gothic Book"/>
          <w:sz w:val="21"/>
          <w:szCs w:val="21"/>
        </w:rPr>
        <w:t xml:space="preserve"> based on how frequently data are</w:t>
      </w:r>
      <w:r w:rsidRPr="00AF7278">
        <w:rPr>
          <w:rFonts w:ascii="Franklin Gothic Book" w:hAnsi="Franklin Gothic Book"/>
          <w:sz w:val="21"/>
          <w:szCs w:val="21"/>
        </w:rPr>
        <w:t xml:space="preserve"> available and the benchmark is measured.  Some benchmarks are based on monthly or quarterly data so weekly transmission as a rule for all benchmarks may not </w:t>
      </w:r>
      <w:r>
        <w:rPr>
          <w:rFonts w:ascii="Franklin Gothic Book" w:hAnsi="Franklin Gothic Book"/>
          <w:sz w:val="21"/>
          <w:szCs w:val="21"/>
        </w:rPr>
        <w:t>make sense.  Obviously, the timing should be a function of the natural frequency of data submission and benchmark publication.</w:t>
      </w:r>
    </w:p>
    <w:permEnd w:id="1602688086"/>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494567" w:rsidRPr="00AF7278" w:rsidRDefault="00494567" w:rsidP="00494567">
      <w:pPr>
        <w:contextualSpacing/>
        <w:rPr>
          <w:rFonts w:ascii="Franklin Gothic Book" w:hAnsi="Franklin Gothic Book"/>
          <w:sz w:val="21"/>
          <w:szCs w:val="21"/>
        </w:rPr>
      </w:pPr>
      <w:permStart w:id="1437861152" w:edGrp="everyone"/>
      <w:r w:rsidRPr="00AF7278">
        <w:rPr>
          <w:rFonts w:ascii="Franklin Gothic Book" w:hAnsi="Franklin Gothic Book"/>
          <w:sz w:val="21"/>
          <w:szCs w:val="21"/>
        </w:rPr>
        <w:t>The determination of the appropriateness of input data is an important component of a benchmark and the administrator should seek to ensure that each of its benchmarks utilizes input data that yield a mea</w:t>
      </w:r>
      <w:r w:rsidRPr="00AF7278">
        <w:rPr>
          <w:rFonts w:ascii="Franklin Gothic Book" w:hAnsi="Franklin Gothic Book"/>
          <w:sz w:val="21"/>
          <w:szCs w:val="21"/>
        </w:rPr>
        <w:t>n</w:t>
      </w:r>
      <w:r w:rsidRPr="00AF7278">
        <w:rPr>
          <w:rFonts w:ascii="Franklin Gothic Book" w:hAnsi="Franklin Gothic Book"/>
          <w:sz w:val="21"/>
          <w:szCs w:val="21"/>
        </w:rPr>
        <w:t>ingful and representative result. As set forth in Paragraph 74, appropriateness of input data should be “linked to the methodology of a benchmark” and “is up to the administrator, when establishing the met</w:t>
      </w:r>
      <w:r w:rsidRPr="00AF7278">
        <w:rPr>
          <w:rFonts w:ascii="Franklin Gothic Book" w:hAnsi="Franklin Gothic Book"/>
          <w:sz w:val="21"/>
          <w:szCs w:val="21"/>
        </w:rPr>
        <w:t>h</w:t>
      </w:r>
      <w:r w:rsidRPr="00AF7278">
        <w:rPr>
          <w:rFonts w:ascii="Franklin Gothic Book" w:hAnsi="Franklin Gothic Book"/>
          <w:sz w:val="21"/>
          <w:szCs w:val="21"/>
        </w:rPr>
        <w:t>odology”. The appropriateness of input data needs to be determined at the discretion of the administrator and then disclosed in the methodology document. Once disclosed, market participants can assess whet</w:t>
      </w:r>
      <w:r w:rsidRPr="00AF7278">
        <w:rPr>
          <w:rFonts w:ascii="Franklin Gothic Book" w:hAnsi="Franklin Gothic Book"/>
          <w:sz w:val="21"/>
          <w:szCs w:val="21"/>
        </w:rPr>
        <w:t>h</w:t>
      </w:r>
      <w:r w:rsidRPr="00AF7278">
        <w:rPr>
          <w:rFonts w:ascii="Franklin Gothic Book" w:hAnsi="Franklin Gothic Book"/>
          <w:sz w:val="21"/>
          <w:szCs w:val="21"/>
        </w:rPr>
        <w:t>er the benchmark is appropriate for their own uses and objectives. With respect to the various checks to assist an administrator in determining appropriateness, many concepts included in Paragraph 75 are helpful for only specific types of input data (e.g. some apply only to contributions, while others to regulated data). The administrator is the entity responsible for the quality of the methodology, so it needs to dete</w:t>
      </w:r>
      <w:r w:rsidRPr="00AF7278">
        <w:rPr>
          <w:rFonts w:ascii="Franklin Gothic Book" w:hAnsi="Franklin Gothic Book"/>
          <w:sz w:val="21"/>
          <w:szCs w:val="21"/>
        </w:rPr>
        <w:t>r</w:t>
      </w:r>
      <w:r w:rsidRPr="00AF7278">
        <w:rPr>
          <w:rFonts w:ascii="Franklin Gothic Book" w:hAnsi="Franklin Gothic Book"/>
          <w:sz w:val="21"/>
          <w:szCs w:val="21"/>
        </w:rPr>
        <w:t>mine which concepts are suitable to determine the appropriateness of the input data it uses.</w:t>
      </w:r>
    </w:p>
    <w:permEnd w:id="1437861152"/>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494567" w:rsidP="009A2624">
      <w:permStart w:id="216603279" w:edGrp="everyone"/>
      <w:r>
        <w:t>No</w:t>
      </w:r>
    </w:p>
    <w:permEnd w:id="216603279"/>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lastRenderedPageBreak/>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494567" w:rsidRPr="00AF7278" w:rsidRDefault="00494567" w:rsidP="00494567">
      <w:pPr>
        <w:rPr>
          <w:rFonts w:ascii="Franklin Gothic Book" w:hAnsi="Franklin Gothic Book"/>
          <w:sz w:val="21"/>
          <w:szCs w:val="21"/>
        </w:rPr>
      </w:pPr>
      <w:permStart w:id="426142777" w:edGrp="everyone"/>
      <w:r w:rsidRPr="00AF7278">
        <w:rPr>
          <w:rFonts w:ascii="Franklin Gothic Book" w:hAnsi="Franklin Gothic Book"/>
          <w:sz w:val="21"/>
          <w:szCs w:val="21"/>
        </w:rPr>
        <w:t>Every administrator should disclose the input data used in each of its benchmarks in its description of its methodology and the rationale for choosing the input data used.</w:t>
      </w:r>
      <w:r>
        <w:rPr>
          <w:rFonts w:ascii="Franklin Gothic Book" w:hAnsi="Franklin Gothic Book"/>
          <w:sz w:val="21"/>
          <w:szCs w:val="21"/>
        </w:rPr>
        <w:t xml:space="preserve">  The use of input data is driven by the asset class of the benchmark.  The methodology should explain the use of the data.  </w:t>
      </w:r>
      <w:r w:rsidRPr="00AF7278">
        <w:rPr>
          <w:rFonts w:ascii="Franklin Gothic Book" w:hAnsi="Franklin Gothic Book"/>
          <w:sz w:val="21"/>
          <w:szCs w:val="21"/>
        </w:rPr>
        <w:t xml:space="preserve"> In the event an administrator is questioned on the appropriateness of the input data used for a particular benchmark, it should be prepared to support its decision but the records an administrator retains in connection with its evaluation of input data should be at the administrator’s discretion in accordance with its own internal record retention policy. </w:t>
      </w:r>
    </w:p>
    <w:permEnd w:id="426142777"/>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494567" w:rsidRDefault="00494567" w:rsidP="00494567">
      <w:permStart w:id="1455957569" w:edGrp="everyone"/>
      <w:r>
        <w:t>No</w:t>
      </w:r>
    </w:p>
    <w:permEnd w:id="1455957569"/>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494567" w:rsidRPr="00AF7278" w:rsidRDefault="00494567" w:rsidP="00494567">
      <w:pPr>
        <w:rPr>
          <w:rFonts w:ascii="Franklin Gothic Book" w:hAnsi="Franklin Gothic Book"/>
          <w:sz w:val="21"/>
          <w:szCs w:val="21"/>
        </w:rPr>
      </w:pPr>
      <w:permStart w:id="282661061" w:edGrp="everyone"/>
      <w:r w:rsidRPr="00AF7278">
        <w:rPr>
          <w:rFonts w:ascii="Franklin Gothic Book" w:hAnsi="Franklin Gothic Book"/>
          <w:sz w:val="21"/>
          <w:szCs w:val="21"/>
        </w:rPr>
        <w:t xml:space="preserve">Evaluation, validation and verifiability are reasonable designations for the types of testing/ underpinning activities for input data but it is important that these concepts are applied in a proportional manner and only required if needed for the particular benchmark. It is important to understand that all three concepts do not apply to all benchmark types. </w:t>
      </w:r>
    </w:p>
    <w:p w:rsidR="00494567" w:rsidRPr="00AF7278" w:rsidRDefault="00494567" w:rsidP="00494567">
      <w:pPr>
        <w:rPr>
          <w:rFonts w:ascii="Franklin Gothic Book" w:hAnsi="Franklin Gothic Book"/>
          <w:sz w:val="21"/>
          <w:szCs w:val="21"/>
        </w:rPr>
      </w:pPr>
      <w:r w:rsidRPr="00AF7278">
        <w:rPr>
          <w:rFonts w:ascii="Franklin Gothic Book" w:hAnsi="Franklin Gothic Book"/>
          <w:sz w:val="21"/>
          <w:szCs w:val="21"/>
        </w:rPr>
        <w:t xml:space="preserve">In particular, verification should not be required for input data that is readily available. As set </w:t>
      </w:r>
      <w:r>
        <w:rPr>
          <w:rFonts w:ascii="Franklin Gothic Book" w:hAnsi="Franklin Gothic Book"/>
          <w:sz w:val="21"/>
          <w:szCs w:val="21"/>
        </w:rPr>
        <w:t>forth above in our response to question 19 and discussed in p</w:t>
      </w:r>
      <w:r w:rsidRPr="00AF7278">
        <w:rPr>
          <w:rFonts w:ascii="Franklin Gothic Book" w:hAnsi="Franklin Gothic Book"/>
          <w:sz w:val="21"/>
          <w:szCs w:val="21"/>
        </w:rPr>
        <w:t xml:space="preserve">aragraph 68 of the consultation paper, verifiability of input data for regulated data benchmarks </w:t>
      </w:r>
      <w:r w:rsidRPr="00AF7278">
        <w:rPr>
          <w:rFonts w:ascii="Franklin Gothic Book" w:hAnsi="Franklin Gothic Book"/>
          <w:i/>
          <w:sz w:val="21"/>
          <w:szCs w:val="21"/>
        </w:rPr>
        <w:t>“must be understood as checking the provenance and tran</w:t>
      </w:r>
      <w:r w:rsidRPr="00AF7278">
        <w:rPr>
          <w:rFonts w:ascii="Franklin Gothic Book" w:hAnsi="Franklin Gothic Book"/>
          <w:i/>
          <w:sz w:val="21"/>
          <w:szCs w:val="21"/>
        </w:rPr>
        <w:t>s</w:t>
      </w:r>
      <w:r w:rsidRPr="00AF7278">
        <w:rPr>
          <w:rFonts w:ascii="Franklin Gothic Book" w:hAnsi="Franklin Gothic Book"/>
          <w:i/>
          <w:sz w:val="21"/>
          <w:szCs w:val="21"/>
        </w:rPr>
        <w:t>mission of the input data used”</w:t>
      </w:r>
      <w:r w:rsidRPr="00AF7278">
        <w:rPr>
          <w:rFonts w:ascii="Franklin Gothic Book" w:hAnsi="Franklin Gothic Book"/>
          <w:sz w:val="21"/>
          <w:szCs w:val="21"/>
        </w:rPr>
        <w:t xml:space="preserve"> which can be done through appropriate quality assurance practices. We believe that this same concept should apply to input data that is readily available. </w:t>
      </w:r>
      <w:r w:rsidRPr="00AF7278">
        <w:rPr>
          <w:rFonts w:ascii="Franklin Gothic Book" w:hAnsi="Franklin Gothic Book"/>
          <w:i/>
          <w:sz w:val="21"/>
          <w:szCs w:val="21"/>
        </w:rPr>
        <w:t>”Readily available”</w:t>
      </w:r>
      <w:r w:rsidRPr="00AF7278">
        <w:rPr>
          <w:rFonts w:ascii="Franklin Gothic Book" w:hAnsi="Franklin Gothic Book"/>
          <w:sz w:val="21"/>
          <w:szCs w:val="21"/>
        </w:rPr>
        <w:t xml:space="preserve"> should be defined as </w:t>
      </w:r>
      <w:r w:rsidRPr="00AF7278">
        <w:rPr>
          <w:rFonts w:ascii="Franklin Gothic Book" w:hAnsi="Franklin Gothic Book"/>
          <w:i/>
          <w:sz w:val="21"/>
          <w:szCs w:val="21"/>
        </w:rPr>
        <w:t>“input data not created for the sole purpose of calculating a benchmark.”</w:t>
      </w:r>
      <w:r w:rsidRPr="00AF7278">
        <w:rPr>
          <w:rFonts w:ascii="Franklin Gothic Book" w:hAnsi="Franklin Gothic Book"/>
          <w:sz w:val="21"/>
          <w:szCs w:val="21"/>
        </w:rPr>
        <w:t xml:space="preserve"> With respect to</w:t>
      </w:r>
      <w:r w:rsidRPr="00AF7278">
        <w:rPr>
          <w:rFonts w:ascii="Franklin Gothic Book" w:hAnsi="Franklin Gothic Book"/>
          <w:sz w:val="21"/>
          <w:szCs w:val="21"/>
          <w:u w:val="single"/>
        </w:rPr>
        <w:t xml:space="preserve"> </w:t>
      </w:r>
      <w:r w:rsidRPr="00AF7278">
        <w:rPr>
          <w:rFonts w:ascii="Franklin Gothic Book" w:hAnsi="Franklin Gothic Book"/>
          <w:sz w:val="21"/>
          <w:szCs w:val="21"/>
        </w:rPr>
        <w:t xml:space="preserve">input data that are not a contribution, we feel that validation as described in Paragraphs 79 and 82 the pertinent activity for quality assurance. Other thoughts: </w:t>
      </w:r>
    </w:p>
    <w:p w:rsidR="00494567" w:rsidRPr="00AF7278" w:rsidRDefault="00494567" w:rsidP="00494567">
      <w:pPr>
        <w:pStyle w:val="ListParagraph"/>
        <w:numPr>
          <w:ilvl w:val="0"/>
          <w:numId w:val="40"/>
        </w:numPr>
        <w:rPr>
          <w:rFonts w:ascii="Franklin Gothic Book" w:hAnsi="Franklin Gothic Book"/>
          <w:sz w:val="21"/>
          <w:szCs w:val="21"/>
        </w:rPr>
      </w:pPr>
      <w:r w:rsidRPr="00AF7278">
        <w:rPr>
          <w:rFonts w:ascii="Franklin Gothic Book" w:hAnsi="Franklin Gothic Book"/>
          <w:sz w:val="21"/>
          <w:szCs w:val="21"/>
        </w:rPr>
        <w:t>Evaluation</w:t>
      </w:r>
      <w:r>
        <w:rPr>
          <w:rFonts w:ascii="Franklin Gothic Book" w:hAnsi="Franklin Gothic Book"/>
          <w:sz w:val="21"/>
          <w:szCs w:val="21"/>
        </w:rPr>
        <w:t>:</w:t>
      </w:r>
      <w:r w:rsidRPr="00AF7278">
        <w:rPr>
          <w:rFonts w:ascii="Franklin Gothic Book" w:hAnsi="Franklin Gothic Book"/>
          <w:sz w:val="21"/>
          <w:szCs w:val="21"/>
        </w:rPr>
        <w:t xml:space="preserve"> With the exception of contributed data (which does not include regulated data and “readily available” data)</w:t>
      </w:r>
      <w:proofErr w:type="gramStart"/>
      <w:r w:rsidRPr="00AF7278">
        <w:rPr>
          <w:rFonts w:ascii="Franklin Gothic Book" w:hAnsi="Franklin Gothic Book"/>
          <w:sz w:val="21"/>
          <w:szCs w:val="21"/>
        </w:rPr>
        <w:t>,</w:t>
      </w:r>
      <w:proofErr w:type="gramEnd"/>
      <w:r w:rsidRPr="00AF7278">
        <w:rPr>
          <w:rFonts w:ascii="Franklin Gothic Book" w:hAnsi="Franklin Gothic Book"/>
          <w:sz w:val="21"/>
          <w:szCs w:val="21"/>
        </w:rPr>
        <w:t xml:space="preserve"> the administrator does not have insights at the price source level. Eval</w:t>
      </w:r>
      <w:r w:rsidRPr="00AF7278">
        <w:rPr>
          <w:rFonts w:ascii="Franklin Gothic Book" w:hAnsi="Franklin Gothic Book"/>
          <w:sz w:val="21"/>
          <w:szCs w:val="21"/>
        </w:rPr>
        <w:t>u</w:t>
      </w:r>
      <w:r w:rsidRPr="00AF7278">
        <w:rPr>
          <w:rFonts w:ascii="Franklin Gothic Book" w:hAnsi="Franklin Gothic Book"/>
          <w:sz w:val="21"/>
          <w:szCs w:val="21"/>
        </w:rPr>
        <w:t>ation would almost be impossible with respect to real time indices.</w:t>
      </w:r>
    </w:p>
    <w:p w:rsidR="00494567" w:rsidRPr="00AF7278" w:rsidRDefault="00494567" w:rsidP="00494567">
      <w:pPr>
        <w:pStyle w:val="ListParagraph"/>
        <w:numPr>
          <w:ilvl w:val="0"/>
          <w:numId w:val="40"/>
        </w:numPr>
        <w:rPr>
          <w:rFonts w:ascii="Franklin Gothic Book" w:hAnsi="Franklin Gothic Book"/>
          <w:sz w:val="21"/>
          <w:szCs w:val="21"/>
        </w:rPr>
      </w:pPr>
      <w:r w:rsidRPr="00AF7278">
        <w:rPr>
          <w:rFonts w:ascii="Franklin Gothic Book" w:hAnsi="Franklin Gothic Book"/>
          <w:sz w:val="21"/>
          <w:szCs w:val="21"/>
        </w:rPr>
        <w:t>Validation</w:t>
      </w:r>
      <w:r>
        <w:rPr>
          <w:rFonts w:ascii="Franklin Gothic Book" w:hAnsi="Franklin Gothic Book"/>
          <w:sz w:val="21"/>
          <w:szCs w:val="21"/>
        </w:rPr>
        <w:t>:</w:t>
      </w:r>
      <w:r w:rsidRPr="00AF7278">
        <w:rPr>
          <w:rFonts w:ascii="Franklin Gothic Book" w:hAnsi="Franklin Gothic Book"/>
          <w:sz w:val="21"/>
          <w:szCs w:val="21"/>
        </w:rPr>
        <w:t xml:space="preserve"> As mentioned, acceptable for most input data as our interpretation is that the primary means of validation are appropriate testing and quality assurance practices.</w:t>
      </w:r>
    </w:p>
    <w:p w:rsidR="00494567" w:rsidRPr="00AF7278" w:rsidRDefault="00494567" w:rsidP="00494567">
      <w:pPr>
        <w:pStyle w:val="ListParagraph"/>
        <w:numPr>
          <w:ilvl w:val="0"/>
          <w:numId w:val="40"/>
        </w:numPr>
        <w:rPr>
          <w:rFonts w:ascii="Franklin Gothic Book" w:hAnsi="Franklin Gothic Book"/>
          <w:sz w:val="21"/>
          <w:szCs w:val="21"/>
        </w:rPr>
      </w:pPr>
      <w:r w:rsidRPr="00AF7278">
        <w:rPr>
          <w:rFonts w:ascii="Franklin Gothic Book" w:hAnsi="Franklin Gothic Book"/>
          <w:sz w:val="21"/>
          <w:szCs w:val="21"/>
        </w:rPr>
        <w:t>Verification</w:t>
      </w:r>
      <w:r>
        <w:rPr>
          <w:rFonts w:ascii="Franklin Gothic Book" w:hAnsi="Franklin Gothic Book"/>
          <w:sz w:val="21"/>
          <w:szCs w:val="21"/>
        </w:rPr>
        <w:t>:</w:t>
      </w:r>
      <w:r w:rsidRPr="00AF7278">
        <w:rPr>
          <w:rFonts w:ascii="Franklin Gothic Book" w:hAnsi="Franklin Gothic Book"/>
          <w:sz w:val="21"/>
          <w:szCs w:val="21"/>
        </w:rPr>
        <w:t xml:space="preserve"> This is difficult to undertake for most input data and irrelevant for regulated data benchmarks and benchmarks that use “readily available” (as discussed above).</w:t>
      </w:r>
    </w:p>
    <w:permEnd w:id="282661061"/>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494567" w:rsidRPr="00F11BA6" w:rsidRDefault="00494567" w:rsidP="00494567">
      <w:pPr>
        <w:rPr>
          <w:rFonts w:ascii="Franklin Gothic Book" w:hAnsi="Franklin Gothic Book"/>
          <w:sz w:val="21"/>
          <w:szCs w:val="21"/>
        </w:rPr>
      </w:pPr>
      <w:permStart w:id="632359556" w:edGrp="everyone"/>
      <w:r w:rsidRPr="00F11BA6">
        <w:rPr>
          <w:rFonts w:ascii="Franklin Gothic Book" w:hAnsi="Franklin Gothic Book"/>
          <w:sz w:val="21"/>
          <w:szCs w:val="21"/>
        </w:rPr>
        <w:t>As an independent index provider, we do not deal with the potential conflicts of interest that arise from a front office contributor scenario. However, where a situation or structure presents an increased likelihood of conflicts of interest such as the front office contributor structure, more in depth and frequent training can assist in mitigating any such potential conflicts.</w:t>
      </w:r>
    </w:p>
    <w:permEnd w:id="632359556"/>
    <w:p w:rsidR="009A2624" w:rsidRDefault="009A2624" w:rsidP="009A2624">
      <w:r>
        <w:lastRenderedPageBreak/>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494567" w:rsidRPr="00F11BA6" w:rsidRDefault="00494567" w:rsidP="00494567">
      <w:pPr>
        <w:rPr>
          <w:rFonts w:ascii="Franklin Gothic Book" w:hAnsi="Franklin Gothic Book"/>
          <w:sz w:val="21"/>
          <w:szCs w:val="21"/>
        </w:rPr>
      </w:pPr>
      <w:permStart w:id="1287338716" w:edGrp="everyone"/>
      <w:r w:rsidRPr="00F11BA6">
        <w:rPr>
          <w:rFonts w:ascii="Franklin Gothic Book" w:hAnsi="Franklin Gothic Book"/>
          <w:sz w:val="21"/>
          <w:szCs w:val="21"/>
        </w:rPr>
        <w:t xml:space="preserve">The components of the “three lines of defence” principle comprise an appropriate oversight function and, although the functions, policies and procedures may vary, these components are likely to be present in internal oversight function. It is important that the administrator or contributor have the discretion to organize the oversight function as it deems appropriate </w:t>
      </w:r>
      <w:r>
        <w:rPr>
          <w:rFonts w:ascii="Franklin Gothic Book" w:hAnsi="Franklin Gothic Book"/>
          <w:sz w:val="21"/>
          <w:szCs w:val="21"/>
        </w:rPr>
        <w:t xml:space="preserve">to the circumstances </w:t>
      </w:r>
      <w:r w:rsidRPr="00F11BA6">
        <w:rPr>
          <w:rFonts w:ascii="Franklin Gothic Book" w:hAnsi="Franklin Gothic Book"/>
          <w:sz w:val="21"/>
          <w:szCs w:val="21"/>
        </w:rPr>
        <w:t>and the relevant competent authority has the ability to review and comment if it deems necessary.</w:t>
      </w:r>
    </w:p>
    <w:permEnd w:id="1287338716"/>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1267096026" w:edGrp="everyone"/>
      <w:r>
        <w:t>TYPE YOUR TEXT HERE</w:t>
      </w:r>
    </w:p>
    <w:permEnd w:id="1267096026"/>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DC55EA" w:rsidRPr="00F11BA6" w:rsidRDefault="00DC55EA" w:rsidP="00DC55EA">
      <w:pPr>
        <w:rPr>
          <w:rFonts w:ascii="Franklin Gothic Book" w:hAnsi="Franklin Gothic Book"/>
          <w:sz w:val="21"/>
          <w:szCs w:val="21"/>
        </w:rPr>
      </w:pPr>
      <w:permStart w:id="357116810" w:edGrp="everyone"/>
      <w:r w:rsidRPr="00F11BA6">
        <w:rPr>
          <w:rFonts w:ascii="Franklin Gothic Book" w:hAnsi="Franklin Gothic Book"/>
          <w:sz w:val="21"/>
          <w:szCs w:val="21"/>
        </w:rPr>
        <w:t>The list of elements is appropriate but some items may need to be qualified. For example, automation of contribution is a sound approach in an effort to mitigate conflicts of interest but may not be appropriate for the type of data and should not be required “wherever possible”. It may be possible but not appropr</w:t>
      </w:r>
      <w:r w:rsidRPr="00F11BA6">
        <w:rPr>
          <w:rFonts w:ascii="Franklin Gothic Book" w:hAnsi="Franklin Gothic Book"/>
          <w:sz w:val="21"/>
          <w:szCs w:val="21"/>
        </w:rPr>
        <w:t>i</w:t>
      </w:r>
      <w:r w:rsidRPr="00F11BA6">
        <w:rPr>
          <w:rFonts w:ascii="Franklin Gothic Book" w:hAnsi="Franklin Gothic Book"/>
          <w:sz w:val="21"/>
          <w:szCs w:val="21"/>
        </w:rPr>
        <w:t>ate to automate such process.</w:t>
      </w:r>
    </w:p>
    <w:permEnd w:id="357116810"/>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DC55EA" w:rsidRPr="00F11BA6" w:rsidRDefault="00DC55EA" w:rsidP="00DC55EA">
      <w:pPr>
        <w:rPr>
          <w:rFonts w:ascii="Franklin Gothic Book" w:hAnsi="Franklin Gothic Book"/>
          <w:sz w:val="21"/>
          <w:szCs w:val="21"/>
        </w:rPr>
      </w:pPr>
      <w:permStart w:id="50680700" w:edGrp="everyone"/>
      <w:r w:rsidRPr="00F11BA6">
        <w:rPr>
          <w:rFonts w:ascii="Franklin Gothic Book" w:hAnsi="Franklin Gothic Book"/>
          <w:sz w:val="21"/>
          <w:szCs w:val="21"/>
        </w:rPr>
        <w:t xml:space="preserve">As noted in our reply to Q25, the need to implement the verification process as described in </w:t>
      </w:r>
      <w:r>
        <w:rPr>
          <w:rFonts w:ascii="Franklin Gothic Book" w:hAnsi="Franklin Gothic Book"/>
          <w:sz w:val="21"/>
          <w:szCs w:val="21"/>
        </w:rPr>
        <w:t>p</w:t>
      </w:r>
      <w:r w:rsidRPr="00F11BA6">
        <w:rPr>
          <w:rFonts w:ascii="Franklin Gothic Book" w:hAnsi="Franklin Gothic Book"/>
          <w:sz w:val="21"/>
          <w:szCs w:val="21"/>
        </w:rPr>
        <w:t xml:space="preserve">aragraph 82, i.e. </w:t>
      </w:r>
      <w:r w:rsidRPr="00F11BA6">
        <w:rPr>
          <w:rFonts w:ascii="Franklin Gothic Book" w:hAnsi="Franklin Gothic Book"/>
          <w:i/>
          <w:sz w:val="21"/>
          <w:szCs w:val="21"/>
        </w:rPr>
        <w:t>“recreate a given input data point based on records kept by the administrator of data supplied by contributor”</w:t>
      </w:r>
      <w:r w:rsidRPr="00F11BA6">
        <w:rPr>
          <w:rFonts w:ascii="Franklin Gothic Book" w:hAnsi="Franklin Gothic Book"/>
          <w:sz w:val="21"/>
          <w:szCs w:val="21"/>
        </w:rPr>
        <w:t>, should be limited to contributions. Any regulated data (as noted in Paragraph 104 and els</w:t>
      </w:r>
      <w:r w:rsidRPr="00F11BA6">
        <w:rPr>
          <w:rFonts w:ascii="Franklin Gothic Book" w:hAnsi="Franklin Gothic Book"/>
          <w:sz w:val="21"/>
          <w:szCs w:val="21"/>
        </w:rPr>
        <w:t>e</w:t>
      </w:r>
      <w:r w:rsidRPr="00F11BA6">
        <w:rPr>
          <w:rFonts w:ascii="Franklin Gothic Book" w:hAnsi="Franklin Gothic Book"/>
          <w:sz w:val="21"/>
          <w:szCs w:val="21"/>
        </w:rPr>
        <w:t xml:space="preserve">where) as well as any other </w:t>
      </w:r>
      <w:r w:rsidRPr="00F11BA6">
        <w:rPr>
          <w:rFonts w:ascii="Franklin Gothic Book" w:hAnsi="Franklin Gothic Book"/>
          <w:i/>
          <w:sz w:val="21"/>
          <w:szCs w:val="21"/>
        </w:rPr>
        <w:t>“readily available”</w:t>
      </w:r>
      <w:r w:rsidRPr="00F11BA6">
        <w:rPr>
          <w:rFonts w:ascii="Franklin Gothic Book" w:hAnsi="Franklin Gothic Book"/>
          <w:sz w:val="21"/>
          <w:szCs w:val="21"/>
        </w:rPr>
        <w:t xml:space="preserve"> input data (i.e. </w:t>
      </w:r>
      <w:r w:rsidRPr="00F11BA6">
        <w:rPr>
          <w:rFonts w:ascii="Franklin Gothic Book" w:hAnsi="Franklin Gothic Book"/>
          <w:i/>
          <w:sz w:val="21"/>
          <w:szCs w:val="21"/>
        </w:rPr>
        <w:t>“input data not created for the sole purpose of calculating a benchmark”</w:t>
      </w:r>
      <w:r w:rsidRPr="00F11BA6">
        <w:rPr>
          <w:rFonts w:ascii="Franklin Gothic Book" w:hAnsi="Franklin Gothic Book"/>
          <w:sz w:val="21"/>
          <w:szCs w:val="21"/>
        </w:rPr>
        <w:t>) should not be subject to a verification process. Validation should be appr</w:t>
      </w:r>
      <w:r w:rsidRPr="00F11BA6">
        <w:rPr>
          <w:rFonts w:ascii="Franklin Gothic Book" w:hAnsi="Franklin Gothic Book"/>
          <w:sz w:val="21"/>
          <w:szCs w:val="21"/>
        </w:rPr>
        <w:t>o</w:t>
      </w:r>
      <w:r w:rsidRPr="00F11BA6">
        <w:rPr>
          <w:rFonts w:ascii="Franklin Gothic Book" w:hAnsi="Franklin Gothic Book"/>
          <w:sz w:val="21"/>
          <w:szCs w:val="21"/>
        </w:rPr>
        <w:t>priate to protect the integrity of such input data. That said, when expert judgment and/or discretion is relied on to produce any input data, appropriate measures should be in place so that it is exercised a</w:t>
      </w:r>
      <w:r w:rsidRPr="00F11BA6">
        <w:rPr>
          <w:rFonts w:ascii="Franklin Gothic Book" w:hAnsi="Franklin Gothic Book"/>
          <w:sz w:val="21"/>
          <w:szCs w:val="21"/>
        </w:rPr>
        <w:t>p</w:t>
      </w:r>
      <w:r w:rsidRPr="00F11BA6">
        <w:rPr>
          <w:rFonts w:ascii="Franklin Gothic Book" w:hAnsi="Franklin Gothic Book"/>
          <w:sz w:val="21"/>
          <w:szCs w:val="21"/>
        </w:rPr>
        <w:t xml:space="preserve">propriately and in a way that mitigates any potential conflicts of interest. With respect to contributions that may involve the exercise of expert judgment or discretion, such measures should be appropriate to ensure the verifiability of the contributions. </w:t>
      </w:r>
    </w:p>
    <w:permEnd w:id="50680700"/>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DC55EA" w:rsidRPr="00F11BA6" w:rsidRDefault="00DC55EA" w:rsidP="00DC55EA">
      <w:pPr>
        <w:rPr>
          <w:rFonts w:ascii="Franklin Gothic Book" w:hAnsi="Franklin Gothic Book"/>
          <w:sz w:val="21"/>
          <w:szCs w:val="21"/>
        </w:rPr>
      </w:pPr>
      <w:permStart w:id="25893131" w:edGrp="everyone"/>
      <w:r w:rsidRPr="00F11BA6">
        <w:rPr>
          <w:rFonts w:ascii="Franklin Gothic Book" w:hAnsi="Franklin Gothic Book"/>
          <w:sz w:val="21"/>
          <w:szCs w:val="21"/>
        </w:rPr>
        <w:t xml:space="preserve">The list of criteria to justify differentiation appears appropriate with the exception of the “size </w:t>
      </w:r>
      <w:r>
        <w:rPr>
          <w:rFonts w:ascii="Franklin Gothic Book" w:hAnsi="Franklin Gothic Book"/>
          <w:sz w:val="21"/>
          <w:szCs w:val="21"/>
        </w:rPr>
        <w:t>of contrib</w:t>
      </w:r>
      <w:r>
        <w:rPr>
          <w:rFonts w:ascii="Franklin Gothic Book" w:hAnsi="Franklin Gothic Book"/>
          <w:sz w:val="21"/>
          <w:szCs w:val="21"/>
        </w:rPr>
        <w:t>u</w:t>
      </w:r>
      <w:r>
        <w:rPr>
          <w:rFonts w:ascii="Franklin Gothic Book" w:hAnsi="Franklin Gothic Book"/>
          <w:sz w:val="21"/>
          <w:szCs w:val="21"/>
        </w:rPr>
        <w:t>tors” referenced in p</w:t>
      </w:r>
      <w:r w:rsidRPr="00F11BA6">
        <w:rPr>
          <w:rFonts w:ascii="Franklin Gothic Book" w:hAnsi="Franklin Gothic Book"/>
          <w:sz w:val="21"/>
          <w:szCs w:val="21"/>
        </w:rPr>
        <w:t xml:space="preserve">aragraphs 108 and 109. Whether a contributor is large, small or somewhere in between, the integrity of the contribution and benchmark determination processes need to be protected. </w:t>
      </w:r>
      <w:r w:rsidRPr="00F11BA6">
        <w:rPr>
          <w:rFonts w:ascii="Franklin Gothic Book" w:hAnsi="Franklin Gothic Book"/>
          <w:sz w:val="21"/>
          <w:szCs w:val="21"/>
        </w:rPr>
        <w:lastRenderedPageBreak/>
        <w:t>An appropriate oversight measures should be implemented by any entity involved in the process. Any differentiation in assessing the appropriateness of the oversight function for a contributor should depend on the type of input data it provides and any potential conflicts of interest posed.  The appropriateness of the number of contributors should also be taken into account and the proportionality of the contribution to the benchmark. If 5 of 100 contributors are not participating, it is entails a different risk</w:t>
      </w:r>
      <w:r>
        <w:rPr>
          <w:rFonts w:ascii="Franklin Gothic Book" w:hAnsi="Franklin Gothic Book"/>
          <w:sz w:val="21"/>
          <w:szCs w:val="21"/>
        </w:rPr>
        <w:t xml:space="preserve"> level </w:t>
      </w:r>
      <w:r w:rsidRPr="00F11BA6">
        <w:rPr>
          <w:rFonts w:ascii="Franklin Gothic Book" w:hAnsi="Franklin Gothic Book"/>
          <w:sz w:val="21"/>
          <w:szCs w:val="21"/>
        </w:rPr>
        <w:t>if 5 of 7 contributors are not participating.</w:t>
      </w:r>
    </w:p>
    <w:permEnd w:id="25893131"/>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DC55EA" w:rsidRPr="00F11BA6" w:rsidRDefault="00DC55EA" w:rsidP="00DC55EA">
      <w:pPr>
        <w:rPr>
          <w:rFonts w:ascii="Franklin Gothic Book" w:hAnsi="Franklin Gothic Book"/>
          <w:sz w:val="21"/>
          <w:szCs w:val="21"/>
        </w:rPr>
      </w:pPr>
      <w:permStart w:id="1619612225" w:edGrp="everyone"/>
      <w:r w:rsidRPr="00F11BA6">
        <w:rPr>
          <w:rFonts w:ascii="Franklin Gothic Book" w:hAnsi="Franklin Gothic Book"/>
          <w:sz w:val="21"/>
          <w:szCs w:val="21"/>
        </w:rPr>
        <w:t xml:space="preserve">Generally, the list of elements amendable to proportional implementation but all entities should have an appropriate degree of training as well as a conflict of interest policy that effectively address the particular conflicts of issues that arise from each entity’s circumstances. </w:t>
      </w:r>
    </w:p>
    <w:permEnd w:id="1619612225"/>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DC55EA" w:rsidRPr="00F11BA6" w:rsidRDefault="00DC55EA" w:rsidP="00DC55EA">
      <w:pPr>
        <w:rPr>
          <w:rFonts w:ascii="Franklin Gothic Book" w:hAnsi="Franklin Gothic Book"/>
          <w:sz w:val="21"/>
          <w:szCs w:val="21"/>
        </w:rPr>
      </w:pPr>
      <w:permStart w:id="1012148771" w:edGrp="everyone"/>
      <w:r w:rsidRPr="00F11BA6">
        <w:rPr>
          <w:rFonts w:ascii="Franklin Gothic Book" w:hAnsi="Franklin Gothic Book"/>
          <w:sz w:val="21"/>
          <w:szCs w:val="21"/>
        </w:rPr>
        <w:t>Yes, the list of elements that are not amendable to proportional implementation is appropriate.</w:t>
      </w:r>
    </w:p>
    <w:permEnd w:id="1012148771"/>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DC55EA" w:rsidRPr="00545963" w:rsidRDefault="00DC55EA" w:rsidP="00DC55EA">
      <w:pPr>
        <w:rPr>
          <w:rFonts w:ascii="Franklin Gothic Book" w:hAnsi="Franklin Gothic Book"/>
          <w:sz w:val="21"/>
          <w:szCs w:val="21"/>
        </w:rPr>
      </w:pPr>
      <w:permStart w:id="1628377327" w:edGrp="everyone"/>
      <w:r w:rsidRPr="00545963">
        <w:rPr>
          <w:rFonts w:ascii="Franklin Gothic Book" w:hAnsi="Franklin Gothic Book"/>
          <w:bCs/>
          <w:sz w:val="21"/>
          <w:szCs w:val="21"/>
        </w:rPr>
        <w:t xml:space="preserve">IIA believes that the transparency of the methodology of benchmarks where it is appropriate as Recital 24 states. It should be as broad as possible without compromising the intellectual property of the benchmark owner and ensuring that such transparency does not expose the </w:t>
      </w:r>
      <w:r>
        <w:rPr>
          <w:rFonts w:ascii="Franklin Gothic Book" w:hAnsi="Franklin Gothic Book"/>
          <w:bCs/>
          <w:sz w:val="21"/>
          <w:szCs w:val="21"/>
        </w:rPr>
        <w:t xml:space="preserve">benchmark </w:t>
      </w:r>
      <w:r w:rsidRPr="00545963">
        <w:rPr>
          <w:rFonts w:ascii="Franklin Gothic Book" w:hAnsi="Franklin Gothic Book"/>
          <w:bCs/>
          <w:sz w:val="21"/>
          <w:szCs w:val="21"/>
        </w:rPr>
        <w:t>to the risk of front</w:t>
      </w:r>
      <w:r>
        <w:rPr>
          <w:rFonts w:ascii="Franklin Gothic Book" w:hAnsi="Franklin Gothic Book"/>
          <w:bCs/>
          <w:sz w:val="21"/>
          <w:szCs w:val="21"/>
        </w:rPr>
        <w:t>-running. This wa</w:t>
      </w:r>
      <w:r w:rsidRPr="00545963">
        <w:rPr>
          <w:rFonts w:ascii="Franklin Gothic Book" w:hAnsi="Franklin Gothic Book"/>
          <w:bCs/>
          <w:sz w:val="21"/>
          <w:szCs w:val="21"/>
        </w:rPr>
        <w:t xml:space="preserve">s acknowledged during the ESMA-EBA </w:t>
      </w:r>
      <w:r>
        <w:rPr>
          <w:rFonts w:ascii="Franklin Gothic Book" w:hAnsi="Franklin Gothic Book"/>
          <w:bCs/>
          <w:sz w:val="21"/>
          <w:szCs w:val="21"/>
        </w:rPr>
        <w:t>principles consultation process:</w:t>
      </w:r>
      <w:r w:rsidRPr="00545963">
        <w:rPr>
          <w:rFonts w:ascii="Franklin Gothic Book" w:hAnsi="Franklin Gothic Book"/>
          <w:bCs/>
          <w:sz w:val="21"/>
          <w:szCs w:val="21"/>
        </w:rPr>
        <w:t xml:space="preserve"> </w:t>
      </w:r>
      <w:r w:rsidRPr="00545963">
        <w:rPr>
          <w:rFonts w:ascii="Franklin Gothic Book" w:hAnsi="Franklin Gothic Book"/>
          <w:bCs/>
          <w:i/>
          <w:sz w:val="21"/>
          <w:szCs w:val="21"/>
        </w:rPr>
        <w:t>“</w:t>
      </w:r>
      <w:r w:rsidRPr="00545963">
        <w:rPr>
          <w:rFonts w:ascii="Franklin Gothic Book" w:hAnsi="Franklin Gothic Book"/>
          <w:i/>
          <w:sz w:val="21"/>
          <w:szCs w:val="21"/>
        </w:rPr>
        <w:t>ESMA-EBA was indeed of the opinion that transparency may be limited only in exceptional circumstances based on legal provisions safeguarding confidentiality and intellectual property rights. In addition, when a benchmark’s methodol</w:t>
      </w:r>
      <w:r w:rsidRPr="00545963">
        <w:rPr>
          <w:rFonts w:ascii="Franklin Gothic Book" w:hAnsi="Franklin Gothic Book"/>
          <w:i/>
          <w:sz w:val="21"/>
          <w:szCs w:val="21"/>
        </w:rPr>
        <w:t>o</w:t>
      </w:r>
      <w:r w:rsidRPr="00545963">
        <w:rPr>
          <w:rFonts w:ascii="Franklin Gothic Book" w:hAnsi="Franklin Gothic Book"/>
          <w:i/>
          <w:sz w:val="21"/>
          <w:szCs w:val="21"/>
        </w:rPr>
        <w:t>gy is fully disclosed, and input data is publicly available, there could be a risk of front-running”</w:t>
      </w:r>
      <w:r>
        <w:rPr>
          <w:rFonts w:ascii="Franklin Gothic Book" w:hAnsi="Franklin Gothic Book"/>
          <w:sz w:val="21"/>
          <w:szCs w:val="21"/>
          <w:vertAlign w:val="superscript"/>
        </w:rPr>
        <w:t xml:space="preserve"> </w:t>
      </w:r>
      <w:r>
        <w:rPr>
          <w:rFonts w:ascii="Franklin Gothic Book" w:hAnsi="Franklin Gothic Book"/>
          <w:sz w:val="21"/>
          <w:szCs w:val="21"/>
        </w:rPr>
        <w:t xml:space="preserve">(page 40, paragraph 118). </w:t>
      </w:r>
      <w:r w:rsidRPr="00545963">
        <w:rPr>
          <w:rFonts w:ascii="Franklin Gothic Book" w:hAnsi="Franklin Gothic Book"/>
          <w:sz w:val="21"/>
          <w:szCs w:val="21"/>
        </w:rPr>
        <w:t>IIA believes</w:t>
      </w:r>
      <w:r>
        <w:rPr>
          <w:rFonts w:ascii="Franklin Gothic Book" w:hAnsi="Franklin Gothic Book"/>
          <w:sz w:val="21"/>
          <w:szCs w:val="21"/>
        </w:rPr>
        <w:t xml:space="preserve"> that</w:t>
      </w:r>
      <w:r w:rsidRPr="00545963">
        <w:rPr>
          <w:rFonts w:ascii="Franklin Gothic Book" w:hAnsi="Franklin Gothic Book"/>
          <w:sz w:val="21"/>
          <w:szCs w:val="21"/>
        </w:rPr>
        <w:t xml:space="preserve"> </w:t>
      </w:r>
      <w:r w:rsidRPr="00545963">
        <w:rPr>
          <w:rFonts w:ascii="Franklin Gothic Book" w:hAnsi="Franklin Gothic Book"/>
          <w:i/>
          <w:sz w:val="21"/>
          <w:szCs w:val="21"/>
        </w:rPr>
        <w:t>“where applicable”</w:t>
      </w:r>
      <w:r w:rsidRPr="00545963">
        <w:rPr>
          <w:rFonts w:ascii="Franklin Gothic Book" w:hAnsi="Franklin Gothic Book"/>
          <w:sz w:val="21"/>
          <w:szCs w:val="21"/>
        </w:rPr>
        <w:t xml:space="preserve"> should apply to the third and fourth bullet points in Paragraph 122 of the D</w:t>
      </w:r>
      <w:r>
        <w:rPr>
          <w:rFonts w:ascii="Franklin Gothic Book" w:hAnsi="Franklin Gothic Book"/>
          <w:sz w:val="21"/>
          <w:szCs w:val="21"/>
        </w:rPr>
        <w:t xml:space="preserve">iscussion </w:t>
      </w:r>
      <w:r w:rsidRPr="00545963">
        <w:rPr>
          <w:rFonts w:ascii="Franklin Gothic Book" w:hAnsi="Franklin Gothic Book"/>
          <w:sz w:val="21"/>
          <w:szCs w:val="21"/>
        </w:rPr>
        <w:t>P</w:t>
      </w:r>
      <w:r>
        <w:rPr>
          <w:rFonts w:ascii="Franklin Gothic Book" w:hAnsi="Franklin Gothic Book"/>
          <w:sz w:val="21"/>
          <w:szCs w:val="21"/>
        </w:rPr>
        <w:t>aper</w:t>
      </w:r>
      <w:r w:rsidRPr="00545963">
        <w:rPr>
          <w:rFonts w:ascii="Franklin Gothic Book" w:hAnsi="Franklin Gothic Book"/>
          <w:sz w:val="21"/>
          <w:szCs w:val="21"/>
        </w:rPr>
        <w:t>.</w:t>
      </w:r>
    </w:p>
    <w:permEnd w:id="1628377327"/>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DC55EA" w:rsidRDefault="00DC55EA" w:rsidP="00DC55EA">
      <w:pPr>
        <w:rPr>
          <w:rFonts w:ascii="Franklin Gothic Book" w:hAnsi="Franklin Gothic Book"/>
          <w:sz w:val="21"/>
          <w:szCs w:val="21"/>
        </w:rPr>
      </w:pPr>
      <w:permStart w:id="1333745895" w:edGrp="everyone"/>
      <w:r w:rsidRPr="00545963">
        <w:rPr>
          <w:rFonts w:ascii="Franklin Gothic Book" w:hAnsi="Franklin Gothic Book"/>
          <w:sz w:val="21"/>
          <w:szCs w:val="21"/>
        </w:rPr>
        <w:t xml:space="preserve">The </w:t>
      </w:r>
      <w:r>
        <w:rPr>
          <w:rFonts w:ascii="Franklin Gothic Book" w:hAnsi="Franklin Gothic Book"/>
          <w:sz w:val="21"/>
          <w:szCs w:val="21"/>
        </w:rPr>
        <w:t xml:space="preserve">list of elements identified in paragraph </w:t>
      </w:r>
      <w:r w:rsidRPr="00545963">
        <w:rPr>
          <w:rFonts w:ascii="Franklin Gothic Book" w:hAnsi="Franklin Gothic Book"/>
          <w:sz w:val="21"/>
          <w:szCs w:val="21"/>
        </w:rPr>
        <w:t>122 towards ensuring transparency of benchmark methodol</w:t>
      </w:r>
      <w:r w:rsidRPr="00545963">
        <w:rPr>
          <w:rFonts w:ascii="Franklin Gothic Book" w:hAnsi="Franklin Gothic Book"/>
          <w:sz w:val="21"/>
          <w:szCs w:val="21"/>
        </w:rPr>
        <w:t>o</w:t>
      </w:r>
      <w:r w:rsidRPr="00545963">
        <w:rPr>
          <w:rFonts w:ascii="Franklin Gothic Book" w:hAnsi="Franklin Gothic Book"/>
          <w:sz w:val="21"/>
          <w:szCs w:val="21"/>
        </w:rPr>
        <w:t>gy is sufficient to achieve the policy objectives of ESMA.</w:t>
      </w:r>
    </w:p>
    <w:permEnd w:id="133374589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DC55EA" w:rsidRDefault="00DC55EA" w:rsidP="00DC55EA">
      <w:pPr>
        <w:rPr>
          <w:rFonts w:ascii="Franklin Gothic Book" w:hAnsi="Franklin Gothic Book"/>
          <w:sz w:val="21"/>
          <w:szCs w:val="21"/>
        </w:rPr>
      </w:pPr>
      <w:permStart w:id="765950131" w:edGrp="everyone"/>
      <w:r w:rsidRPr="00545963">
        <w:rPr>
          <w:rFonts w:ascii="Franklin Gothic Book" w:hAnsi="Franklin Gothic Book"/>
          <w:sz w:val="21"/>
          <w:szCs w:val="21"/>
        </w:rPr>
        <w:lastRenderedPageBreak/>
        <w:t xml:space="preserve">IIA believes that the proposed elements should </w:t>
      </w:r>
      <w:r>
        <w:rPr>
          <w:rFonts w:ascii="Franklin Gothic Book" w:hAnsi="Franklin Gothic Book"/>
          <w:sz w:val="21"/>
          <w:szCs w:val="21"/>
        </w:rPr>
        <w:t xml:space="preserve">be made available (as long it does not violate intellectual property rights) to the public and are usually posted on the administrator’s web site.  </w:t>
      </w:r>
    </w:p>
    <w:permEnd w:id="765950131"/>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DC55EA" w:rsidRDefault="00DC55EA" w:rsidP="00DC55EA">
      <w:pPr>
        <w:rPr>
          <w:rFonts w:ascii="Franklin Gothic Book" w:hAnsi="Franklin Gothic Book"/>
          <w:sz w:val="21"/>
          <w:szCs w:val="21"/>
        </w:rPr>
      </w:pPr>
      <w:permStart w:id="1713965719" w:edGrp="everyone"/>
      <w:r w:rsidRPr="00545963">
        <w:rPr>
          <w:rFonts w:ascii="Franklin Gothic Book" w:hAnsi="Franklin Gothic Book"/>
          <w:bCs/>
          <w:sz w:val="21"/>
          <w:szCs w:val="21"/>
        </w:rPr>
        <w:t>IIA agrees that info</w:t>
      </w:r>
      <w:r>
        <w:rPr>
          <w:rFonts w:ascii="Franklin Gothic Book" w:hAnsi="Franklin Gothic Book"/>
          <w:bCs/>
          <w:sz w:val="21"/>
          <w:szCs w:val="21"/>
        </w:rPr>
        <w:t>rmation proposed by ESMA in paragraph</w:t>
      </w:r>
      <w:r w:rsidRPr="00545963">
        <w:rPr>
          <w:rFonts w:ascii="Franklin Gothic Book" w:hAnsi="Franklin Gothic Book"/>
          <w:bCs/>
          <w:sz w:val="21"/>
          <w:szCs w:val="21"/>
        </w:rPr>
        <w:t xml:space="preserve"> 127 should </w:t>
      </w:r>
      <w:r>
        <w:rPr>
          <w:rFonts w:ascii="Franklin Gothic Book" w:hAnsi="Franklin Gothic Book"/>
          <w:bCs/>
          <w:sz w:val="21"/>
          <w:szCs w:val="21"/>
        </w:rPr>
        <w:t>be made available to the public as long as it does not violate the administrator’s intellectual property rights.</w:t>
      </w:r>
    </w:p>
    <w:permEnd w:id="1713965719"/>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DC55EA" w:rsidRDefault="00DC55EA" w:rsidP="00DC55EA">
      <w:pPr>
        <w:rPr>
          <w:rFonts w:ascii="Franklin Gothic Book" w:hAnsi="Franklin Gothic Book"/>
          <w:sz w:val="21"/>
          <w:szCs w:val="21"/>
        </w:rPr>
      </w:pPr>
      <w:permStart w:id="194082090" w:edGrp="everyone"/>
      <w:r w:rsidRPr="00545963">
        <w:rPr>
          <w:rFonts w:ascii="Franklin Gothic Book" w:hAnsi="Franklin Gothic Book"/>
          <w:bCs/>
          <w:sz w:val="21"/>
          <w:szCs w:val="21"/>
        </w:rPr>
        <w:t>Yes, IIA agrees with the above proposals to specify the information to be provided to benchmark users and, more in general, stakeholders regarding material changes in benchmark methodology.</w:t>
      </w:r>
    </w:p>
    <w:permEnd w:id="194082090"/>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DC55EA" w:rsidRDefault="00DC55EA" w:rsidP="00DC55EA">
      <w:pPr>
        <w:rPr>
          <w:rFonts w:ascii="Franklin Gothic Book" w:hAnsi="Franklin Gothic Book"/>
          <w:sz w:val="21"/>
          <w:szCs w:val="21"/>
        </w:rPr>
      </w:pPr>
      <w:permStart w:id="715611616" w:edGrp="everyone"/>
      <w:r w:rsidRPr="00545963">
        <w:rPr>
          <w:rFonts w:ascii="Franklin Gothic Book" w:hAnsi="Franklin Gothic Book"/>
          <w:bCs/>
          <w:sz w:val="21"/>
          <w:szCs w:val="21"/>
        </w:rPr>
        <w:t>Yes, IIA believes that replies only to critical benchmarks received in response to the consultation are made available to the public, when allowed by respondents.  IIA feels going beyond the critical benchmarks would be disproportionate.</w:t>
      </w:r>
    </w:p>
    <w:permEnd w:id="715611616"/>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DC55EA" w:rsidRDefault="00DC55EA" w:rsidP="00DC55EA">
      <w:pPr>
        <w:rPr>
          <w:rFonts w:ascii="Franklin Gothic Book" w:hAnsi="Franklin Gothic Book"/>
          <w:sz w:val="21"/>
          <w:szCs w:val="21"/>
        </w:rPr>
      </w:pPr>
      <w:permStart w:id="667813802" w:edGrp="everyone"/>
      <w:r w:rsidRPr="00545963">
        <w:rPr>
          <w:rFonts w:ascii="Franklin Gothic Book" w:hAnsi="Franklin Gothic Book"/>
          <w:bCs/>
          <w:sz w:val="21"/>
          <w:szCs w:val="21"/>
        </w:rPr>
        <w:t>Yes, IIA agrees that the publication requirements for key elements of methodology apply regardless of benchmark type in line with Recital 24.  Transparency is essential to benchmarks, but methodologies should include only applicable to that benchmark.  In Paragraph 122 of the DP, “where applicable” should also apply to the third and fourth bullet points.</w:t>
      </w:r>
    </w:p>
    <w:permEnd w:id="667813802"/>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DC55EA" w:rsidRDefault="00DC55EA" w:rsidP="00DC55EA">
      <w:pPr>
        <w:rPr>
          <w:rFonts w:ascii="Franklin Gothic Book" w:hAnsi="Franklin Gothic Book"/>
          <w:sz w:val="21"/>
          <w:szCs w:val="21"/>
        </w:rPr>
      </w:pPr>
      <w:permStart w:id="1396847617" w:edGrp="everyone"/>
      <w:r w:rsidRPr="00545963">
        <w:rPr>
          <w:rFonts w:ascii="Franklin Gothic Book" w:hAnsi="Franklin Gothic Book"/>
          <w:bCs/>
          <w:sz w:val="21"/>
          <w:szCs w:val="21"/>
        </w:rPr>
        <w:t>Yes, IIA agrees that the publication requirements for the internal review of methodology apply regardless of benchmark type.</w:t>
      </w:r>
    </w:p>
    <w:permEnd w:id="1396847617"/>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DC55EA" w:rsidRDefault="00DC55EA" w:rsidP="00DC55EA">
      <w:pPr>
        <w:rPr>
          <w:rFonts w:ascii="Franklin Gothic Book" w:hAnsi="Franklin Gothic Book"/>
          <w:sz w:val="21"/>
          <w:szCs w:val="21"/>
        </w:rPr>
      </w:pPr>
      <w:permStart w:id="1558601109" w:edGrp="everyone"/>
      <w:r w:rsidRPr="00545963">
        <w:rPr>
          <w:rFonts w:ascii="Franklin Gothic Book" w:hAnsi="Franklin Gothic Book"/>
          <w:bCs/>
          <w:sz w:val="21"/>
          <w:szCs w:val="21"/>
        </w:rPr>
        <w:t>Yes, IIA agrees that, in the requirements regarding the procedure for material change, the proportionality built into the Level 1 text covers all needs for proportional application.</w:t>
      </w:r>
    </w:p>
    <w:permEnd w:id="1558601109"/>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DC55EA" w:rsidRDefault="00DC55EA" w:rsidP="00DC55EA">
      <w:pPr>
        <w:rPr>
          <w:rFonts w:ascii="Franklin Gothic Book" w:hAnsi="Franklin Gothic Book"/>
          <w:sz w:val="21"/>
          <w:szCs w:val="21"/>
        </w:rPr>
      </w:pPr>
      <w:permStart w:id="1432299777" w:edGrp="everyone"/>
      <w:r>
        <w:t xml:space="preserve">The main driver of the content of the code of conduct is based on type of input data used (e.g., the asset class) not the number of assets tracking the index.  The input data for the different asset classes have different data scrubbing </w:t>
      </w:r>
      <w:proofErr w:type="gramStart"/>
      <w:r>
        <w:t>processes,</w:t>
      </w:r>
      <w:proofErr w:type="gramEnd"/>
      <w:r>
        <w:t xml:space="preserve"> different publication schedules different types of contributors which will impact the code of conduct.  Common processes and procedures may apply across the benchmarks within the asset class.</w:t>
      </w:r>
    </w:p>
    <w:p w:rsidR="00DC55EA" w:rsidRDefault="00DC55EA" w:rsidP="00DC55EA">
      <w:r>
        <w:t xml:space="preserve">Codes of conduct should not be required for those benchmarks based on regulated data, regardless of what other data points are used in the index calculation and this point should be made clear to avoid confusion. </w:t>
      </w:r>
    </w:p>
    <w:p w:rsidR="00DC55EA" w:rsidRPr="001C61F0" w:rsidRDefault="00DC55EA" w:rsidP="00DC55EA">
      <w:r>
        <w:t>Codes of conduct for benchmarks based on submissions by contributors should focus on data quality and should not require the administrator to dictate or change the contributor’s corporate policies. The admini</w:t>
      </w:r>
      <w:r>
        <w:t>s</w:t>
      </w:r>
      <w:r>
        <w:t>trator cannot control this and has no authority legally or commercially to require these changes, especially if the contributors are not supervised entities, are voluntary contributors, and/or are outside the EU.</w:t>
      </w:r>
    </w:p>
    <w:permEnd w:id="1432299777"/>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DC55EA" w:rsidRDefault="00DC55EA" w:rsidP="00DC55EA">
      <w:permStart w:id="243037158" w:edGrp="everyone"/>
      <w:r>
        <w:t xml:space="preserve">No. Benchmarks measuring performance in the same asset </w:t>
      </w:r>
      <w:proofErr w:type="gramStart"/>
      <w:r>
        <w:t>class,</w:t>
      </w:r>
      <w:proofErr w:type="gramEnd"/>
      <w:r>
        <w:t xml:space="preserve"> can use the same types of data across different regions, sectors, etc. For example, you can have country real estate benchmarks or a regional real estate benchmark using the same data points and the quality checks.  Also different methodologies can use the same data points. What drives different codes of conduct is the different asset class mea</w:t>
      </w:r>
      <w:r>
        <w:t>s</w:t>
      </w:r>
      <w:r>
        <w:t>ured by the benchmark and the different input data, e.g., equities, fixed income, etc.</w:t>
      </w:r>
    </w:p>
    <w:permEnd w:id="243037158"/>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DC55EA" w:rsidRDefault="00DC55EA" w:rsidP="00DC55EA">
      <w:permStart w:id="2011974273" w:edGrp="everyone"/>
      <w:r>
        <w:t>No.</w:t>
      </w:r>
      <w:r w:rsidRPr="00136375">
        <w:t xml:space="preserve"> </w:t>
      </w:r>
      <w:r>
        <w:t>Codes of conduct for benchmarks based on submissions by contributors should focus on data quality and should not require the administrator to dictate or change the contributor’s corporate policies. The administrator cannot control this and has no authority legally or commercially to require these changes, especially if the contributors are not supervised entities, are voluntary contributors, and/or are outside the EU.</w:t>
      </w:r>
    </w:p>
    <w:permEnd w:id="2011974273"/>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lastRenderedPageBreak/>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DC55EA" w:rsidRDefault="00DC55EA" w:rsidP="00DC55EA">
      <w:permStart w:id="1317956750" w:edGrp="everyone"/>
      <w:r>
        <w:t>Yes, if relevant to that specific benchmark.</w:t>
      </w:r>
    </w:p>
    <w:permEnd w:id="1317956750"/>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DC55EA" w:rsidRDefault="00DC55EA" w:rsidP="00DC55EA">
      <w:permStart w:id="644372476" w:edGrp="everyone"/>
      <w:r>
        <w:t>No.</w:t>
      </w:r>
      <w:r w:rsidRPr="00136375">
        <w:t xml:space="preserve"> </w:t>
      </w:r>
      <w:r>
        <w:t>For input data that is not created solely for the benchmark and instead exists outside of and ind</w:t>
      </w:r>
      <w:r>
        <w:t>e</w:t>
      </w:r>
      <w:r>
        <w:t>pendent of benchmark calculation, job description, role, experience, competence, experience of the ind</w:t>
      </w:r>
      <w:r>
        <w:t>i</w:t>
      </w:r>
      <w:r>
        <w:t xml:space="preserve">vidual submitters is irrelevant, specifically because they are not determining the data. They are merely collecting readily available data and passing it onwards. Further, the administrator is not in a position to demand who can/cannot submit that data, in particular in the context of voluntary submissions and is in absolutely no position to dictate the contributor’s compensation structure, employee performance reviews etc. </w:t>
      </w:r>
    </w:p>
    <w:permEnd w:id="644372476"/>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DC55EA" w:rsidRDefault="00DC55EA" w:rsidP="00DC55EA">
      <w:permStart w:id="486480641" w:edGrp="everyone"/>
      <w:r>
        <w:t>Contributors should disclose any conflicts of interests so they can be evaluated.  If the administrator and contributor are separate, independent companies, the administrator has no legal authority or commercial ability to require the contributors to do so.</w:t>
      </w:r>
    </w:p>
    <w:permEnd w:id="486480641"/>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DC55EA" w:rsidRDefault="00DC55EA" w:rsidP="00DC55EA">
      <w:permStart w:id="1989683842" w:edGrp="everyone"/>
      <w:r>
        <w:t>Fundamentally, where contributors and administrators are separate, independent companies, the admini</w:t>
      </w:r>
      <w:r>
        <w:t>s</w:t>
      </w:r>
      <w:r>
        <w:t>trator has no legal authority or commercial ability require the contributors to change their corporate pol</w:t>
      </w:r>
      <w:r>
        <w:t>i</w:t>
      </w:r>
      <w:r>
        <w:t xml:space="preserve">cies, compensation structures, IT policies, etc. This is especially true where contributions are voluntary and where the contributors are not supervised entities in the EU. Further, if there is no issue with data quality but the contributor fails to have one policy in place, is it really advisable to demand that the data not be used. Is it the goal of the BMR to shut down index in an opaque market because of contributors’ corporate policies vs data submissions?  </w:t>
      </w:r>
    </w:p>
    <w:permEnd w:id="1989683842"/>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DC55EA" w:rsidRDefault="00DC55EA" w:rsidP="00DC55EA">
      <w:permStart w:id="979919843" w:edGrp="everyone"/>
      <w:r>
        <w:t>This doesn’t make sense for all benchmarks. The methodology should outline what data points are used in and needed for the benchmark calculation.</w:t>
      </w:r>
    </w:p>
    <w:permEnd w:id="979919843"/>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lastRenderedPageBreak/>
        <w:t>Do you think that the listed procedures for submitting input data are comprehensive? If not, what is missing?</w:t>
      </w:r>
    </w:p>
    <w:p w:rsidR="009A2624" w:rsidRDefault="009A2624" w:rsidP="009A2624">
      <w:r>
        <w:t>&lt;ESMA_QUESTION_DP_BMR_51&gt;</w:t>
      </w:r>
    </w:p>
    <w:p w:rsidR="00DC55EA" w:rsidRDefault="00DC55EA" w:rsidP="00DC55EA">
      <w:permStart w:id="1379099729" w:edGrp="everyone"/>
      <w:r>
        <w:t>It does not take into</w:t>
      </w:r>
      <w:r w:rsidRPr="00F0683C">
        <w:t xml:space="preserve"> </w:t>
      </w:r>
      <w:r>
        <w:t xml:space="preserve">account the difference between input data that is created </w:t>
      </w:r>
      <w:r w:rsidRPr="00306AD0">
        <w:t>solely</w:t>
      </w:r>
      <w:r w:rsidRPr="00313B03">
        <w:t xml:space="preserve"> for the purpo</w:t>
      </w:r>
      <w:r>
        <w:t>se of calculating the benchmark and input data that is not created solely for the benchmark and instead exists outside of and independent of benchmark calculation.</w:t>
      </w:r>
    </w:p>
    <w:permEnd w:id="1379099729"/>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DC55EA" w:rsidRDefault="00DC55EA" w:rsidP="00DC55EA">
      <w:permStart w:id="1009136964" w:edGrp="everyone"/>
      <w:r>
        <w:t xml:space="preserve">No. They are excessive for input data that is not created solely for the benchmark and instead exists outside of and independent of benchmark calculation. </w:t>
      </w:r>
    </w:p>
    <w:p w:rsidR="00DC55EA" w:rsidRDefault="00DC55EA" w:rsidP="00DC55EA">
      <w:r>
        <w:t>Documents should not include duplicative information.  It has the potential to create confusion of multiple documents have to include the same information which may be expressed in a slightly different way. Multiple documents can get out of synch and change to the benchmark or a process can trigger changes in multiple documents which can create a huge amount of extra work depending on the number of doc</w:t>
      </w:r>
      <w:r>
        <w:t>u</w:t>
      </w:r>
      <w:r>
        <w:t xml:space="preserve">ments. </w:t>
      </w:r>
    </w:p>
    <w:permEnd w:id="1009136964"/>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DC55EA" w:rsidRDefault="00DC55EA" w:rsidP="00DC55EA">
      <w:permStart w:id="1406028706" w:edGrp="everyone"/>
      <w:r>
        <w:t xml:space="preserve">There is a very important difference between input data that is created </w:t>
      </w:r>
      <w:r w:rsidRPr="00306AD0">
        <w:t>solely</w:t>
      </w:r>
      <w:r w:rsidRPr="00313B03">
        <w:t xml:space="preserve"> for the purpo</w:t>
      </w:r>
      <w:r>
        <w:t>se of calculating the benchmark and input data that is not created solely for the benchmark and instead exists outside of and independent of benchmark calculation. While policies may be advisable for the data to be used in the calculation of the benchmark, they do not make sense for other types of data.</w:t>
      </w:r>
    </w:p>
    <w:permEnd w:id="1406028706"/>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DC55EA" w:rsidRDefault="00DC55EA" w:rsidP="00DC55EA">
      <w:permStart w:id="9982013" w:edGrp="everyone"/>
      <w:r>
        <w:t xml:space="preserve">There is a very important difference between input data that is created </w:t>
      </w:r>
      <w:r w:rsidRPr="00306AD0">
        <w:t>solely</w:t>
      </w:r>
      <w:r w:rsidRPr="00313B03">
        <w:t xml:space="preserve"> for the purpo</w:t>
      </w:r>
      <w:r>
        <w:t>se of calculating the benchmark and input data that is not created solely for the benchmark and instead exists outside of and independent of benchmark calculation.  While the list of checks may be advisable for data used in the calculation of the benchmark, they do not make sense for other types of data.  Validation is the primary activity which we agree consists of comparison against prior data points and looking for outliners.</w:t>
      </w:r>
    </w:p>
    <w:permEnd w:id="9982013"/>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DC55EA" w:rsidRDefault="00DC55EA" w:rsidP="00DC55EA">
      <w:permStart w:id="2071887633" w:edGrp="everyone"/>
      <w:r>
        <w:t>Record keeping should not expand what is required in the Level 1 text under Article 9. What is important is what data was submitted and used and what was not and why.</w:t>
      </w:r>
    </w:p>
    <w:permEnd w:id="2071887633"/>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lastRenderedPageBreak/>
        <w:t>&lt;ESMA_QUESTION_DP_BMR_56&gt;</w:t>
      </w:r>
    </w:p>
    <w:p w:rsidR="00DC55EA" w:rsidRDefault="00DC55EA" w:rsidP="00DC55EA">
      <w:permStart w:id="770199951" w:edGrp="everyone"/>
      <w:r>
        <w:t xml:space="preserve">Yes, to the extent that expert judgment is defined accordance with the IOSCO Principles for Financial Benchmarks.  There is a very important difference between input data that is created </w:t>
      </w:r>
      <w:r w:rsidRPr="00306AD0">
        <w:t>solely</w:t>
      </w:r>
      <w:r w:rsidRPr="00313B03">
        <w:t xml:space="preserve"> for the pu</w:t>
      </w:r>
      <w:r w:rsidRPr="00313B03">
        <w:t>r</w:t>
      </w:r>
      <w:r w:rsidRPr="00313B03">
        <w:t>po</w:t>
      </w:r>
      <w:r>
        <w:t xml:space="preserve">se of calculating the benchmark and input data that is not created solely for the benchmark and instead exists outside of and independent of benchmark calculation. </w:t>
      </w:r>
    </w:p>
    <w:permEnd w:id="770199951"/>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DC55EA" w:rsidRDefault="00DC55EA" w:rsidP="00DC55EA">
      <w:permStart w:id="1710317066" w:edGrp="everyone"/>
      <w:r>
        <w:t>No. Where contributors and administrators are separate, independent companies, the administrator has no legal authority or commercial ability require the contributors to change their corporate policies, co</w:t>
      </w:r>
      <w:r>
        <w:t>m</w:t>
      </w:r>
      <w:r>
        <w:t xml:space="preserve">pensation structures, IT policies, etc. This is especially true where contributions are voluntary and where the contributors are not supervised entities in the EU. </w:t>
      </w:r>
    </w:p>
    <w:p w:rsidR="00DC55EA" w:rsidRDefault="00DC55EA" w:rsidP="00DC55EA">
      <w:r>
        <w:t>Further, there is a very important difference between input data that is created</w:t>
      </w:r>
      <w:r w:rsidRPr="00306AD0">
        <w:t xml:space="preserve"> solely</w:t>
      </w:r>
      <w:r w:rsidRPr="00313B03">
        <w:t xml:space="preserve"> for the purpose of calculating the benchmark </w:t>
      </w:r>
      <w:r>
        <w:t xml:space="preserve">and input data that is not created solely for the benchmark and instead exists outside of and independent of benchmark calculation.  </w:t>
      </w:r>
    </w:p>
    <w:permEnd w:id="1710317066"/>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DC55EA" w:rsidRDefault="00DC55EA" w:rsidP="00DC55EA">
      <w:permStart w:id="1119621392" w:edGrp="everyone"/>
      <w:r>
        <w:t xml:space="preserve">This will not apply to all benchmarks. There is a very important difference between input data that is created </w:t>
      </w:r>
      <w:r w:rsidRPr="00306AD0">
        <w:t>solely</w:t>
      </w:r>
      <w:r w:rsidRPr="00313B03">
        <w:t xml:space="preserve"> for the purpo</w:t>
      </w:r>
      <w:r>
        <w:t>se of calculating the benchmark and input data that is not created solely for the benchmark and instead exists outside of and independent of benchmark calculation.</w:t>
      </w:r>
    </w:p>
    <w:permEnd w:id="1119621392"/>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DC55EA" w:rsidRDefault="00DC55EA" w:rsidP="00DC55EA">
      <w:pPr>
        <w:pStyle w:val="Questionstyle"/>
        <w:numPr>
          <w:ilvl w:val="0"/>
          <w:numId w:val="0"/>
        </w:numPr>
        <w:jc w:val="left"/>
        <w:rPr>
          <w:b w:val="0"/>
        </w:rPr>
      </w:pPr>
      <w:permStart w:id="1468159544" w:edGrp="everyone"/>
      <w:r w:rsidRPr="00A8097A">
        <w:rPr>
          <w:b w:val="0"/>
        </w:rPr>
        <w:t>There is a very important difference between input data that is created solely for the purpose of calcula</w:t>
      </w:r>
      <w:r w:rsidRPr="00A8097A">
        <w:rPr>
          <w:b w:val="0"/>
        </w:rPr>
        <w:t>t</w:t>
      </w:r>
      <w:r w:rsidRPr="00A8097A">
        <w:rPr>
          <w:b w:val="0"/>
        </w:rPr>
        <w:t>ing the be</w:t>
      </w:r>
      <w:r>
        <w:rPr>
          <w:b w:val="0"/>
        </w:rPr>
        <w:t>nchmark</w:t>
      </w:r>
      <w:r w:rsidRPr="00A8097A">
        <w:rPr>
          <w:b w:val="0"/>
        </w:rPr>
        <w:t xml:space="preserve"> and input data that is not created solely for the benchmark and instead exists outside of and independent of benchmark c</w:t>
      </w:r>
      <w:r>
        <w:rPr>
          <w:b w:val="0"/>
        </w:rPr>
        <w:t>alculation.  T</w:t>
      </w:r>
      <w:r w:rsidRPr="00A8097A">
        <w:rPr>
          <w:b w:val="0"/>
        </w:rPr>
        <w:t xml:space="preserve">he codes of conduct should be based on </w:t>
      </w:r>
      <w:r>
        <w:rPr>
          <w:b w:val="0"/>
        </w:rPr>
        <w:t xml:space="preserve">the </w:t>
      </w:r>
      <w:r w:rsidRPr="00A8097A">
        <w:rPr>
          <w:b w:val="0"/>
        </w:rPr>
        <w:t xml:space="preserve">quality </w:t>
      </w:r>
      <w:r>
        <w:rPr>
          <w:b w:val="0"/>
        </w:rPr>
        <w:t xml:space="preserve">of the data </w:t>
      </w:r>
      <w:r w:rsidRPr="00A8097A">
        <w:rPr>
          <w:b w:val="0"/>
        </w:rPr>
        <w:t>not on procedures and policies of the contributors that the administrator cannot force or e</w:t>
      </w:r>
      <w:r w:rsidRPr="00A8097A">
        <w:rPr>
          <w:b w:val="0"/>
        </w:rPr>
        <w:t>n</w:t>
      </w:r>
      <w:r w:rsidRPr="00A8097A">
        <w:rPr>
          <w:b w:val="0"/>
        </w:rPr>
        <w:t>force. Requiring anything more risks disrupting a benchmark where there are no data quality issues</w:t>
      </w:r>
      <w:r>
        <w:rPr>
          <w:b w:val="0"/>
        </w:rPr>
        <w:t>.</w:t>
      </w:r>
    </w:p>
    <w:permEnd w:id="1468159544"/>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DC55EA" w:rsidRDefault="00DC55EA" w:rsidP="00DC55EA">
      <w:pPr>
        <w:rPr>
          <w:rFonts w:ascii="Franklin Gothic Book" w:hAnsi="Franklin Gothic Book"/>
          <w:sz w:val="21"/>
          <w:szCs w:val="21"/>
        </w:rPr>
      </w:pPr>
      <w:permStart w:id="536107601" w:edGrp="everyone"/>
      <w:r w:rsidRPr="00007468">
        <w:rPr>
          <w:rFonts w:ascii="Franklin Gothic Book" w:hAnsi="Franklin Gothic Book"/>
          <w:sz w:val="21"/>
          <w:szCs w:val="21"/>
        </w:rPr>
        <w:t>IIA agrees with the list of requirements set out by ESMA for supervised contributors. However, full applic</w:t>
      </w:r>
      <w:r w:rsidRPr="00007468">
        <w:rPr>
          <w:rFonts w:ascii="Franklin Gothic Book" w:hAnsi="Franklin Gothic Book"/>
          <w:sz w:val="21"/>
          <w:szCs w:val="21"/>
        </w:rPr>
        <w:t>a</w:t>
      </w:r>
      <w:r w:rsidRPr="00007468">
        <w:rPr>
          <w:rFonts w:ascii="Franklin Gothic Book" w:hAnsi="Franklin Gothic Book"/>
          <w:sz w:val="21"/>
          <w:szCs w:val="21"/>
        </w:rPr>
        <w:t>tion of these principles for all types of benchmarks and all data would be too burdensome for the contrib</w:t>
      </w:r>
      <w:r w:rsidRPr="00007468">
        <w:rPr>
          <w:rFonts w:ascii="Franklin Gothic Book" w:hAnsi="Franklin Gothic Book"/>
          <w:sz w:val="21"/>
          <w:szCs w:val="21"/>
        </w:rPr>
        <w:t>u</w:t>
      </w:r>
      <w:r w:rsidRPr="00007468">
        <w:rPr>
          <w:rFonts w:ascii="Franklin Gothic Book" w:hAnsi="Franklin Gothic Book"/>
          <w:sz w:val="21"/>
          <w:szCs w:val="21"/>
        </w:rPr>
        <w:t>tors and is likely to lead to a reduction in submissions.  We encourage ESMA to consider proportionate application of these principles, aligning as closely with the code of conduct requirements for submitters.</w:t>
      </w:r>
      <w:r>
        <w:rPr>
          <w:rFonts w:ascii="Franklin Gothic Book" w:hAnsi="Franklin Gothic Book"/>
          <w:sz w:val="21"/>
          <w:szCs w:val="21"/>
        </w:rPr>
        <w:t xml:space="preserve">  IIA members would like clarification </w:t>
      </w:r>
    </w:p>
    <w:permEnd w:id="536107601"/>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lastRenderedPageBreak/>
        <w:t xml:space="preserve">Do you agree that information regarding breaches to the BMR or to Code of Conduct should also be made available to the Benchmark Administrator? </w:t>
      </w:r>
    </w:p>
    <w:p w:rsidR="009A2624" w:rsidRDefault="009A2624" w:rsidP="009A2624">
      <w:r>
        <w:t>&lt;ESMA_QUESTION_DP_BMR_61&gt;</w:t>
      </w:r>
    </w:p>
    <w:p w:rsidR="00DC55EA" w:rsidRDefault="00DC55EA" w:rsidP="00DC55EA">
      <w:pPr>
        <w:rPr>
          <w:rFonts w:ascii="Franklin Gothic Book" w:hAnsi="Franklin Gothic Book"/>
          <w:sz w:val="21"/>
          <w:szCs w:val="21"/>
        </w:rPr>
      </w:pPr>
      <w:permStart w:id="804324249" w:edGrp="everyone"/>
      <w:r w:rsidRPr="00F30522">
        <w:rPr>
          <w:rFonts w:ascii="Franklin Gothic Book" w:hAnsi="Franklin Gothic Book"/>
          <w:sz w:val="21"/>
          <w:szCs w:val="21"/>
        </w:rPr>
        <w:t>Breaches to BMR or Code of conduct should be made available to the Benchmark Administrator (BMA) since this will be essential for the BMA to discharge its duties effectively. Specifically, breaches to BMR or code of conduct that result in a material change in final submissions should be reported to the admini</w:t>
      </w:r>
      <w:r w:rsidRPr="00F30522">
        <w:rPr>
          <w:rFonts w:ascii="Franklin Gothic Book" w:hAnsi="Franklin Gothic Book"/>
          <w:sz w:val="21"/>
          <w:szCs w:val="21"/>
        </w:rPr>
        <w:t>s</w:t>
      </w:r>
      <w:r w:rsidRPr="00F30522">
        <w:rPr>
          <w:rFonts w:ascii="Franklin Gothic Book" w:hAnsi="Franklin Gothic Book"/>
          <w:sz w:val="21"/>
          <w:szCs w:val="21"/>
        </w:rPr>
        <w:t>trator as soon as the contributor becomes aware of them. This is because spurious input data could have implications on the quality of input data received by the BMA which would in turn have material impact on the final index or benchmark produced. However, if breaches do not result in material change in submi</w:t>
      </w:r>
      <w:r w:rsidRPr="00F30522">
        <w:rPr>
          <w:rFonts w:ascii="Franklin Gothic Book" w:hAnsi="Franklin Gothic Book"/>
          <w:sz w:val="21"/>
          <w:szCs w:val="21"/>
        </w:rPr>
        <w:t>s</w:t>
      </w:r>
      <w:r w:rsidRPr="00F30522">
        <w:rPr>
          <w:rFonts w:ascii="Franklin Gothic Book" w:hAnsi="Franklin Gothic Book"/>
          <w:sz w:val="21"/>
          <w:szCs w:val="21"/>
        </w:rPr>
        <w:t>sions the contributors can inform the administrator after the benchmark is published.</w:t>
      </w:r>
    </w:p>
    <w:permEnd w:id="804324249"/>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DC55EA" w:rsidRDefault="00DC55EA" w:rsidP="00DC55EA">
      <w:pPr>
        <w:rPr>
          <w:rFonts w:ascii="Franklin Gothic Book" w:hAnsi="Franklin Gothic Book"/>
          <w:sz w:val="21"/>
          <w:szCs w:val="21"/>
        </w:rPr>
      </w:pPr>
      <w:permStart w:id="682384871" w:edGrp="everyone"/>
      <w:r w:rsidRPr="00F30522">
        <w:rPr>
          <w:rFonts w:ascii="Franklin Gothic Book" w:hAnsi="Franklin Gothic Book"/>
          <w:bCs/>
          <w:sz w:val="21"/>
          <w:szCs w:val="21"/>
        </w:rPr>
        <w:t>IIA believes that relevant information from the external audit covering benchmark activities should be made available to the BMA upon request.</w:t>
      </w:r>
    </w:p>
    <w:permEnd w:id="682384871"/>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DC55EA" w:rsidRDefault="00DC55EA" w:rsidP="00DC55EA">
      <w:pPr>
        <w:rPr>
          <w:rFonts w:ascii="Franklin Gothic Book" w:hAnsi="Franklin Gothic Book"/>
          <w:sz w:val="21"/>
          <w:szCs w:val="21"/>
        </w:rPr>
      </w:pPr>
      <w:permStart w:id="144800542" w:edGrp="everyone"/>
      <w:r w:rsidRPr="00F30522">
        <w:rPr>
          <w:rFonts w:ascii="Franklin Gothic Book" w:hAnsi="Franklin Gothic Book"/>
          <w:bCs/>
          <w:sz w:val="21"/>
          <w:szCs w:val="21"/>
        </w:rPr>
        <w:t>IIA agrees with the proposed criteria for the specific elements of systems and controls for supervised contributors. We believe this will ensure good quality of input data is submitted to BMAs. These controls would also help address the conflict of interest issues that arise from contributions made from the front office.</w:t>
      </w:r>
    </w:p>
    <w:permEnd w:id="144800542"/>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DC55EA" w:rsidRDefault="00DC55EA" w:rsidP="00DC55EA">
      <w:pPr>
        <w:rPr>
          <w:rFonts w:ascii="Franklin Gothic Book" w:hAnsi="Franklin Gothic Book"/>
          <w:bCs/>
          <w:sz w:val="21"/>
          <w:szCs w:val="21"/>
        </w:rPr>
      </w:pPr>
      <w:permStart w:id="1783053608" w:edGrp="everyone"/>
      <w:r w:rsidRPr="00F30522">
        <w:rPr>
          <w:rFonts w:ascii="Franklin Gothic Book" w:hAnsi="Franklin Gothic Book"/>
          <w:bCs/>
          <w:sz w:val="21"/>
          <w:szCs w:val="21"/>
        </w:rPr>
        <w:t>Administrators should have flexibility to establish mechanisms to incentivise submitters in relation to the desired depth breath and quality of their submissions. IIA agrees that the remuneratio</w:t>
      </w:r>
      <w:r>
        <w:rPr>
          <w:rFonts w:ascii="Franklin Gothic Book" w:hAnsi="Franklin Gothic Book"/>
          <w:bCs/>
          <w:sz w:val="21"/>
          <w:szCs w:val="21"/>
        </w:rPr>
        <w:t>n structure should not incentivise</w:t>
      </w:r>
      <w:r w:rsidRPr="00F30522">
        <w:rPr>
          <w:rFonts w:ascii="Franklin Gothic Book" w:hAnsi="Franklin Gothic Book"/>
          <w:bCs/>
          <w:sz w:val="21"/>
          <w:szCs w:val="21"/>
        </w:rPr>
        <w:t xml:space="preserve"> submitters to manipulate the data or maximise contributions without improving quality. However the meaning of terms such as </w:t>
      </w:r>
      <w:r w:rsidRPr="00F30522">
        <w:rPr>
          <w:rFonts w:ascii="Franklin Gothic Book" w:hAnsi="Franklin Gothic Book"/>
          <w:bCs/>
          <w:i/>
          <w:sz w:val="21"/>
          <w:szCs w:val="21"/>
        </w:rPr>
        <w:t>“level of contribution”</w:t>
      </w:r>
      <w:r w:rsidRPr="00F30522">
        <w:rPr>
          <w:rFonts w:ascii="Franklin Gothic Book" w:hAnsi="Franklin Gothic Book"/>
          <w:bCs/>
          <w:sz w:val="21"/>
          <w:szCs w:val="21"/>
        </w:rPr>
        <w:t xml:space="preserve"> and </w:t>
      </w:r>
      <w:r w:rsidRPr="00F30522">
        <w:rPr>
          <w:rFonts w:ascii="Franklin Gothic Book" w:hAnsi="Franklin Gothic Book"/>
          <w:bCs/>
          <w:i/>
          <w:sz w:val="21"/>
          <w:szCs w:val="21"/>
        </w:rPr>
        <w:t>“cost coverage”</w:t>
      </w:r>
      <w:r w:rsidRPr="00F30522">
        <w:rPr>
          <w:rFonts w:ascii="Franklin Gothic Book" w:hAnsi="Franklin Gothic Book"/>
          <w:bCs/>
          <w:sz w:val="21"/>
          <w:szCs w:val="21"/>
        </w:rPr>
        <w:t xml:space="preserve"> in the D</w:t>
      </w:r>
      <w:r>
        <w:rPr>
          <w:rFonts w:ascii="Franklin Gothic Book" w:hAnsi="Franklin Gothic Book"/>
          <w:bCs/>
          <w:sz w:val="21"/>
          <w:szCs w:val="21"/>
        </w:rPr>
        <w:t xml:space="preserve">iscussion </w:t>
      </w:r>
      <w:r w:rsidRPr="00F30522">
        <w:rPr>
          <w:rFonts w:ascii="Franklin Gothic Book" w:hAnsi="Franklin Gothic Book"/>
          <w:bCs/>
          <w:sz w:val="21"/>
          <w:szCs w:val="21"/>
        </w:rPr>
        <w:t>P</w:t>
      </w:r>
      <w:r>
        <w:rPr>
          <w:rFonts w:ascii="Franklin Gothic Book" w:hAnsi="Franklin Gothic Book"/>
          <w:bCs/>
          <w:sz w:val="21"/>
          <w:szCs w:val="21"/>
        </w:rPr>
        <w:t>aper</w:t>
      </w:r>
      <w:r w:rsidRPr="00F30522">
        <w:rPr>
          <w:rFonts w:ascii="Franklin Gothic Book" w:hAnsi="Franklin Gothic Book"/>
          <w:bCs/>
          <w:sz w:val="21"/>
          <w:szCs w:val="21"/>
        </w:rPr>
        <w:t xml:space="preserve"> </w:t>
      </w:r>
      <w:r>
        <w:rPr>
          <w:rFonts w:ascii="Franklin Gothic Book" w:hAnsi="Franklin Gothic Book"/>
          <w:bCs/>
          <w:sz w:val="21"/>
          <w:szCs w:val="21"/>
        </w:rPr>
        <w:t xml:space="preserve">(paragraph 181) </w:t>
      </w:r>
      <w:r w:rsidRPr="00F30522">
        <w:rPr>
          <w:rFonts w:ascii="Franklin Gothic Book" w:hAnsi="Franklin Gothic Book"/>
          <w:bCs/>
          <w:sz w:val="21"/>
          <w:szCs w:val="21"/>
        </w:rPr>
        <w:t>is unclear.</w:t>
      </w:r>
    </w:p>
    <w:permEnd w:id="1783053608"/>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DC55EA" w:rsidRDefault="00DC55EA" w:rsidP="00DC55EA">
      <w:pPr>
        <w:rPr>
          <w:rFonts w:ascii="Franklin Gothic Book" w:hAnsi="Franklin Gothic Book"/>
          <w:sz w:val="21"/>
          <w:szCs w:val="21"/>
        </w:rPr>
      </w:pPr>
      <w:permStart w:id="1058563887" w:edGrp="everyone"/>
      <w:r w:rsidRPr="00F30522">
        <w:rPr>
          <w:rFonts w:ascii="Franklin Gothic Book" w:hAnsi="Franklin Gothic Book"/>
          <w:bCs/>
          <w:sz w:val="21"/>
          <w:szCs w:val="21"/>
        </w:rPr>
        <w:t xml:space="preserve">A number of submissions are made automatically by the contributing firm and ESMA recognizes this as much when it states that </w:t>
      </w:r>
      <w:r w:rsidRPr="00F30522">
        <w:rPr>
          <w:rFonts w:ascii="Franklin Gothic Book" w:hAnsi="Franklin Gothic Book"/>
          <w:bCs/>
          <w:i/>
          <w:sz w:val="21"/>
          <w:szCs w:val="21"/>
        </w:rPr>
        <w:t>“it may not always be effective or proportionate to have a sign-off of the contr</w:t>
      </w:r>
      <w:r w:rsidRPr="00F30522">
        <w:rPr>
          <w:rFonts w:ascii="Franklin Gothic Book" w:hAnsi="Franklin Gothic Book"/>
          <w:bCs/>
          <w:i/>
          <w:sz w:val="21"/>
          <w:szCs w:val="21"/>
        </w:rPr>
        <w:t>i</w:t>
      </w:r>
      <w:r w:rsidRPr="00F30522">
        <w:rPr>
          <w:rFonts w:ascii="Franklin Gothic Book" w:hAnsi="Franklin Gothic Book"/>
          <w:bCs/>
          <w:i/>
          <w:sz w:val="21"/>
          <w:szCs w:val="21"/>
        </w:rPr>
        <w:t>bution before the data is provided to the administrator”</w:t>
      </w:r>
      <w:r>
        <w:rPr>
          <w:rFonts w:ascii="Franklin Gothic Book" w:hAnsi="Franklin Gothic Book"/>
          <w:bCs/>
          <w:sz w:val="21"/>
          <w:szCs w:val="21"/>
          <w:vertAlign w:val="superscript"/>
        </w:rPr>
        <w:t xml:space="preserve"> </w:t>
      </w:r>
      <w:r>
        <w:rPr>
          <w:rFonts w:ascii="Franklin Gothic Book" w:hAnsi="Franklin Gothic Book"/>
          <w:bCs/>
          <w:sz w:val="21"/>
          <w:szCs w:val="21"/>
        </w:rPr>
        <w:t>in paragraph 182</w:t>
      </w:r>
      <w:r w:rsidRPr="00F30522">
        <w:rPr>
          <w:rFonts w:ascii="Franklin Gothic Book" w:hAnsi="Franklin Gothic Book"/>
          <w:bCs/>
          <w:sz w:val="21"/>
          <w:szCs w:val="21"/>
        </w:rPr>
        <w:t>. In these cases, we believe that the rules should allow for a post publication sign off.</w:t>
      </w:r>
    </w:p>
    <w:permEnd w:id="1058563887"/>
    <w:p w:rsidR="009A2624" w:rsidRDefault="009A2624" w:rsidP="009A2624">
      <w:r>
        <w:lastRenderedPageBreak/>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DC55EA" w:rsidRDefault="00DC55EA" w:rsidP="00DC55EA">
      <w:pPr>
        <w:rPr>
          <w:rFonts w:ascii="Franklin Gothic Book" w:hAnsi="Franklin Gothic Book"/>
          <w:sz w:val="21"/>
          <w:szCs w:val="21"/>
        </w:rPr>
      </w:pPr>
      <w:permStart w:id="2047162704" w:edGrp="everyone"/>
      <w:r>
        <w:rPr>
          <w:rFonts w:ascii="Franklin Gothic Book" w:hAnsi="Franklin Gothic Book"/>
          <w:bCs/>
          <w:sz w:val="21"/>
          <w:szCs w:val="21"/>
        </w:rPr>
        <w:t xml:space="preserve">In paragraph 182, </w:t>
      </w:r>
      <w:r w:rsidRPr="00F30522">
        <w:rPr>
          <w:rFonts w:ascii="Franklin Gothic Book" w:hAnsi="Franklin Gothic Book"/>
          <w:bCs/>
          <w:sz w:val="21"/>
          <w:szCs w:val="21"/>
        </w:rPr>
        <w:t xml:space="preserve">ESMA has rightfully recognized that </w:t>
      </w:r>
      <w:r w:rsidRPr="00F30522">
        <w:rPr>
          <w:rFonts w:ascii="Franklin Gothic Book" w:hAnsi="Franklin Gothic Book"/>
          <w:bCs/>
          <w:i/>
          <w:sz w:val="21"/>
          <w:szCs w:val="21"/>
        </w:rPr>
        <w:t>“it may not always be effective</w:t>
      </w:r>
      <w:r w:rsidRPr="00F30522">
        <w:rPr>
          <w:rFonts w:ascii="Franklin Gothic Book" w:hAnsi="Franklin Gothic Book"/>
          <w:b/>
          <w:bCs/>
          <w:i/>
          <w:sz w:val="21"/>
          <w:szCs w:val="21"/>
        </w:rPr>
        <w:t xml:space="preserve"> </w:t>
      </w:r>
      <w:r w:rsidRPr="00F30522">
        <w:rPr>
          <w:rFonts w:ascii="Franklin Gothic Book" w:hAnsi="Franklin Gothic Book"/>
          <w:bCs/>
          <w:i/>
          <w:sz w:val="21"/>
          <w:szCs w:val="21"/>
        </w:rPr>
        <w:t>or proportionate to have a sign-off of the contribution before the data is provided to the administrator”</w:t>
      </w:r>
      <w:r w:rsidRPr="00F30522">
        <w:rPr>
          <w:rFonts w:ascii="Franklin Gothic Book" w:hAnsi="Franklin Gothic Book"/>
          <w:bCs/>
          <w:sz w:val="21"/>
          <w:szCs w:val="21"/>
        </w:rPr>
        <w:t>. The delay in sign-o</w:t>
      </w:r>
      <w:r>
        <w:rPr>
          <w:rFonts w:ascii="Franklin Gothic Book" w:hAnsi="Franklin Gothic Book"/>
          <w:bCs/>
          <w:sz w:val="21"/>
          <w:szCs w:val="21"/>
        </w:rPr>
        <w:t>ff could be established by the benchmark administrator</w:t>
      </w:r>
      <w:r w:rsidRPr="00F30522">
        <w:rPr>
          <w:rFonts w:ascii="Franklin Gothic Book" w:hAnsi="Franklin Gothic Book"/>
          <w:bCs/>
          <w:sz w:val="21"/>
          <w:szCs w:val="21"/>
        </w:rPr>
        <w:t xml:space="preserve"> depending on the type of input data and type of underlying</w:t>
      </w:r>
      <w:r w:rsidRPr="00F30522">
        <w:rPr>
          <w:rFonts w:ascii="Franklin Gothic Book" w:hAnsi="Franklin Gothic Book"/>
          <w:b/>
          <w:bCs/>
          <w:sz w:val="21"/>
          <w:szCs w:val="21"/>
        </w:rPr>
        <w:t xml:space="preserve">. </w:t>
      </w:r>
      <w:r w:rsidRPr="00F30522">
        <w:rPr>
          <w:rFonts w:ascii="Franklin Gothic Book" w:hAnsi="Franklin Gothic Book"/>
          <w:bCs/>
          <w:sz w:val="21"/>
          <w:szCs w:val="21"/>
        </w:rPr>
        <w:t>For example, when contributing transaction data, an ex-ante sign-off of contributions may not be necessary and would only delay the process of benchmark publication</w:t>
      </w:r>
    </w:p>
    <w:permEnd w:id="2047162704"/>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DC55EA" w:rsidRDefault="00DC55EA" w:rsidP="00DC55EA">
      <w:pPr>
        <w:rPr>
          <w:rFonts w:ascii="Franklin Gothic Book" w:hAnsi="Franklin Gothic Book"/>
          <w:sz w:val="21"/>
          <w:szCs w:val="21"/>
        </w:rPr>
      </w:pPr>
      <w:permStart w:id="1385849153" w:edGrp="everyone"/>
      <w:r w:rsidRPr="00F30522">
        <w:rPr>
          <w:rFonts w:ascii="Franklin Gothic Book" w:hAnsi="Franklin Gothic Book"/>
          <w:bCs/>
          <w:sz w:val="21"/>
          <w:szCs w:val="21"/>
        </w:rPr>
        <w:t>In case of a contribution made through an automated process the contribution process should be signed off by a person or a body who can provide effective challenge periodically (every month, every quarter) or in the event a contribution was in breach of the code of conduct.</w:t>
      </w:r>
    </w:p>
    <w:permEnd w:id="1385849153"/>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DC55EA" w:rsidRDefault="00DC55EA" w:rsidP="00DC55EA">
      <w:pPr>
        <w:rPr>
          <w:rFonts w:ascii="Franklin Gothic Book" w:hAnsi="Franklin Gothic Book"/>
          <w:sz w:val="21"/>
          <w:szCs w:val="21"/>
        </w:rPr>
      </w:pPr>
      <w:permStart w:id="334242101" w:edGrp="everyone"/>
      <w:r w:rsidRPr="00F30522">
        <w:rPr>
          <w:rFonts w:ascii="Franklin Gothic Book" w:hAnsi="Franklin Gothic Book"/>
          <w:bCs/>
          <w:sz w:val="21"/>
          <w:szCs w:val="21"/>
        </w:rPr>
        <w:t xml:space="preserve">IIA agrees that the above policies are sufficient to ensure submission of high quality input data and to also allow </w:t>
      </w:r>
      <w:r w:rsidR="002F1306">
        <w:rPr>
          <w:rFonts w:ascii="Franklin Gothic Book" w:hAnsi="Franklin Gothic Book"/>
          <w:bCs/>
          <w:sz w:val="21"/>
          <w:szCs w:val="21"/>
        </w:rPr>
        <w:t>benchmark administrators</w:t>
      </w:r>
      <w:r w:rsidRPr="00F30522">
        <w:rPr>
          <w:rFonts w:ascii="Franklin Gothic Book" w:hAnsi="Franklin Gothic Book"/>
          <w:bCs/>
          <w:sz w:val="21"/>
          <w:szCs w:val="21"/>
        </w:rPr>
        <w:t xml:space="preserve"> to conduct ex-post verification of input data.</w:t>
      </w:r>
    </w:p>
    <w:permEnd w:id="334242101"/>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2F1306" w:rsidRDefault="002F1306" w:rsidP="002F1306">
      <w:pPr>
        <w:rPr>
          <w:rFonts w:ascii="Franklin Gothic Book" w:hAnsi="Franklin Gothic Book"/>
          <w:sz w:val="21"/>
          <w:szCs w:val="21"/>
        </w:rPr>
      </w:pPr>
      <w:permStart w:id="2134928834" w:edGrp="everyone"/>
      <w:r w:rsidRPr="00F30522">
        <w:rPr>
          <w:rFonts w:ascii="Franklin Gothic Book" w:hAnsi="Franklin Gothic Book"/>
          <w:bCs/>
          <w:sz w:val="21"/>
          <w:szCs w:val="21"/>
        </w:rPr>
        <w:t xml:space="preserve">IIA believes that a stricter rules approach is reasonable for </w:t>
      </w:r>
      <w:r w:rsidRPr="00F30522">
        <w:rPr>
          <w:rFonts w:ascii="Franklin Gothic Book" w:hAnsi="Franklin Gothic Book"/>
          <w:bCs/>
          <w:i/>
          <w:sz w:val="21"/>
          <w:szCs w:val="21"/>
        </w:rPr>
        <w:t>“those entities [...] of the regulation that may be authorised to deal in financial instruments”</w:t>
      </w:r>
      <w:r w:rsidRPr="00F30522">
        <w:rPr>
          <w:rFonts w:ascii="Franklin Gothic Book" w:hAnsi="Franklin Gothic Book"/>
          <w:bCs/>
          <w:sz w:val="21"/>
          <w:szCs w:val="21"/>
        </w:rPr>
        <w:t xml:space="preserve"> (Par</w:t>
      </w:r>
      <w:r>
        <w:rPr>
          <w:rFonts w:ascii="Franklin Gothic Book" w:hAnsi="Franklin Gothic Book"/>
          <w:bCs/>
          <w:sz w:val="21"/>
          <w:szCs w:val="21"/>
        </w:rPr>
        <w:t>agraph</w:t>
      </w:r>
      <w:r w:rsidRPr="00F30522">
        <w:rPr>
          <w:rFonts w:ascii="Franklin Gothic Book" w:hAnsi="Franklin Gothic Book"/>
          <w:bCs/>
          <w:sz w:val="21"/>
          <w:szCs w:val="21"/>
        </w:rPr>
        <w:t xml:space="preserve"> 188). There is an inherent conflict of interest for supervised contributors that do take positions in financial instrument</w:t>
      </w:r>
      <w:r>
        <w:rPr>
          <w:rFonts w:ascii="Franklin Gothic Book" w:hAnsi="Franklin Gothic Book"/>
          <w:bCs/>
          <w:sz w:val="21"/>
          <w:szCs w:val="21"/>
        </w:rPr>
        <w:t>s</w:t>
      </w:r>
      <w:r w:rsidRPr="00F30522">
        <w:rPr>
          <w:rFonts w:ascii="Franklin Gothic Book" w:hAnsi="Franklin Gothic Book"/>
          <w:bCs/>
          <w:sz w:val="21"/>
          <w:szCs w:val="21"/>
        </w:rPr>
        <w:t>, especially if the position refe</w:t>
      </w:r>
      <w:r w:rsidRPr="00F30522">
        <w:rPr>
          <w:rFonts w:ascii="Franklin Gothic Book" w:hAnsi="Franklin Gothic Book"/>
          <w:bCs/>
          <w:sz w:val="21"/>
          <w:szCs w:val="21"/>
        </w:rPr>
        <w:t>r</w:t>
      </w:r>
      <w:r w:rsidRPr="00F30522">
        <w:rPr>
          <w:rFonts w:ascii="Franklin Gothic Book" w:hAnsi="Franklin Gothic Book"/>
          <w:bCs/>
          <w:sz w:val="21"/>
          <w:szCs w:val="21"/>
        </w:rPr>
        <w:t>ences the same benchmark they are contributing to. However,</w:t>
      </w:r>
      <w:r>
        <w:rPr>
          <w:rFonts w:ascii="Franklin Gothic Book" w:hAnsi="Franklin Gothic Book"/>
          <w:bCs/>
          <w:sz w:val="21"/>
          <w:szCs w:val="21"/>
        </w:rPr>
        <w:t xml:space="preserve"> also in paragraph 188,  ESMA</w:t>
      </w:r>
      <w:r w:rsidRPr="00F30522">
        <w:rPr>
          <w:rFonts w:ascii="Franklin Gothic Book" w:hAnsi="Franklin Gothic Book"/>
          <w:bCs/>
          <w:sz w:val="21"/>
          <w:szCs w:val="21"/>
        </w:rPr>
        <w:t xml:space="preserve"> rightly esta</w:t>
      </w:r>
      <w:r w:rsidRPr="00F30522">
        <w:rPr>
          <w:rFonts w:ascii="Franklin Gothic Book" w:hAnsi="Franklin Gothic Book"/>
          <w:bCs/>
          <w:sz w:val="21"/>
          <w:szCs w:val="21"/>
        </w:rPr>
        <w:t>b</w:t>
      </w:r>
      <w:r w:rsidRPr="00F30522">
        <w:rPr>
          <w:rFonts w:ascii="Franklin Gothic Book" w:hAnsi="Franklin Gothic Book"/>
          <w:bCs/>
          <w:sz w:val="21"/>
          <w:szCs w:val="21"/>
        </w:rPr>
        <w:t xml:space="preserve">lished categories of entities where </w:t>
      </w:r>
      <w:r w:rsidRPr="00F30522">
        <w:rPr>
          <w:rFonts w:ascii="Franklin Gothic Book" w:hAnsi="Franklin Gothic Book"/>
          <w:bCs/>
          <w:i/>
          <w:sz w:val="21"/>
          <w:szCs w:val="21"/>
        </w:rPr>
        <w:t>“less strict rules could apply”</w:t>
      </w:r>
      <w:r w:rsidRPr="00F30522">
        <w:rPr>
          <w:rFonts w:ascii="Franklin Gothic Book" w:hAnsi="Franklin Gothic Book"/>
          <w:bCs/>
          <w:sz w:val="21"/>
          <w:szCs w:val="21"/>
        </w:rPr>
        <w:t xml:space="preserve"> where such entities either </w:t>
      </w:r>
      <w:r w:rsidRPr="00F30522">
        <w:rPr>
          <w:rFonts w:ascii="Franklin Gothic Book" w:hAnsi="Franklin Gothic Book"/>
          <w:bCs/>
          <w:i/>
          <w:sz w:val="21"/>
          <w:szCs w:val="21"/>
        </w:rPr>
        <w:t>“take a pos</w:t>
      </w:r>
      <w:r w:rsidRPr="00F30522">
        <w:rPr>
          <w:rFonts w:ascii="Franklin Gothic Book" w:hAnsi="Franklin Gothic Book"/>
          <w:bCs/>
          <w:i/>
          <w:sz w:val="21"/>
          <w:szCs w:val="21"/>
        </w:rPr>
        <w:t>i</w:t>
      </w:r>
      <w:r w:rsidRPr="00F30522">
        <w:rPr>
          <w:rFonts w:ascii="Franklin Gothic Book" w:hAnsi="Franklin Gothic Book"/>
          <w:bCs/>
          <w:i/>
          <w:sz w:val="21"/>
          <w:szCs w:val="21"/>
        </w:rPr>
        <w:t>tion on financial instruments as part of their core business”</w:t>
      </w:r>
      <w:r w:rsidRPr="00F30522">
        <w:rPr>
          <w:rFonts w:ascii="Franklin Gothic Book" w:hAnsi="Franklin Gothic Book"/>
          <w:bCs/>
          <w:sz w:val="21"/>
          <w:szCs w:val="21"/>
        </w:rPr>
        <w:t xml:space="preserve"> or </w:t>
      </w:r>
      <w:r w:rsidRPr="00F30522">
        <w:rPr>
          <w:rFonts w:ascii="Franklin Gothic Book" w:hAnsi="Franklin Gothic Book"/>
          <w:bCs/>
          <w:i/>
          <w:sz w:val="21"/>
          <w:szCs w:val="21"/>
        </w:rPr>
        <w:t>“those for which this (positing taking) could only occur occasionally”</w:t>
      </w:r>
      <w:r>
        <w:rPr>
          <w:rFonts w:ascii="Franklin Gothic Book" w:hAnsi="Franklin Gothic Book"/>
          <w:bCs/>
          <w:sz w:val="21"/>
          <w:szCs w:val="21"/>
        </w:rPr>
        <w:t>. We</w:t>
      </w:r>
      <w:r w:rsidRPr="00F30522">
        <w:rPr>
          <w:rFonts w:ascii="Franklin Gothic Book" w:hAnsi="Franklin Gothic Book"/>
          <w:bCs/>
          <w:sz w:val="21"/>
          <w:szCs w:val="21"/>
        </w:rPr>
        <w:t xml:space="preserve"> believe ESMA should also recognize another category of contributors which are also BMAs but which do not take position in financial instruments. These entities should be subject to less strict rules than the entities described above.</w:t>
      </w:r>
    </w:p>
    <w:permEnd w:id="2134928834"/>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lastRenderedPageBreak/>
        <w:t>&lt;ESMA_QUESTION_DP_BMR_70&gt;</w:t>
      </w:r>
    </w:p>
    <w:p w:rsidR="00D407B0" w:rsidRDefault="002F1306" w:rsidP="009A2624">
      <w:pPr>
        <w:rPr>
          <w:rFonts w:cs="Arial"/>
          <w:szCs w:val="20"/>
        </w:rPr>
      </w:pPr>
      <w:permStart w:id="1195970759" w:edGrp="everyone"/>
      <w:r w:rsidRPr="002F1306">
        <w:rPr>
          <w:rFonts w:cs="Arial"/>
          <w:szCs w:val="20"/>
        </w:rPr>
        <w:t>IIA’s members are in a better position to provide estimates based on their circumstances.</w:t>
      </w:r>
    </w:p>
    <w:permEnd w:id="1195970759"/>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2F1306" w:rsidRPr="002F1306" w:rsidRDefault="002F1306" w:rsidP="002F1306">
      <w:pPr>
        <w:rPr>
          <w:rFonts w:cs="Arial"/>
          <w:szCs w:val="20"/>
        </w:rPr>
      </w:pPr>
      <w:permStart w:id="1971585820" w:edGrp="everyone"/>
      <w:r w:rsidRPr="002F1306">
        <w:rPr>
          <w:rFonts w:cs="Arial"/>
          <w:szCs w:val="20"/>
        </w:rPr>
        <w:t>Note that this response applies to both critical benchmarks and the determination of thresholds for signif</w:t>
      </w:r>
      <w:r w:rsidRPr="002F1306">
        <w:rPr>
          <w:rFonts w:cs="Arial"/>
          <w:szCs w:val="20"/>
        </w:rPr>
        <w:t>i</w:t>
      </w:r>
      <w:r w:rsidRPr="002F1306">
        <w:rPr>
          <w:rFonts w:cs="Arial"/>
          <w:szCs w:val="20"/>
        </w:rPr>
        <w:t>cant benchmarks. It is inherently inequitable to require benchmark administrators to categorize their benchmarks using data to which they have limited, inconsistent and, at times, or non-existent access. Administrators utilize a variety of licensing and fee arrangements, many of which either do not require reporting of underlying assets/notional amounts or produce inconsistent or limited insight into the amount/size of the underlying assets/notional amount utilizing their benchmarks. A system should be devised to capture as many assets as practical. If the system requires administrators to produce, obtain or collect such data, it is necessary to include two caveats: first, a good faith standard should be set so that administrators are not penalized where the prescribed process was applied but the results were uninte</w:t>
      </w:r>
      <w:r w:rsidRPr="002F1306">
        <w:rPr>
          <w:rFonts w:cs="Arial"/>
          <w:szCs w:val="20"/>
        </w:rPr>
        <w:t>n</w:t>
      </w:r>
      <w:r w:rsidRPr="002F1306">
        <w:rPr>
          <w:rFonts w:cs="Arial"/>
          <w:szCs w:val="20"/>
        </w:rPr>
        <w:t>tionally erroneous; and, second, absent a mandate by the competent authorities or ESMA, the license agreements of benchmark administrators should not be constrained by a demand of the licensor for these data, which are protected as proprietary and confidential information by many financial institutions. As such, we propose a system which varies by instrument types.  The net asset value for each security should be used for calculation purposes to avoid over-counting.</w:t>
      </w:r>
    </w:p>
    <w:p w:rsidR="002F1306" w:rsidRPr="002F1306" w:rsidRDefault="002F1306" w:rsidP="002F1306">
      <w:pPr>
        <w:pStyle w:val="ListParagraph"/>
        <w:numPr>
          <w:ilvl w:val="0"/>
          <w:numId w:val="41"/>
        </w:numPr>
        <w:rPr>
          <w:rFonts w:cs="Arial"/>
          <w:szCs w:val="20"/>
        </w:rPr>
      </w:pPr>
      <w:r w:rsidRPr="002F1306">
        <w:rPr>
          <w:rFonts w:cs="Arial"/>
          <w:szCs w:val="20"/>
        </w:rPr>
        <w:t>Category 1 – Funds in the EU - For UCITS funds and ETFs, we recommend requiring administr</w:t>
      </w:r>
      <w:r w:rsidRPr="002F1306">
        <w:rPr>
          <w:rFonts w:cs="Arial"/>
          <w:szCs w:val="20"/>
        </w:rPr>
        <w:t>a</w:t>
      </w:r>
      <w:r w:rsidRPr="002F1306">
        <w:rPr>
          <w:rFonts w:cs="Arial"/>
          <w:szCs w:val="20"/>
        </w:rPr>
        <w:t xml:space="preserve">tors use a source from a list of ESMA-approved providers (e.g. Morningstar) to obtain balances as of a certain date. In line with paragraph 1 above, Administrators will not be held responsible for any errors or omissions in calculating the threshold provided it uses data from this third </w:t>
      </w:r>
      <w:proofErr w:type="gramStart"/>
      <w:r w:rsidRPr="002F1306">
        <w:rPr>
          <w:rFonts w:cs="Arial"/>
          <w:szCs w:val="20"/>
        </w:rPr>
        <w:t>party(</w:t>
      </w:r>
      <w:proofErr w:type="spellStart"/>
      <w:proofErr w:type="gramEnd"/>
      <w:r w:rsidRPr="002F1306">
        <w:rPr>
          <w:rFonts w:cs="Arial"/>
          <w:szCs w:val="20"/>
        </w:rPr>
        <w:t>ies</w:t>
      </w:r>
      <w:proofErr w:type="spellEnd"/>
      <w:r w:rsidRPr="002F1306">
        <w:rPr>
          <w:rFonts w:cs="Arial"/>
          <w:szCs w:val="20"/>
        </w:rPr>
        <w:t>).</w:t>
      </w:r>
    </w:p>
    <w:p w:rsidR="002F1306" w:rsidRPr="002F1306" w:rsidRDefault="002F1306" w:rsidP="002F1306">
      <w:pPr>
        <w:pStyle w:val="ListParagraph"/>
        <w:numPr>
          <w:ilvl w:val="0"/>
          <w:numId w:val="41"/>
        </w:numPr>
        <w:rPr>
          <w:rFonts w:cs="Arial"/>
          <w:szCs w:val="20"/>
        </w:rPr>
      </w:pPr>
      <w:r w:rsidRPr="002F1306">
        <w:rPr>
          <w:rFonts w:cs="Arial"/>
          <w:szCs w:val="20"/>
        </w:rPr>
        <w:t>Category 2 – Structured Products listed/traded in the EU - In order to get a consistent count, our recommendation is that, given that these firms are all supervised entities in the EU, that a request from the NCA or ESMA on an annual basis be made to all benchmark administrators for a list of those firms for which a structured products license has been granted. The relevant authority then sends a mandatory survey to obtain relevant assets which will be reported back to the BA’s for i</w:t>
      </w:r>
      <w:r w:rsidRPr="002F1306">
        <w:rPr>
          <w:rFonts w:cs="Arial"/>
          <w:szCs w:val="20"/>
        </w:rPr>
        <w:t>n</w:t>
      </w:r>
      <w:r w:rsidRPr="002F1306">
        <w:rPr>
          <w:rFonts w:cs="Arial"/>
          <w:szCs w:val="20"/>
        </w:rPr>
        <w:t>clusion. Funded, not leveraged or notional amounts would be included.</w:t>
      </w:r>
    </w:p>
    <w:p w:rsidR="002F1306" w:rsidRPr="002F1306" w:rsidRDefault="002F1306" w:rsidP="002F1306">
      <w:pPr>
        <w:pStyle w:val="ListParagraph"/>
        <w:numPr>
          <w:ilvl w:val="0"/>
          <w:numId w:val="41"/>
        </w:numPr>
        <w:rPr>
          <w:rFonts w:cs="Arial"/>
          <w:szCs w:val="20"/>
        </w:rPr>
      </w:pPr>
      <w:r w:rsidRPr="002F1306">
        <w:rPr>
          <w:rFonts w:cs="Arial"/>
          <w:szCs w:val="20"/>
        </w:rPr>
        <w:t>Category 3 –Exchange Traded Futures, and Options in the EU – netted value exposure should be used on relevant indices is calculated annually through an ESMA or NCA’s per above.</w:t>
      </w:r>
    </w:p>
    <w:p w:rsidR="002F1306" w:rsidRPr="002F1306" w:rsidRDefault="002F1306" w:rsidP="002F1306">
      <w:pPr>
        <w:pStyle w:val="ListParagraph"/>
        <w:numPr>
          <w:ilvl w:val="0"/>
          <w:numId w:val="41"/>
        </w:numPr>
        <w:rPr>
          <w:rFonts w:cs="Arial"/>
          <w:szCs w:val="20"/>
        </w:rPr>
      </w:pPr>
      <w:r w:rsidRPr="002F1306">
        <w:rPr>
          <w:rFonts w:cs="Arial"/>
          <w:szCs w:val="20"/>
        </w:rPr>
        <w:t>Category 4 – Organized Trading Facility Derivatives in the EU –only net exposure of in-force trades as of a particular date would count to avoid over counting the exposures.  These data should be sourced from ESMA or NCA’s depending on who has the data which is currently being reported.</w:t>
      </w:r>
    </w:p>
    <w:p w:rsidR="002F1306" w:rsidRPr="002F1306" w:rsidRDefault="002F1306" w:rsidP="002F1306">
      <w:pPr>
        <w:pStyle w:val="ListParagraph"/>
        <w:numPr>
          <w:ilvl w:val="0"/>
          <w:numId w:val="41"/>
        </w:numPr>
        <w:rPr>
          <w:rFonts w:cs="Arial"/>
          <w:szCs w:val="20"/>
        </w:rPr>
      </w:pPr>
      <w:r w:rsidRPr="002F1306">
        <w:rPr>
          <w:rFonts w:cs="Arial"/>
          <w:szCs w:val="20"/>
        </w:rPr>
        <w:t xml:space="preserve">Category 5 – OTC Swaps, options, forwards, &amp; other non-structured product derivatives in the EU. These instruments are excluded with the exception of securities from systematic </w:t>
      </w:r>
      <w:proofErr w:type="spellStart"/>
      <w:r w:rsidRPr="002F1306">
        <w:rPr>
          <w:rFonts w:cs="Arial"/>
          <w:szCs w:val="20"/>
        </w:rPr>
        <w:t>internalizers</w:t>
      </w:r>
      <w:proofErr w:type="spellEnd"/>
      <w:r w:rsidRPr="002F1306">
        <w:rPr>
          <w:rFonts w:cs="Arial"/>
          <w:szCs w:val="20"/>
        </w:rPr>
        <w:t xml:space="preserve">. Since the definition for systematic </w:t>
      </w:r>
      <w:proofErr w:type="spellStart"/>
      <w:r w:rsidRPr="002F1306">
        <w:rPr>
          <w:rFonts w:cs="Arial"/>
          <w:szCs w:val="20"/>
        </w:rPr>
        <w:t>internalizer</w:t>
      </w:r>
      <w:proofErr w:type="spellEnd"/>
      <w:r w:rsidRPr="002F1306">
        <w:rPr>
          <w:rFonts w:cs="Arial"/>
          <w:szCs w:val="20"/>
        </w:rPr>
        <w:t xml:space="preserve"> under Directive 2014/65/EU is vague, the counting of OTC derivatives should be suspended until such time as firmly tangible standards can be e</w:t>
      </w:r>
      <w:r w:rsidRPr="002F1306">
        <w:rPr>
          <w:rFonts w:cs="Arial"/>
          <w:szCs w:val="20"/>
        </w:rPr>
        <w:t>s</w:t>
      </w:r>
      <w:r w:rsidRPr="002F1306">
        <w:rPr>
          <w:rFonts w:cs="Arial"/>
          <w:szCs w:val="20"/>
        </w:rPr>
        <w:t xml:space="preserve">tablished for systematic </w:t>
      </w:r>
      <w:proofErr w:type="spellStart"/>
      <w:r w:rsidRPr="002F1306">
        <w:rPr>
          <w:rFonts w:cs="Arial"/>
          <w:szCs w:val="20"/>
        </w:rPr>
        <w:t>internalizers</w:t>
      </w:r>
      <w:proofErr w:type="spellEnd"/>
      <w:r w:rsidRPr="002F1306">
        <w:rPr>
          <w:rFonts w:cs="Arial"/>
          <w:szCs w:val="20"/>
        </w:rPr>
        <w:t xml:space="preserve">. </w:t>
      </w:r>
    </w:p>
    <w:p w:rsidR="002F1306" w:rsidRPr="002F1306" w:rsidRDefault="002F1306" w:rsidP="002F1306">
      <w:pPr>
        <w:pStyle w:val="ListParagraph"/>
        <w:numPr>
          <w:ilvl w:val="0"/>
          <w:numId w:val="41"/>
        </w:numPr>
        <w:rPr>
          <w:rFonts w:cs="Arial"/>
          <w:szCs w:val="20"/>
        </w:rPr>
      </w:pPr>
      <w:r w:rsidRPr="002F1306">
        <w:rPr>
          <w:rFonts w:cs="Arial"/>
          <w:szCs w:val="20"/>
        </w:rPr>
        <w:t>Category 6 – Performance Benchmarking. We feel that assets benchmarked do not contribute to the risk of a benchmark in the same way as investment products actually tracking the benchmark do and therefore advocate excluding this category from calculation</w:t>
      </w:r>
    </w:p>
    <w:p w:rsidR="002F1306" w:rsidRPr="002F1306" w:rsidRDefault="002F1306" w:rsidP="002F1306">
      <w:pPr>
        <w:pStyle w:val="ListParagraph"/>
        <w:numPr>
          <w:ilvl w:val="0"/>
          <w:numId w:val="41"/>
        </w:numPr>
        <w:rPr>
          <w:rFonts w:cs="Arial"/>
          <w:szCs w:val="20"/>
        </w:rPr>
      </w:pPr>
      <w:r w:rsidRPr="002F1306">
        <w:rPr>
          <w:rFonts w:cs="Arial"/>
          <w:szCs w:val="20"/>
        </w:rPr>
        <w:t>Category 7 – Asset Allocation/Fee Determination</w:t>
      </w:r>
    </w:p>
    <w:p w:rsidR="002F1306" w:rsidRPr="002F1306" w:rsidRDefault="002F1306" w:rsidP="002F1306">
      <w:pPr>
        <w:rPr>
          <w:rFonts w:cs="Arial"/>
          <w:szCs w:val="20"/>
        </w:rPr>
      </w:pPr>
      <w:r w:rsidRPr="002F1306">
        <w:rPr>
          <w:rFonts w:cs="Arial"/>
          <w:szCs w:val="20"/>
        </w:rPr>
        <w:t>We feel that these assets do not contribute to the risk of a benchmark in the same way as investment funds actually tracking the benchmark do and therefore advocate excluding this category from calculation.</w:t>
      </w:r>
    </w:p>
    <w:p w:rsidR="002F1306" w:rsidRPr="002F1306" w:rsidRDefault="002F1306" w:rsidP="002F1306">
      <w:pPr>
        <w:rPr>
          <w:rFonts w:cs="Arial"/>
          <w:szCs w:val="20"/>
        </w:rPr>
      </w:pPr>
      <w:r w:rsidRPr="002F1306">
        <w:rPr>
          <w:rFonts w:cs="Arial"/>
          <w:szCs w:val="20"/>
        </w:rPr>
        <w:t>Additionally, there is no way for the administrators to know precisely which firms are utilizing their indices in this manner, let alone how many assets are involved. For instance, for a combined benchmark, the asset allocation of a portfolio may involve dozens of indices – how does one allocate assets to each one? What if it is a model portfolio – how does one count the assets in that scenario?</w:t>
      </w:r>
    </w:p>
    <w:permEnd w:id="1971585820"/>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D407B0" w:rsidRDefault="002F1306" w:rsidP="009A2624">
      <w:pPr>
        <w:rPr>
          <w:rFonts w:cs="Arial"/>
          <w:szCs w:val="20"/>
        </w:rPr>
      </w:pPr>
      <w:permStart w:id="1630933131" w:edGrp="everyone"/>
      <w:r w:rsidRPr="002F1306">
        <w:rPr>
          <w:rFonts w:cs="Arial"/>
          <w:szCs w:val="20"/>
        </w:rPr>
        <w:t>IIA is not aware of any such scenarios.</w:t>
      </w:r>
    </w:p>
    <w:permEnd w:id="1630933131"/>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2F1306" w:rsidRPr="002F1306" w:rsidRDefault="002F1306" w:rsidP="002F1306">
      <w:pPr>
        <w:rPr>
          <w:rFonts w:cs="Arial"/>
          <w:szCs w:val="20"/>
          <w:lang w:val="en-US"/>
        </w:rPr>
      </w:pPr>
      <w:permStart w:id="1371086895" w:edGrp="everyone"/>
      <w:r w:rsidRPr="002F1306">
        <w:rPr>
          <w:rFonts w:cs="Arial"/>
          <w:szCs w:val="20"/>
          <w:lang w:val="en-US"/>
        </w:rPr>
        <w:t>Please refer to our answer in Q71.</w:t>
      </w:r>
    </w:p>
    <w:permEnd w:id="1371086895"/>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2F1306" w:rsidRPr="002F1306" w:rsidRDefault="002F1306" w:rsidP="002F1306">
      <w:pPr>
        <w:rPr>
          <w:rFonts w:cs="Arial"/>
          <w:szCs w:val="20"/>
        </w:rPr>
      </w:pPr>
      <w:permStart w:id="1756460339" w:edGrp="everyone"/>
      <w:r w:rsidRPr="002F1306">
        <w:rPr>
          <w:rFonts w:cs="Arial"/>
          <w:szCs w:val="20"/>
        </w:rPr>
        <w:t>The net asset value should be used in relation to the value of units in collective investment undertakings to avoid over counting.</w:t>
      </w:r>
    </w:p>
    <w:permEnd w:id="1756460339"/>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2F1306" w:rsidRPr="002F1306" w:rsidRDefault="002F1306" w:rsidP="002F1306">
      <w:pPr>
        <w:rPr>
          <w:rFonts w:cs="Arial"/>
          <w:szCs w:val="20"/>
        </w:rPr>
      </w:pPr>
      <w:permStart w:id="1586107505" w:edGrp="everyone"/>
      <w:r w:rsidRPr="002F1306">
        <w:rPr>
          <w:rFonts w:cs="Arial"/>
          <w:szCs w:val="20"/>
        </w:rPr>
        <w:t>IIA feels that any reporting of assets should be on agreed, publically available data; the sources should of this data should be either be NCAs, other public data sources or independent third parties that collect and publish the data.  Please see our answer to Q71 to ensure the assets are not being over counted.</w:t>
      </w:r>
    </w:p>
    <w:permEnd w:id="158610750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2F1306" w:rsidRPr="002F1306" w:rsidRDefault="002F1306" w:rsidP="002F1306">
      <w:pPr>
        <w:rPr>
          <w:rFonts w:cs="Arial"/>
          <w:szCs w:val="20"/>
        </w:rPr>
      </w:pPr>
      <w:permStart w:id="1302729327" w:edGrp="everyone"/>
      <w:r w:rsidRPr="002F1306">
        <w:rPr>
          <w:rFonts w:cs="Arial"/>
          <w:szCs w:val="20"/>
        </w:rPr>
        <w:t>IIA feels that the second option to use the most recently available net asset value is the most reasonable one to provide accuracy and completeness; having gaps between the reporting periods for AIFMD and UCITS could distort the value at point of assessment.</w:t>
      </w:r>
    </w:p>
    <w:permEnd w:id="1302729327"/>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Pr="002F1306" w:rsidRDefault="009A2624" w:rsidP="009A2624">
      <w:pPr>
        <w:rPr>
          <w:rFonts w:cs="Arial"/>
          <w:szCs w:val="20"/>
        </w:rPr>
      </w:pPr>
      <w:permStart w:id="280240727" w:edGrp="everyone"/>
      <w:r w:rsidRPr="002F1306">
        <w:rPr>
          <w:rFonts w:cs="Arial"/>
          <w:szCs w:val="20"/>
        </w:rPr>
        <w:lastRenderedPageBreak/>
        <w:t>TYPE YOUR TEXT HERE</w:t>
      </w:r>
    </w:p>
    <w:permEnd w:id="28024072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2F1306" w:rsidRPr="002F1306" w:rsidRDefault="002F1306" w:rsidP="002F1306">
      <w:pPr>
        <w:rPr>
          <w:rFonts w:cs="Arial"/>
          <w:color w:val="000000" w:themeColor="text1"/>
          <w:szCs w:val="20"/>
        </w:rPr>
      </w:pPr>
      <w:permStart w:id="206730027" w:edGrp="everyone"/>
      <w:r w:rsidRPr="002F1306">
        <w:rPr>
          <w:rFonts w:cs="Arial"/>
          <w:color w:val="000000" w:themeColor="text1"/>
          <w:szCs w:val="20"/>
        </w:rPr>
        <w:t>“Relevant impact” approach may work for local market IBORs where only national banks are allowed to participate because only the local mortgage holders are impacted. Markets within a country that is open to global investors become very subjective if you use a “relevant impact” approach and may have a negative impact on capital flows to those markets.</w:t>
      </w:r>
    </w:p>
    <w:permEnd w:id="206730027"/>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Pr="002F1306" w:rsidRDefault="009A2624" w:rsidP="009A2624">
      <w:pPr>
        <w:rPr>
          <w:rFonts w:cs="Arial"/>
          <w:szCs w:val="20"/>
        </w:rPr>
      </w:pPr>
      <w:permStart w:id="1124229114" w:edGrp="everyone"/>
      <w:r w:rsidRPr="002F1306">
        <w:rPr>
          <w:rFonts w:cs="Arial"/>
          <w:szCs w:val="20"/>
        </w:rPr>
        <w:t>TYPE YOUR TEXT HERE</w:t>
      </w:r>
    </w:p>
    <w:permEnd w:id="1124229114"/>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2F1306" w:rsidRPr="002F1306" w:rsidRDefault="002F1306" w:rsidP="002F1306">
      <w:pPr>
        <w:rPr>
          <w:rFonts w:cs="Arial"/>
          <w:szCs w:val="20"/>
          <w:lang w:eastAsia="en-US"/>
        </w:rPr>
      </w:pPr>
      <w:permStart w:id="86469135" w:edGrp="everyone"/>
      <w:r w:rsidRPr="002F1306">
        <w:rPr>
          <w:rFonts w:cs="Arial"/>
          <w:szCs w:val="20"/>
          <w:lang w:eastAsia="en-US"/>
        </w:rPr>
        <w:t>IIA agrees with the approach to clarify and define the criteria. ESMA should develop clear guidance in relation to the acceptance and rejection under Article 14c P2.</w:t>
      </w:r>
    </w:p>
    <w:permEnd w:id="86469135"/>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2F1306" w:rsidRPr="002F1306" w:rsidRDefault="002F1306" w:rsidP="002F1306">
      <w:pPr>
        <w:rPr>
          <w:rFonts w:cs="Arial"/>
          <w:szCs w:val="20"/>
        </w:rPr>
      </w:pPr>
      <w:permStart w:id="996436683" w:edGrp="everyone"/>
      <w:r w:rsidRPr="002F1306">
        <w:rPr>
          <w:rFonts w:cs="Arial"/>
          <w:szCs w:val="20"/>
        </w:rPr>
        <w:t xml:space="preserve">IIA feels ESMA should allow for discretion in order to enable administrators to use as much as possible from their IOSCO compliance statements when making a statement for the BMR. </w:t>
      </w:r>
    </w:p>
    <w:p w:rsidR="002F1306" w:rsidRPr="002F1306" w:rsidRDefault="002F1306" w:rsidP="002F1306">
      <w:pPr>
        <w:rPr>
          <w:rFonts w:cs="Arial"/>
          <w:szCs w:val="20"/>
        </w:rPr>
      </w:pPr>
      <w:r w:rsidRPr="002F1306">
        <w:rPr>
          <w:rFonts w:cs="Arial"/>
          <w:szCs w:val="20"/>
        </w:rPr>
        <w:t>According to Article 14c (6) and 14d (2), administrators of significant and non-significant benchmarks respectively may decide not to comply with a number of governance requirements following a “comply or explain approach”, i.e. the administrators need to explain why non-compliance is appropriate in a compl</w:t>
      </w:r>
      <w:r w:rsidRPr="002F1306">
        <w:rPr>
          <w:rFonts w:cs="Arial"/>
          <w:szCs w:val="20"/>
        </w:rPr>
        <w:t>i</w:t>
      </w:r>
      <w:r w:rsidRPr="002F1306">
        <w:rPr>
          <w:rFonts w:cs="Arial"/>
          <w:szCs w:val="20"/>
        </w:rPr>
        <w:t xml:space="preserve">ance statement, for which ESMA is empowered to develop a template. </w:t>
      </w:r>
    </w:p>
    <w:p w:rsidR="002F1306" w:rsidRPr="002F1306" w:rsidRDefault="002F1306" w:rsidP="002F1306">
      <w:pPr>
        <w:rPr>
          <w:rFonts w:cs="Arial"/>
          <w:szCs w:val="20"/>
        </w:rPr>
      </w:pPr>
      <w:r w:rsidRPr="002F1306">
        <w:rPr>
          <w:rFonts w:cs="Arial"/>
          <w:szCs w:val="20"/>
        </w:rPr>
        <w:t xml:space="preserve">It should be clear how the respective administrator should complete the statements and how it can offer enough information to the NCA if it has chosen to “explain” rather than “comply”; it should also be clear what additional information can be requested by the NCA to ensure compliance of the BMR. ESMA should consider also allowing a single statement, rather than numerous statements, for benchmarks that have substantially the same makeup even if they’re not part of the same “family”. </w:t>
      </w:r>
    </w:p>
    <w:permEnd w:id="996436683"/>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lastRenderedPageBreak/>
        <w:t>Do you agree with the suggested minimum aspects for defining the market or economic reality measured by the benchmark?</w:t>
      </w:r>
    </w:p>
    <w:p w:rsidR="009A2624" w:rsidRDefault="009A2624" w:rsidP="009A2624">
      <w:r>
        <w:t>&lt;ESMA_QUESTION_DP_BMR_82&gt;</w:t>
      </w:r>
    </w:p>
    <w:p w:rsidR="002F1306" w:rsidRPr="002F1306" w:rsidRDefault="002F1306" w:rsidP="002F1306">
      <w:pPr>
        <w:rPr>
          <w:rFonts w:cs="Arial"/>
          <w:szCs w:val="20"/>
          <w:lang w:val="en-US"/>
        </w:rPr>
      </w:pPr>
      <w:permStart w:id="1523331540" w:edGrp="everyone"/>
      <w:r w:rsidRPr="002F1306">
        <w:rPr>
          <w:rFonts w:cs="Arial"/>
          <w:szCs w:val="20"/>
          <w:lang w:val="en-US"/>
        </w:rPr>
        <w:t>The principle that benchmarks should define a market or economic reality is fair and the description of that benchmark’s target market or economic reality should be made readily and publicly available.</w:t>
      </w:r>
    </w:p>
    <w:p w:rsidR="002F1306" w:rsidRPr="002F1306" w:rsidRDefault="002F1306" w:rsidP="002F1306">
      <w:pPr>
        <w:rPr>
          <w:rFonts w:cs="Arial"/>
          <w:szCs w:val="20"/>
          <w:lang w:val="en-US"/>
        </w:rPr>
      </w:pPr>
      <w:r w:rsidRPr="002F1306">
        <w:rPr>
          <w:rFonts w:cs="Arial"/>
          <w:szCs w:val="20"/>
          <w:lang w:val="en-US"/>
        </w:rPr>
        <w:t>The estimation of market size (transaction volume or other trading related metrics) should not be a r</w:t>
      </w:r>
      <w:r w:rsidRPr="002F1306">
        <w:rPr>
          <w:rFonts w:cs="Arial"/>
          <w:szCs w:val="20"/>
          <w:lang w:val="en-US"/>
        </w:rPr>
        <w:t>e</w:t>
      </w:r>
      <w:r w:rsidRPr="002F1306">
        <w:rPr>
          <w:rFonts w:cs="Arial"/>
          <w:szCs w:val="20"/>
          <w:lang w:val="en-US"/>
        </w:rPr>
        <w:t xml:space="preserve">quirement of the benchmark administrator.  The benchmark should create a value to accurately reflect the reality of the market or economic segment regardless of trading characteristics.  </w:t>
      </w:r>
    </w:p>
    <w:p w:rsidR="002F1306" w:rsidRPr="002F1306" w:rsidRDefault="002F1306" w:rsidP="002F1306">
      <w:pPr>
        <w:rPr>
          <w:rFonts w:cs="Arial"/>
          <w:szCs w:val="20"/>
          <w:lang w:val="en-US"/>
        </w:rPr>
      </w:pPr>
      <w:r w:rsidRPr="002F1306">
        <w:rPr>
          <w:rFonts w:cs="Arial"/>
          <w:szCs w:val="20"/>
          <w:lang w:val="en-US"/>
        </w:rPr>
        <w:t>It is difficult for an independent index administrator to take into consideration observable market liquidity and/or size and number of participants within a certain market segment while constructing a benchmark to reflect that market or economic reality in all circumstances.  This will vary considerably based on the asset class and how the component securities trade.  Those considerations should be implemented through the benchmark methodology documentation and made easily available.  Guidelines cannot be easily esta</w:t>
      </w:r>
      <w:r w:rsidRPr="002F1306">
        <w:rPr>
          <w:rFonts w:cs="Arial"/>
          <w:szCs w:val="20"/>
          <w:lang w:val="en-US"/>
        </w:rPr>
        <w:t>b</w:t>
      </w:r>
      <w:r w:rsidRPr="002F1306">
        <w:rPr>
          <w:rFonts w:cs="Arial"/>
          <w:szCs w:val="20"/>
          <w:lang w:val="en-US"/>
        </w:rPr>
        <w:t>lished to govern each and every market segment or to create a reasonableness test.  IIA believes there may be difficulties in measuring this for all benchmarks. IIA would also encourage avoiding duplicating reporting requirements and feels administrators should produce benchmark statements per family rather than per individual benchmark given the large number of benchmarks produced.</w:t>
      </w:r>
    </w:p>
    <w:permEnd w:id="1523331540"/>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2F1306" w:rsidRPr="002F1306" w:rsidRDefault="002F1306" w:rsidP="002F1306">
      <w:pPr>
        <w:rPr>
          <w:rFonts w:cs="Arial"/>
          <w:szCs w:val="20"/>
        </w:rPr>
      </w:pPr>
      <w:permStart w:id="2097577525" w:edGrp="everyone"/>
      <w:r w:rsidRPr="002F1306">
        <w:rPr>
          <w:rFonts w:cs="Arial"/>
          <w:szCs w:val="20"/>
          <w:lang w:val="en-US"/>
        </w:rPr>
        <w:t>These factors may not apply to all benchmarks.  It is difficult, if not impossible</w:t>
      </w:r>
      <w:proofErr w:type="gramStart"/>
      <w:r w:rsidRPr="002F1306">
        <w:rPr>
          <w:rFonts w:cs="Arial"/>
          <w:szCs w:val="20"/>
          <w:lang w:val="en-US"/>
        </w:rPr>
        <w:t>,  to</w:t>
      </w:r>
      <w:proofErr w:type="gramEnd"/>
      <w:r w:rsidRPr="002F1306">
        <w:rPr>
          <w:rFonts w:cs="Arial"/>
          <w:szCs w:val="20"/>
          <w:lang w:val="en-US"/>
        </w:rPr>
        <w:t xml:space="preserve"> mandate the scenarios up front.  The administrator should explain the scenarios based on what the benchmark is intended to measure as explained in the methodology.</w:t>
      </w:r>
    </w:p>
    <w:permEnd w:id="2097577525"/>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2F1306" w:rsidRPr="002F1306" w:rsidRDefault="002F1306" w:rsidP="002F1306">
      <w:pPr>
        <w:rPr>
          <w:rFonts w:cs="Arial"/>
          <w:szCs w:val="20"/>
          <w:lang w:val="en-US"/>
        </w:rPr>
      </w:pPr>
      <w:permStart w:id="1592667287" w:edGrp="everyone"/>
      <w:r w:rsidRPr="002F1306">
        <w:rPr>
          <w:rFonts w:cs="Arial"/>
          <w:szCs w:val="20"/>
          <w:lang w:val="en-US"/>
        </w:rPr>
        <w:t>Where discretion can be applied to a benchmark should be made clear through benchmark methodology documentation.</w:t>
      </w:r>
    </w:p>
    <w:p w:rsidR="002F1306" w:rsidRPr="002F1306" w:rsidRDefault="002F1306" w:rsidP="002F1306">
      <w:pPr>
        <w:rPr>
          <w:rFonts w:cs="Arial"/>
          <w:szCs w:val="20"/>
        </w:rPr>
      </w:pPr>
      <w:r w:rsidRPr="002F1306">
        <w:rPr>
          <w:rFonts w:cs="Arial"/>
          <w:szCs w:val="20"/>
          <w:lang w:val="en-US"/>
        </w:rPr>
        <w:t>The benchmark should continue to follow IOSCO Principles in determination and governance of applicable rules which can account for areas of discretion.</w:t>
      </w:r>
    </w:p>
    <w:permEnd w:id="1592667287"/>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2F1306" w:rsidRPr="002F1306" w:rsidRDefault="002F1306" w:rsidP="002F1306">
      <w:pPr>
        <w:rPr>
          <w:rFonts w:cs="Arial"/>
          <w:szCs w:val="20"/>
        </w:rPr>
      </w:pPr>
      <w:permStart w:id="736635587" w:edGrp="everyone"/>
      <w:r w:rsidRPr="002F1306">
        <w:rPr>
          <w:rFonts w:cs="Arial"/>
          <w:color w:val="000000" w:themeColor="text1"/>
          <w:szCs w:val="20"/>
          <w:lang w:val="en-US"/>
        </w:rPr>
        <w:t xml:space="preserve">It is important to provide information sufficient for market participants to understand the benchmark its objectives and methodology and the risks associated with them.  Market participants and their financial advisors are the appropriate people to determine if a benchmark is suitable for use.  Independent </w:t>
      </w:r>
      <w:proofErr w:type="gramStart"/>
      <w:r w:rsidRPr="002F1306">
        <w:rPr>
          <w:rFonts w:cs="Arial"/>
          <w:color w:val="000000" w:themeColor="text1"/>
          <w:szCs w:val="20"/>
          <w:lang w:val="en-US"/>
        </w:rPr>
        <w:t>benc</w:t>
      </w:r>
      <w:r w:rsidRPr="002F1306">
        <w:rPr>
          <w:rFonts w:cs="Arial"/>
          <w:color w:val="000000" w:themeColor="text1"/>
          <w:szCs w:val="20"/>
          <w:lang w:val="en-US"/>
        </w:rPr>
        <w:t>h</w:t>
      </w:r>
      <w:r w:rsidRPr="002F1306">
        <w:rPr>
          <w:rFonts w:cs="Arial"/>
          <w:color w:val="000000" w:themeColor="text1"/>
          <w:szCs w:val="20"/>
          <w:lang w:val="en-US"/>
        </w:rPr>
        <w:t>mark</w:t>
      </w:r>
      <w:proofErr w:type="gramEnd"/>
      <w:r w:rsidRPr="002F1306">
        <w:rPr>
          <w:rFonts w:cs="Arial"/>
          <w:color w:val="000000" w:themeColor="text1"/>
          <w:szCs w:val="20"/>
          <w:lang w:val="en-US"/>
        </w:rPr>
        <w:t xml:space="preserve"> administrators do not create the products or get paid to provide financial advice, much less, know what the ultimate investors’ financial needs are</w:t>
      </w:r>
      <w:r w:rsidRPr="002F1306">
        <w:rPr>
          <w:rFonts w:cs="Arial"/>
          <w:color w:val="FF0000"/>
          <w:szCs w:val="20"/>
          <w:lang w:val="en-US"/>
        </w:rPr>
        <w:t xml:space="preserve">. </w:t>
      </w:r>
      <w:r w:rsidRPr="002F1306">
        <w:rPr>
          <w:rFonts w:cs="Arial"/>
          <w:szCs w:val="20"/>
          <w:lang w:val="en-US"/>
        </w:rPr>
        <w:t xml:space="preserve"> The benchmark rationale should not be in the benchmark statement, but in the benchmark methodology.  By describing the benchmark and its objective, the r</w:t>
      </w:r>
      <w:r w:rsidRPr="002F1306">
        <w:rPr>
          <w:rFonts w:cs="Arial"/>
          <w:szCs w:val="20"/>
          <w:lang w:val="en-US"/>
        </w:rPr>
        <w:t>a</w:t>
      </w:r>
      <w:r w:rsidRPr="002F1306">
        <w:rPr>
          <w:rFonts w:cs="Arial"/>
          <w:szCs w:val="20"/>
          <w:lang w:val="en-US"/>
        </w:rPr>
        <w:t>tionale is included in the benchmark methodology</w:t>
      </w:r>
      <w:r w:rsidRPr="002F1306">
        <w:rPr>
          <w:rFonts w:cs="Arial"/>
          <w:color w:val="FF0000"/>
          <w:szCs w:val="20"/>
          <w:lang w:val="en-US"/>
        </w:rPr>
        <w:t>.</w:t>
      </w:r>
    </w:p>
    <w:permEnd w:id="736635587"/>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lastRenderedPageBreak/>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2F1306" w:rsidRPr="002F1306" w:rsidRDefault="002F1306" w:rsidP="002F1306">
      <w:pPr>
        <w:rPr>
          <w:rFonts w:cs="Arial"/>
          <w:szCs w:val="20"/>
        </w:rPr>
      </w:pPr>
      <w:permStart w:id="734072543" w:edGrp="everyone"/>
      <w:r w:rsidRPr="002F1306">
        <w:rPr>
          <w:rFonts w:cs="Arial"/>
          <w:szCs w:val="20"/>
          <w:lang w:val="en-US"/>
        </w:rPr>
        <w:t>Yes, the concise description of additional requirements on interest rate benchmarks is sufficient.</w:t>
      </w:r>
    </w:p>
    <w:permEnd w:id="734072543"/>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2F1306" w:rsidRPr="002F1306" w:rsidRDefault="002F1306" w:rsidP="002F1306">
      <w:pPr>
        <w:rPr>
          <w:rFonts w:cs="Arial"/>
          <w:szCs w:val="20"/>
        </w:rPr>
      </w:pPr>
      <w:permStart w:id="719997277" w:edGrp="everyone"/>
      <w:r w:rsidRPr="002F1306">
        <w:rPr>
          <w:rFonts w:cs="Arial"/>
          <w:szCs w:val="20"/>
          <w:lang w:val="en-US"/>
        </w:rPr>
        <w:t>Commodity benchmarks, when comprised of publicly listed contracts (e.g. physical or cash-settled futures listed on an exchange) should not be and thus we agree with the delineation between regulated data benchmark and non-regulated data commodity benchmark.</w:t>
      </w:r>
    </w:p>
    <w:permEnd w:id="719997277"/>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2F1306" w:rsidRPr="002F1306" w:rsidRDefault="002F1306" w:rsidP="002F1306">
      <w:pPr>
        <w:rPr>
          <w:rFonts w:cs="Arial"/>
          <w:szCs w:val="20"/>
        </w:rPr>
      </w:pPr>
      <w:permStart w:id="1654593362" w:edGrp="everyone"/>
      <w:r w:rsidRPr="002F1306">
        <w:rPr>
          <w:rFonts w:cs="Arial"/>
          <w:szCs w:val="20"/>
        </w:rPr>
        <w:t>Yes.</w:t>
      </w:r>
    </w:p>
    <w:permEnd w:id="1654593362"/>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2F1306" w:rsidRPr="002F1306" w:rsidRDefault="002F1306" w:rsidP="002F1306">
      <w:pPr>
        <w:rPr>
          <w:rFonts w:cs="Arial"/>
          <w:szCs w:val="20"/>
        </w:rPr>
      </w:pPr>
      <w:permStart w:id="76237655" w:edGrp="everyone"/>
      <w:r w:rsidRPr="002F1306">
        <w:rPr>
          <w:rFonts w:cs="Arial"/>
          <w:szCs w:val="20"/>
        </w:rPr>
        <w:t>IIA agrees with the suggested additional content as long as the measurement metrics are clearly laid out and accessible.  Please see our response to Q71.</w:t>
      </w:r>
    </w:p>
    <w:permEnd w:id="76237655"/>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2F1306" w:rsidRPr="002F1306" w:rsidRDefault="002F1306" w:rsidP="002F1306">
      <w:pPr>
        <w:rPr>
          <w:rFonts w:cs="Arial"/>
          <w:szCs w:val="20"/>
        </w:rPr>
      </w:pPr>
      <w:permStart w:id="1801257846" w:edGrp="everyone"/>
      <w:r w:rsidRPr="002F1306">
        <w:rPr>
          <w:rFonts w:cs="Arial"/>
          <w:bCs/>
          <w:szCs w:val="20"/>
          <w:lang w:val="en-US"/>
        </w:rPr>
        <w:t>Identifying a benchmark has been categorized as significant is useful information to include in a benc</w:t>
      </w:r>
      <w:r w:rsidRPr="002F1306">
        <w:rPr>
          <w:rFonts w:cs="Arial"/>
          <w:bCs/>
          <w:szCs w:val="20"/>
          <w:lang w:val="en-US"/>
        </w:rPr>
        <w:t>h</w:t>
      </w:r>
      <w:r w:rsidRPr="002F1306">
        <w:rPr>
          <w:rFonts w:cs="Arial"/>
          <w:bCs/>
          <w:szCs w:val="20"/>
          <w:lang w:val="en-US"/>
        </w:rPr>
        <w:t>mark statement.  Option 1 is the better approach to avoid duplicative information and to ensure market participants and stakeholders are directed to the complete compliance statement to better understand the provisions not complied with and the rationale for it not applying.</w:t>
      </w:r>
    </w:p>
    <w:permEnd w:id="1801257846"/>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2F1306" w:rsidRPr="002F1306" w:rsidRDefault="002F1306" w:rsidP="002F1306">
      <w:permStart w:id="2090346648" w:edGrp="everyone"/>
      <w:r w:rsidRPr="002F1306">
        <w:rPr>
          <w:bCs/>
          <w:lang w:val="en-US"/>
        </w:rPr>
        <w:t>IIA does not feel it is necessary to identify a benchmark as non-significant with option 1 being the better approach to avoid duplicative information and to ensure stakeholders are directed to the complete compl</w:t>
      </w:r>
      <w:r w:rsidRPr="002F1306">
        <w:rPr>
          <w:bCs/>
          <w:lang w:val="en-US"/>
        </w:rPr>
        <w:t>i</w:t>
      </w:r>
      <w:r w:rsidRPr="002F1306">
        <w:rPr>
          <w:bCs/>
          <w:lang w:val="en-US"/>
        </w:rPr>
        <w:t>ance statement to better understand the provisions not complied with and the rationale for it not applying.</w:t>
      </w:r>
    </w:p>
    <w:permEnd w:id="2090346648"/>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2F1306" w:rsidRPr="002F1306" w:rsidRDefault="002F1306" w:rsidP="002F1306">
      <w:permStart w:id="16853661" w:edGrp="everyone"/>
      <w:r w:rsidRPr="002F1306">
        <w:rPr>
          <w:lang w:val="en-US"/>
        </w:rPr>
        <w:t>Not at this time.</w:t>
      </w:r>
    </w:p>
    <w:permEnd w:id="16853661"/>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2F1306" w:rsidRPr="002F1306" w:rsidRDefault="002F1306" w:rsidP="002F1306">
      <w:permStart w:id="484714612" w:edGrp="everyone"/>
      <w:r w:rsidRPr="002F1306">
        <w:rPr>
          <w:lang w:val="en-US"/>
        </w:rPr>
        <w:t>Disclosure of financial information is not justified by level 1, except for critical/systemically relevant benchmarks. Therefore a full disclosure of financial information does not seem proportional disclosure of financial information.</w:t>
      </w:r>
    </w:p>
    <w:permEnd w:id="484714612"/>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2F1306" w:rsidRPr="002F1306" w:rsidRDefault="002F1306" w:rsidP="002F1306">
      <w:permStart w:id="158695379" w:edGrp="everyone"/>
      <w:r w:rsidRPr="002F1306">
        <w:t>ESMA should be assessing the overall ability of the administrator and if it is suitable for authorization.  This seems overly prescriptive, for example, how does having the CV of management help assess what skills are needed for a particular firm?  Different expertise may be needed for differing asset classes and it is not clear how ESMA could use this information in a meaningful way.</w:t>
      </w:r>
    </w:p>
    <w:permEnd w:id="158695379"/>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2F1306" w:rsidRPr="002F1306" w:rsidRDefault="002F1306" w:rsidP="002F1306">
      <w:permStart w:id="1191344921" w:edGrp="everyone"/>
      <w:r w:rsidRPr="002F1306">
        <w:t xml:space="preserve">Authorization seems it should be at the administrator level not at the individual benchmark level.  Forcing the NCA to assess the data input, for example, seems to be missing the point. This disclosure is captured in other places such as the methodology and/or compliance statements. </w:t>
      </w:r>
    </w:p>
    <w:permEnd w:id="1191344921"/>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2F1306" w:rsidRPr="002F1306" w:rsidRDefault="002F1306" w:rsidP="002F1306">
      <w:permStart w:id="1503875242" w:edGrp="everyone"/>
      <w:r w:rsidRPr="002F1306">
        <w:t>This seems to be very broad and seems to be an over-reach of what is needed per the Level 1 text</w:t>
      </w:r>
    </w:p>
    <w:permEnd w:id="1503875242"/>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293870693" w:edGrp="everyone"/>
      <w:r>
        <w:t>TYPE YOUR TEXT HERE</w:t>
      </w:r>
    </w:p>
    <w:permEnd w:id="293870693"/>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lastRenderedPageBreak/>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2F1306" w:rsidRPr="002F1306" w:rsidRDefault="002F1306" w:rsidP="002F1306">
      <w:permStart w:id="133967174" w:edGrp="everyone"/>
      <w:r w:rsidRPr="002F1306">
        <w:t>If an entity provides the functions of a benchmark administrator, they should be regulated as a benchmark regulator even if they are a supervised entity in other aspects of their business.  Because they may or may not be a supervised entity in other parts of their businesses does not eliminate the risks the BMR is trying to address.</w:t>
      </w:r>
    </w:p>
    <w:permEnd w:id="133967174"/>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2F1306" w:rsidRPr="002F1306" w:rsidRDefault="002F1306" w:rsidP="002F1306">
      <w:permStart w:id="1105555952" w:edGrp="everyone"/>
      <w:r w:rsidRPr="002F1306">
        <w:t>IIA considers that the RTS should provide clarity, in line with the Level 1 text, as to under which circu</w:t>
      </w:r>
      <w:r w:rsidRPr="002F1306">
        <w:t>m</w:t>
      </w:r>
      <w:r w:rsidRPr="002F1306">
        <w:t xml:space="preserve">stances benchmarks based on exchange data from outside the EU would be considered regulated data benchmarks, enabling the administrator to subsequently benefit from the exemptions specified in Article 12a. To prevent market disruption and a decline of transparent investment vehicles allowing investors to benefit from the development of growth markets beyond the EU, data sourced from 3rd country trading venues subject to an equivalent regulation to MiFID should be considered regulated data.  </w:t>
      </w:r>
    </w:p>
    <w:p w:rsidR="002F1306" w:rsidRPr="002F1306" w:rsidRDefault="002F1306" w:rsidP="002F1306">
      <w:r w:rsidRPr="002F1306">
        <w:t>As to the form and the content of the application for recognition, clear guidance is needed on issues which are critical for market access, like the involvement of “legal representative” in the oversight function, the content of audit reports etc. It should be acknowledged that the involvement of the representative in the oversight function can be achieved by different means, i.e. that the level of involvement of the represent</w:t>
      </w:r>
      <w:r w:rsidRPr="002F1306">
        <w:t>a</w:t>
      </w:r>
      <w:r w:rsidRPr="002F1306">
        <w:t>tive in the oversight function may depend on the circumstance of the case at hand.</w:t>
      </w:r>
    </w:p>
    <w:p w:rsidR="002F1306" w:rsidRPr="002F1306" w:rsidRDefault="002F1306" w:rsidP="002F1306">
      <w:r w:rsidRPr="002F1306">
        <w:t>In order to ensure legal certainty, clear guidance is needed as regards the information 3rd country admi</w:t>
      </w:r>
      <w:r w:rsidRPr="002F1306">
        <w:t>n</w:t>
      </w:r>
      <w:r w:rsidRPr="002F1306">
        <w:t>istrators need to submit to their Member State of reference in order to claim the exemptions subsequent to the classification to a specific benchmark category. In order to reflect established market practices and ensure the competitiveness of benchmark administrators in a global industry, cost related reasons as well as joint ventures with strategic partners in markets outside the EU should be acknowledged as objective reasons for an endorsement.</w:t>
      </w:r>
    </w:p>
    <w:permEnd w:id="1105555952"/>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2F1306" w:rsidRPr="002F1306" w:rsidRDefault="002F1306" w:rsidP="002F1306">
      <w:permStart w:id="48708414" w:edGrp="everyone"/>
      <w:r w:rsidRPr="002F1306">
        <w:rPr>
          <w:lang w:val="en-US"/>
        </w:rPr>
        <w:t>Disclosure of financial information is not justified by the Level 1 text, except for critical/systemically rel</w:t>
      </w:r>
      <w:r w:rsidRPr="002F1306">
        <w:rPr>
          <w:lang w:val="en-US"/>
        </w:rPr>
        <w:t>e</w:t>
      </w:r>
      <w:r w:rsidRPr="002F1306">
        <w:rPr>
          <w:lang w:val="en-US"/>
        </w:rPr>
        <w:t>vant benchmarks. Therefore a full disclosure of financial information for all benchmarks does not seem proportional.  </w:t>
      </w:r>
    </w:p>
    <w:permEnd w:id="48708414"/>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2F1306" w:rsidRPr="008B3C23" w:rsidRDefault="002F1306" w:rsidP="002F1306">
      <w:pPr>
        <w:rPr>
          <w:rFonts w:ascii="Franklin Gothic Book" w:hAnsi="Franklin Gothic Book"/>
          <w:color w:val="000000" w:themeColor="text1"/>
          <w:sz w:val="21"/>
          <w:szCs w:val="21"/>
        </w:rPr>
      </w:pPr>
      <w:permStart w:id="1973555510" w:edGrp="everyone"/>
      <w:proofErr w:type="gramStart"/>
      <w:r w:rsidRPr="008B3C23">
        <w:rPr>
          <w:rFonts w:ascii="Franklin Gothic Book" w:hAnsi="Franklin Gothic Book"/>
          <w:color w:val="000000" w:themeColor="text1"/>
          <w:sz w:val="21"/>
          <w:szCs w:val="21"/>
        </w:rPr>
        <w:t>Of the elements put for</w:t>
      </w:r>
      <w:r>
        <w:rPr>
          <w:rFonts w:ascii="Franklin Gothic Book" w:hAnsi="Franklin Gothic Book"/>
          <w:color w:val="000000" w:themeColor="text1"/>
          <w:sz w:val="21"/>
          <w:szCs w:val="21"/>
        </w:rPr>
        <w:t>ward</w:t>
      </w:r>
      <w:r w:rsidRPr="008B3C23">
        <w:rPr>
          <w:rFonts w:ascii="Franklin Gothic Book" w:hAnsi="Franklin Gothic Book"/>
          <w:color w:val="000000" w:themeColor="text1"/>
          <w:sz w:val="21"/>
          <w:szCs w:val="21"/>
        </w:rPr>
        <w:t xml:space="preserve"> in </w:t>
      </w:r>
      <w:r>
        <w:rPr>
          <w:rFonts w:ascii="Franklin Gothic Book" w:hAnsi="Franklin Gothic Book"/>
          <w:color w:val="000000" w:themeColor="text1"/>
          <w:sz w:val="21"/>
          <w:szCs w:val="21"/>
        </w:rPr>
        <w:t>p</w:t>
      </w:r>
      <w:r w:rsidRPr="008B3C23">
        <w:rPr>
          <w:rFonts w:ascii="Franklin Gothic Book" w:hAnsi="Franklin Gothic Book"/>
          <w:color w:val="000000" w:themeColor="text1"/>
          <w:sz w:val="21"/>
          <w:szCs w:val="21"/>
        </w:rPr>
        <w:t>aragraph 331, only (iii) seems relevant.</w:t>
      </w:r>
      <w:proofErr w:type="gramEnd"/>
    </w:p>
    <w:permEnd w:id="1973555510"/>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lastRenderedPageBreak/>
        <w:t>&lt;ESMA_QUESTION_DP_BMR_102&gt;</w:t>
      </w:r>
    </w:p>
    <w:p w:rsidR="002F1306" w:rsidRPr="002F1306" w:rsidRDefault="002F1306" w:rsidP="002F1306">
      <w:permStart w:id="983835861" w:edGrp="everyone"/>
      <w:r w:rsidRPr="002F1306">
        <w:t>Many benchmark administrators are global in nature because their clients and investors seek a common approach to benchmarks regardless of location.  Administrators are likely to have multiple offices across the world doing many different functions.  Many of the providers of EU benchmarks may be headquartered outside the EU.  Regulation built on where a company is head quartered is an out-of-date concept.</w:t>
      </w:r>
    </w:p>
    <w:permEnd w:id="983835861"/>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2F1306" w:rsidRPr="002F1306" w:rsidRDefault="002F1306" w:rsidP="002F1306">
      <w:permStart w:id="743531697" w:edGrp="everyone"/>
      <w:r w:rsidRPr="002F1306">
        <w:rPr>
          <w:lang w:val="en-US"/>
        </w:rPr>
        <w:t>If a benchmark were to be changed due to need to follow ESMA guideline and result in breach of financial contracts, that benchmark should be allowed to continue its current duty with regards to those financial contracts without interruption.</w:t>
      </w:r>
    </w:p>
    <w:permEnd w:id="743531697"/>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2F1306" w:rsidRPr="002F1306" w:rsidRDefault="002F1306" w:rsidP="002F1306">
      <w:permStart w:id="273303783" w:edGrp="everyone"/>
      <w:r w:rsidRPr="002F1306">
        <w:rPr>
          <w:lang w:val="en-US"/>
        </w:rPr>
        <w:t>Particular concerns to open-ended funds which track a benchmark that would have to undergo substantial changes to follow ESMA guidelines could greatly change the value of the financial contract to the benc</w:t>
      </w:r>
      <w:r w:rsidRPr="002F1306">
        <w:rPr>
          <w:lang w:val="en-US"/>
        </w:rPr>
        <w:t>h</w:t>
      </w:r>
      <w:r w:rsidRPr="002F1306">
        <w:rPr>
          <w:lang w:val="en-US"/>
        </w:rPr>
        <w:t>mark user (fund company) and client (investor) based their investment decision. As that situation is open ended, it is not easily resolved within the ESMA guidelines and must be further studied to understand investor impact.</w:t>
      </w:r>
    </w:p>
    <w:permEnd w:id="273303783"/>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2067406595" w:edGrp="everyone"/>
      <w:r>
        <w:t>TYPE YOUR TEXT HERE</w:t>
      </w:r>
    </w:p>
    <w:permEnd w:id="2067406595"/>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2F1306" w:rsidRPr="002F1306" w:rsidRDefault="002F1306" w:rsidP="002F1306">
      <w:permStart w:id="315700737" w:edGrp="everyone"/>
      <w:r w:rsidRPr="002F1306">
        <w:rPr>
          <w:lang w:val="en-US"/>
        </w:rPr>
        <w:t>Yes, the two options are adequate, however further study is required to know why it is not in compliance in order to determine the time limit and threshold.</w:t>
      </w:r>
    </w:p>
    <w:permEnd w:id="315700737"/>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2F1306" w:rsidRPr="002F1306" w:rsidRDefault="002F1306" w:rsidP="002F1306">
      <w:permStart w:id="1515981566" w:edGrp="everyone"/>
      <w:r w:rsidRPr="002F1306">
        <w:rPr>
          <w:lang w:val="en-US"/>
        </w:rPr>
        <w:t>A fixed time-limit to resolve a non-compliant benchmark for the financial instruments tracking the benc</w:t>
      </w:r>
      <w:r w:rsidRPr="002F1306">
        <w:rPr>
          <w:lang w:val="en-US"/>
        </w:rPr>
        <w:t>h</w:t>
      </w:r>
      <w:r w:rsidRPr="002F1306">
        <w:rPr>
          <w:lang w:val="en-US"/>
        </w:rPr>
        <w:t xml:space="preserve">mark can be useful to encourage a change in benchmark policy or creation of a new benchmark. However </w:t>
      </w:r>
      <w:r w:rsidRPr="002F1306">
        <w:rPr>
          <w:lang w:val="en-US"/>
        </w:rPr>
        <w:lastRenderedPageBreak/>
        <w:t>the time limit must be viewed reasonably and creation of a new compliant benchmark and appropriate testing to ensure its market representativeness may take longer than a fixed period of 24 months.  The time limit should ensure its existence will not have an undue impact on the underlying market or investors. Thus further study with financial market participants is required to better gauge both the time limit and minimum number of users.</w:t>
      </w:r>
    </w:p>
    <w:permEnd w:id="1515981566"/>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2F1306" w:rsidRDefault="002F1306" w:rsidP="002F1306">
      <w:pPr>
        <w:rPr>
          <w:rFonts w:ascii="Franklin Gothic Book" w:hAnsi="Franklin Gothic Book"/>
          <w:sz w:val="21"/>
          <w:szCs w:val="21"/>
        </w:rPr>
      </w:pPr>
      <w:permStart w:id="1222333904" w:edGrp="everyone"/>
      <w:r w:rsidRPr="00275A17">
        <w:rPr>
          <w:rFonts w:ascii="Franklin Gothic Book" w:hAnsi="Franklin Gothic Book"/>
          <w:sz w:val="21"/>
          <w:szCs w:val="21"/>
          <w:lang w:val="en-US"/>
        </w:rPr>
        <w:t>No suggestions at this time</w:t>
      </w:r>
      <w:r>
        <w:rPr>
          <w:rFonts w:ascii="Franklin Gothic Book" w:hAnsi="Franklin Gothic Book"/>
          <w:sz w:val="21"/>
          <w:szCs w:val="21"/>
          <w:lang w:val="en-US"/>
        </w:rPr>
        <w:t>.</w:t>
      </w:r>
    </w:p>
    <w:permEnd w:id="1222333904"/>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2010860878" w:edGrp="everyone"/>
      <w:r>
        <w:t>TYPE YOUR TEXT HERE</w:t>
      </w:r>
    </w:p>
    <w:permEnd w:id="2010860878"/>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911956602" w:edGrp="everyone"/>
      <w:r>
        <w:t>TYPE YOUR TEXT HERE</w:t>
      </w:r>
    </w:p>
    <w:permEnd w:id="911956602"/>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2F1306" w:rsidRPr="002F1306" w:rsidRDefault="002F1306" w:rsidP="002F1306">
      <w:permStart w:id="1707869703" w:edGrp="everyone"/>
      <w:r w:rsidRPr="002F1306">
        <w:rPr>
          <w:lang w:val="en-US"/>
        </w:rPr>
        <w:t>IIA does not feel that users of benchmarks should liaise directly with the competent authority of the admi</w:t>
      </w:r>
      <w:r w:rsidRPr="002F1306">
        <w:rPr>
          <w:lang w:val="en-US"/>
        </w:rPr>
        <w:t>n</w:t>
      </w:r>
      <w:r w:rsidRPr="002F1306">
        <w:rPr>
          <w:lang w:val="en-US"/>
        </w:rPr>
        <w:t>istrator’s authority. Often times, the benchmark administrator authority will be a different regulatory a</w:t>
      </w:r>
      <w:r w:rsidRPr="002F1306">
        <w:rPr>
          <w:lang w:val="en-US"/>
        </w:rPr>
        <w:t>u</w:t>
      </w:r>
      <w:r w:rsidRPr="002F1306">
        <w:rPr>
          <w:lang w:val="en-US"/>
        </w:rPr>
        <w:t>thority or agency and not part of the user’s direct notion. What is most important is that all involved Co</w:t>
      </w:r>
      <w:r w:rsidRPr="002F1306">
        <w:rPr>
          <w:lang w:val="en-US"/>
        </w:rPr>
        <w:t>m</w:t>
      </w:r>
      <w:r w:rsidRPr="002F1306">
        <w:rPr>
          <w:lang w:val="en-US"/>
        </w:rPr>
        <w:t>petent Authorities have the same understanding and interpretation of the rules. We encourage ESMA to continue its work on ensuring harmonized implementation of EU legislation also as regards the Benc</w:t>
      </w:r>
      <w:r w:rsidRPr="002F1306">
        <w:rPr>
          <w:lang w:val="en-US"/>
        </w:rPr>
        <w:t>h</w:t>
      </w:r>
      <w:r w:rsidRPr="002F1306">
        <w:rPr>
          <w:lang w:val="en-US"/>
        </w:rPr>
        <w:t>mark Regulation.</w:t>
      </w:r>
    </w:p>
    <w:permEnd w:id="1707869703"/>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2F1306" w:rsidRPr="002F1306" w:rsidRDefault="002F1306" w:rsidP="002F1306">
      <w:pPr>
        <w:rPr>
          <w:lang w:val="en-US"/>
        </w:rPr>
      </w:pPr>
      <w:permStart w:id="1356824289" w:edGrp="everyone"/>
      <w:r w:rsidRPr="002F1306">
        <w:rPr>
          <w:lang w:val="en-US"/>
        </w:rPr>
        <w:t xml:space="preserve">It is possible for the benchmark providers/user to provide competent authority an estimate of the number and value of financial instruments provided that a reasonable time frame is agreed upon on delivery of data and that all data is viewed as estimated only. Benchmark providers are generally only able to track benchmark usage via self-reporting of benchmark users. If the users do not accurately self-report, the </w:t>
      </w:r>
      <w:r w:rsidRPr="002F1306">
        <w:rPr>
          <w:lang w:val="en-US"/>
        </w:rPr>
        <w:lastRenderedPageBreak/>
        <w:t>administrator will not be aware and thus cannot be held accountable for that accurate tracking of benc</w:t>
      </w:r>
      <w:r w:rsidRPr="002F1306">
        <w:rPr>
          <w:lang w:val="en-US"/>
        </w:rPr>
        <w:t>h</w:t>
      </w:r>
      <w:r w:rsidRPr="002F1306">
        <w:rPr>
          <w:lang w:val="en-US"/>
        </w:rPr>
        <w:t>mark usage especially in determination of critical and significant benchmarks.</w:t>
      </w:r>
    </w:p>
    <w:permEnd w:id="1356824289"/>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2F1306" w:rsidRPr="002F1306" w:rsidRDefault="002F1306" w:rsidP="002F1306">
      <w:permStart w:id="1493913770" w:edGrp="everyone"/>
      <w:r w:rsidRPr="002F1306">
        <w:rPr>
          <w:lang w:val="en-US"/>
        </w:rPr>
        <w:t>Listed and publicly available financial contracts could be tracked for each benchmark and an estimate then created on the affected quantity from a cessation/adaptation of non-compliant benchmarks.</w:t>
      </w:r>
    </w:p>
    <w:permEnd w:id="1493913770"/>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B0" w:rsidRDefault="00D407B0">
      <w:r>
        <w:separator/>
      </w:r>
    </w:p>
    <w:p w:rsidR="00D407B0" w:rsidRDefault="00D407B0"/>
  </w:endnote>
  <w:endnote w:type="continuationSeparator" w:id="0">
    <w:p w:rsidR="00D407B0" w:rsidRDefault="00D407B0">
      <w:r>
        <w:continuationSeparator/>
      </w:r>
    </w:p>
    <w:p w:rsidR="00D407B0" w:rsidRDefault="00D407B0"/>
  </w:endnote>
  <w:endnote w:type="continuationNotice" w:id="1">
    <w:p w:rsidR="00D407B0" w:rsidRDefault="00D40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407B0" w:rsidRPr="00616B9B" w:rsidTr="00315E96">
      <w:trPr>
        <w:trHeight w:val="284"/>
      </w:trPr>
      <w:tc>
        <w:tcPr>
          <w:tcW w:w="8460" w:type="dxa"/>
        </w:tcPr>
        <w:p w:rsidR="00D407B0" w:rsidRPr="00315E96" w:rsidRDefault="00D407B0" w:rsidP="00315E96">
          <w:pPr>
            <w:pStyle w:val="00Footer"/>
            <w:rPr>
              <w:lang w:val="fr-FR"/>
            </w:rPr>
          </w:pPr>
        </w:p>
      </w:tc>
      <w:tc>
        <w:tcPr>
          <w:tcW w:w="952" w:type="dxa"/>
        </w:tcPr>
        <w:p w:rsidR="00D407B0" w:rsidRPr="00616B9B" w:rsidRDefault="00D407B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76950">
            <w:rPr>
              <w:rFonts w:cs="Arial"/>
              <w:noProof/>
              <w:sz w:val="22"/>
              <w:szCs w:val="22"/>
            </w:rPr>
            <w:t>30</w:t>
          </w:r>
          <w:r w:rsidRPr="00616B9B">
            <w:rPr>
              <w:rFonts w:cs="Arial"/>
              <w:noProof/>
              <w:sz w:val="22"/>
              <w:szCs w:val="22"/>
            </w:rPr>
            <w:fldChar w:fldCharType="end"/>
          </w:r>
        </w:p>
      </w:tc>
    </w:tr>
  </w:tbl>
  <w:p w:rsidR="00D407B0" w:rsidRDefault="00D4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B0" w:rsidRDefault="00D40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B0" w:rsidRDefault="00D407B0">
      <w:r>
        <w:separator/>
      </w:r>
    </w:p>
    <w:p w:rsidR="00D407B0" w:rsidRDefault="00D407B0"/>
  </w:footnote>
  <w:footnote w:type="continuationSeparator" w:id="0">
    <w:p w:rsidR="00D407B0" w:rsidRDefault="00D407B0">
      <w:r>
        <w:continuationSeparator/>
      </w:r>
    </w:p>
    <w:p w:rsidR="00D407B0" w:rsidRDefault="00D407B0"/>
  </w:footnote>
  <w:footnote w:type="continuationNotice" w:id="1">
    <w:p w:rsidR="00D407B0" w:rsidRDefault="00D407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B0" w:rsidRDefault="00D407B0">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B0" w:rsidRDefault="00D407B0"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B0" w:rsidRDefault="00D407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407B0" w:rsidRPr="002F4496" w:rsidTr="000C06C9">
      <w:trPr>
        <w:trHeight w:val="284"/>
      </w:trPr>
      <w:tc>
        <w:tcPr>
          <w:tcW w:w="8460" w:type="dxa"/>
        </w:tcPr>
        <w:p w:rsidR="00D407B0" w:rsidRPr="000C3B6D" w:rsidRDefault="00D407B0" w:rsidP="000C06C9">
          <w:pPr>
            <w:pStyle w:val="00Footer"/>
            <w:rPr>
              <w:lang w:val="fr-FR"/>
            </w:rPr>
          </w:pPr>
        </w:p>
      </w:tc>
      <w:tc>
        <w:tcPr>
          <w:tcW w:w="952" w:type="dxa"/>
        </w:tcPr>
        <w:p w:rsidR="00D407B0" w:rsidRPr="00146B34" w:rsidRDefault="00D407B0" w:rsidP="000C06C9">
          <w:pPr>
            <w:pStyle w:val="00aPagenumber"/>
            <w:rPr>
              <w:lang w:val="fr-FR"/>
            </w:rPr>
          </w:pPr>
        </w:p>
      </w:tc>
    </w:tr>
  </w:tbl>
  <w:p w:rsidR="00D407B0" w:rsidRPr="00DB46C3" w:rsidRDefault="00D407B0">
    <w:pPr>
      <w:rPr>
        <w:lang w:val="fr-FR"/>
      </w:rPr>
    </w:pPr>
  </w:p>
  <w:p w:rsidR="00D407B0" w:rsidRPr="002F4496" w:rsidRDefault="00D407B0">
    <w:pPr>
      <w:pStyle w:val="Header"/>
      <w:rPr>
        <w:lang w:val="fr-FR"/>
      </w:rPr>
    </w:pPr>
  </w:p>
  <w:p w:rsidR="00D407B0" w:rsidRPr="002F4496" w:rsidRDefault="00D407B0" w:rsidP="000C06C9">
    <w:pPr>
      <w:pStyle w:val="Header"/>
      <w:tabs>
        <w:tab w:val="clear" w:pos="4536"/>
        <w:tab w:val="clear" w:pos="9072"/>
        <w:tab w:val="left" w:pos="8227"/>
      </w:tabs>
      <w:rPr>
        <w:lang w:val="fr-FR"/>
      </w:rPr>
    </w:pPr>
  </w:p>
  <w:p w:rsidR="00D407B0" w:rsidRPr="002F4496" w:rsidRDefault="00D407B0" w:rsidP="000C06C9">
    <w:pPr>
      <w:pStyle w:val="Header"/>
      <w:tabs>
        <w:tab w:val="clear" w:pos="4536"/>
        <w:tab w:val="clear" w:pos="9072"/>
        <w:tab w:val="left" w:pos="8227"/>
      </w:tabs>
      <w:rPr>
        <w:lang w:val="fr-FR"/>
      </w:rPr>
    </w:pPr>
  </w:p>
  <w:p w:rsidR="00D407B0" w:rsidRPr="002F4496" w:rsidRDefault="00D407B0">
    <w:pPr>
      <w:pStyle w:val="Header"/>
      <w:rPr>
        <w:lang w:val="fr-FR"/>
      </w:rPr>
    </w:pPr>
  </w:p>
  <w:p w:rsidR="00D407B0" w:rsidRPr="002F4496" w:rsidRDefault="00D407B0">
    <w:pPr>
      <w:pStyle w:val="Header"/>
      <w:rPr>
        <w:lang w:val="fr-FR"/>
      </w:rPr>
    </w:pPr>
  </w:p>
  <w:p w:rsidR="00D407B0" w:rsidRPr="002F4496" w:rsidRDefault="00D407B0">
    <w:pPr>
      <w:pStyle w:val="Header"/>
      <w:rPr>
        <w:lang w:val="fr-FR"/>
      </w:rPr>
    </w:pPr>
  </w:p>
  <w:p w:rsidR="00D407B0" w:rsidRPr="002F4496" w:rsidRDefault="00D407B0">
    <w:pPr>
      <w:pStyle w:val="Header"/>
      <w:rPr>
        <w:lang w:val="fr-FR"/>
      </w:rPr>
    </w:pPr>
  </w:p>
  <w:p w:rsidR="00D407B0" w:rsidRPr="002F4496" w:rsidRDefault="00D407B0">
    <w:pPr>
      <w:pStyle w:val="Header"/>
      <w:rPr>
        <w:highlight w:val="yellow"/>
        <w:lang w:val="fr-FR"/>
      </w:rPr>
    </w:pPr>
  </w:p>
  <w:p w:rsidR="00D407B0" w:rsidRDefault="00D407B0">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6ED0732"/>
    <w:multiLevelType w:val="hybridMultilevel"/>
    <w:tmpl w:val="56BAAE8E"/>
    <w:lvl w:ilvl="0" w:tplc="39E67AC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443CBC"/>
    <w:multiLevelType w:val="hybridMultilevel"/>
    <w:tmpl w:val="7F847944"/>
    <w:lvl w:ilvl="0" w:tplc="0809000F">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1"/>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7"/>
  </w:num>
  <w:num w:numId="36">
    <w:abstractNumId w:val="36"/>
  </w:num>
  <w:num w:numId="37">
    <w:abstractNumId w:val="13"/>
  </w:num>
  <w:num w:numId="38">
    <w:abstractNumId w:val="3"/>
  </w:num>
  <w:num w:numId="39">
    <w:abstractNumId w:val="39"/>
  </w:num>
  <w:num w:numId="40">
    <w:abstractNumId w:val="10"/>
  </w:num>
  <w:num w:numId="4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306"/>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567"/>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39EB"/>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07B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950"/>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5EA"/>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7B21-EF8A-4977-B51D-6FF29B44866B}">
  <ds:schemaRefs>
    <ds:schemaRef ds:uri="http://schemas.openxmlformats.org/officeDocument/2006/bibliography"/>
  </ds:schemaRefs>
</ds:datastoreItem>
</file>

<file path=customXml/itemProps2.xml><?xml version="1.0" encoding="utf-8"?>
<ds:datastoreItem xmlns:ds="http://schemas.openxmlformats.org/officeDocument/2006/customXml" ds:itemID="{65232DFB-CC7E-49AA-89A6-F0D804E8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12522</Words>
  <Characters>72036</Characters>
  <Application>Microsoft Office Word</Application>
  <DocSecurity>8</DocSecurity>
  <Lines>600</Lines>
  <Paragraphs>168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84390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Diercxsens, Christophe</cp:lastModifiedBy>
  <cp:revision>2</cp:revision>
  <cp:lastPrinted>2015-02-18T11:01:00Z</cp:lastPrinted>
  <dcterms:created xsi:type="dcterms:W3CDTF">2016-03-31T14:31:00Z</dcterms:created>
  <dcterms:modified xsi:type="dcterms:W3CDTF">2016-03-31T14:31:00Z</dcterms:modified>
</cp:coreProperties>
</file>