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bookmarkStart w:id="1" w:name="_GoBack"/>
      <w:bookmarkEnd w:id="1"/>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kobling"/>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kobling"/>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Overskrift1"/>
        <w:numPr>
          <w:ilvl w:val="0"/>
          <w:numId w:val="0"/>
        </w:numPr>
        <w:ind w:left="431" w:hanging="431"/>
      </w:pPr>
      <w:r>
        <w:lastRenderedPageBreak/>
        <w:t>Introduction</w:t>
      </w:r>
    </w:p>
    <w:p w:rsidR="00D34282" w:rsidRPr="001D47A5" w:rsidRDefault="00D34282" w:rsidP="00D34282">
      <w:pPr>
        <w:rPr>
          <w:rStyle w:val="Sterkutheving"/>
        </w:rPr>
      </w:pPr>
      <w:r w:rsidRPr="001D47A5">
        <w:rPr>
          <w:rStyle w:val="Sterkuthevi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7B1BDA" w:rsidRDefault="007B1BDA" w:rsidP="007B1BDA">
      <w:permStart w:id="0" w:edGrp="everyone"/>
      <w:r w:rsidRPr="005B2E53">
        <w:t xml:space="preserve">As the industry organisation for the financial industry in Norway, we appreciate </w:t>
      </w:r>
      <w:r w:rsidRPr="0083429B">
        <w:t xml:space="preserve">the opportunity to </w:t>
      </w:r>
      <w:r>
        <w:t>co</w:t>
      </w:r>
      <w:r>
        <w:t>m</w:t>
      </w:r>
      <w:r>
        <w:t xml:space="preserve">ment on the ESMA Discussion Paper on Benchmarks Regulation. First of all, we want to emphasise our support for the comments given both by the EBF and the Danish Bankers Association in this consultation. </w:t>
      </w:r>
    </w:p>
    <w:p w:rsidR="007B1BDA" w:rsidRDefault="007B1BDA" w:rsidP="007B1BDA"/>
    <w:p w:rsidR="007B1BDA" w:rsidRDefault="007B1BDA" w:rsidP="007B1BDA">
      <w:r>
        <w:t>The discussion paper provides valuable insight into how the requirements in the EU Benchmark Regul</w:t>
      </w:r>
      <w:r>
        <w:t>a</w:t>
      </w:r>
      <w:r>
        <w:t>tion (BMR) are to be interpreted and supplemented with Level 2 measures. Although we concur with many of the arguments and solutions presented in the paper, we are somewhat concerned with some detailed requirements, which in our view are making the regulation more strict and creating a burden for the reg</w:t>
      </w:r>
      <w:r>
        <w:t>u</w:t>
      </w:r>
      <w:r>
        <w:t xml:space="preserve">lated entities. One example of this is the (ref. Question 19 in the DP) requirements on the benchmark administrator to keep records of all relevant aspects of the contributors’ processes, which go far beyond the BMR requirements (article 5d). </w:t>
      </w:r>
    </w:p>
    <w:p w:rsidR="007B1BDA" w:rsidRDefault="007B1BDA" w:rsidP="007B1BDA"/>
    <w:p w:rsidR="007B1BDA" w:rsidRDefault="007B1BDA" w:rsidP="00D34282">
      <w:r>
        <w:t>Finance Norway is currently the administrator for the Norwegian Interbank Offered Rates (NIBOR). “Non-critical” interest rates benchmarks belongs a category which fall outside the discussion in the current Discussion Paper. These benchmarks cannot be deemed significant or non</w:t>
      </w:r>
      <w:r>
        <w:t>-</w:t>
      </w:r>
      <w:r>
        <w:t>significant. We feel there is a need for more guidance when it comes to the regulation of these “non-critical” benc</w:t>
      </w:r>
      <w:r>
        <w:t>h</w:t>
      </w:r>
      <w:r>
        <w:t>marks.</w:t>
      </w:r>
    </w:p>
    <w:permEnd w:id="0"/>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9A2624" w:rsidRDefault="009A2624" w:rsidP="009A2624">
      <w:permStart w:id="1" w:edGrp="everyone"/>
      <w:r>
        <w:t>TYPE YOUR TEXT HERE</w:t>
      </w:r>
    </w:p>
    <w:permEnd w:id="1"/>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9A2624" w:rsidRDefault="009A2624" w:rsidP="009A2624">
      <w:permStart w:id="2" w:edGrp="everyone"/>
      <w:r>
        <w:t>TYPE YOUR TEXT HERE</w:t>
      </w:r>
    </w:p>
    <w:permEnd w:id="2"/>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9A2624" w:rsidP="009A2624">
      <w:permStart w:id="3" w:edGrp="everyone"/>
      <w:r>
        <w:t>TYPE YOUR TEXT HERE</w:t>
      </w:r>
    </w:p>
    <w:permEnd w:id="3"/>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9A2624" w:rsidP="009A2624">
      <w:permStart w:id="4" w:edGrp="everyone"/>
      <w:r>
        <w:t>TYPE YOUR TEXT HERE</w:t>
      </w:r>
    </w:p>
    <w:permEnd w:id="4"/>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5" w:edGrp="everyone"/>
      <w:r>
        <w:t>TYPE YOUR TEXT HERE</w:t>
      </w:r>
    </w:p>
    <w:permEnd w:id="5"/>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9A2624" w:rsidP="009A2624">
      <w:permStart w:id="6" w:edGrp="everyone"/>
      <w:r>
        <w:t>TYPE YOUR TEXT HERE</w:t>
      </w:r>
    </w:p>
    <w:permEnd w:id="6"/>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lastRenderedPageBreak/>
        <w:t>&lt;ESMA_QUESTION_DP_BMR_7&gt;</w:t>
      </w:r>
    </w:p>
    <w:p w:rsidR="009A2624" w:rsidRDefault="009A2624" w:rsidP="009A2624">
      <w:permStart w:id="7" w:edGrp="everyone"/>
      <w:r>
        <w:t>TYPE YOUR TEXT HERE</w:t>
      </w:r>
    </w:p>
    <w:permEnd w:id="7"/>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8" w:edGrp="everyone"/>
      <w:r>
        <w:t>TYPE YOUR TEXT HERE</w:t>
      </w:r>
    </w:p>
    <w:permEnd w:id="8"/>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9A2624" w:rsidRDefault="009A2624" w:rsidP="009A2624">
      <w:permStart w:id="9" w:edGrp="everyone"/>
      <w:r>
        <w:t>TYPE YOUR TEXT HERE</w:t>
      </w:r>
    </w:p>
    <w:permEnd w:id="9"/>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10" w:edGrp="everyone"/>
      <w:r>
        <w:t>TYPE YOUR TEXT HERE</w:t>
      </w:r>
    </w:p>
    <w:permEnd w:id="10"/>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11" w:edGrp="everyone"/>
      <w:r>
        <w:t>TYPE YOUR TEXT HERE</w:t>
      </w:r>
    </w:p>
    <w:permEnd w:id="11"/>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12" w:edGrp="everyone"/>
      <w:r>
        <w:t>TYPE YOUR TEXT HERE</w:t>
      </w:r>
    </w:p>
    <w:permEnd w:id="12"/>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w:t>
      </w:r>
      <w:r w:rsidRPr="007F44BF">
        <w:t>o</w:t>
      </w:r>
      <w:r w:rsidRPr="007F44BF">
        <w:t>vided? Please describe the nature, and where possible provide estimates, of these costs.</w:t>
      </w:r>
    </w:p>
    <w:p w:rsidR="009A2624" w:rsidRDefault="009A2624" w:rsidP="009A2624">
      <w:r>
        <w:lastRenderedPageBreak/>
        <w:t>&lt;ESMA_QUESTION_DP_BMR_13&gt;</w:t>
      </w:r>
    </w:p>
    <w:p w:rsidR="009A2624" w:rsidRDefault="009A2624" w:rsidP="009A2624">
      <w:permStart w:id="13" w:edGrp="everyone"/>
      <w:r>
        <w:t>TYPE YOUR TEXT HERE</w:t>
      </w:r>
    </w:p>
    <w:permEnd w:id="13"/>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9A2624" w:rsidP="009A2624">
      <w:permStart w:id="14" w:edGrp="everyone"/>
      <w:r>
        <w:t>TYPE YOUR TEXT HERE</w:t>
      </w:r>
    </w:p>
    <w:permEnd w:id="14"/>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9A2624" w:rsidP="009A2624">
      <w:permStart w:id="15" w:edGrp="everyone"/>
      <w:r>
        <w:t>TYPE YOUR TEXT HERE</w:t>
      </w:r>
    </w:p>
    <w:permEnd w:id="15"/>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9A2624" w:rsidRDefault="009A2624" w:rsidP="009A2624">
      <w:permStart w:id="16" w:edGrp="everyone"/>
      <w:r>
        <w:t>TYPE YOUR TEXT HERE</w:t>
      </w:r>
    </w:p>
    <w:permEnd w:id="16"/>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Default="009A2624" w:rsidP="009A2624">
      <w:permStart w:id="17" w:edGrp="everyone"/>
      <w:r>
        <w:t>TYPE YOUR TEXT HERE</w:t>
      </w:r>
    </w:p>
    <w:permEnd w:id="17"/>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18" w:edGrp="everyone"/>
      <w:r>
        <w:t>TYPE YOUR TEXT HERE</w:t>
      </w:r>
    </w:p>
    <w:permEnd w:id="18"/>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9A2624" w:rsidRDefault="009A2624" w:rsidP="009A2624">
      <w:permStart w:id="19" w:edGrp="everyone"/>
      <w:r>
        <w:t>TYPE YOUR TEXT HERE</w:t>
      </w:r>
    </w:p>
    <w:permEnd w:id="19"/>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 xml:space="preserve">ing the verifiability of input data, weekly transmission is sufficient? Would you instead consider it </w:t>
      </w:r>
      <w:r w:rsidRPr="007F44BF">
        <w:lastRenderedPageBreak/>
        <w:t>appropriate to leave the frequency of transmission to be defined by the administrator (i.e. in the code of conduct)?</w:t>
      </w:r>
    </w:p>
    <w:p w:rsidR="009A2624" w:rsidRDefault="009A2624" w:rsidP="009A2624">
      <w:r>
        <w:t>&lt;ESMA_QUESTION_DP_BMR_20&gt;</w:t>
      </w:r>
    </w:p>
    <w:p w:rsidR="009A2624" w:rsidRDefault="009A2624" w:rsidP="009A2624">
      <w:permStart w:id="20" w:edGrp="everyone"/>
      <w:r>
        <w:t>TYPE YOUR TEXT HERE</w:t>
      </w:r>
    </w:p>
    <w:permEnd w:id="20"/>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9A2624" w:rsidP="009A2624">
      <w:permStart w:id="21" w:edGrp="everyone"/>
      <w:r>
        <w:t>TYPE YOUR TEXT HERE</w:t>
      </w:r>
    </w:p>
    <w:permEnd w:id="21"/>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9A2624" w:rsidP="009A2624">
      <w:permStart w:id="22" w:edGrp="everyone"/>
      <w:r>
        <w:t>TYPE YOUR TEXT HERE</w:t>
      </w:r>
    </w:p>
    <w:permEnd w:id="22"/>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9A2624" w:rsidRDefault="009A2624" w:rsidP="009A2624">
      <w:permStart w:id="23" w:edGrp="everyone"/>
      <w:r>
        <w:t>TYPE YOUR TEXT HERE</w:t>
      </w:r>
    </w:p>
    <w:permEnd w:id="23"/>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9A2624" w:rsidRDefault="009A2624" w:rsidP="009A2624">
      <w:permStart w:id="24" w:edGrp="everyone"/>
      <w:r>
        <w:t>TYPE YOUR TEXT HERE</w:t>
      </w:r>
    </w:p>
    <w:permEnd w:id="24"/>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25" w:edGrp="everyone"/>
      <w:r>
        <w:t>TYPE YOUR TEXT HERE</w:t>
      </w:r>
    </w:p>
    <w:permEnd w:id="25"/>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9A2624" w:rsidRDefault="009A2624" w:rsidP="009A2624">
      <w:permStart w:id="26" w:edGrp="everyone"/>
      <w:r>
        <w:t>TYPE YOUR TEXT HERE</w:t>
      </w:r>
    </w:p>
    <w:permEnd w:id="26"/>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lastRenderedPageBreak/>
        <w:t>&lt;ESMA_QUESTION_DP_BMR_27&gt;</w:t>
      </w:r>
    </w:p>
    <w:p w:rsidR="009A2624" w:rsidRDefault="009A2624" w:rsidP="009A2624">
      <w:permStart w:id="27" w:edGrp="everyone"/>
      <w:r>
        <w:t>TYPE YOUR TEXT HERE</w:t>
      </w:r>
    </w:p>
    <w:permEnd w:id="27"/>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28" w:edGrp="everyone"/>
      <w:r>
        <w:t>TYPE YOUR TEXT HERE</w:t>
      </w:r>
    </w:p>
    <w:permEnd w:id="28"/>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Default="009A2624" w:rsidP="009A2624">
      <w:permStart w:id="29" w:edGrp="everyone"/>
      <w:r>
        <w:t>TYPE YOUR TEXT HERE</w:t>
      </w:r>
    </w:p>
    <w:permEnd w:id="29"/>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9A2624" w:rsidRDefault="009A2624" w:rsidP="009A2624">
      <w:permStart w:id="30" w:edGrp="everyone"/>
      <w:r>
        <w:t>TYPE YOUR TEXT HERE</w:t>
      </w:r>
    </w:p>
    <w:permEnd w:id="30"/>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9A2624" w:rsidRDefault="009A2624" w:rsidP="009A2624">
      <w:permStart w:id="31" w:edGrp="everyone"/>
      <w:r>
        <w:t>TYPE YOUR TEXT HERE</w:t>
      </w:r>
    </w:p>
    <w:permEnd w:id="31"/>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9A2624" w:rsidP="009A2624">
      <w:permStart w:id="32" w:edGrp="everyone"/>
      <w:r>
        <w:t>TYPE YOUR TEXT HERE</w:t>
      </w:r>
    </w:p>
    <w:permEnd w:id="32"/>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9A2624" w:rsidRDefault="009A2624" w:rsidP="009A2624">
      <w:permStart w:id="33" w:edGrp="everyone"/>
      <w:r>
        <w:t>TYPE YOUR TEXT HERE</w:t>
      </w:r>
    </w:p>
    <w:permEnd w:id="33"/>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9A2624" w:rsidRDefault="009A2624" w:rsidP="009A2624">
      <w:permStart w:id="34" w:edGrp="everyone"/>
      <w:r>
        <w:t>TYPE YOUR TEXT HERE</w:t>
      </w:r>
    </w:p>
    <w:permEnd w:id="34"/>
    <w:p w:rsidR="009A2624" w:rsidRDefault="009A2624" w:rsidP="009A2624">
      <w:r>
        <w:lastRenderedPageBreak/>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9A2624" w:rsidP="009A2624">
      <w:permStart w:id="35" w:edGrp="everyone"/>
      <w:r>
        <w:t>TYPE YOUR TEXT HERE</w:t>
      </w:r>
    </w:p>
    <w:permEnd w:id="35"/>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9A2624" w:rsidP="009A2624">
      <w:permStart w:id="36" w:edGrp="everyone"/>
      <w:r>
        <w:t>TYPE YOUR TEXT HERE</w:t>
      </w:r>
    </w:p>
    <w:permEnd w:id="36"/>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9A2624" w:rsidRDefault="009A2624" w:rsidP="009A2624">
      <w:permStart w:id="37" w:edGrp="everyone"/>
      <w:r>
        <w:t>TYPE YOUR TEXT HERE</w:t>
      </w:r>
    </w:p>
    <w:permEnd w:id="37"/>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A2624" w:rsidRDefault="009A2624" w:rsidP="009A2624">
      <w:permStart w:id="38" w:edGrp="everyone"/>
      <w:r>
        <w:t>TYPE YOUR TEXT HERE</w:t>
      </w:r>
    </w:p>
    <w:permEnd w:id="38"/>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Default="009A2624" w:rsidP="009A2624">
      <w:permStart w:id="39" w:edGrp="everyone"/>
      <w:r>
        <w:t>TYPE YOUR TEXT HERE</w:t>
      </w:r>
    </w:p>
    <w:permEnd w:id="39"/>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A2624" w:rsidP="009A2624">
      <w:permStart w:id="40" w:edGrp="everyone"/>
      <w:r>
        <w:t>TYPE YOUR TEXT HERE</w:t>
      </w:r>
    </w:p>
    <w:permEnd w:id="40"/>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 xml:space="preserve">Do you agree that the publication requirements for the internal review of methodology apply regardless of benchmark type? If not, please state which information regarding the internal review </w:t>
      </w:r>
      <w:r w:rsidRPr="007F44BF">
        <w:lastRenderedPageBreak/>
        <w:t>could be differentiated and according to which characteristic of the benchmark or of its input data or of its methodology.</w:t>
      </w:r>
    </w:p>
    <w:p w:rsidR="009A2624" w:rsidRDefault="009A2624" w:rsidP="009A2624">
      <w:r>
        <w:t>&lt;ESMA_QUESTION_DP_BMR_41&gt;</w:t>
      </w:r>
    </w:p>
    <w:p w:rsidR="009A2624" w:rsidRDefault="009A2624" w:rsidP="009A2624">
      <w:permStart w:id="41" w:edGrp="everyone"/>
      <w:r>
        <w:t>TYPE YOUR TEXT HERE</w:t>
      </w:r>
    </w:p>
    <w:permEnd w:id="41"/>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Default="009A2624" w:rsidP="009A2624">
      <w:permStart w:id="42" w:edGrp="everyone"/>
      <w:r>
        <w:t>TYPE YOUR TEXT HERE</w:t>
      </w:r>
    </w:p>
    <w:permEnd w:id="42"/>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43" w:edGrp="everyone"/>
      <w:r>
        <w:t>TYPE YOUR TEXT HERE</w:t>
      </w:r>
    </w:p>
    <w:permEnd w:id="43"/>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44" w:edGrp="everyone"/>
      <w:r>
        <w:t>TYPE YOUR TEXT HERE</w:t>
      </w:r>
    </w:p>
    <w:permEnd w:id="44"/>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45" w:edGrp="everyone"/>
      <w:r>
        <w:t>TYPE YOUR TEXT HERE</w:t>
      </w:r>
    </w:p>
    <w:permEnd w:id="45"/>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46" w:edGrp="everyone"/>
      <w:r>
        <w:t>TYPE YOUR TEXT HERE</w:t>
      </w:r>
    </w:p>
    <w:permEnd w:id="46"/>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lastRenderedPageBreak/>
        <w:t>&lt;ESMA_QUESTION_DP_BMR_47&gt;</w:t>
      </w:r>
    </w:p>
    <w:p w:rsidR="009A2624" w:rsidRDefault="009A2624" w:rsidP="009A2624">
      <w:permStart w:id="47" w:edGrp="everyone"/>
      <w:r>
        <w:t>TYPE YOUR TEXT HERE</w:t>
      </w:r>
    </w:p>
    <w:permEnd w:id="47"/>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48" w:edGrp="everyone"/>
      <w:r>
        <w:t>TYPE YOUR TEXT HERE</w:t>
      </w:r>
    </w:p>
    <w:permEnd w:id="48"/>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49" w:edGrp="everyone"/>
      <w:r>
        <w:t>TYPE YOUR TEXT HERE</w:t>
      </w:r>
    </w:p>
    <w:permEnd w:id="49"/>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50" w:edGrp="everyone"/>
      <w:r>
        <w:t>TYPE YOUR TEXT HERE</w:t>
      </w:r>
    </w:p>
    <w:permEnd w:id="50"/>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9A2624" w:rsidP="009A2624">
      <w:permStart w:id="51" w:edGrp="everyone"/>
      <w:r>
        <w:t>TYPE YOUR TEXT HERE</w:t>
      </w:r>
    </w:p>
    <w:permEnd w:id="51"/>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52" w:edGrp="everyone"/>
      <w:r>
        <w:t>TYPE YOUR TEXT HERE</w:t>
      </w:r>
    </w:p>
    <w:permEnd w:id="52"/>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53" w:edGrp="everyone"/>
      <w:r>
        <w:t>TYPE YOUR TEXT HERE</w:t>
      </w:r>
    </w:p>
    <w:permEnd w:id="53"/>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9A2624" w:rsidP="009A2624">
      <w:permStart w:id="54" w:edGrp="everyone"/>
      <w:r>
        <w:t>TYPE YOUR TEXT HERE</w:t>
      </w:r>
    </w:p>
    <w:permEnd w:id="54"/>
    <w:p w:rsidR="009A2624" w:rsidRDefault="009A2624" w:rsidP="009A2624">
      <w:r>
        <w:lastRenderedPageBreak/>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55" w:edGrp="everyone"/>
      <w:r>
        <w:t>TYPE YOUR TEXT HERE</w:t>
      </w:r>
    </w:p>
    <w:permEnd w:id="55"/>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56" w:edGrp="everyone"/>
      <w:r>
        <w:t>TYPE YOUR TEXT HERE</w:t>
      </w:r>
    </w:p>
    <w:permEnd w:id="56"/>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57" w:edGrp="everyone"/>
      <w:r>
        <w:t>TYPE YOUR TEXT HERE</w:t>
      </w:r>
    </w:p>
    <w:permEnd w:id="57"/>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9A2624" w:rsidRDefault="009A2624" w:rsidP="009A2624">
      <w:permStart w:id="58" w:edGrp="everyone"/>
      <w:r>
        <w:t>TYPE YOUR TEXT HERE</w:t>
      </w:r>
    </w:p>
    <w:permEnd w:id="58"/>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59" w:edGrp="everyone"/>
      <w:r>
        <w:t>TYPE YOUR TEXT HERE</w:t>
      </w:r>
    </w:p>
    <w:permEnd w:id="59"/>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9A2624" w:rsidRDefault="009A2624" w:rsidP="009A2624">
      <w:permStart w:id="60" w:edGrp="everyone"/>
      <w:r>
        <w:t>TYPE YOUR TEXT HERE</w:t>
      </w:r>
    </w:p>
    <w:permEnd w:id="60"/>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61" w:edGrp="everyone"/>
      <w:r>
        <w:t>TYPE YOUR TEXT HERE</w:t>
      </w:r>
    </w:p>
    <w:permEnd w:id="61"/>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lastRenderedPageBreak/>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62" w:edGrp="everyone"/>
      <w:r>
        <w:t>TYPE YOUR TEXT HERE</w:t>
      </w:r>
    </w:p>
    <w:permEnd w:id="62"/>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Default="009A2624" w:rsidP="009A2624">
      <w:permStart w:id="63" w:edGrp="everyone"/>
      <w:r>
        <w:t>TYPE YOUR TEXT HERE</w:t>
      </w:r>
    </w:p>
    <w:permEnd w:id="63"/>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64" w:edGrp="everyone"/>
      <w:r>
        <w:t>TYPE YOUR TEXT HERE</w:t>
      </w:r>
    </w:p>
    <w:permEnd w:id="64"/>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65" w:edGrp="everyone"/>
      <w:r>
        <w:t>TYPE YOUR TEXT HERE</w:t>
      </w:r>
    </w:p>
    <w:permEnd w:id="65"/>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66" w:edGrp="everyone"/>
      <w:r>
        <w:t>TYPE YOUR TEXT HERE</w:t>
      </w:r>
    </w:p>
    <w:permEnd w:id="66"/>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9A2624" w:rsidRDefault="009A2624" w:rsidP="009A2624">
      <w:permStart w:id="67" w:edGrp="everyone"/>
      <w:r>
        <w:t>TYPE YOUR TEXT HERE</w:t>
      </w:r>
    </w:p>
    <w:permEnd w:id="67"/>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68" w:edGrp="everyone"/>
      <w:r>
        <w:t>TYPE YOUR TEXT HERE</w:t>
      </w:r>
    </w:p>
    <w:permEnd w:id="68"/>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9A2624" w:rsidRDefault="009A2624" w:rsidP="009A2624">
      <w:permStart w:id="69" w:edGrp="everyone"/>
      <w:r>
        <w:t>TYPE YOUR TEXT HERE</w:t>
      </w:r>
    </w:p>
    <w:permEnd w:id="69"/>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70" w:edGrp="everyone"/>
      <w:r>
        <w:t>TYPE YOUR TEXT HERE</w:t>
      </w:r>
    </w:p>
    <w:permEnd w:id="70"/>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71" w:edGrp="everyone"/>
      <w:r>
        <w:t>TYPE YOUR TEXT HERE</w:t>
      </w:r>
    </w:p>
    <w:permEnd w:id="71"/>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72" w:edGrp="everyone"/>
      <w:r>
        <w:t>TYPE YOUR TEXT HERE</w:t>
      </w:r>
    </w:p>
    <w:permEnd w:id="72"/>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73" w:edGrp="everyone"/>
      <w:r>
        <w:t>TYPE YOUR TEXT HERE</w:t>
      </w:r>
    </w:p>
    <w:permEnd w:id="73"/>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74" w:edGrp="everyone"/>
      <w:r>
        <w:t>TYPE YOUR TEXT HERE</w:t>
      </w:r>
    </w:p>
    <w:permEnd w:id="74"/>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lastRenderedPageBreak/>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75" w:edGrp="everyone"/>
      <w:r>
        <w:t>TYPE YOUR TEXT HERE</w:t>
      </w:r>
    </w:p>
    <w:permEnd w:id="7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76" w:edGrp="everyone"/>
      <w:r>
        <w:t>TYPE YOUR TEXT HERE</w:t>
      </w:r>
    </w:p>
    <w:permEnd w:id="76"/>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77" w:edGrp="everyone"/>
      <w:r>
        <w:t>TYPE YOUR TEXT HERE</w:t>
      </w:r>
    </w:p>
    <w:permEnd w:id="77"/>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78" w:edGrp="everyone"/>
      <w:r>
        <w:t>TYPE YOUR TEXT HERE</w:t>
      </w:r>
    </w:p>
    <w:permEnd w:id="78"/>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79" w:edGrp="everyone"/>
      <w:r>
        <w:t>TYPE YOUR TEXT HERE</w:t>
      </w:r>
    </w:p>
    <w:permEnd w:id="79"/>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9A2624" w:rsidRDefault="009A2624" w:rsidP="009A2624">
      <w:permStart w:id="80" w:edGrp="everyone"/>
      <w:r>
        <w:lastRenderedPageBreak/>
        <w:t>TYPE YOUR TEXT HERE</w:t>
      </w:r>
    </w:p>
    <w:permEnd w:id="80"/>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9A2624" w:rsidRDefault="009A2624" w:rsidP="009A2624">
      <w:permStart w:id="81" w:edGrp="everyone"/>
      <w:r>
        <w:t>TYPE YOUR TEXT HERE</w:t>
      </w:r>
    </w:p>
    <w:permEnd w:id="81"/>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9A2624" w:rsidP="009A2624">
      <w:permStart w:id="82" w:edGrp="everyone"/>
      <w:r>
        <w:t>TYPE YOUR TEXT HERE</w:t>
      </w:r>
    </w:p>
    <w:permEnd w:id="82"/>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w:t>
      </w:r>
      <w:r w:rsidRPr="007F44BF">
        <w:t>i</w:t>
      </w:r>
      <w:r w:rsidRPr="007F44BF">
        <w:t>able can be sufficiently described by the suggested aspects?</w:t>
      </w:r>
    </w:p>
    <w:p w:rsidR="009A2624" w:rsidRDefault="009A2624" w:rsidP="009A2624">
      <w:r>
        <w:t>&lt;ESMA_QUESTION_DP_BMR_83&gt;</w:t>
      </w:r>
    </w:p>
    <w:p w:rsidR="009A2624" w:rsidRDefault="009A2624" w:rsidP="009A2624">
      <w:permStart w:id="83" w:edGrp="everyone"/>
      <w:r>
        <w:t>TYPE YOUR TEXT HERE</w:t>
      </w:r>
    </w:p>
    <w:permEnd w:id="83"/>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9A2624" w:rsidP="009A2624">
      <w:permStart w:id="84" w:edGrp="everyone"/>
      <w:r>
        <w:t>TYPE YOUR TEXT HERE</w:t>
      </w:r>
    </w:p>
    <w:permEnd w:id="84"/>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9A2624" w:rsidP="009A2624">
      <w:permStart w:id="85" w:edGrp="everyone"/>
      <w:r>
        <w:t>TYPE YOUR TEXT HERE</w:t>
      </w:r>
    </w:p>
    <w:permEnd w:id="85"/>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A2624" w:rsidRDefault="009A2624" w:rsidP="009A2624">
      <w:permStart w:id="86" w:edGrp="everyone"/>
      <w:r>
        <w:t>TYPE YOUR TEXT HERE</w:t>
      </w:r>
    </w:p>
    <w:permEnd w:id="86"/>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lastRenderedPageBreak/>
        <w:t>&lt;ESMA_QUESTION_DP_BMR_87&gt;</w:t>
      </w:r>
    </w:p>
    <w:p w:rsidR="009A2624" w:rsidRDefault="009A2624" w:rsidP="009A2624">
      <w:permStart w:id="87" w:edGrp="everyone"/>
      <w:r>
        <w:t>TYPE YOUR TEXT HERE</w:t>
      </w:r>
    </w:p>
    <w:permEnd w:id="87"/>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9A2624" w:rsidP="009A2624">
      <w:permStart w:id="88" w:edGrp="everyone"/>
      <w:r>
        <w:t>TYPE YOUR TEXT HERE</w:t>
      </w:r>
    </w:p>
    <w:permEnd w:id="88"/>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89" w:edGrp="everyone"/>
      <w:r>
        <w:t>TYPE YOUR TEXT HERE</w:t>
      </w:r>
    </w:p>
    <w:permEnd w:id="89"/>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90" w:edGrp="everyone"/>
      <w:r>
        <w:t>TYPE YOUR TEXT HERE</w:t>
      </w:r>
    </w:p>
    <w:permEnd w:id="90"/>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9A2624" w:rsidRDefault="009A2624" w:rsidP="009A2624">
      <w:permStart w:id="91" w:edGrp="everyone"/>
      <w:r>
        <w:t>TYPE YOUR TEXT HERE</w:t>
      </w:r>
    </w:p>
    <w:permEnd w:id="91"/>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92" w:edGrp="everyone"/>
      <w:r>
        <w:t>TYPE YOUR TEXT HERE</w:t>
      </w:r>
    </w:p>
    <w:permEnd w:id="92"/>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9A2624" w:rsidRDefault="009A2624" w:rsidP="009A2624">
      <w:permStart w:id="93" w:edGrp="everyone"/>
      <w:r>
        <w:t>TYPE YOUR TEXT HERE</w:t>
      </w:r>
    </w:p>
    <w:permEnd w:id="93"/>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lastRenderedPageBreak/>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94" w:edGrp="everyone"/>
      <w:r>
        <w:t>TYPE YOUR TEXT HERE</w:t>
      </w:r>
    </w:p>
    <w:permEnd w:id="94"/>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95" w:edGrp="everyone"/>
      <w:r>
        <w:t>TYPE YOUR TEXT HERE</w:t>
      </w:r>
    </w:p>
    <w:permEnd w:id="95"/>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96" w:edGrp="everyone"/>
      <w:r>
        <w:t>TYPE YOUR TEXT HERE</w:t>
      </w:r>
    </w:p>
    <w:permEnd w:id="96"/>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97" w:edGrp="everyone"/>
      <w:r>
        <w:t>TYPE YOUR TEXT HERE</w:t>
      </w:r>
    </w:p>
    <w:permEnd w:id="97"/>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98" w:edGrp="everyone"/>
      <w:r>
        <w:t>TYPE YOUR TEXT HERE</w:t>
      </w:r>
    </w:p>
    <w:permEnd w:id="98"/>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99" w:edGrp="everyone"/>
      <w:r>
        <w:t>TYPE YOUR TEXT HERE</w:t>
      </w:r>
    </w:p>
    <w:permEnd w:id="99"/>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100" w:edGrp="everyone"/>
      <w:r>
        <w:t>TYPE YOUR TEXT HERE</w:t>
      </w:r>
    </w:p>
    <w:permEnd w:id="100"/>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lastRenderedPageBreak/>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9A2624" w:rsidP="009A2624">
      <w:permStart w:id="101" w:edGrp="everyone"/>
      <w:r>
        <w:t>TYPE YOUR TEXT HERE</w:t>
      </w:r>
    </w:p>
    <w:permEnd w:id="101"/>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02" w:edGrp="everyone"/>
      <w:r>
        <w:t>TYPE YOUR TEXT HERE</w:t>
      </w:r>
    </w:p>
    <w:permEnd w:id="102"/>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103" w:edGrp="everyone"/>
      <w:r>
        <w:t>TYPE YOUR TEXT HERE</w:t>
      </w:r>
    </w:p>
    <w:permEnd w:id="103"/>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04" w:edGrp="everyone"/>
      <w:r>
        <w:t>TYPE YOUR TEXT HERE</w:t>
      </w:r>
    </w:p>
    <w:permEnd w:id="104"/>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05" w:edGrp="everyone"/>
      <w:r>
        <w:t>TYPE YOUR TEXT HERE</w:t>
      </w:r>
    </w:p>
    <w:permEnd w:id="105"/>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06" w:edGrp="everyone"/>
      <w:r>
        <w:t>TYPE YOUR TEXT HERE</w:t>
      </w:r>
    </w:p>
    <w:permEnd w:id="106"/>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lastRenderedPageBreak/>
        <w:t>&lt;ESMA_QUESTION_DP_BMR_107&gt;</w:t>
      </w:r>
    </w:p>
    <w:p w:rsidR="009A2624" w:rsidRDefault="009A2624" w:rsidP="009A2624">
      <w:permStart w:id="107" w:edGrp="everyone"/>
      <w:r>
        <w:t>TYPE YOUR TEXT HERE</w:t>
      </w:r>
    </w:p>
    <w:permEnd w:id="107"/>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108" w:edGrp="everyone"/>
      <w:r>
        <w:t>TYPE YOUR TEXT HERE</w:t>
      </w:r>
    </w:p>
    <w:permEnd w:id="108"/>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09" w:edGrp="everyone"/>
      <w:r>
        <w:t>TYPE YOUR TEXT HERE</w:t>
      </w:r>
    </w:p>
    <w:permEnd w:id="109"/>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10" w:edGrp="everyone"/>
      <w:r>
        <w:t>TYPE YOUR TEXT HERE</w:t>
      </w:r>
    </w:p>
    <w:permEnd w:id="110"/>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111" w:edGrp="everyone"/>
      <w:r>
        <w:t>TYPE YOUR TEXT HERE</w:t>
      </w:r>
    </w:p>
    <w:permEnd w:id="111"/>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A2624" w:rsidRDefault="009A2624" w:rsidP="009A2624">
      <w:permStart w:id="112" w:edGrp="everyone"/>
      <w:r>
        <w:t>TYPE YOUR TEXT HERE</w:t>
      </w:r>
    </w:p>
    <w:permEnd w:id="112"/>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113" w:edGrp="everyone"/>
      <w:r>
        <w:t>TYPE YOUR TEXT HERE</w:t>
      </w:r>
    </w:p>
    <w:permEnd w:id="113"/>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2C" w:rsidRDefault="00BE1E2C">
      <w:r>
        <w:separator/>
      </w:r>
    </w:p>
    <w:p w:rsidR="00BE1E2C" w:rsidRDefault="00BE1E2C"/>
  </w:endnote>
  <w:endnote w:type="continuationSeparator" w:id="0">
    <w:p w:rsidR="00BE1E2C" w:rsidRDefault="00BE1E2C">
      <w:r>
        <w:continuationSeparator/>
      </w:r>
    </w:p>
    <w:p w:rsidR="00BE1E2C" w:rsidRDefault="00BE1E2C"/>
  </w:endnote>
  <w:endnote w:type="continuationNotice" w:id="1">
    <w:p w:rsidR="00BE1E2C" w:rsidRDefault="00BE1E2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CE1A7D"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7B1BDA">
            <w:rPr>
              <w:rFonts w:cs="Arial"/>
              <w:noProof/>
              <w:sz w:val="22"/>
              <w:szCs w:val="22"/>
            </w:rPr>
            <w:t>4</w:t>
          </w:r>
          <w:r w:rsidRPr="00616B9B">
            <w:rPr>
              <w:rFonts w:cs="Arial"/>
              <w:noProof/>
              <w:sz w:val="22"/>
              <w:szCs w:val="22"/>
            </w:rPr>
            <w:fldChar w:fldCharType="end"/>
          </w:r>
        </w:p>
      </w:tc>
    </w:tr>
  </w:tbl>
  <w:p w:rsidR="00811EDA" w:rsidRDefault="00811EDA">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2C" w:rsidRDefault="00BE1E2C">
      <w:r>
        <w:separator/>
      </w:r>
    </w:p>
    <w:p w:rsidR="00BE1E2C" w:rsidRDefault="00BE1E2C"/>
  </w:footnote>
  <w:footnote w:type="continuationSeparator" w:id="0">
    <w:p w:rsidR="00BE1E2C" w:rsidRDefault="00BE1E2C">
      <w:r>
        <w:continuationSeparator/>
      </w:r>
    </w:p>
    <w:p w:rsidR="00BE1E2C" w:rsidRDefault="00BE1E2C"/>
  </w:footnote>
  <w:footnote w:type="continuationNotice" w:id="1">
    <w:p w:rsidR="00BE1E2C" w:rsidRDefault="00BE1E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Topptekst"/>
    </w:pPr>
    <w:r>
      <w:rPr>
        <w:noProof/>
        <w:lang w:val="nb-NO" w:eastAsia="nb-NO"/>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CE1A7D" w:rsidRPr="00CE1A7D">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Topptekst"/>
      <w:jc w:val="right"/>
    </w:pPr>
    <w:r>
      <w:rPr>
        <w:noProof/>
        <w:lang w:val="nb-NO" w:eastAsia="nb-NO"/>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nb-NO" w:eastAsia="nb-NO"/>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Topptekst"/>
      <w:rPr>
        <w:lang w:val="fr-FR"/>
      </w:rPr>
    </w:pPr>
  </w:p>
  <w:p w:rsidR="00811EDA" w:rsidRPr="002F4496" w:rsidRDefault="00811EDA" w:rsidP="000C06C9">
    <w:pPr>
      <w:pStyle w:val="Topptekst"/>
      <w:tabs>
        <w:tab w:val="clear" w:pos="4536"/>
        <w:tab w:val="clear" w:pos="9072"/>
        <w:tab w:val="left" w:pos="8227"/>
      </w:tabs>
      <w:rPr>
        <w:lang w:val="fr-FR"/>
      </w:rPr>
    </w:pPr>
  </w:p>
  <w:p w:rsidR="00811EDA" w:rsidRPr="002F4496" w:rsidRDefault="00811EDA" w:rsidP="000C06C9">
    <w:pPr>
      <w:pStyle w:val="Topptekst"/>
      <w:tabs>
        <w:tab w:val="clear" w:pos="4536"/>
        <w:tab w:val="clear" w:pos="9072"/>
        <w:tab w:val="left" w:pos="8227"/>
      </w:tabs>
      <w:rPr>
        <w:lang w:val="fr-FR"/>
      </w:rPr>
    </w:pPr>
  </w:p>
  <w:p w:rsidR="00811EDA" w:rsidRPr="002F4496" w:rsidRDefault="00811EDA">
    <w:pPr>
      <w:pStyle w:val="Topptekst"/>
      <w:rPr>
        <w:lang w:val="fr-FR"/>
      </w:rPr>
    </w:pPr>
  </w:p>
  <w:p w:rsidR="00811EDA" w:rsidRPr="002F4496" w:rsidRDefault="00811EDA">
    <w:pPr>
      <w:pStyle w:val="Topptekst"/>
      <w:rPr>
        <w:lang w:val="fr-FR"/>
      </w:rPr>
    </w:pPr>
  </w:p>
  <w:p w:rsidR="00811EDA" w:rsidRPr="002F4496" w:rsidRDefault="00811EDA">
    <w:pPr>
      <w:pStyle w:val="Topptekst"/>
      <w:rPr>
        <w:lang w:val="fr-FR"/>
      </w:rPr>
    </w:pPr>
  </w:p>
  <w:p w:rsidR="00811EDA" w:rsidRPr="002F4496" w:rsidRDefault="00811EDA">
    <w:pPr>
      <w:pStyle w:val="Topptekst"/>
      <w:rPr>
        <w:lang w:val="fr-FR"/>
      </w:rPr>
    </w:pPr>
  </w:p>
  <w:p w:rsidR="00811EDA" w:rsidRPr="002F4496" w:rsidRDefault="00811EDA">
    <w:pPr>
      <w:pStyle w:val="Topptekst"/>
      <w:rPr>
        <w:highlight w:val="yellow"/>
        <w:lang w:val="fr-FR"/>
      </w:rPr>
    </w:pPr>
  </w:p>
  <w:p w:rsidR="00811EDA" w:rsidRDefault="00CE1A7D">
    <w:pPr>
      <w:pStyle w:val="Topptekst"/>
    </w:pPr>
    <w:r w:rsidRPr="00CE1A7D">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nb-NO" w:eastAsia="nb-NO"/>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merketliste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Punktmerketliste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Punktmerketliste"/>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Nummerertliste"/>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1F01"/>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1BDA"/>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A7D"/>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B64CB"/>
    <w:pPr>
      <w:tabs>
        <w:tab w:val="center" w:pos="4536"/>
        <w:tab w:val="right" w:pos="9072"/>
      </w:tabs>
    </w:pPr>
  </w:style>
  <w:style w:type="paragraph" w:styleId="Bunntekst">
    <w:name w:val="footer"/>
    <w:basedOn w:val="Normal"/>
    <w:link w:val="BunntekstTegn"/>
    <w:rsid w:val="005B64CB"/>
    <w:pPr>
      <w:tabs>
        <w:tab w:val="center" w:pos="4536"/>
        <w:tab w:val="right" w:pos="9072"/>
      </w:tabs>
    </w:pPr>
  </w:style>
  <w:style w:type="table" w:styleId="Tabellrutenett">
    <w:name w:val="Table Grid"/>
    <w:basedOn w:val="Vanligtabel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l">
    <w:name w:val="page number"/>
    <w:basedOn w:val="Standardskriftforav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H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kobling">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eteks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tnotetekstTegn"/>
    <w:uiPriority w:val="99"/>
    <w:qFormat/>
    <w:rsid w:val="001725A5"/>
    <w:pPr>
      <w:spacing w:line="200" w:lineRule="exact"/>
    </w:pPr>
    <w:rPr>
      <w:sz w:val="16"/>
      <w:szCs w:val="20"/>
    </w:rPr>
  </w:style>
  <w:style w:type="character" w:styleId="Fotnotereferans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H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erknadsreferanse">
    <w:name w:val="annotation reference"/>
    <w:rsid w:val="004B1E61"/>
    <w:rPr>
      <w:sz w:val="16"/>
      <w:szCs w:val="16"/>
    </w:rPr>
  </w:style>
  <w:style w:type="paragraph" w:styleId="Merknadstekst">
    <w:name w:val="annotation text"/>
    <w:basedOn w:val="Normal"/>
    <w:link w:val="MerknadstekstTegn"/>
    <w:rsid w:val="004B1E61"/>
    <w:rPr>
      <w:szCs w:val="20"/>
    </w:rPr>
  </w:style>
  <w:style w:type="character" w:customStyle="1" w:styleId="MerknadstekstTegn">
    <w:name w:val="Merknadstekst Tegn"/>
    <w:link w:val="Merknadstekst"/>
    <w:uiPriority w:val="99"/>
    <w:rsid w:val="004B1E61"/>
    <w:rPr>
      <w:rFonts w:ascii="Georgia" w:hAnsi="Georgia"/>
      <w:lang w:eastAsia="de-DE"/>
    </w:rPr>
  </w:style>
  <w:style w:type="paragraph" w:styleId="Kommentaremne">
    <w:name w:val="annotation subject"/>
    <w:basedOn w:val="Merknadstekst"/>
    <w:next w:val="Merknads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Bobletekst">
    <w:name w:val="Balloon Text"/>
    <w:basedOn w:val="Normal"/>
    <w:link w:val="BobletekstTegn"/>
    <w:rsid w:val="004B1E61"/>
    <w:rPr>
      <w:rFonts w:ascii="Tahoma" w:hAnsi="Tahoma" w:cs="Tahoma"/>
      <w:sz w:val="16"/>
      <w:szCs w:val="16"/>
    </w:rPr>
  </w:style>
  <w:style w:type="character" w:customStyle="1" w:styleId="BobletekstTegn">
    <w:name w:val="Bobletekst Tegn"/>
    <w:link w:val="Bobletekst"/>
    <w:rsid w:val="004B1E61"/>
    <w:rPr>
      <w:rFonts w:ascii="Tahoma" w:hAnsi="Tahoma" w:cs="Tahoma"/>
      <w:sz w:val="16"/>
      <w:szCs w:val="16"/>
      <w:lang w:eastAsia="de-DE"/>
    </w:rPr>
  </w:style>
  <w:style w:type="paragraph" w:styleId="Listeavsnitt">
    <w:name w:val="List Paragraph"/>
    <w:aliases w:val="Paragraphe EI,Paragraphe de liste1,EC"/>
    <w:basedOn w:val="Normal"/>
    <w:link w:val="ListeavsnittTegn"/>
    <w:uiPriority w:val="34"/>
    <w:qFormat/>
    <w:rsid w:val="002A0C82"/>
    <w:pPr>
      <w:ind w:left="720"/>
      <w:contextualSpacing/>
    </w:pPr>
  </w:style>
  <w:style w:type="paragraph" w:styleId="Overskriftforinnholdsfortegnelse">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etekstTegn">
    <w:name w:val="Fotnotetekst Tegn"/>
    <w:aliases w:val="Char3 Tegn, Char3 Tegn,Fußnotentextf Tegn,Fußnotentextr Tegn,stile 1 Tegn,Footnote1 Tegn,Footnote2 Tegn,Footnote3 Tegn,Footnote4 Tegn,Footnote5 Tegn,Footnote6 Tegn,Footnote7 Tegn,Footnote8 Tegn,Footnote9 Tegn,Footnote10 Tegn"/>
    <w:link w:val="Fotnote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forav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theving">
    <w:name w:val="Emphasis"/>
    <w:uiPriority w:val="20"/>
    <w:qFormat/>
    <w:rsid w:val="005F028E"/>
    <w:rPr>
      <w:i/>
      <w:iCs/>
    </w:rPr>
  </w:style>
  <w:style w:type="paragraph" w:styleId="Revisjon">
    <w:name w:val="Revision"/>
    <w:link w:val="RevisjonTegn"/>
    <w:hidden/>
    <w:uiPriority w:val="99"/>
    <w:semiHidden/>
    <w:rsid w:val="008E6A37"/>
    <w:rPr>
      <w:rFonts w:ascii="Georgia" w:hAnsi="Georgia"/>
      <w:sz w:val="22"/>
      <w:szCs w:val="24"/>
      <w:lang w:eastAsia="de-DE"/>
    </w:rPr>
  </w:style>
  <w:style w:type="paragraph" w:styleId="INNH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H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H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H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H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H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H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de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kart">
    <w:name w:val="Document Map"/>
    <w:basedOn w:val="Normal"/>
    <w:link w:val="DokumentkartTegn"/>
    <w:rsid w:val="00AA016B"/>
    <w:rPr>
      <w:rFonts w:ascii="Tahoma" w:hAnsi="Tahoma" w:cs="Tahoma"/>
      <w:sz w:val="16"/>
      <w:szCs w:val="16"/>
    </w:rPr>
  </w:style>
  <w:style w:type="character" w:customStyle="1" w:styleId="DokumentkartTegn">
    <w:name w:val="Dokumentkart Tegn"/>
    <w:link w:val="Dokumentkart"/>
    <w:rsid w:val="00AA016B"/>
    <w:rPr>
      <w:rFonts w:ascii="Tahoma" w:hAnsi="Tahoma" w:cs="Tahoma"/>
      <w:sz w:val="16"/>
      <w:szCs w:val="16"/>
      <w:lang w:eastAsia="de-DE"/>
    </w:rPr>
  </w:style>
  <w:style w:type="paragraph" w:styleId="Rentekst">
    <w:name w:val="Plain Text"/>
    <w:basedOn w:val="Normal"/>
    <w:link w:val="RentekstTegn"/>
    <w:unhideWhenUsed/>
    <w:rsid w:val="00AA016B"/>
    <w:rPr>
      <w:rFonts w:ascii="Consolas" w:hAnsi="Consolas"/>
      <w:sz w:val="21"/>
      <w:szCs w:val="21"/>
      <w:lang w:val="de-DE"/>
    </w:rPr>
  </w:style>
  <w:style w:type="character" w:customStyle="1" w:styleId="RentekstTegn">
    <w:name w:val="Ren tekst Tegn"/>
    <w:link w:val="Ren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e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liste"/>
    <w:uiPriority w:val="99"/>
    <w:semiHidden/>
    <w:unhideWhenUsed/>
    <w:rsid w:val="002D6E1A"/>
  </w:style>
  <w:style w:type="character" w:styleId="Fulgthyperkobling">
    <w:name w:val="FollowedHyperlink"/>
    <w:unhideWhenUsed/>
    <w:rsid w:val="002D6E1A"/>
    <w:rPr>
      <w:color w:val="800080"/>
      <w:u w:val="single"/>
    </w:rPr>
  </w:style>
  <w:style w:type="character" w:customStyle="1" w:styleId="TopptekstTegn">
    <w:name w:val="Topptekst Tegn"/>
    <w:link w:val="Topptekst"/>
    <w:rsid w:val="002D6E1A"/>
    <w:rPr>
      <w:rFonts w:ascii="Georgia" w:hAnsi="Georgia"/>
      <w:sz w:val="22"/>
      <w:szCs w:val="24"/>
      <w:lang w:eastAsia="de-DE"/>
    </w:rPr>
  </w:style>
  <w:style w:type="character" w:customStyle="1" w:styleId="BunntekstTegn">
    <w:name w:val="Bunntekst Tegn"/>
    <w:link w:val="Bunntekst"/>
    <w:rsid w:val="002D6E1A"/>
    <w:rPr>
      <w:rFonts w:ascii="Georgia" w:hAnsi="Georgia"/>
      <w:sz w:val="22"/>
      <w:szCs w:val="24"/>
      <w:lang w:eastAsia="de-DE"/>
    </w:rPr>
  </w:style>
  <w:style w:type="paragraph" w:styleId="Sluttnotetekst">
    <w:name w:val="endnote text"/>
    <w:basedOn w:val="Normal"/>
    <w:link w:val="SluttnotetekstTegn"/>
    <w:unhideWhenUsed/>
    <w:rsid w:val="002D6E1A"/>
    <w:rPr>
      <w:szCs w:val="20"/>
    </w:rPr>
  </w:style>
  <w:style w:type="character" w:customStyle="1" w:styleId="SluttnotetekstTegn">
    <w:name w:val="Sluttnotetekst Tegn"/>
    <w:link w:val="Sluttnotetekst"/>
    <w:rsid w:val="002D6E1A"/>
    <w:rPr>
      <w:rFonts w:ascii="Georgia" w:hAnsi="Georgia"/>
      <w:lang w:eastAsia="de-DE"/>
    </w:rPr>
  </w:style>
  <w:style w:type="paragraph" w:styleId="Nummerertliste">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vsnittTegn">
    <w:name w:val="Listeavsnitt Tegn"/>
    <w:aliases w:val="Paragraphe EI Tegn,Paragraphe de liste1 Tegn,EC Tegn"/>
    <w:link w:val="Listeavsnit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vsnit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tnotereferanse">
    <w:name w:val="endnote reference"/>
    <w:unhideWhenUsed/>
    <w:rsid w:val="002D6E1A"/>
    <w:rPr>
      <w:vertAlign w:val="superscript"/>
    </w:rPr>
  </w:style>
  <w:style w:type="character" w:styleId="Plas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Vanligtabel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Ingen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forav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de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uthevingsfarge3">
    <w:name w:val="Light List Accent 3"/>
    <w:basedOn w:val="Vanligtabel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Vanligtabel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merertliste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merertliste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merertliste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merketliste">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merketliste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merketliste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merketliste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liste">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2">
    <w:name w:val="Listeavsnitt2"/>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Arial" w:hAnsi="Arial"/>
      <w:lang/>
    </w:rPr>
  </w:style>
  <w:style w:type="paragraph" w:styleId="Tittel">
    <w:name w:val="Title"/>
    <w:basedOn w:val="Normal"/>
    <w:next w:val="Normal"/>
    <w:link w:val="Tit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telTegn">
    <w:name w:val="Tittel Tegn"/>
    <w:link w:val="Tit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jonTegn">
    <w:name w:val="Revisjon Tegn"/>
    <w:link w:val="Revisjon"/>
    <w:uiPriority w:val="99"/>
    <w:semiHidden/>
    <w:locked/>
    <w:rsid w:val="000D2D0B"/>
    <w:rPr>
      <w:rFonts w:ascii="Georgia" w:hAnsi="Georgia"/>
      <w:sz w:val="22"/>
      <w:szCs w:val="24"/>
      <w:lang w:eastAsia="de-DE"/>
    </w:rPr>
  </w:style>
  <w:style w:type="table" w:customStyle="1" w:styleId="TableGrid2">
    <w:name w:val="Table Grid2"/>
    <w:basedOn w:val="Vanligtabell"/>
    <w:next w:val="Tabellrutenett"/>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vakuthev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forav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erkutheving">
    <w:name w:val="Intense Emphasis"/>
    <w:basedOn w:val="Standardskriftforavsnitt"/>
    <w:uiPriority w:val="21"/>
    <w:qFormat/>
    <w:rsid w:val="00D34282"/>
    <w:rPr>
      <w:b/>
      <w:bCs/>
      <w:i/>
      <w:iCs/>
    </w:rPr>
  </w:style>
  <w:style w:type="character" w:customStyle="1" w:styleId="CPTitle1Char">
    <w:name w:val="CP_Title1 Char"/>
    <w:basedOn w:val="Standardskriftforav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forav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foravsnit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2EB3-6D3D-4B58-970E-C6F4D899EEE7}">
  <ds:schemaRefs>
    <ds:schemaRef ds:uri="http://schemas.openxmlformats.org/officeDocument/2006/bibliography"/>
  </ds:schemaRefs>
</ds:datastoreItem>
</file>

<file path=customXml/itemProps2.xml><?xml version="1.0" encoding="utf-8"?>
<ds:datastoreItem xmlns:ds="http://schemas.openxmlformats.org/officeDocument/2006/customXml" ds:itemID="{2F2BC45F-0B93-4E85-AAC3-B199496A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4988</Words>
  <Characters>30287</Characters>
  <Application>Microsoft Office Word</Application>
  <DocSecurity>8</DocSecurity>
  <Lines>252</Lines>
  <Paragraphs>70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35205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peres</cp:lastModifiedBy>
  <cp:revision>2</cp:revision>
  <cp:lastPrinted>2015-02-18T11:01:00Z</cp:lastPrinted>
  <dcterms:created xsi:type="dcterms:W3CDTF">2016-03-31T16:05:00Z</dcterms:created>
  <dcterms:modified xsi:type="dcterms:W3CDTF">2016-03-31T16:05:00Z</dcterms:modified>
</cp:coreProperties>
</file>