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bookmarkStart w:id="1" w:name="_GoBack"/>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bookmarkEnd w:id="1"/>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064D57" w:rsidRDefault="00064D57" w:rsidP="00064D57">
      <w:permStart w:id="1574779179" w:edGrp="everyone"/>
      <w:r>
        <w:t>Euronext is the primary exchange in the Eurozone with more than 1 300 listed issuers worth more than €3.0 trillion in market capitalization as of end December 2015, an unmatched blue chip franchise consis</w:t>
      </w:r>
      <w:r>
        <w:t>t</w:t>
      </w:r>
      <w:r>
        <w:t>ing of 25 issuers in the EURO STOXX 50® benchmark and a strong diverse domestic and international client base.</w:t>
      </w:r>
    </w:p>
    <w:p w:rsidR="00F35079" w:rsidRDefault="00F35079" w:rsidP="00064D57"/>
    <w:p w:rsidR="00064D57" w:rsidRDefault="00064D57" w:rsidP="00064D57">
      <w:r>
        <w:t>Euronext operates regulated and transparent equity and derivatives markets. Its total product offering includes Equities, Exchange Traded Funds, Warrants &amp; Certificates, Bonds, Derivatives, Commodities and Indices. Euronext also leverages its expertise in running markets by providing technology and ma</w:t>
      </w:r>
      <w:r>
        <w:t>n</w:t>
      </w:r>
      <w:r>
        <w:t xml:space="preserve">aged services to third parties. Euronext operates regulated markets, </w:t>
      </w:r>
      <w:proofErr w:type="spellStart"/>
      <w:r>
        <w:t>Alternext</w:t>
      </w:r>
      <w:proofErr w:type="spellEnd"/>
      <w:r>
        <w:t xml:space="preserve"> and the Free Market; in addition it offers </w:t>
      </w:r>
      <w:proofErr w:type="spellStart"/>
      <w:r>
        <w:t>EnterNext</w:t>
      </w:r>
      <w:proofErr w:type="spellEnd"/>
      <w:r>
        <w:t>, which facilitates SMEs’ access to capital markets.</w:t>
      </w:r>
    </w:p>
    <w:p w:rsidR="00F35079" w:rsidRDefault="00F35079" w:rsidP="00064D57">
      <w:pPr>
        <w:jc w:val="both"/>
      </w:pPr>
    </w:p>
    <w:p w:rsidR="00F35079" w:rsidRDefault="00F35079" w:rsidP="00064D57">
      <w:pPr>
        <w:jc w:val="both"/>
      </w:pPr>
      <w:r>
        <w:t>Euronext welcomes the opportunity to respond to the Discussion Paper published by ESMA. First, Euro</w:t>
      </w:r>
      <w:r>
        <w:t>n</w:t>
      </w:r>
      <w:r>
        <w:t>ext would like to make a couple of general comments.</w:t>
      </w:r>
    </w:p>
    <w:p w:rsidR="00F35079" w:rsidRDefault="00F35079" w:rsidP="00064D57">
      <w:pPr>
        <w:jc w:val="both"/>
      </w:pPr>
    </w:p>
    <w:p w:rsidR="00F35079" w:rsidRPr="00F35079" w:rsidRDefault="00F35079" w:rsidP="00F35079">
      <w:pPr>
        <w:jc w:val="both"/>
        <w:rPr>
          <w:b/>
        </w:rPr>
      </w:pPr>
      <w:r w:rsidRPr="00F35079">
        <w:rPr>
          <w:b/>
        </w:rPr>
        <w:t>General comments</w:t>
      </w:r>
    </w:p>
    <w:p w:rsidR="00F35079" w:rsidRDefault="00F35079" w:rsidP="00F35079">
      <w:pPr>
        <w:jc w:val="both"/>
      </w:pPr>
    </w:p>
    <w:p w:rsidR="00F35079" w:rsidRDefault="00F35079" w:rsidP="00F35079">
      <w:pPr>
        <w:jc w:val="both"/>
      </w:pPr>
      <w:r>
        <w:t xml:space="preserve">While we welcome the finalisation of the Benchmark Regulation (the “BMR”) as it will create more legal certainty as well as a level playing field in terms of application, Euronext has some remaining concerns about some of </w:t>
      </w:r>
      <w:r w:rsidR="00F56A4F">
        <w:t xml:space="preserve">the </w:t>
      </w:r>
      <w:r>
        <w:t xml:space="preserve">definitions </w:t>
      </w:r>
      <w:r w:rsidR="00F56A4F">
        <w:t xml:space="preserve">in the BMR </w:t>
      </w:r>
      <w:r>
        <w:t>a</w:t>
      </w:r>
      <w:r w:rsidR="00F56A4F">
        <w:t>nd their scope. In this regard, we consider</w:t>
      </w:r>
      <w:r>
        <w:t xml:space="preserve"> it important to point out these concerns as they could stand in the way of legal clarity and certainty. </w:t>
      </w:r>
    </w:p>
    <w:p w:rsidR="00F56A4F" w:rsidRDefault="00F56A4F" w:rsidP="00F35079">
      <w:pPr>
        <w:jc w:val="both"/>
      </w:pPr>
    </w:p>
    <w:p w:rsidR="00F35079" w:rsidRPr="00F56A4F" w:rsidRDefault="00F35079" w:rsidP="00F35079">
      <w:pPr>
        <w:jc w:val="both"/>
        <w:rPr>
          <w:b/>
        </w:rPr>
      </w:pPr>
      <w:r w:rsidRPr="00F56A4F">
        <w:rPr>
          <w:b/>
        </w:rPr>
        <w:t>The definition of a ‘single price’ in relation to the exemption from scope</w:t>
      </w:r>
    </w:p>
    <w:p w:rsidR="00F56A4F" w:rsidRDefault="00F56A4F" w:rsidP="00F35079">
      <w:pPr>
        <w:jc w:val="both"/>
      </w:pPr>
    </w:p>
    <w:p w:rsidR="00F35079" w:rsidRDefault="00F35079" w:rsidP="00F35079">
      <w:pPr>
        <w:jc w:val="both"/>
      </w:pPr>
      <w:r>
        <w:t>Article 2 of the BMR clarifies the scope in the sense that the provision of single reference prices for any financial instrument is exempted from scope. We understand this to refer to the practice of market oper</w:t>
      </w:r>
      <w:r>
        <w:t>a</w:t>
      </w:r>
      <w:r>
        <w:t>tors operating trading venues and – to that effect – operating an order book which publishes many indivi</w:t>
      </w:r>
      <w:r>
        <w:t>d</w:t>
      </w:r>
      <w:r>
        <w:t>ual prices continuously throughout the day, that being one of the core functions of a market operator. We assume that this function and therewith any individual price Euronext publishes or makes available in the context of its function of a market operator, is not in scope of the BMR.</w:t>
      </w:r>
    </w:p>
    <w:p w:rsidR="00F56A4F" w:rsidRDefault="00F56A4F" w:rsidP="00F35079">
      <w:pPr>
        <w:jc w:val="both"/>
      </w:pPr>
    </w:p>
    <w:p w:rsidR="00F35079" w:rsidRPr="00F56A4F" w:rsidRDefault="00F35079" w:rsidP="00F35079">
      <w:pPr>
        <w:jc w:val="both"/>
        <w:rPr>
          <w:b/>
        </w:rPr>
      </w:pPr>
      <w:r w:rsidRPr="00F56A4F">
        <w:rPr>
          <w:b/>
        </w:rPr>
        <w:t>The definition of ‘regulated-data benchmark’ – third country data</w:t>
      </w:r>
    </w:p>
    <w:p w:rsidR="00F56A4F" w:rsidRDefault="00F56A4F" w:rsidP="00F35079">
      <w:pPr>
        <w:jc w:val="both"/>
      </w:pPr>
    </w:p>
    <w:p w:rsidR="00F35079" w:rsidRDefault="00F35079" w:rsidP="00F35079">
      <w:pPr>
        <w:jc w:val="both"/>
      </w:pPr>
      <w:r>
        <w:t xml:space="preserve">A regulated-data benchmark is defined as being sourced </w:t>
      </w:r>
      <w:r w:rsidRPr="00817C87">
        <w:rPr>
          <w:i/>
        </w:rPr>
        <w:t>“entirely and directly”</w:t>
      </w:r>
      <w:r>
        <w:t xml:space="preserve"> from a number of sources, including a trading venue as defined in </w:t>
      </w:r>
      <w:proofErr w:type="spellStart"/>
      <w:r>
        <w:t>MiFID</w:t>
      </w:r>
      <w:proofErr w:type="spellEnd"/>
      <w:r>
        <w:t xml:space="preserve"> II. The </w:t>
      </w:r>
      <w:proofErr w:type="spellStart"/>
      <w:r>
        <w:t>MiFID</w:t>
      </w:r>
      <w:proofErr w:type="spellEnd"/>
      <w:r>
        <w:t xml:space="preserve"> II definition of a</w:t>
      </w:r>
      <w:r w:rsidR="00EF4F56">
        <w:t xml:space="preserve"> ‘trading venue’ referenced in A</w:t>
      </w:r>
      <w:r>
        <w:t>rticle 3</w:t>
      </w:r>
      <w:r w:rsidR="00EF4F56">
        <w:t>(1)</w:t>
      </w:r>
      <w:r>
        <w:t>(20</w:t>
      </w:r>
      <w:r w:rsidR="006149DD">
        <w:t>)(</w:t>
      </w:r>
      <w:r>
        <w:t xml:space="preserve">a) is – however - not limited to EU trading venues, meaning that the current text </w:t>
      </w:r>
      <w:r w:rsidR="00110E85">
        <w:t xml:space="preserve">of Level I </w:t>
      </w:r>
      <w:r>
        <w:t>does not provide for a separate treatment of 3rd country data providers. We believe that the applicable conditions should be explicitly indicated as global indices that use data from non-EU trading venues are regulated as regulated data benchmarks. Furthermore, in the IOSCO Assessment Methodology a Reg</w:t>
      </w:r>
      <w:r>
        <w:t>u</w:t>
      </w:r>
      <w:r>
        <w:t xml:space="preserve">lated Market or Exchange is defined as: </w:t>
      </w:r>
      <w:r w:rsidRPr="00817C87">
        <w:rPr>
          <w:i/>
        </w:rPr>
        <w:t xml:space="preserve">“A market or exchange that is regulated and / or supervised by a Regulatory Authority.” </w:t>
      </w:r>
    </w:p>
    <w:p w:rsidR="00817C87" w:rsidRDefault="00817C87" w:rsidP="00F35079">
      <w:pPr>
        <w:jc w:val="both"/>
      </w:pPr>
    </w:p>
    <w:p w:rsidR="00F35079" w:rsidRPr="00817C87" w:rsidRDefault="00F35079" w:rsidP="00F35079">
      <w:pPr>
        <w:jc w:val="both"/>
        <w:rPr>
          <w:b/>
        </w:rPr>
      </w:pPr>
      <w:r w:rsidRPr="00817C87">
        <w:rPr>
          <w:b/>
        </w:rPr>
        <w:t>The definition of ‘regulated-data benchmark’ – data vendors</w:t>
      </w:r>
    </w:p>
    <w:p w:rsidR="00817C87" w:rsidRDefault="00817C87" w:rsidP="00F35079">
      <w:pPr>
        <w:jc w:val="both"/>
      </w:pPr>
    </w:p>
    <w:p w:rsidR="00D34282" w:rsidRDefault="00F35079" w:rsidP="00064D57">
      <w:pPr>
        <w:jc w:val="both"/>
      </w:pPr>
      <w:r>
        <w:t xml:space="preserve">The Level 1 text also does not specify the treatment of data sourced from third party vendors. There is currently legal uncertainty as to how vendors should be considered with regard to the </w:t>
      </w:r>
      <w:r w:rsidRPr="00BC0227">
        <w:rPr>
          <w:i/>
        </w:rPr>
        <w:t>“entirely and direc</w:t>
      </w:r>
      <w:r w:rsidRPr="00BC0227">
        <w:rPr>
          <w:i/>
        </w:rPr>
        <w:t>t</w:t>
      </w:r>
      <w:r w:rsidR="00817C87" w:rsidRPr="00BC0227">
        <w:rPr>
          <w:i/>
        </w:rPr>
        <w:t>ly”</w:t>
      </w:r>
      <w:r w:rsidR="00817C87">
        <w:t xml:space="preserve"> provision. Benchmark a</w:t>
      </w:r>
      <w:r>
        <w:t xml:space="preserve">dministrators usually do not </w:t>
      </w:r>
      <w:r w:rsidR="00817C87">
        <w:t>take direct feeds from trading venues</w:t>
      </w:r>
      <w:r>
        <w:t xml:space="preserve"> but use data vendors in o</w:t>
      </w:r>
      <w:r w:rsidR="00817C87">
        <w:t>rder to access regulated</w:t>
      </w:r>
      <w:r>
        <w:t xml:space="preserve"> data, both from trading venues in the EU as well as outside of the EU. We would assume that even if this data is </w:t>
      </w:r>
      <w:r w:rsidR="00817C87">
        <w:t>not sourced via a direct link f</w:t>
      </w:r>
      <w:r>
        <w:t>r</w:t>
      </w:r>
      <w:r w:rsidR="00817C87">
        <w:t>o</w:t>
      </w:r>
      <w:r>
        <w:t xml:space="preserve">m the trading venue, but via a third party </w:t>
      </w:r>
      <w:r w:rsidR="00817C87">
        <w:t xml:space="preserve">like a data vendor </w:t>
      </w:r>
      <w:r>
        <w:t>that forwards this data unaltered to other parties, this would still match the intent of the definition.</w:t>
      </w:r>
    </w:p>
    <w:permEnd w:id="1574779179"/>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1E748A" w:rsidRDefault="001E748A" w:rsidP="001E748A">
      <w:permStart w:id="1326659769" w:edGrp="everyone"/>
      <w:r>
        <w:t>We certainly understand the challenges of capturing the different types and structures of benchmarks in the European Union and the  flexibility regulators wish to have in order to be able to place those benc</w:t>
      </w:r>
      <w:r>
        <w:t>h</w:t>
      </w:r>
      <w:r w:rsidR="00493F98">
        <w:t>marks</w:t>
      </w:r>
      <w:r>
        <w:t xml:space="preserve"> that were originally intended to be in scope.</w:t>
      </w:r>
    </w:p>
    <w:p w:rsidR="009A2624" w:rsidRDefault="00493F98" w:rsidP="001E748A">
      <w:r>
        <w:t>Having said that, striking a</w:t>
      </w:r>
      <w:r w:rsidR="001E748A">
        <w:t xml:space="preserve"> balance will be important. Prior to market application it should be clear, for any type of institution, whether or not their business is covered by regulation: some degree of legal certainty beforehand matters. Bearing this in mind, we believe having ESMA give clear guidance on what they believe to be the scope (for instance by way of a further Q&amp;A) could be helpful, while at the same time giving ESMA flexibility by way of the proposed language.</w:t>
      </w:r>
    </w:p>
    <w:permEnd w:id="1326659769"/>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FA4416" w:rsidRDefault="00FA4416" w:rsidP="00FA4416">
      <w:permStart w:id="713705737" w:edGrp="everyone"/>
      <w:r>
        <w:t>In lin</w:t>
      </w:r>
      <w:r w:rsidR="00493F98">
        <w:t>e with our remark under Q</w:t>
      </w:r>
      <w:r w:rsidR="006149DD">
        <w:t xml:space="preserve"> 1</w:t>
      </w:r>
      <w:r>
        <w:t>, Euronext would recommend some clarity in advance on how this notion will be applied by ESMA. In that respect, and in order to positively verify the scope of the definition in question, there could be a se</w:t>
      </w:r>
      <w:r w:rsidR="0018104F">
        <w:t>t of variables against which</w:t>
      </w:r>
      <w:r>
        <w:t xml:space="preserve"> ESMA could evaluate if an index has been made available to the public. These could include:</w:t>
      </w:r>
    </w:p>
    <w:p w:rsidR="0018104F" w:rsidRDefault="00FA4416" w:rsidP="00FA4416">
      <w:pPr>
        <w:pStyle w:val="ListParagraph"/>
        <w:numPr>
          <w:ilvl w:val="0"/>
          <w:numId w:val="40"/>
        </w:numPr>
      </w:pPr>
      <w:r>
        <w:t>the technical means: information is made available via a data feed accessible to multiple or a si</w:t>
      </w:r>
      <w:r>
        <w:t>n</w:t>
      </w:r>
      <w:r>
        <w:t>gle party, a market data vendor, published directly on the internet, provided to a selected group of parties (members or customers) of a trading platform or SI, information provided per e-mail or mail, etc</w:t>
      </w:r>
      <w:r w:rsidR="0018104F">
        <w:t>.</w:t>
      </w:r>
    </w:p>
    <w:p w:rsidR="0018104F" w:rsidRDefault="0018104F" w:rsidP="0018104F">
      <w:pPr>
        <w:pStyle w:val="ListParagraph"/>
      </w:pPr>
    </w:p>
    <w:p w:rsidR="009A2624" w:rsidRDefault="00FA4416" w:rsidP="00FA4416">
      <w:pPr>
        <w:pStyle w:val="ListParagraph"/>
        <w:numPr>
          <w:ilvl w:val="0"/>
          <w:numId w:val="40"/>
        </w:numPr>
      </w:pPr>
      <w:r>
        <w:t>the commercial means: is a fee being charged, are there specific user groups.</w:t>
      </w:r>
    </w:p>
    <w:permEnd w:id="713705737"/>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9A2624" w:rsidRDefault="00EE568A" w:rsidP="009A2624">
      <w:permStart w:id="1405560469" w:edGrp="everyone"/>
      <w:r w:rsidRPr="00EE568A">
        <w:t>Euronext does support alignment with the IOSC</w:t>
      </w:r>
      <w:r w:rsidR="00493F98">
        <w:t>O principles</w:t>
      </w:r>
      <w:r w:rsidRPr="00EE568A">
        <w:t xml:space="preserve"> as we feel that this promotes global superv</w:t>
      </w:r>
      <w:r w:rsidRPr="00EE568A">
        <w:t>i</w:t>
      </w:r>
      <w:r w:rsidRPr="00EE568A">
        <w:t>sory convergence in a field that is very much a global business. We do feel, however, that – although certain elements are mentioned as being key in defining the responsibility of the administrator – it should also be made clear that some of these elements can be outsourced to other parties while the overall responsibility lies with the administrator. It should be clear that the responsibility for regulatory compliance lies with one party, even if certain activities are outsourced.</w:t>
      </w:r>
    </w:p>
    <w:permEnd w:id="1405560469"/>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9A2624" w:rsidRDefault="00EE568A" w:rsidP="009A2624">
      <w:permStart w:id="827012240" w:edGrp="everyone"/>
      <w:r w:rsidRPr="00EE568A">
        <w:t xml:space="preserve">We understand the difficulty of the text at Level I possibly limiting the scope. In terms of ‘issuance’ we feel it is important to understand that exchanges (market operators) do not ’issue’ financial instruments. Market operators create contract terms for exchange traded derivatives such as options and futures. These contract terms are consequently published </w:t>
      </w:r>
      <w:r w:rsidR="003223BF">
        <w:t>and traded</w:t>
      </w:r>
      <w:r w:rsidRPr="00EE568A">
        <w:t xml:space="preserve">. We do not believe that this practice should be </w:t>
      </w:r>
      <w:r w:rsidRPr="00EE568A">
        <w:lastRenderedPageBreak/>
        <w:t>covered by the term ‘issuance’ given t</w:t>
      </w:r>
      <w:r w:rsidR="007D7D31">
        <w:t xml:space="preserve">he potential for </w:t>
      </w:r>
      <w:r w:rsidRPr="00EE568A">
        <w:t>possible knock on effects of other regulations that do not – and should not - apply to th</w:t>
      </w:r>
      <w:r w:rsidR="007D7D31">
        <w:t>is practice</w:t>
      </w:r>
      <w:r w:rsidRPr="00EE568A">
        <w:t>. There should be no unintended consequences of applying a term that – in reality – does not fit the practice of market operators creating exchange traded derivative contracts.</w:t>
      </w:r>
    </w:p>
    <w:permEnd w:id="827012240"/>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9A2624" w:rsidRDefault="007D7D31" w:rsidP="009A2624">
      <w:permStart w:id="2040420941" w:edGrp="everyone"/>
      <w:r w:rsidRPr="00EE568A">
        <w:t>We understand the difficulty of the text at Level I possibly limiting the scope. In terms of ‘issuance’ we feel it is important to understand that exchanges (market operators) do not ’issue’ financial instruments. Market operators create contract terms for exchange traded derivatives such as options and futures. These contract terms are cons</w:t>
      </w:r>
      <w:r w:rsidR="003A59E3">
        <w:t>equently published and traded</w:t>
      </w:r>
      <w:r w:rsidRPr="00EE568A">
        <w:t>. We do not believe that this practice should be covered by the term ‘issuance’ given t</w:t>
      </w:r>
      <w:r>
        <w:t xml:space="preserve">he potential for </w:t>
      </w:r>
      <w:r w:rsidR="003A59E3">
        <w:t>possible knock on effects of</w:t>
      </w:r>
      <w:r w:rsidRPr="00EE568A">
        <w:t xml:space="preserve"> other regulations that do not – and should not - apply to th</w:t>
      </w:r>
      <w:r>
        <w:t>is practice</w:t>
      </w:r>
      <w:r w:rsidRPr="00EE568A">
        <w:t>. There should be no unintended consequences of applying a term that – in reality – does not fit the practice of market operators creating exchange traded derivative contracts.</w:t>
      </w:r>
    </w:p>
    <w:permEnd w:id="2040420941"/>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AC63CB" w:rsidRPr="00AC63CB" w:rsidRDefault="00EF1A76" w:rsidP="00870886">
      <w:pPr>
        <w:rPr>
          <w:b/>
        </w:rPr>
      </w:pPr>
      <w:permStart w:id="1544160861" w:edGrp="everyone"/>
      <w:r>
        <w:rPr>
          <w:b/>
        </w:rPr>
        <w:t>One</w:t>
      </w:r>
      <w:r w:rsidR="00AC63CB" w:rsidRPr="00AC63CB">
        <w:rPr>
          <w:b/>
        </w:rPr>
        <w:t xml:space="preserve"> general oversight committee</w:t>
      </w:r>
    </w:p>
    <w:p w:rsidR="00870886" w:rsidRDefault="00870886" w:rsidP="00870886">
      <w:r>
        <w:t>We agree with ESMA</w:t>
      </w:r>
      <w:r w:rsidR="003A59E3">
        <w:t>’</w:t>
      </w:r>
      <w:r w:rsidR="006149DD">
        <w:t>s assumption in para 38</w:t>
      </w:r>
      <w:r>
        <w:t xml:space="preserve"> that it should be possible to create an oversight function for families of benchmarks. From a market operator’s perspective, the most efficient approach would be a single oversight committee for all indices that are based on regulated data. In any case, we would support one general oversight committee a</w:t>
      </w:r>
      <w:r w:rsidR="006149DD">
        <w:t>s suggested by ESMA in para 43.</w:t>
      </w:r>
      <w:r>
        <w:t xml:space="preserve"> This would be beneficial to the ove</w:t>
      </w:r>
      <w:r>
        <w:t>r</w:t>
      </w:r>
      <w:r>
        <w:t>sight committee as it would have a complete view of that type of business and would be cost efficient and effective for the market operator and ultimate users of the benchmarks.</w:t>
      </w:r>
    </w:p>
    <w:p w:rsidR="00870886" w:rsidRDefault="00870886" w:rsidP="00870886"/>
    <w:p w:rsidR="00AC63CB" w:rsidRPr="00AC63CB" w:rsidRDefault="00AC63CB" w:rsidP="00870886">
      <w:pPr>
        <w:rPr>
          <w:b/>
        </w:rPr>
      </w:pPr>
      <w:r>
        <w:rPr>
          <w:b/>
        </w:rPr>
        <w:t>Conflicts of interest</w:t>
      </w:r>
    </w:p>
    <w:p w:rsidR="00870886" w:rsidRDefault="00870886" w:rsidP="00870886">
      <w:r>
        <w:t>In terms of the different structures of the oversight committee, we would like to stress that a benchmark business that sits within a market operator, operating trading venues, is not exposed to conflicts of inte</w:t>
      </w:r>
      <w:r>
        <w:t>r</w:t>
      </w:r>
      <w:r>
        <w:t xml:space="preserve">ests. The market operator has no financial interest in the direction of the index or any interest in the actual assets being traded. In that sense, a conflict should not arise. </w:t>
      </w:r>
    </w:p>
    <w:p w:rsidR="00AC63CB" w:rsidRPr="0019754D" w:rsidRDefault="00AC63CB" w:rsidP="00870886">
      <w:pPr>
        <w:rPr>
          <w:b/>
        </w:rPr>
      </w:pPr>
    </w:p>
    <w:p w:rsidR="00870886" w:rsidRPr="0019754D" w:rsidRDefault="0019754D" w:rsidP="00870886">
      <w:pPr>
        <w:rPr>
          <w:b/>
        </w:rPr>
      </w:pPr>
      <w:r w:rsidRPr="0019754D">
        <w:rPr>
          <w:b/>
        </w:rPr>
        <w:t>Suggestions for oversight functions</w:t>
      </w:r>
    </w:p>
    <w:p w:rsidR="00870886" w:rsidRDefault="0019754D" w:rsidP="00870886">
      <w:r>
        <w:t>In t</w:t>
      </w:r>
      <w:r w:rsidR="00870886">
        <w:t xml:space="preserve">he first two examples </w:t>
      </w:r>
      <w:r w:rsidR="006149DD">
        <w:t>of para 43</w:t>
      </w:r>
      <w:r w:rsidR="00870886">
        <w:t xml:space="preserve"> ESMA provides for two </w:t>
      </w:r>
      <w:r>
        <w:t>potential compositions in case conflicts arise within the administrator</w:t>
      </w:r>
      <w:r w:rsidR="00870886">
        <w:t>.</w:t>
      </w:r>
    </w:p>
    <w:p w:rsidR="0019754D" w:rsidRDefault="0019754D" w:rsidP="00870886">
      <w:r>
        <w:t>In this context</w:t>
      </w:r>
      <w:r w:rsidR="00870886">
        <w:t xml:space="preserve"> we would like to point out t</w:t>
      </w:r>
      <w:r>
        <w:t>hat benchmark administrators that provide</w:t>
      </w:r>
      <w:r w:rsidR="00870886">
        <w:t xml:space="preserve"> benchmarks which are not prone to manipulation due to the fact that they are based on regulated data and </w:t>
      </w:r>
      <w:r>
        <w:t xml:space="preserve">which are </w:t>
      </w:r>
      <w:r w:rsidR="00870886">
        <w:t>provi</w:t>
      </w:r>
      <w:r w:rsidR="00870886">
        <w:t>d</w:t>
      </w:r>
      <w:r w:rsidR="00870886">
        <w:t>ed by a neu</w:t>
      </w:r>
      <w:r>
        <w:t>tral administrator</w:t>
      </w:r>
      <w:r w:rsidR="00870886">
        <w:t xml:space="preserve"> not trading or holding instruments referenced to such a benchmark, should not be required to comply with strict o</w:t>
      </w:r>
      <w:r w:rsidR="00041ACA">
        <w:t>versight function requirements as there are no conflicts.</w:t>
      </w:r>
    </w:p>
    <w:p w:rsidR="00870886" w:rsidRDefault="00870886" w:rsidP="00870886"/>
    <w:p w:rsidR="00870886" w:rsidRDefault="003A59E3" w:rsidP="00870886">
      <w:r>
        <w:t>Moreover</w:t>
      </w:r>
      <w:r w:rsidR="00041ACA">
        <w:t>, t</w:t>
      </w:r>
      <w:r w:rsidR="00870886">
        <w:t xml:space="preserve">he introduction of an external oversight function </w:t>
      </w:r>
      <w:r w:rsidR="00041ACA">
        <w:t>including users of those benchmarks</w:t>
      </w:r>
      <w:r w:rsidR="00870886">
        <w:t xml:space="preserve"> could dilute the requirements of the reg</w:t>
      </w:r>
      <w:r w:rsidR="00041ACA">
        <w:t>ulation as it would introduce</w:t>
      </w:r>
      <w:r w:rsidR="00870886">
        <w:t xml:space="preserve"> conflicts of interest </w:t>
      </w:r>
      <w:r w:rsidR="00041904">
        <w:t xml:space="preserve">to an existing structure. </w:t>
      </w:r>
      <w:r w:rsidR="00870886">
        <w:t xml:space="preserve">This is particularly </w:t>
      </w:r>
      <w:r w:rsidR="00041904">
        <w:t>challenging</w:t>
      </w:r>
      <w:r w:rsidR="00870886">
        <w:t xml:space="preserve"> for widely used bench</w:t>
      </w:r>
      <w:r w:rsidR="00041904">
        <w:t>marks</w:t>
      </w:r>
      <w:r w:rsidR="00870886">
        <w:t>.</w:t>
      </w:r>
    </w:p>
    <w:p w:rsidR="00870886" w:rsidRPr="00EF1A76" w:rsidRDefault="00870886" w:rsidP="00870886">
      <w:pPr>
        <w:rPr>
          <w:b/>
        </w:rPr>
      </w:pPr>
    </w:p>
    <w:p w:rsidR="005118E7" w:rsidRPr="00EF1A76" w:rsidRDefault="005118E7" w:rsidP="00870886">
      <w:pPr>
        <w:rPr>
          <w:b/>
        </w:rPr>
      </w:pPr>
      <w:r w:rsidRPr="00EF1A76">
        <w:rPr>
          <w:b/>
        </w:rPr>
        <w:t>Role of the oversight function</w:t>
      </w:r>
    </w:p>
    <w:p w:rsidR="00EF1A76" w:rsidRDefault="00C8286B" w:rsidP="00EF1A76">
      <w:r>
        <w:t>In para 37</w:t>
      </w:r>
      <w:r w:rsidR="005118E7">
        <w:t xml:space="preserve"> ESMA indicates that the main purpose of an oversight function is to ensure there is an effective challenge to the board or management of the benchmark administrator. We do not agree </w:t>
      </w:r>
      <w:r w:rsidR="0012296C">
        <w:t xml:space="preserve">with this view </w:t>
      </w:r>
      <w:r w:rsidR="005118E7">
        <w:t xml:space="preserve">as </w:t>
      </w:r>
      <w:r w:rsidR="005118E7">
        <w:lastRenderedPageBreak/>
        <w:t xml:space="preserve">we see the role of the oversight function </w:t>
      </w:r>
      <w:r w:rsidR="0012296C">
        <w:t xml:space="preserve">as </w:t>
      </w:r>
      <w:r w:rsidR="005118E7">
        <w:t>one where it ensures</w:t>
      </w:r>
      <w:r w:rsidR="00870886">
        <w:t xml:space="preserve"> that benchmarks are being determined and calculated in a proper and reliable way. </w:t>
      </w:r>
      <w:r w:rsidR="00EF1A76">
        <w:t>That does not necessarily mean that management needs to be “challenged”.</w:t>
      </w:r>
    </w:p>
    <w:p w:rsidR="009A2624" w:rsidRDefault="009A2624" w:rsidP="00870886"/>
    <w:permEnd w:id="1544160861"/>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t>&lt;ESMA_QUESTION_DP_BMR_7&gt;</w:t>
      </w:r>
    </w:p>
    <w:p w:rsidR="009A2624" w:rsidRDefault="009A2624" w:rsidP="009A2624">
      <w:permStart w:id="783824309" w:edGrp="everyone"/>
      <w:r>
        <w:t>TYPE YOUR TEXT HERE</w:t>
      </w:r>
    </w:p>
    <w:permEnd w:id="783824309"/>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84727C" w:rsidRDefault="0084727C" w:rsidP="0084727C">
      <w:permStart w:id="846464771" w:edGrp="everyone"/>
      <w:r>
        <w:t>Euronext already has a supervisory committee in place for its</w:t>
      </w:r>
      <w:r w:rsidR="006F1149">
        <w:t xml:space="preserve"> existing blue chip indices (CAC40, AEX, BEL20 and PSI</w:t>
      </w:r>
      <w:r>
        <w:t xml:space="preserve">20). </w:t>
      </w:r>
    </w:p>
    <w:p w:rsidR="0084727C" w:rsidRDefault="0084727C" w:rsidP="0084727C">
      <w:r>
        <w:t>Euronext is the compiler of these indices and is therefore responsible for the</w:t>
      </w:r>
      <w:r w:rsidR="00B462C1">
        <w:t>ir</w:t>
      </w:r>
      <w:r>
        <w:t xml:space="preserve"> day-to-day management</w:t>
      </w:r>
      <w:r w:rsidR="00B462C1">
        <w:t xml:space="preserve"> and</w:t>
      </w:r>
      <w:r>
        <w:t xml:space="preserve"> for decisions regarding the interpretation of these rules.</w:t>
      </w:r>
    </w:p>
    <w:p w:rsidR="009A2624" w:rsidRDefault="00B462C1" w:rsidP="0084727C">
      <w:r>
        <w:t>In parallel, a Scientific C</w:t>
      </w:r>
      <w:r w:rsidR="0084727C">
        <w:t>ommittee acts as independent supervisor of the ind</w:t>
      </w:r>
      <w:r w:rsidR="001F75D7">
        <w:t>ices and is</w:t>
      </w:r>
      <w:r w:rsidR="0084727C">
        <w:t xml:space="preserve"> responsible for monitoring the selection of constituents for the index and</w:t>
      </w:r>
      <w:r w:rsidR="001F75D7">
        <w:t xml:space="preserve"> for</w:t>
      </w:r>
      <w:r w:rsidR="0084727C">
        <w:t xml:space="preserve"> ensuring that the index offers a reliable and represen</w:t>
      </w:r>
      <w:r>
        <w:t>tative view of the market. All s</w:t>
      </w:r>
      <w:r w:rsidR="0084727C">
        <w:t>upervisor</w:t>
      </w:r>
      <w:r>
        <w:t>y</w:t>
      </w:r>
      <w:r w:rsidR="0084727C">
        <w:t xml:space="preserve"> decisions are published without delay following the decision (after market close).</w:t>
      </w:r>
    </w:p>
    <w:permEnd w:id="846464771"/>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9A2624" w:rsidRDefault="004C7C46" w:rsidP="009A2624">
      <w:permStart w:id="1311719466" w:edGrp="everyone"/>
      <w:r w:rsidRPr="004C7C46">
        <w:t>Yes, Euronext agrees with ESMA</w:t>
      </w:r>
      <w:r w:rsidR="00B462C1">
        <w:t>’</w:t>
      </w:r>
      <w:r w:rsidR="00C8286B">
        <w:t>s assumption in para 38</w:t>
      </w:r>
      <w:r w:rsidRPr="004C7C46">
        <w:t xml:space="preserve"> that it should be possible to create an oversight function for families of benc</w:t>
      </w:r>
      <w:r>
        <w:t>hmarks. From the</w:t>
      </w:r>
      <w:r w:rsidRPr="004C7C46">
        <w:t xml:space="preserve"> perspective</w:t>
      </w:r>
      <w:r>
        <w:t xml:space="preserve"> of a benchmark administrator that provides regulated-data benchmarks</w:t>
      </w:r>
      <w:r w:rsidRPr="004C7C46">
        <w:t xml:space="preserve">, </w:t>
      </w:r>
      <w:r w:rsidR="00B462C1">
        <w:t>the most efficient outcome would be to have</w:t>
      </w:r>
      <w:r w:rsidRPr="004C7C46">
        <w:t xml:space="preserve"> a single oversight committee for all indices that are based on regulated data. </w:t>
      </w:r>
      <w:r w:rsidR="00B462C1">
        <w:t>In that respect we would also support</w:t>
      </w:r>
      <w:r w:rsidRPr="004C7C46">
        <w:t xml:space="preserve"> allow</w:t>
      </w:r>
      <w:r w:rsidR="00B462C1">
        <w:t>ing</w:t>
      </w:r>
      <w:r w:rsidRPr="004C7C46">
        <w:t xml:space="preserve"> for one ge</w:t>
      </w:r>
      <w:r w:rsidRPr="004C7C46">
        <w:t>n</w:t>
      </w:r>
      <w:r w:rsidRPr="004C7C46">
        <w:t>eral oversight committee a</w:t>
      </w:r>
      <w:r w:rsidR="00C8286B">
        <w:t>s suggested by ESMA in para 43.</w:t>
      </w:r>
      <w:r w:rsidRPr="004C7C46">
        <w:t xml:space="preserve"> This would be beneficial to the oversight com</w:t>
      </w:r>
      <w:r>
        <w:t>mit</w:t>
      </w:r>
      <w:r w:rsidRPr="004C7C46">
        <w:t xml:space="preserve">tee as it would have </w:t>
      </w:r>
      <w:r w:rsidR="00DC6535">
        <w:t xml:space="preserve">a </w:t>
      </w:r>
      <w:r w:rsidRPr="004C7C46">
        <w:t>com</w:t>
      </w:r>
      <w:r w:rsidR="00DC6535">
        <w:t>plete view of that type of business. I</w:t>
      </w:r>
      <w:r w:rsidRPr="004C7C46">
        <w:t xml:space="preserve">t would </w:t>
      </w:r>
      <w:r w:rsidR="00DC6535">
        <w:t xml:space="preserve">also </w:t>
      </w:r>
      <w:r w:rsidRPr="004C7C46">
        <w:t>be cost efficient and effec</w:t>
      </w:r>
      <w:r w:rsidR="00DC6535">
        <w:t>tive for the benchmark administrator</w:t>
      </w:r>
      <w:r w:rsidRPr="004C7C46">
        <w:t xml:space="preserve"> and the ultimate users of the benchmarks.</w:t>
      </w:r>
    </w:p>
    <w:permEnd w:id="1311719466"/>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9A2624" w:rsidRDefault="009A2624" w:rsidP="009A2624">
      <w:permStart w:id="993339509" w:edGrp="everyone"/>
      <w:r>
        <w:t>TYPE YOUR TEXT HERE</w:t>
      </w:r>
    </w:p>
    <w:permEnd w:id="993339509"/>
    <w:p w:rsidR="009A2624" w:rsidRDefault="009A2624" w:rsidP="009A2624">
      <w:r>
        <w:lastRenderedPageBreak/>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9A2624" w:rsidRDefault="009A2624" w:rsidP="009A2624">
      <w:permStart w:id="1203445820" w:edGrp="everyone"/>
      <w:r>
        <w:t>TYPE YOUR TEXT HERE</w:t>
      </w:r>
    </w:p>
    <w:permEnd w:id="1203445820"/>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9A2624" w:rsidRDefault="009A2624" w:rsidP="009A2624">
      <w:permStart w:id="423110104" w:edGrp="everyone"/>
      <w:r>
        <w:t>TYPE YOUR TEXT HERE</w:t>
      </w:r>
    </w:p>
    <w:permEnd w:id="423110104"/>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w:t>
      </w:r>
      <w:r w:rsidRPr="007F44BF">
        <w:t>d</w:t>
      </w:r>
      <w:r w:rsidRPr="007F44BF">
        <w:t>ed? Please describe the nature, and where possible provide estimates, of these costs.</w:t>
      </w:r>
    </w:p>
    <w:p w:rsidR="009A2624" w:rsidRDefault="009A2624" w:rsidP="009A2624">
      <w:r>
        <w:t>&lt;ESMA_QUESTION_DP_BMR_13&gt;</w:t>
      </w:r>
    </w:p>
    <w:p w:rsidR="008B676F" w:rsidRDefault="008B676F" w:rsidP="008B676F">
      <w:permStart w:id="1861171356" w:edGrp="everyone"/>
      <w:r>
        <w:t xml:space="preserve">Regulatory compliance with new regulations usually leads to additional cost factors for the industry. </w:t>
      </w:r>
    </w:p>
    <w:p w:rsidR="009A2624" w:rsidRDefault="008B676F" w:rsidP="008B676F">
      <w:r>
        <w:t>In order to ensure that the BMR does not increase costs along t</w:t>
      </w:r>
      <w:r w:rsidR="00C06144">
        <w:t>he value chain which outweigh</w:t>
      </w:r>
      <w:r>
        <w:t xml:space="preserve"> the ben</w:t>
      </w:r>
      <w:r>
        <w:t>e</w:t>
      </w:r>
      <w:r>
        <w:t>fits, the regu</w:t>
      </w:r>
      <w:r w:rsidR="00C06144">
        <w:t>lation and its application needs</w:t>
      </w:r>
      <w:r>
        <w:t xml:space="preserve"> to provide for sufficient flexibility and proportionality for those being regulated</w:t>
      </w:r>
      <w:r w:rsidR="000F3529">
        <w:t>,</w:t>
      </w:r>
      <w:r>
        <w:t xml:space="preserve"> while not creating significant unnecessary costs for the industry.</w:t>
      </w:r>
    </w:p>
    <w:permEnd w:id="1861171356"/>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9A2624" w:rsidRDefault="00C06144" w:rsidP="009A2624">
      <w:permStart w:id="591991849" w:edGrp="everyone"/>
      <w:r w:rsidRPr="00C06144">
        <w:t>Yes, Euronext agrees with that assumption. Discretionary  decisions for the determination of a benchmark should be made by those responsible for managing the benchmark on a daily basis .</w:t>
      </w:r>
    </w:p>
    <w:permEnd w:id="591991849"/>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9A2624" w:rsidRDefault="00A426AD" w:rsidP="009A2624">
      <w:permStart w:id="1195467467" w:edGrp="everyone"/>
      <w:r w:rsidRPr="00A426AD">
        <w:t>Yes, Euronext suppo</w:t>
      </w:r>
      <w:r>
        <w:t>rts this to the extent that i</w:t>
      </w:r>
      <w:r w:rsidRPr="00A426AD">
        <w:t xml:space="preserve">t should not be an extra approval process but </w:t>
      </w:r>
      <w:r w:rsidR="005E7F92">
        <w:t>should rather take the form of</w:t>
      </w:r>
      <w:r w:rsidRPr="00A426AD">
        <w:t xml:space="preserve"> a group of experts that can discuss the general sense of direction, providing support, and counsel and advice where appropriate. We do agree that this committee could sit within the organisational structure of the administrator</w:t>
      </w:r>
      <w:r w:rsidR="005E7F92">
        <w:t>, however w</w:t>
      </w:r>
      <w:r>
        <w:t>e do not agree that the oversight committee is there to challenge the board or management.</w:t>
      </w:r>
    </w:p>
    <w:permEnd w:id="1195467467"/>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lastRenderedPageBreak/>
        <w:t>&lt;ESMA_QUESTION_DP_BMR_16&gt;</w:t>
      </w:r>
    </w:p>
    <w:p w:rsidR="009A2624" w:rsidRDefault="009A2624" w:rsidP="009A2624">
      <w:permStart w:id="2107462774" w:edGrp="everyone"/>
      <w:r>
        <w:t>TYPE YOUR TEXT HERE</w:t>
      </w:r>
    </w:p>
    <w:permEnd w:id="2107462774"/>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9A2624" w:rsidRDefault="009A2624" w:rsidP="009A2624">
      <w:permStart w:id="1138768240" w:edGrp="everyone"/>
      <w:r>
        <w:t>TYPE YOUR TEXT HERE</w:t>
      </w:r>
    </w:p>
    <w:permEnd w:id="1138768240"/>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9A2624" w:rsidRDefault="009A2624" w:rsidP="009A2624">
      <w:permStart w:id="1328487390" w:edGrp="everyone"/>
      <w:r>
        <w:t>TYPE YOUR TEXT HERE</w:t>
      </w:r>
    </w:p>
    <w:permEnd w:id="1328487390"/>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5223F2" w:rsidRDefault="005223F2" w:rsidP="005223F2">
      <w:permStart w:id="641561825" w:edGrp="everyone"/>
      <w:r>
        <w:t>Eu</w:t>
      </w:r>
      <w:r w:rsidR="00C8286B">
        <w:t>ronext wishes to point out that</w:t>
      </w:r>
      <w:r>
        <w:t xml:space="preserve"> it is unlikely a benchmark administrator would have access to “substa</w:t>
      </w:r>
      <w:r>
        <w:t>n</w:t>
      </w:r>
      <w:r>
        <w:t>tial exposures of individual traders or trading desks to benchmark related instruments, as well as changes therein”. We assume that this requirement only relates to the extent an administrator is aware of this and</w:t>
      </w:r>
      <w:r w:rsidR="008E73E2">
        <w:t>,</w:t>
      </w:r>
      <w:r>
        <w:t xml:space="preserve"> where it is not, </w:t>
      </w:r>
      <w:r w:rsidR="008E73E2">
        <w:t>that this requirement would</w:t>
      </w:r>
      <w:r>
        <w:t xml:space="preserve"> not apply.</w:t>
      </w:r>
    </w:p>
    <w:p w:rsidR="005223F2" w:rsidRDefault="005223F2" w:rsidP="005223F2"/>
    <w:p w:rsidR="009A2624" w:rsidRDefault="005223F2" w:rsidP="005223F2">
      <w:r>
        <w:t>In terms of currency converters, it is import</w:t>
      </w:r>
      <w:r w:rsidR="00540B5B">
        <w:t xml:space="preserve">ant to highlight that </w:t>
      </w:r>
      <w:r>
        <w:t>in the context of regu</w:t>
      </w:r>
      <w:r w:rsidR="00540B5B">
        <w:t xml:space="preserve">lated data </w:t>
      </w:r>
      <w:r>
        <w:t xml:space="preserve">being used for the </w:t>
      </w:r>
      <w:r w:rsidR="00540B5B">
        <w:t xml:space="preserve">determination of regulated-data </w:t>
      </w:r>
      <w:r>
        <w:t>benchmarks, it should be accepted that in address</w:t>
      </w:r>
      <w:r w:rsidR="00540B5B">
        <w:t>ing</w:t>
      </w:r>
      <w:r>
        <w:t xml:space="preserve"> curren</w:t>
      </w:r>
      <w:r w:rsidR="00540B5B">
        <w:t>cy differences</w:t>
      </w:r>
      <w:r w:rsidR="00EA7D15">
        <w:t>, currency converters will</w:t>
      </w:r>
      <w:r>
        <w:t xml:space="preserve"> not be consid</w:t>
      </w:r>
      <w:r w:rsidR="00540B5B">
        <w:t xml:space="preserve">ered </w:t>
      </w:r>
      <w:r>
        <w:t>as input data, (but rather as part of the method</w:t>
      </w:r>
      <w:r w:rsidR="00540B5B">
        <w:t>ol</w:t>
      </w:r>
      <w:r w:rsidR="00540B5B">
        <w:t>o</w:t>
      </w:r>
      <w:r w:rsidR="00540B5B">
        <w:t>gy</w:t>
      </w:r>
      <w:r w:rsidR="00EA7D15">
        <w:t xml:space="preserve">). To do otherwise would result in </w:t>
      </w:r>
      <w:r>
        <w:t>pure regu</w:t>
      </w:r>
      <w:r w:rsidR="00540B5B">
        <w:t>lated-</w:t>
      </w:r>
      <w:r>
        <w:t>data benchmarks no longer being able to m</w:t>
      </w:r>
      <w:r w:rsidR="00540B5B">
        <w:t>eet the definition of regulated</w:t>
      </w:r>
      <w:r>
        <w:t>–data bench</w:t>
      </w:r>
      <w:r w:rsidR="00540B5B">
        <w:t>marks since</w:t>
      </w:r>
      <w:r>
        <w:t xml:space="preserve"> the data need</w:t>
      </w:r>
      <w:r w:rsidR="00540B5B">
        <w:t>s to be sourced entirely from</w:t>
      </w:r>
      <w:r>
        <w:t xml:space="preserve"> trading ven</w:t>
      </w:r>
      <w:r w:rsidR="00540B5B">
        <w:t>ues</w:t>
      </w:r>
      <w:r>
        <w:t>.</w:t>
      </w:r>
    </w:p>
    <w:permEnd w:id="641561825"/>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DA7604" w:rsidRDefault="00DB14D2" w:rsidP="00DA7604">
      <w:permStart w:id="149371280" w:edGrp="everyone"/>
      <w:r>
        <w:t>Euronext</w:t>
      </w:r>
      <w:r w:rsidR="00DA7604">
        <w:t xml:space="preserve"> agrees with the ESMA view expressed in the Open Hearing that record keeping is important in order to verify market abuse. Furthermore, we agree with ESMA that the cost for record keeping of data has ge</w:t>
      </w:r>
      <w:r w:rsidR="005627B8">
        <w:t xml:space="preserve">nerally declined over recent </w:t>
      </w:r>
      <w:r w:rsidR="00DA7604">
        <w:t>years. However, w</w:t>
      </w:r>
      <w:r w:rsidR="005627B8">
        <w:t>e still see differences, both with</w:t>
      </w:r>
      <w:r w:rsidR="00DA7604">
        <w:t xml:space="preserve"> regards to the logic of duplicating the storing of data where </w:t>
      </w:r>
      <w:r w:rsidR="005627B8">
        <w:t>Regulated Markets are already</w:t>
      </w:r>
      <w:r w:rsidR="009B4307">
        <w:t xml:space="preserve"> required to do so, as well as</w:t>
      </w:r>
      <w:r w:rsidR="00DA7604">
        <w:t xml:space="preserve"> the fact that the vast amounts of regulated data which would need to be stored by a benchmark administ</w:t>
      </w:r>
      <w:r w:rsidR="009B4307">
        <w:t>rator using such data would be</w:t>
      </w:r>
      <w:r w:rsidR="00DA7604">
        <w:t xml:space="preserve"> significantly higher than the low volume panel data for benchmark contributor data. </w:t>
      </w:r>
    </w:p>
    <w:p w:rsidR="00DA7604" w:rsidRDefault="00DA7604" w:rsidP="00DA7604">
      <w:r>
        <w:t>In this context Euronext believes it is important to recognise that the accuracy of data generated by reg</w:t>
      </w:r>
      <w:r>
        <w:t>u</w:t>
      </w:r>
      <w:r>
        <w:t>lated trading venues is already ensured by the respective trading venues themselves which are, furthe</w:t>
      </w:r>
      <w:r>
        <w:t>r</w:t>
      </w:r>
      <w:r>
        <w:t xml:space="preserve">more, subject to regulatory requirements under MAR and </w:t>
      </w:r>
      <w:proofErr w:type="spellStart"/>
      <w:r>
        <w:t>MiFID</w:t>
      </w:r>
      <w:proofErr w:type="spellEnd"/>
      <w:r>
        <w:t xml:space="preserve"> II as well. A requirement to additionally ver</w:t>
      </w:r>
      <w:r w:rsidR="009B4307">
        <w:t>ify data would be disproportionate and result in over</w:t>
      </w:r>
      <w:r>
        <w:t xml:space="preserve">regulation. </w:t>
      </w:r>
    </w:p>
    <w:p w:rsidR="00DA7604" w:rsidRDefault="00DA7604" w:rsidP="00DA7604">
      <w:r>
        <w:lastRenderedPageBreak/>
        <w:t>ESMA moreover states that</w:t>
      </w:r>
      <w:r w:rsidR="005627B8">
        <w:t>,</w:t>
      </w:r>
      <w:r>
        <w:t xml:space="preserve"> for regulated data used as input data, the requirements for verifiability shall be proportionate and, in this context, are to be understood as checking the provenance as well as the trans</w:t>
      </w:r>
      <w:r w:rsidR="00874DA1">
        <w:t xml:space="preserve">mission of the input data  - </w:t>
      </w:r>
      <w:r w:rsidR="00F30591">
        <w:t>para 68</w:t>
      </w:r>
      <w:r>
        <w:t xml:space="preserve">. Euronext agrees with ESMA’s understanding. </w:t>
      </w:r>
    </w:p>
    <w:p w:rsidR="009B4307" w:rsidRDefault="009B4307" w:rsidP="00DA7604"/>
    <w:p w:rsidR="00DA7604" w:rsidRDefault="00DA7604" w:rsidP="00DA7604">
      <w:r>
        <w:t>ESMA’s proposal on the verifiability of regulated data could be substantiated as follows:</w:t>
      </w:r>
    </w:p>
    <w:p w:rsidR="00DA7604" w:rsidRDefault="00DA7604" w:rsidP="009B4307">
      <w:pPr>
        <w:pStyle w:val="ListParagraph"/>
        <w:numPr>
          <w:ilvl w:val="0"/>
          <w:numId w:val="41"/>
        </w:numPr>
      </w:pPr>
      <w:r>
        <w:t>Checking the provenance of the input</w:t>
      </w:r>
      <w:r w:rsidR="00874DA1">
        <w:t xml:space="preserve"> data c</w:t>
      </w:r>
      <w:r w:rsidR="009B4307">
        <w:t>ould be undertaken via</w:t>
      </w:r>
      <w:r>
        <w:t xml:space="preserve"> the initial selection of the re</w:t>
      </w:r>
      <w:r w:rsidR="009B4307">
        <w:t>gu</w:t>
      </w:r>
      <w:r>
        <w:t>lated trading venue (including a third country venue) as the rel</w:t>
      </w:r>
      <w:r w:rsidR="009B4307">
        <w:t>evant data source for the bench</w:t>
      </w:r>
      <w:r>
        <w:t>mark in question, and the continuous use of this data source for input data.</w:t>
      </w:r>
    </w:p>
    <w:p w:rsidR="00DA7604" w:rsidRDefault="00DA7604" w:rsidP="00DA7604"/>
    <w:p w:rsidR="00DA7604" w:rsidRDefault="00DA7604" w:rsidP="009B4307">
      <w:pPr>
        <w:pStyle w:val="ListParagraph"/>
        <w:numPr>
          <w:ilvl w:val="0"/>
          <w:numId w:val="41"/>
        </w:numPr>
      </w:pPr>
      <w:r>
        <w:t>Checking the t</w:t>
      </w:r>
      <w:r w:rsidR="00874DA1">
        <w:t>ransmission of the input data c</w:t>
      </w:r>
      <w:r>
        <w:t>ould encompass verifying the technical availability of the data during the calculation process (e.g. checking for streaming data during the transmi</w:t>
      </w:r>
      <w:r w:rsidR="00874DA1">
        <w:t>s</w:t>
      </w:r>
      <w:r>
        <w:t>sion process). In general, in order to ensure the feasibility of the verification requirement in the face of huge amounts of processed data (e.g. millions of data per second over a complete day compared to panel based input data which potentially contains 100 data</w:t>
      </w:r>
      <w:r w:rsidR="00874DA1">
        <w:t xml:space="preserve"> points at one point per day </w:t>
      </w:r>
      <w:r>
        <w:t>max</w:t>
      </w:r>
      <w:r>
        <w:t>i</w:t>
      </w:r>
      <w:r>
        <w:t>mum), it should, in principle, be sufficient to verify randomly selected data points instead of requi</w:t>
      </w:r>
      <w:r>
        <w:t>r</w:t>
      </w:r>
      <w:r>
        <w:t>ing the verification of each respective input data which is being used.</w:t>
      </w:r>
      <w:r w:rsidR="009B4307">
        <w:t xml:space="preserve"> </w:t>
      </w:r>
      <w:r>
        <w:t>The frequency of transmi</w:t>
      </w:r>
      <w:r>
        <w:t>s</w:t>
      </w:r>
      <w:r>
        <w:t xml:space="preserve">sion should be defined by the administrator in the code of conduct. </w:t>
      </w:r>
    </w:p>
    <w:p w:rsidR="009A2624" w:rsidRDefault="00DA7604" w:rsidP="00DA7604">
      <w:r>
        <w:t>-</w:t>
      </w:r>
      <w:r>
        <w:tab/>
      </w:r>
    </w:p>
    <w:permEnd w:id="149371280"/>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9A2624" w:rsidRDefault="009B4307" w:rsidP="009A2624">
      <w:permStart w:id="1493972183" w:edGrp="everyone"/>
      <w:r w:rsidRPr="009B4307">
        <w:t>Euronext believes that appropriateness is very much linked to the (commercial) goal of the benchmark. Benchmarks that are designed to reflect the trading</w:t>
      </w:r>
      <w:r w:rsidR="00A80509">
        <w:t xml:space="preserve"> in certain underlying values that are traded on a specific</w:t>
      </w:r>
      <w:r w:rsidRPr="009B4307">
        <w:t xml:space="preserve"> venue should be regarded as appropriate if indeed that un</w:t>
      </w:r>
      <w:r w:rsidR="00A80509">
        <w:t>derlying data from that</w:t>
      </w:r>
      <w:r w:rsidR="00874DA1">
        <w:t xml:space="preserve"> venue</w:t>
      </w:r>
      <w:r w:rsidRPr="009B4307">
        <w:t xml:space="preserve"> </w:t>
      </w:r>
      <w:r w:rsidR="00A80509">
        <w:t xml:space="preserve">alone </w:t>
      </w:r>
      <w:r w:rsidRPr="009B4307">
        <w:t>is used.</w:t>
      </w:r>
    </w:p>
    <w:p w:rsidR="009B4307" w:rsidRDefault="009B4307" w:rsidP="009A2624"/>
    <w:p w:rsidR="009B4307" w:rsidRDefault="009B4307" w:rsidP="009B4307">
      <w:r>
        <w:t xml:space="preserve">Euronext  </w:t>
      </w:r>
      <w:r w:rsidR="00E339A7">
        <w:t xml:space="preserve">also </w:t>
      </w:r>
      <w:r>
        <w:t xml:space="preserve">agrees with ESMA on the concept of appropriateness as regards the close links between methodology and data chosen by the benchmark administrator. </w:t>
      </w:r>
    </w:p>
    <w:p w:rsidR="00E339A7" w:rsidRDefault="00E339A7" w:rsidP="009B4307"/>
    <w:p w:rsidR="009B4307" w:rsidRDefault="00E339A7" w:rsidP="009B4307">
      <w:r>
        <w:t xml:space="preserve">We agree as well </w:t>
      </w:r>
      <w:r w:rsidR="009B4307">
        <w:t>that there is no need to verify the appropriateness of input data on a daily basis as this would be disproportionate. For a proportionate application of the BMR</w:t>
      </w:r>
      <w:r w:rsidR="00874DA1">
        <w:t>,</w:t>
      </w:r>
      <w:r w:rsidR="009B4307">
        <w:t xml:space="preserve"> further verification of appropriat</w:t>
      </w:r>
      <w:r w:rsidR="009B4307">
        <w:t>e</w:t>
      </w:r>
      <w:r w:rsidR="009B4307">
        <w:t>ness through the benchmark administrator</w:t>
      </w:r>
      <w:r w:rsidR="00874DA1">
        <w:t>,</w:t>
      </w:r>
      <w:r w:rsidR="009B4307">
        <w:t xml:space="preserve"> other than through regular methodological reviews</w:t>
      </w:r>
      <w:r w:rsidR="00874DA1">
        <w:t>,</w:t>
      </w:r>
      <w:r w:rsidR="009B4307">
        <w:t xml:space="preserve"> should not be required for regulated data benchmarks.</w:t>
      </w:r>
    </w:p>
    <w:permEnd w:id="1493972183"/>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Default="00E339A7" w:rsidP="009A2624">
      <w:permStart w:id="1502046830" w:edGrp="everyone"/>
      <w:r>
        <w:t>Do, we do not.</w:t>
      </w:r>
    </w:p>
    <w:permEnd w:id="1502046830"/>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9A2624" w:rsidRDefault="00A33A66" w:rsidP="009A2624">
      <w:permStart w:id="1554663480" w:edGrp="everyone"/>
      <w:r>
        <w:t>No, we do not believe it to be necessary to maintain records.</w:t>
      </w:r>
      <w:r w:rsidRPr="00A33A66">
        <w:t xml:space="preserve"> Regular reviews of the methodology by the benchmark provider as well as reliable input data provide for all </w:t>
      </w:r>
      <w:r w:rsidR="00874DA1">
        <w:t xml:space="preserve">necessary information </w:t>
      </w:r>
      <w:r w:rsidRPr="00A33A66">
        <w:t>already. Data sourced from a regulated market within</w:t>
      </w:r>
      <w:r w:rsidR="00874DA1">
        <w:t>,</w:t>
      </w:r>
      <w:r w:rsidRPr="00A33A66">
        <w:t xml:space="preserve"> as well as outside of the EU</w:t>
      </w:r>
      <w:r w:rsidR="00874DA1">
        <w:t>,</w:t>
      </w:r>
      <w:r w:rsidRPr="00A33A66">
        <w:t xml:space="preserve"> provides for the most reliable input da</w:t>
      </w:r>
      <w:r w:rsidR="00E142C2">
        <w:t>ta and as such should not be subject</w:t>
      </w:r>
      <w:r w:rsidRPr="00A33A66">
        <w:t xml:space="preserve"> to unnecessary and disproportionate regulatory burden.</w:t>
      </w:r>
    </w:p>
    <w:permEnd w:id="1554663480"/>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lastRenderedPageBreak/>
        <w:t>&lt;ESMA_QUESTION_DP_BMR_24&gt;</w:t>
      </w:r>
    </w:p>
    <w:p w:rsidR="009A2624" w:rsidRDefault="00A33A66" w:rsidP="009A2624">
      <w:permStart w:id="1883645199" w:edGrp="everyone"/>
      <w:r>
        <w:t>No, we do not.</w:t>
      </w:r>
    </w:p>
    <w:permEnd w:id="1883645199"/>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9A2624" w:rsidRDefault="009A2624" w:rsidP="009A2624">
      <w:permStart w:id="814970712" w:edGrp="everyone"/>
      <w:r>
        <w:t>TYPE YOUR TEXT HERE</w:t>
      </w:r>
    </w:p>
    <w:permEnd w:id="814970712"/>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9A2624" w:rsidRDefault="009A2624" w:rsidP="009A2624">
      <w:permStart w:id="49692625" w:edGrp="everyone"/>
      <w:r>
        <w:t>TYPE YOUR TEXT HERE</w:t>
      </w:r>
    </w:p>
    <w:permEnd w:id="49692625"/>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t>Do you agree to the three lines of defence-principle as an ideal type of internal oversight architecture?</w:t>
      </w:r>
    </w:p>
    <w:p w:rsidR="009A2624" w:rsidRDefault="009A2624" w:rsidP="009A2624">
      <w:r>
        <w:t>&lt;ESMA_QUESTION_DP_BMR_27&gt;</w:t>
      </w:r>
    </w:p>
    <w:p w:rsidR="009A2624" w:rsidRDefault="009A2624" w:rsidP="009A2624">
      <w:permStart w:id="1279084767" w:edGrp="everyone"/>
      <w:r>
        <w:t>TYPE YOUR TEXT HERE</w:t>
      </w:r>
    </w:p>
    <w:permEnd w:id="1279084767"/>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Default="009A2624" w:rsidP="009A2624">
      <w:permStart w:id="1507003020" w:edGrp="everyone"/>
      <w:r>
        <w:t>TYPE YOUR TEXT HERE</w:t>
      </w:r>
    </w:p>
    <w:permEnd w:id="1507003020"/>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9A2624" w:rsidRDefault="009A2624" w:rsidP="009A2624">
      <w:permStart w:id="646197078" w:edGrp="everyone"/>
      <w:r>
        <w:t>TYPE YOUR TEXT HERE</w:t>
      </w:r>
    </w:p>
    <w:permEnd w:id="646197078"/>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EB4AFA" w:rsidRDefault="00EB4AFA" w:rsidP="00EB4AFA">
      <w:permStart w:id="93212770" w:edGrp="everyone"/>
      <w:r>
        <w:t>Euronext supports the proportionate approach as regards verifiability requirements outlined by ESMA. In this context we explicitly support ESMA’s view that the verifiability of regulated data should be limited</w:t>
      </w:r>
      <w:r w:rsidR="00E142C2">
        <w:t xml:space="preserve"> to checking the provenance </w:t>
      </w:r>
      <w:r>
        <w:t>as well as the transmission of the data.</w:t>
      </w:r>
    </w:p>
    <w:p w:rsidR="00EB4AFA" w:rsidRDefault="00EB4AFA" w:rsidP="00EB4AFA">
      <w:r>
        <w:t>Euronext considers this to be both sufficient as well as proportionate</w:t>
      </w:r>
      <w:r w:rsidR="00E142C2">
        <w:t>,</w:t>
      </w:r>
      <w:r>
        <w:t xml:space="preserve"> taking into consideration the diffe</w:t>
      </w:r>
      <w:r>
        <w:t>r</w:t>
      </w:r>
      <w:r>
        <w:t>ences as regards the significant amount of data processed (which then would have to be stored) as well as the nature of the data. The accuracy of data generated by regulated trading venues is already ensured by the respective trading ve</w:t>
      </w:r>
      <w:r w:rsidR="00E142C2">
        <w:t xml:space="preserve">nues themselves which are, moreover, </w:t>
      </w:r>
      <w:r>
        <w:t>regulate</w:t>
      </w:r>
      <w:r w:rsidR="00E142C2">
        <w:t xml:space="preserve">d under MAR and </w:t>
      </w:r>
      <w:proofErr w:type="spellStart"/>
      <w:r w:rsidR="00E142C2">
        <w:t>MiFID</w:t>
      </w:r>
      <w:proofErr w:type="spellEnd"/>
      <w:r w:rsidR="00E142C2">
        <w:t xml:space="preserve"> II</w:t>
      </w:r>
      <w:r>
        <w:t xml:space="preserve">. </w:t>
      </w:r>
    </w:p>
    <w:p w:rsidR="00EB4AFA" w:rsidRDefault="00EB4AFA" w:rsidP="00EB4AFA">
      <w:r>
        <w:t>In more detail ESMA’s proposal on the verifiability of regulated data could be substantiated as follows:</w:t>
      </w:r>
    </w:p>
    <w:p w:rsidR="00EB4AFA" w:rsidRDefault="00EB4AFA" w:rsidP="00EB4AFA">
      <w:pPr>
        <w:pStyle w:val="ListParagraph"/>
        <w:numPr>
          <w:ilvl w:val="0"/>
          <w:numId w:val="42"/>
        </w:numPr>
      </w:pPr>
      <w:r>
        <w:lastRenderedPageBreak/>
        <w:t>Checking the</w:t>
      </w:r>
      <w:r w:rsidR="00054EB5">
        <w:t xml:space="preserve"> provenance of the input data c</w:t>
      </w:r>
      <w:r>
        <w:t>ould be achieved by the initial selection of the reg</w:t>
      </w:r>
      <w:r>
        <w:t>u</w:t>
      </w:r>
      <w:r>
        <w:t>lated trading venue (including a third country venue) as the relevant data source for the benc</w:t>
      </w:r>
      <w:r>
        <w:t>h</w:t>
      </w:r>
      <w:r>
        <w:t xml:space="preserve">mark in question, and the continuous use of this data source for input data. </w:t>
      </w:r>
    </w:p>
    <w:p w:rsidR="00EB4AFA" w:rsidRDefault="00EB4AFA" w:rsidP="00EB4AFA"/>
    <w:p w:rsidR="009A2624" w:rsidRDefault="00EB4AFA" w:rsidP="00EB4AFA">
      <w:pPr>
        <w:pStyle w:val="ListParagraph"/>
        <w:numPr>
          <w:ilvl w:val="0"/>
          <w:numId w:val="42"/>
        </w:numPr>
      </w:pPr>
      <w:r>
        <w:t>Checking the t</w:t>
      </w:r>
      <w:r w:rsidR="00054EB5">
        <w:t>ransmission of the input data c</w:t>
      </w:r>
      <w:r>
        <w:t>ould encompass checking the technical availability of the data during the calculation process (e.g. for streaming data during the transmission process). In general, in order to ensure the feasibility of the verification requirement in the face of huge amounts of processed data (e.g. millions of data per second over a complete day compared to panel based input data which potentially contains 100 data po</w:t>
      </w:r>
      <w:r w:rsidR="00054EB5">
        <w:t>ints at one point per day</w:t>
      </w:r>
      <w:r>
        <w:t xml:space="preserve"> maximum), it should in principle be sufficient to verify randomly selected data points instead of requiring the verification of each respective input data which is being used.</w:t>
      </w:r>
    </w:p>
    <w:permEnd w:id="93212770"/>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9A2624" w:rsidRDefault="009A2624" w:rsidP="009A2624">
      <w:permStart w:id="1494699028" w:edGrp="everyone"/>
      <w:r>
        <w:t>TYPE YOUR TEXT HERE</w:t>
      </w:r>
    </w:p>
    <w:permEnd w:id="1494699028"/>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9A2624" w:rsidRDefault="009A2624" w:rsidP="009A2624">
      <w:permStart w:id="1746603364" w:edGrp="everyone"/>
      <w:r>
        <w:t>TYPE YOUR TEXT HERE</w:t>
      </w:r>
    </w:p>
    <w:permEnd w:id="1746603364"/>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9A2624" w:rsidRDefault="009A2624" w:rsidP="009A2624">
      <w:permStart w:id="73340882" w:edGrp="everyone"/>
      <w:r>
        <w:t>TYPE YOUR TEXT HERE</w:t>
      </w:r>
    </w:p>
    <w:permEnd w:id="73340882"/>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EB4AFA" w:rsidRDefault="00EB4AFA" w:rsidP="00EB4AFA">
      <w:permStart w:id="1152151647" w:edGrp="everyone"/>
      <w:r>
        <w:t>We agree that the definition including the objective of the benchmark should be an integral part of the methodology, including its objective and the currency in which it is being determined. Furthermore, Euro</w:t>
      </w:r>
      <w:r>
        <w:t>n</w:t>
      </w:r>
      <w:r>
        <w:t>ext agrees that the definition of a benchmark should be as precise as possible in order to avoid subje</w:t>
      </w:r>
      <w:r w:rsidR="00054EB5">
        <w:t>ctive interpretations to the extent</w:t>
      </w:r>
      <w:r>
        <w:t xml:space="preserve"> poss</w:t>
      </w:r>
      <w:r w:rsidR="00663413">
        <w:t>ible. The more rule</w:t>
      </w:r>
      <w:r w:rsidR="00054EB5">
        <w:t>s</w:t>
      </w:r>
      <w:r>
        <w:t xml:space="preserve"> based an index is, the less vulnerable to manipul</w:t>
      </w:r>
      <w:r>
        <w:t>a</w:t>
      </w:r>
      <w:r>
        <w:t xml:space="preserve">tion it should be. </w:t>
      </w:r>
    </w:p>
    <w:p w:rsidR="00663413" w:rsidRDefault="00663413" w:rsidP="00EB4AFA"/>
    <w:p w:rsidR="00663413" w:rsidRDefault="00EB4AFA" w:rsidP="00EB4AFA">
      <w:r>
        <w:t xml:space="preserve">Euronext agrees with ESMA’s view, in line with the BMR, that IP rights of benchmark producers should be protected, especially when input data is broadly available as in the case of regulated data benchmarks. In this context, and for the avoidance of doubt, we would strongly appreciate  further ESMA clarification of BMR Recital 24 within the future RTS. </w:t>
      </w:r>
    </w:p>
    <w:p w:rsidR="00663413" w:rsidRDefault="00663413" w:rsidP="00EB4AFA"/>
    <w:p w:rsidR="00EB4AFA" w:rsidRDefault="00663413" w:rsidP="00EB4AFA">
      <w:r>
        <w:t>We s</w:t>
      </w:r>
      <w:r w:rsidR="00F30591">
        <w:t>upport ESMA’s view in para 120</w:t>
      </w:r>
      <w:r>
        <w:t xml:space="preserve"> that transparency </w:t>
      </w:r>
      <w:r w:rsidR="0067537C">
        <w:t xml:space="preserve">should be sufficient to allow </w:t>
      </w:r>
      <w:r w:rsidR="00EB4AFA">
        <w:t>intereste</w:t>
      </w:r>
      <w:r w:rsidR="0067537C">
        <w:t xml:space="preserve">d parties </w:t>
      </w:r>
      <w:r w:rsidR="00EB4AFA">
        <w:t xml:space="preserve">to understand the suitability of the benchmark for their purposes including any limitations or </w:t>
      </w:r>
      <w:r w:rsidR="0067537C">
        <w:t xml:space="preserve">risks of </w:t>
      </w:r>
      <w:r w:rsidR="00EB4AFA">
        <w:t>the meth</w:t>
      </w:r>
      <w:r w:rsidR="0067537C">
        <w:t>odology</w:t>
      </w:r>
      <w:r w:rsidR="00EB4AFA">
        <w:t xml:space="preserve">. </w:t>
      </w:r>
    </w:p>
    <w:p w:rsidR="009A2624" w:rsidRDefault="00EB4AFA" w:rsidP="00EB4AFA">
      <w:r>
        <w:lastRenderedPageBreak/>
        <w:t>Overall, Euronext considers the list of elements as suggested by ESMA to be sufficiently granular and that they should therefore be included in the methodology where applicable. However, there might be indices where not all key elements would have to be included, e.g. there would be no contributor in the case of regulated data benchmarks.</w:t>
      </w:r>
    </w:p>
    <w:permEnd w:id="1152151647"/>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Default="009A2624" w:rsidP="009A2624">
      <w:permStart w:id="1051209675" w:edGrp="everyone"/>
      <w:r>
        <w:t>TYPE YOUR TEXT HERE</w:t>
      </w:r>
    </w:p>
    <w:permEnd w:id="1051209675"/>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9A2624" w:rsidRDefault="00054EB5" w:rsidP="009A2624">
      <w:permStart w:id="793051259" w:edGrp="everyone"/>
      <w:r>
        <w:t>Euronext</w:t>
      </w:r>
      <w:r w:rsidR="0067537C" w:rsidRPr="0067537C">
        <w:t xml:space="preserve"> agrees that index methodologies should be transparent and made available to the public, with the caveats on BMR Recital 24 taken into account and (see Q34) as well as being strongly linked to the definition of “pu</w:t>
      </w:r>
      <w:r>
        <w:t>blic” in line with Article 3(1)(1</w:t>
      </w:r>
      <w:r w:rsidR="00F51092">
        <w:t>)</w:t>
      </w:r>
      <w:r w:rsidR="0067537C" w:rsidRPr="0067537C">
        <w:t>(a).</w:t>
      </w:r>
    </w:p>
    <w:permEnd w:id="793051259"/>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9406EE" w:rsidRDefault="009406EE" w:rsidP="009406EE">
      <w:permStart w:id="1673794506" w:edGrp="everyone"/>
      <w:r>
        <w:t xml:space="preserve">Euronext agrees generally with the proposal of ESMA as regards the information to be made public within a methodology. </w:t>
      </w:r>
    </w:p>
    <w:p w:rsidR="009406EE" w:rsidRDefault="009406EE" w:rsidP="009406EE"/>
    <w:p w:rsidR="009406EE" w:rsidRDefault="009406EE" w:rsidP="009406EE">
      <w:r>
        <w:t xml:space="preserve">Euronext also agrees with ESMA’s view that it should be the administrator’s responsibility to determine the frequency of any internal review. </w:t>
      </w:r>
    </w:p>
    <w:p w:rsidR="009406EE" w:rsidRDefault="009406EE" w:rsidP="009406EE"/>
    <w:p w:rsidR="009406EE" w:rsidRDefault="009406EE" w:rsidP="009406EE">
      <w:r>
        <w:t>Furthermore, Euronext agrees with the close link between the methodology and governance. For the avoidance of doubt we would like to point out that members of the governance board should not be direc</w:t>
      </w:r>
      <w:r>
        <w:t>t</w:t>
      </w:r>
      <w:r>
        <w:t xml:space="preserve">ly involved in the day to day work of reviewing and adapting benchmark methodologies but should rather be responsible for ensuring sign-off of the respective methodology reviews and adaptions. This should include, moreover, scenarios where an administrator outsources the benchmark administration to another benchmark administrator, while retaining the governance and responsibility via an Administrator Oversight Committee. </w:t>
      </w:r>
    </w:p>
    <w:p w:rsidR="005A4696" w:rsidRDefault="005A4696" w:rsidP="009406EE"/>
    <w:p w:rsidR="009A2624" w:rsidRDefault="009406EE" w:rsidP="009406EE">
      <w:r>
        <w:t>As regards the publication of persons either as part of the Governance process or as Contributors, we would recommend, due to data protection reasons,  to publicly display held positions within firms rather than the personal name of those members within those functions. Names could be disclosed on inquiry in cases a justified reason is being provided.</w:t>
      </w:r>
    </w:p>
    <w:permEnd w:id="1673794506"/>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9406EE" w:rsidRDefault="009406EE" w:rsidP="009406EE">
      <w:permStart w:id="1965304960" w:edGrp="everyone"/>
      <w:r>
        <w:t>Euronext agrees on most points with ESMA.</w:t>
      </w:r>
    </w:p>
    <w:p w:rsidR="009406EE" w:rsidRDefault="009406EE" w:rsidP="009406EE">
      <w:r>
        <w:lastRenderedPageBreak/>
        <w:t xml:space="preserve">Contrary to </w:t>
      </w:r>
      <w:r w:rsidR="00F51092">
        <w:t>Art 7(b)(1)(iii) and Art 7</w:t>
      </w:r>
      <w:r w:rsidR="00054EB5">
        <w:t>(b)(2)</w:t>
      </w:r>
      <w:r>
        <w:t>(a), Euronext would like to point out that there may be (black swan) events which might require swift action of the benchmark administrator as regards metho</w:t>
      </w:r>
      <w:r w:rsidR="00DD3D0E">
        <w:t>dology adaption which might require a deviation from standard processes with a consequent impact on</w:t>
      </w:r>
      <w:r>
        <w:t xml:space="preserve"> the timing of information. Euronext fully agrees that thi</w:t>
      </w:r>
      <w:r w:rsidR="00DD3D0E">
        <w:t xml:space="preserve">s should </w:t>
      </w:r>
      <w:r>
        <w:t>occur in extraordinary circumstances only, howev</w:t>
      </w:r>
      <w:r w:rsidR="00DD3D0E">
        <w:t>er, these should be taken into account</w:t>
      </w:r>
      <w:r>
        <w:t xml:space="preserve"> by ESMA as well. In our view ESMA should clarify that in exceptional circumstances the usual timeline of consulting customers / stakeholders may be reduced if required</w:t>
      </w:r>
      <w:r w:rsidR="00DD3D0E">
        <w:t xml:space="preserve"> but we do not think ESMA should define an explicit and exhaustive list of unforeseen circumstances</w:t>
      </w:r>
      <w:r>
        <w:t>.</w:t>
      </w:r>
    </w:p>
    <w:p w:rsidR="009406EE" w:rsidRDefault="009406EE" w:rsidP="009406EE"/>
    <w:p w:rsidR="009A2624" w:rsidRDefault="00F30591" w:rsidP="009406EE">
      <w:r>
        <w:t>ESMA suggests in para 132</w:t>
      </w:r>
      <w:r w:rsidR="007362ED">
        <w:t xml:space="preserve"> to comm</w:t>
      </w:r>
      <w:r w:rsidR="00943A41">
        <w:t>unicate the rationale behind th</w:t>
      </w:r>
      <w:r w:rsidR="007362ED">
        <w:t>e</w:t>
      </w:r>
      <w:r w:rsidR="00943A41">
        <w:t xml:space="preserve"> </w:t>
      </w:r>
      <w:r w:rsidR="007362ED">
        <w:t>material change in such detail that it allows the stakeholders to assess whethe</w:t>
      </w:r>
      <w:r w:rsidR="006519FD">
        <w:t>r a material change improves it</w:t>
      </w:r>
      <w:r w:rsidR="007362ED">
        <w:t xml:space="preserve">s representativeness, </w:t>
      </w:r>
      <w:r w:rsidR="00943A41">
        <w:t>relevance</w:t>
      </w:r>
      <w:r w:rsidR="007362ED">
        <w:t xml:space="preserve"> and appropriateness. This </w:t>
      </w:r>
      <w:r w:rsidR="009406EE">
        <w:t>could be difficult to provide, depending on the expected granularity pursued by ES</w:t>
      </w:r>
      <w:r w:rsidR="00943A41">
        <w:t>MA. The b</w:t>
      </w:r>
      <w:r w:rsidR="009406EE">
        <w:t>ench</w:t>
      </w:r>
      <w:r w:rsidR="00943A41">
        <w:t>mark administrator</w:t>
      </w:r>
      <w:r w:rsidR="009406EE">
        <w:t xml:space="preserve"> is not always aware of the ways in which its benchmark is being used. Therefore, should ESMA include such a requirement, it should take the form of a recommendation only and be proportionate.]</w:t>
      </w:r>
    </w:p>
    <w:permEnd w:id="1965304960"/>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943A41" w:rsidRDefault="00943A41" w:rsidP="00943A41">
      <w:permStart w:id="1603283926" w:edGrp="everyone"/>
      <w:r>
        <w:t>Euronext  would welcome a view from ESMA on the question as to whether a consultation may be co</w:t>
      </w:r>
      <w:r>
        <w:t>n</w:t>
      </w:r>
      <w:r>
        <w:t xml:space="preserve">ducted within an external stakeholder/consultative working group. In such a case, confirmation that the replies would initially only be shared within this group before being communicated to the broader market would be helpful. </w:t>
      </w:r>
    </w:p>
    <w:p w:rsidR="00943A41" w:rsidRDefault="00943A41" w:rsidP="00943A41"/>
    <w:p w:rsidR="009A2624" w:rsidRDefault="00943A41" w:rsidP="00943A41">
      <w:r>
        <w:t xml:space="preserve">Furthermore, regardless of which sort of consultation would be considered as adequate by ESMA, we would deem it sensible for the benchmark administrator to provide for a summary of the received feedback to the public given that listing all consultation feedback could increase costs across the board. </w:t>
      </w:r>
    </w:p>
    <w:permEnd w:id="1603283926"/>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9A2624" w:rsidRDefault="00943A41" w:rsidP="009A2624">
      <w:permStart w:id="1506959134" w:edGrp="everyone"/>
      <w:r w:rsidRPr="00943A41">
        <w:t>Euronext agrees that the requirements should be universal, irrespective of the benchmark type as long as this is in line with BMR Recital 24 and the potential IP rights of the benchmark administrator are being protected.</w:t>
      </w:r>
    </w:p>
    <w:permEnd w:id="1506959134"/>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9A2624" w:rsidRDefault="00800BEF" w:rsidP="009A2624">
      <w:permStart w:id="800919423" w:edGrp="everyone"/>
      <w:r w:rsidRPr="00800BEF">
        <w:t>Euronext agrees that the requirements should be universal, irrespective of the benchmark type.</w:t>
      </w:r>
    </w:p>
    <w:permEnd w:id="800919423"/>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9A2624" w:rsidRDefault="00800BEF" w:rsidP="009A2624">
      <w:permStart w:id="162208766" w:edGrp="everyone"/>
      <w:r w:rsidRPr="00800BEF">
        <w:lastRenderedPageBreak/>
        <w:t>Euronext agrees that the proportionality is sufficient</w:t>
      </w:r>
    </w:p>
    <w:permEnd w:id="162208766"/>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Do you agree that a benchmark administrator could have a standard code for all types of benchmarks? If not, should there be separate codes depending on whether a benchmark is critical, significant or non-significant? Please take into account your answer to this question when responding to all subsequent questions.</w:t>
      </w:r>
    </w:p>
    <w:p w:rsidR="009A2624" w:rsidRDefault="009A2624" w:rsidP="009A2624">
      <w:r>
        <w:t>&lt;ESMA_QUESTION_DP_BMR_43&gt;</w:t>
      </w:r>
    </w:p>
    <w:p w:rsidR="009A2624" w:rsidRDefault="009A2624" w:rsidP="009A2624">
      <w:permStart w:id="567551095" w:edGrp="everyone"/>
      <w:r>
        <w:t>TYPE YOUR TEXT HERE</w:t>
      </w:r>
    </w:p>
    <w:permEnd w:id="567551095"/>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9A2624" w:rsidRDefault="009A2624" w:rsidP="009A2624">
      <w:permStart w:id="970787471" w:edGrp="everyone"/>
      <w:r>
        <w:t>TYPE YOUR TEXT HERE</w:t>
      </w:r>
    </w:p>
    <w:permEnd w:id="970787471"/>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9A2624" w:rsidRDefault="009A2624" w:rsidP="009A2624">
      <w:permStart w:id="90050560" w:edGrp="everyone"/>
      <w:r>
        <w:t>TYPE YOUR TEXT HERE</w:t>
      </w:r>
    </w:p>
    <w:permEnd w:id="90050560"/>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9A2624" w:rsidRDefault="009A2624" w:rsidP="009A2624">
      <w:permStart w:id="919474828" w:edGrp="everyone"/>
      <w:r>
        <w:t>TYPE YOUR TEXT HERE</w:t>
      </w:r>
    </w:p>
    <w:permEnd w:id="919474828"/>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9A2624" w:rsidRDefault="009A2624" w:rsidP="009A2624">
      <w:permStart w:id="532164988" w:edGrp="everyone"/>
      <w:r>
        <w:t>TYPE YOUR TEXT HERE</w:t>
      </w:r>
    </w:p>
    <w:permEnd w:id="532164988"/>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9A2624" w:rsidRDefault="009A2624" w:rsidP="009A2624">
      <w:permStart w:id="615255297" w:edGrp="everyone"/>
      <w:r>
        <w:t>TYPE YOUR TEXT HERE</w:t>
      </w:r>
    </w:p>
    <w:permEnd w:id="615255297"/>
    <w:p w:rsidR="009A2624" w:rsidRDefault="009A2624" w:rsidP="009A2624">
      <w:r>
        <w:t>&lt;ESMA_QUESTION_DP_BMR_48&gt;</w:t>
      </w:r>
    </w:p>
    <w:p w:rsidR="009A2624" w:rsidRDefault="009A2624" w:rsidP="009A2624"/>
    <w:p w:rsidR="009A2624" w:rsidRPr="007F44BF" w:rsidRDefault="009A2624" w:rsidP="002342EC">
      <w:pPr>
        <w:pStyle w:val="Questionstyle"/>
      </w:pPr>
      <w:r w:rsidRPr="007F44BF">
        <w:lastRenderedPageBreak/>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Default="009A2624" w:rsidP="009A2624">
      <w:permStart w:id="2011759098" w:edGrp="everyone"/>
      <w:r>
        <w:t>TYPE YOUR TEXT HERE</w:t>
      </w:r>
    </w:p>
    <w:permEnd w:id="2011759098"/>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9A2624" w:rsidRDefault="009A2624" w:rsidP="009A2624">
      <w:permStart w:id="1848736668" w:edGrp="everyone"/>
      <w:r>
        <w:t>TYPE YOUR TEXT HERE</w:t>
      </w:r>
    </w:p>
    <w:permEnd w:id="1848736668"/>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9A2624" w:rsidRDefault="009A2624" w:rsidP="009A2624">
      <w:permStart w:id="1299785088" w:edGrp="everyone"/>
      <w:r>
        <w:t>TYPE YOUR TEXT HERE</w:t>
      </w:r>
    </w:p>
    <w:permEnd w:id="1299785088"/>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9A2624" w:rsidRDefault="009A2624" w:rsidP="009A2624">
      <w:permStart w:id="1393454579" w:edGrp="everyone"/>
      <w:r>
        <w:t>TYPE YOUR TEXT HERE</w:t>
      </w:r>
    </w:p>
    <w:permEnd w:id="1393454579"/>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9A2624" w:rsidRDefault="009A2624" w:rsidP="009A2624">
      <w:permStart w:id="1127578917" w:edGrp="everyone"/>
      <w:r>
        <w:t>TYPE YOUR TEXT HERE</w:t>
      </w:r>
    </w:p>
    <w:permEnd w:id="1127578917"/>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9A2624" w:rsidRDefault="009A2624" w:rsidP="009A2624">
      <w:permStart w:id="483002999" w:edGrp="everyone"/>
      <w:r>
        <w:t>TYPE YOUR TEXT HERE</w:t>
      </w:r>
    </w:p>
    <w:permEnd w:id="483002999"/>
    <w:p w:rsidR="009A2624" w:rsidRDefault="009A2624" w:rsidP="009A2624">
      <w:r>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9A2624" w:rsidRDefault="009A2624" w:rsidP="009A2624">
      <w:permStart w:id="715469878" w:edGrp="everyone"/>
      <w:r>
        <w:t>TYPE YOUR TEXT HERE</w:t>
      </w:r>
    </w:p>
    <w:permEnd w:id="715469878"/>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lastRenderedPageBreak/>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9A2624" w:rsidRDefault="009A2624" w:rsidP="009A2624">
      <w:permStart w:id="1110192145" w:edGrp="everyone"/>
      <w:r>
        <w:t>TYPE YOUR TEXT HERE</w:t>
      </w:r>
    </w:p>
    <w:permEnd w:id="1110192145"/>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9A2624" w:rsidRDefault="009A2624" w:rsidP="009A2624">
      <w:permStart w:id="122573832" w:edGrp="everyone"/>
      <w:r>
        <w:t>TYPE YOUR TEXT HERE</w:t>
      </w:r>
    </w:p>
    <w:permEnd w:id="122573832"/>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9A2624" w:rsidRDefault="009A2624" w:rsidP="009A2624">
      <w:permStart w:id="641955595" w:edGrp="everyone"/>
      <w:r>
        <w:t>TYPE YOUR TEXT HERE</w:t>
      </w:r>
    </w:p>
    <w:permEnd w:id="641955595"/>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9A2624" w:rsidRDefault="009A2624" w:rsidP="009A2624">
      <w:permStart w:id="1395262068" w:edGrp="everyone"/>
      <w:r>
        <w:t>TYPE YOUR TEXT HERE</w:t>
      </w:r>
    </w:p>
    <w:permEnd w:id="1395262068"/>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9A2624" w:rsidRDefault="009A2624" w:rsidP="009A2624">
      <w:permStart w:id="1882145698" w:edGrp="everyone"/>
      <w:r>
        <w:t>TYPE YOUR TEXT HERE</w:t>
      </w:r>
    </w:p>
    <w:permEnd w:id="1882145698"/>
    <w:p w:rsidR="009A2624" w:rsidRDefault="009A2624" w:rsidP="009A2624">
      <w:r>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9A2624" w:rsidRDefault="009A2624" w:rsidP="009A2624">
      <w:permStart w:id="1583906393" w:edGrp="everyone"/>
      <w:r>
        <w:t>TYPE YOUR TEXT HERE</w:t>
      </w:r>
    </w:p>
    <w:permEnd w:id="1583906393"/>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9A2624" w:rsidRDefault="009A2624" w:rsidP="009A2624">
      <w:permStart w:id="455675104" w:edGrp="everyone"/>
      <w:r>
        <w:t>TYPE YOUR TEXT HERE</w:t>
      </w:r>
    </w:p>
    <w:permEnd w:id="455675104"/>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lastRenderedPageBreak/>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9A2624" w:rsidRDefault="009A2624" w:rsidP="009A2624">
      <w:permStart w:id="477510166" w:edGrp="everyone"/>
      <w:r>
        <w:t>TYPE YOUR TEXT HERE</w:t>
      </w:r>
    </w:p>
    <w:permEnd w:id="477510166"/>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1203962978" w:edGrp="everyone"/>
      <w:r>
        <w:t>TYPE YOUR TEXT HERE</w:t>
      </w:r>
    </w:p>
    <w:permEnd w:id="1203962978"/>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9A2624" w:rsidRDefault="009A2624" w:rsidP="009A2624">
      <w:permStart w:id="1071202099" w:edGrp="everyone"/>
      <w:r>
        <w:t>TYPE YOUR TEXT HERE</w:t>
      </w:r>
    </w:p>
    <w:permEnd w:id="1071202099"/>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Default="009A2624" w:rsidP="009A2624">
      <w:permStart w:id="788018747" w:edGrp="everyone"/>
      <w:r>
        <w:t>TYPE YOUR TEXT HERE</w:t>
      </w:r>
    </w:p>
    <w:permEnd w:id="788018747"/>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9A2624" w:rsidRDefault="009A2624" w:rsidP="009A2624">
      <w:permStart w:id="240324502" w:edGrp="everyone"/>
      <w:r>
        <w:t>TYPE YOUR TEXT HERE</w:t>
      </w:r>
    </w:p>
    <w:permEnd w:id="240324502"/>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9A2624" w:rsidRDefault="009A2624" w:rsidP="009A2624">
      <w:permStart w:id="1959539507" w:edGrp="everyone"/>
      <w:r>
        <w:t>TYPE YOUR TEXT HERE</w:t>
      </w:r>
    </w:p>
    <w:permEnd w:id="1959539507"/>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lastRenderedPageBreak/>
        <w:t>&lt;ESMA_QUESTION_DP_BMR_69&gt;</w:t>
      </w:r>
    </w:p>
    <w:p w:rsidR="009A2624" w:rsidRDefault="009A2624" w:rsidP="009A2624">
      <w:permStart w:id="1468406016" w:edGrp="everyone"/>
      <w:r>
        <w:t>TYPE YOUR TEXT HERE</w:t>
      </w:r>
    </w:p>
    <w:permEnd w:id="1468406016"/>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9A2624" w:rsidRDefault="009A2624" w:rsidP="009A2624">
      <w:permStart w:id="504719794" w:edGrp="everyone"/>
      <w:r>
        <w:t>TYPE YOUR TEXT HERE</w:t>
      </w:r>
    </w:p>
    <w:permEnd w:id="504719794"/>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9A2624" w:rsidRDefault="009A2624" w:rsidP="009A2624">
      <w:permStart w:id="1308111426" w:edGrp="everyone"/>
      <w:r>
        <w:t>TYPE YOUR TEXT HERE</w:t>
      </w:r>
    </w:p>
    <w:permEnd w:id="1308111426"/>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9A2624" w:rsidRDefault="009A2624" w:rsidP="009A2624">
      <w:permStart w:id="461920762" w:edGrp="everyone"/>
      <w:r>
        <w:t>TYPE YOUR TEXT HERE</w:t>
      </w:r>
    </w:p>
    <w:permEnd w:id="461920762"/>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9A2624" w:rsidRDefault="009A2624" w:rsidP="009A2624">
      <w:permStart w:id="972975629" w:edGrp="everyone"/>
      <w:r>
        <w:t>TYPE YOUR TEXT HERE</w:t>
      </w:r>
    </w:p>
    <w:permEnd w:id="972975629"/>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9A2624" w:rsidRDefault="009A2624" w:rsidP="009A2624">
      <w:permStart w:id="1082655291" w:edGrp="everyone"/>
      <w:r>
        <w:t>TYPE YOUR TEXT HERE</w:t>
      </w:r>
    </w:p>
    <w:permEnd w:id="1082655291"/>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9A2624" w:rsidRDefault="009A2624" w:rsidP="009A2624">
      <w:permStart w:id="1902140408" w:edGrp="everyone"/>
      <w:r>
        <w:t>TYPE YOUR TEXT HERE</w:t>
      </w:r>
    </w:p>
    <w:permEnd w:id="1902140408"/>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lastRenderedPageBreak/>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9A2624" w:rsidRDefault="009A2624" w:rsidP="009A2624">
      <w:permStart w:id="1398553639" w:edGrp="everyone"/>
      <w:r>
        <w:t>TYPE YOUR TEXT HERE</w:t>
      </w:r>
    </w:p>
    <w:permEnd w:id="1398553639"/>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9A2624" w:rsidRDefault="009A2624" w:rsidP="009A2624">
      <w:permStart w:id="1508717883" w:edGrp="everyone"/>
      <w:r>
        <w:t>TYPE YOUR TEXT HERE</w:t>
      </w:r>
    </w:p>
    <w:permEnd w:id="1508717883"/>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9A2624" w:rsidRDefault="009A2624" w:rsidP="009A2624">
      <w:permStart w:id="977215244" w:edGrp="everyone"/>
      <w:r>
        <w:t>TYPE YOUR TEXT HERE</w:t>
      </w:r>
    </w:p>
    <w:permEnd w:id="977215244"/>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1626095682" w:edGrp="everyone"/>
      <w:r>
        <w:t>TYPE YOUR TEXT HERE</w:t>
      </w:r>
    </w:p>
    <w:permEnd w:id="1626095682"/>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B43DEB" w:rsidRDefault="00B43DEB" w:rsidP="00B43DEB">
      <w:permStart w:id="2004157355" w:edGrp="everyone"/>
      <w:r>
        <w:t>Euronext  generally agrees with the approach to clarify and define the criteria of the assessment by n</w:t>
      </w:r>
      <w:r>
        <w:t>a</w:t>
      </w:r>
      <w:r>
        <w:t>tional Competent Authorities. ESMA should develop clear guidance in relation to the acceptance a</w:t>
      </w:r>
      <w:r w:rsidR="00F51092">
        <w:t>nd rejection under Article 14(c)(</w:t>
      </w:r>
      <w:r>
        <w:t>2</w:t>
      </w:r>
      <w:r w:rsidR="00F51092">
        <w:t>)</w:t>
      </w:r>
      <w:r>
        <w:t>.</w:t>
      </w:r>
    </w:p>
    <w:p w:rsidR="00B43DEB" w:rsidRDefault="00B43DEB" w:rsidP="00B43DEB"/>
    <w:p w:rsidR="00B43DEB" w:rsidRDefault="00B43DEB" w:rsidP="00B43DEB">
      <w:r>
        <w:t>Euronext agrees with ESMA’s statements that most of the relevant Articles referred to in</w:t>
      </w:r>
      <w:r w:rsidR="00DF1841">
        <w:t xml:space="preserve"> this section (Art 5(2), 5(3c)(c)(d)(e), 7(3a)(b) and 9</w:t>
      </w:r>
      <w:r>
        <w:t xml:space="preserve">(2)) would not apply to most benchmark providers which purely base their indices on regulated data. However, there is no explicit statement of this in the </w:t>
      </w:r>
      <w:r w:rsidR="007944F4">
        <w:t>legal text. In this context we</w:t>
      </w:r>
      <w:r>
        <w:t xml:space="preserve"> would like to encourage ESMA to introduce wording in its RTS referring to clear guidance / </w:t>
      </w:r>
      <w:r>
        <w:lastRenderedPageBreak/>
        <w:t xml:space="preserve">criteria on the basis of which the NCA should decide. This would also limit different interpretations at national level across the EU. </w:t>
      </w:r>
    </w:p>
    <w:p w:rsidR="003370F4" w:rsidRDefault="003370F4" w:rsidP="00B43DEB"/>
    <w:p w:rsidR="00B43DEB" w:rsidRDefault="00B43DEB" w:rsidP="00B43DEB">
      <w:r>
        <w:t>(a)</w:t>
      </w:r>
      <w:r>
        <w:tab/>
        <w:t xml:space="preserve">Vulnerability of a benchmark </w:t>
      </w:r>
    </w:p>
    <w:p w:rsidR="00B43DEB" w:rsidRDefault="00B43DEB" w:rsidP="00B43DEB">
      <w:r>
        <w:t>The input data underpinning the use of regulated data – be it transaction data or in very few circumstan</w:t>
      </w:r>
      <w:r>
        <w:t>c</w:t>
      </w:r>
      <w:r>
        <w:t>es firm bids/offers - is not prone to being manipulated by the benchmark provider or any other stakeholder. We need to point out that firm bid/offers of a regulated market should have a similar quality as the transa</w:t>
      </w:r>
      <w:r>
        <w:t>c</w:t>
      </w:r>
      <w:r>
        <w:t xml:space="preserve">tions concluded on those markets. Benchmarks based on regulated data thus should be considered to be nearly riskless in this regard. This should be the case for EU as well as non-EU regulated markets. </w:t>
      </w:r>
    </w:p>
    <w:p w:rsidR="00B43DEB" w:rsidRDefault="003370F4" w:rsidP="00B43DEB">
      <w:r>
        <w:t>Even in cases where a benchmark p</w:t>
      </w:r>
      <w:r w:rsidR="00B43DEB">
        <w:t xml:space="preserve">rovider is not only providing benchmarks but also other services, this is not in all cases a clear indication of a potential vulnerability to the benchmark. </w:t>
      </w:r>
    </w:p>
    <w:p w:rsidR="00B43DEB" w:rsidRDefault="003370F4" w:rsidP="00B43DEB">
      <w:r>
        <w:t>Therefore, ESMA</w:t>
      </w:r>
      <w:r w:rsidR="00B43DEB">
        <w:t xml:space="preserve"> should not only consider different functions of a firm providing benchmarks and other ser</w:t>
      </w:r>
      <w:r w:rsidR="003C0C95">
        <w:t>vices, but</w:t>
      </w:r>
      <w:r w:rsidR="00B43DEB">
        <w:t xml:space="preserve"> should consider the interest for potential manipulation (e.g. holding positions). </w:t>
      </w:r>
    </w:p>
    <w:p w:rsidR="003C0C95" w:rsidRDefault="003C0C95" w:rsidP="00B43DEB"/>
    <w:p w:rsidR="00B43DEB" w:rsidRDefault="00B43DEB" w:rsidP="00B43DEB">
      <w:r>
        <w:t>Euronext wou</w:t>
      </w:r>
      <w:r w:rsidR="003C0C95">
        <w:t>ld only consider the nature of b</w:t>
      </w:r>
      <w:r>
        <w:t xml:space="preserve">enchmark when looking for potential historical cases of manipulation. In any case the nature of the benchmark should be complemented with the nature of the provider (e.g. being neutral in contrast to holding positions referencing the benchmark in question). We agree, however, that the absence of any evidence as regards the nature of the benchmark in question in general should be considered as a positive sign for the decision making process. </w:t>
      </w:r>
    </w:p>
    <w:p w:rsidR="003C0C95" w:rsidRDefault="003C0C95" w:rsidP="00B43DEB"/>
    <w:p w:rsidR="00B43DEB" w:rsidRDefault="00B43DEB" w:rsidP="00B43DEB">
      <w:r>
        <w:t>(b)</w:t>
      </w:r>
      <w:r>
        <w:tab/>
        <w:t xml:space="preserve">Nature of the input data </w:t>
      </w:r>
    </w:p>
    <w:p w:rsidR="00B43DEB" w:rsidRDefault="00B43DEB" w:rsidP="00B43DEB">
      <w:r>
        <w:t>Euronext agre</w:t>
      </w:r>
      <w:r w:rsidR="003C0C95">
        <w:t>es with ESMA’s comments in para</w:t>
      </w:r>
      <w:r>
        <w:t xml:space="preserve"> 231. Euronext </w:t>
      </w:r>
      <w:r w:rsidR="003C0C95">
        <w:t xml:space="preserve">also </w:t>
      </w:r>
      <w:r>
        <w:t>agrees with ESMA’s point 232 as long as the wording “the administrator is itself engaged in the market the benchmark is intended to repr</w:t>
      </w:r>
      <w:r>
        <w:t>e</w:t>
      </w:r>
      <w:r>
        <w:t>sent”  is clarified as “is holding positions in financial instruments refere</w:t>
      </w:r>
      <w:r w:rsidR="00DF1841">
        <w:t>ncing the benchmark in question</w:t>
      </w:r>
      <w:r>
        <w:t xml:space="preserve">”. The reference to being engaged is too vague and does not provide for clear guidance. </w:t>
      </w:r>
    </w:p>
    <w:p w:rsidR="003C0C95" w:rsidRDefault="003C0C95" w:rsidP="00B43DEB"/>
    <w:p w:rsidR="00B43DEB" w:rsidRDefault="00B43DEB" w:rsidP="00B43DEB">
      <w:r>
        <w:t>(c)</w:t>
      </w:r>
      <w:r>
        <w:tab/>
        <w:t xml:space="preserve">Level of conflict of interest </w:t>
      </w:r>
    </w:p>
    <w:p w:rsidR="00B43DEB" w:rsidRDefault="00B43DEB" w:rsidP="00B43DEB">
      <w:r>
        <w:t>Euronext would like to encourage ESMA to clarify what “participates in the market” means. As pointed out above, Euronext considers this as “holding positions in financial instruments referencing the benchmark in question”.</w:t>
      </w:r>
    </w:p>
    <w:p w:rsidR="003C0C95" w:rsidRDefault="003C0C95" w:rsidP="00B43DEB"/>
    <w:p w:rsidR="00B43DEB" w:rsidRDefault="00B43DEB" w:rsidP="00B43DEB">
      <w:r>
        <w:t>(d)</w:t>
      </w:r>
      <w:r>
        <w:tab/>
        <w:t>Degree of discretion of the administrator</w:t>
      </w:r>
    </w:p>
    <w:p w:rsidR="00B43DEB" w:rsidRDefault="00B43DEB" w:rsidP="00B43DEB">
      <w:r>
        <w:t>Euronext agrees with ESMA’s analysis that depending on the quality of input data, the discretion of the benchmark provider is reduced as there is no need and no incentive to calculate or augment the input data. In this context we would like to point out that besides transaction data, firm bids/offers from regulated markets should be considered as reliable input data in the sense of regulated data. We would expect NCAs to not require additional application of the above mentioned articles in cases of use of regulated data.</w:t>
      </w:r>
    </w:p>
    <w:p w:rsidR="003C0C95" w:rsidRDefault="003C0C95" w:rsidP="00B43DEB"/>
    <w:p w:rsidR="00B43DEB" w:rsidRDefault="00B43DEB" w:rsidP="00B43DEB">
      <w:r>
        <w:t>(e)</w:t>
      </w:r>
      <w:r>
        <w:tab/>
        <w:t>Impact of the benchmarks on markets</w:t>
      </w:r>
    </w:p>
    <w:p w:rsidR="00B43DEB" w:rsidRDefault="00B43DEB" w:rsidP="00B43DEB">
      <w:r>
        <w:t xml:space="preserve">The calculation of thresholds as defined in Level 1 provides for significant challenges. We deem those thresholds to provide for a critical part of the BMR as it is not yet clear on which data basis, to which rules and in line with which verification measures those thresholds will be generated. </w:t>
      </w:r>
    </w:p>
    <w:p w:rsidR="003C0C95" w:rsidRDefault="003C0C95" w:rsidP="00B43DEB"/>
    <w:p w:rsidR="00B43DEB" w:rsidRDefault="00B43DEB" w:rsidP="00B43DEB">
      <w:r>
        <w:t>(f)</w:t>
      </w:r>
      <w:r>
        <w:tab/>
        <w:t xml:space="preserve">Importance of the benchmark to financial stability </w:t>
      </w:r>
    </w:p>
    <w:p w:rsidR="00B43DEB" w:rsidRDefault="00B43DEB" w:rsidP="00B43DEB">
      <w:r>
        <w:t>See responses to (e)</w:t>
      </w:r>
    </w:p>
    <w:p w:rsidR="003C0C95" w:rsidRDefault="003C0C95" w:rsidP="00B43DEB"/>
    <w:p w:rsidR="00B43DEB" w:rsidRDefault="00B43DEB" w:rsidP="00B43DEB">
      <w:r>
        <w:t>(g)</w:t>
      </w:r>
      <w:r>
        <w:tab/>
        <w:t xml:space="preserve">Nature, scale and complexity of the provision of the benchmark </w:t>
      </w:r>
    </w:p>
    <w:p w:rsidR="00B43DEB" w:rsidRDefault="00B43DEB" w:rsidP="00B43DEB">
      <w:r>
        <w:t>Euronext appreciates ESMA’s list of criteria when it comes to the complexity of the provision of a benc</w:t>
      </w:r>
      <w:r>
        <w:t>h</w:t>
      </w:r>
      <w:r>
        <w:t xml:space="preserve">mark. We would like to add that complexity should be considered as relative depending on the experience the provider may have. The same applies for the digestion of vast amounts of data. In case a provider is an expert on the activities in question, this should be counted as a positive signal he is able to conduct complex processes. As a result we agree that the complexity of a service should take into consideration the nature of the provider. </w:t>
      </w:r>
    </w:p>
    <w:p w:rsidR="00140BF6" w:rsidRDefault="00140BF6" w:rsidP="00B43DEB"/>
    <w:p w:rsidR="00B43DEB" w:rsidRDefault="00B43DEB" w:rsidP="00B43DEB">
      <w:r>
        <w:t>(h)</w:t>
      </w:r>
      <w:r>
        <w:tab/>
        <w:t xml:space="preserve">Value of financial instruments and financial contracts that reference the benchmark </w:t>
      </w:r>
    </w:p>
    <w:p w:rsidR="00B43DEB" w:rsidRDefault="00B43DEB" w:rsidP="00B43DEB">
      <w:r>
        <w:t>Euronext agrees with ESMA on the close link with point (e).</w:t>
      </w:r>
    </w:p>
    <w:p w:rsidR="00140BF6" w:rsidRDefault="00140BF6" w:rsidP="00B43DEB"/>
    <w:p w:rsidR="00B43DEB" w:rsidRDefault="00B43DEB" w:rsidP="00B43DEB">
      <w:r>
        <w:t>(</w:t>
      </w:r>
      <w:proofErr w:type="spellStart"/>
      <w:r>
        <w:t>i</w:t>
      </w:r>
      <w:proofErr w:type="spellEnd"/>
      <w:r>
        <w:t>)</w:t>
      </w:r>
      <w:r>
        <w:tab/>
        <w:t xml:space="preserve">Administrators size, organizational form and/or structure </w:t>
      </w:r>
    </w:p>
    <w:p w:rsidR="00B43DEB" w:rsidRDefault="00B43DEB" w:rsidP="00B43DEB">
      <w:r>
        <w:t>Euronext agrees with most o</w:t>
      </w:r>
      <w:r w:rsidR="00140BF6">
        <w:t>f ESMA’s comments made in para</w:t>
      </w:r>
      <w:r>
        <w:t xml:space="preserve"> 246</w:t>
      </w:r>
      <w:r w:rsidR="00140BF6">
        <w:t xml:space="preserve"> </w:t>
      </w:r>
      <w:r>
        <w:t>and 247. However, we still deem it necessary that where an index becomes a benchmark against which investors’ money is being referenced or validated, there needs to be a high level of reliability once front office submissions / panels are being used for data generation. Therefore, and especially in case of a large firm providing the front office data, Article 7(3a)(b) should be applied.</w:t>
      </w:r>
    </w:p>
    <w:permEnd w:id="2004157355"/>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140BF6" w:rsidRDefault="00140BF6" w:rsidP="00140BF6">
      <w:permStart w:id="1000870327" w:edGrp="everyone"/>
      <w:r>
        <w:t>Euronex</w:t>
      </w:r>
      <w:r w:rsidR="00F30591">
        <w:t>t supports ESMA’s view in para 250</w:t>
      </w:r>
      <w:r>
        <w:t xml:space="preserve"> that these compliance statements can be given for families of benchmarks, where appropriate. </w:t>
      </w:r>
    </w:p>
    <w:p w:rsidR="00140BF6" w:rsidRDefault="00140BF6" w:rsidP="00140BF6"/>
    <w:p w:rsidR="00140BF6" w:rsidRDefault="00140BF6" w:rsidP="00140BF6">
      <w:r>
        <w:t>In addition, we would like to suggest that ESMA should allow for discretion in order to enable administr</w:t>
      </w:r>
      <w:r>
        <w:t>a</w:t>
      </w:r>
      <w:r>
        <w:t>tors to use as much content as possible from their IOSCO compliance statements when making a stat</w:t>
      </w:r>
      <w:r>
        <w:t>e</w:t>
      </w:r>
      <w:r>
        <w:t>ment for the BMR.</w:t>
      </w:r>
    </w:p>
    <w:p w:rsidR="00140BF6" w:rsidRDefault="00140BF6" w:rsidP="00140BF6"/>
    <w:p w:rsidR="00140BF6" w:rsidRDefault="00DF1841" w:rsidP="00140BF6">
      <w:r>
        <w:t>We would like to ask</w:t>
      </w:r>
      <w:r w:rsidR="00140BF6">
        <w:t xml:space="preserve"> if ESMA </w:t>
      </w:r>
      <w:r>
        <w:t xml:space="preserve">has </w:t>
      </w:r>
      <w:r w:rsidR="00140BF6">
        <w:t>considered the burdens for a non-significant benchmark to be subject to the same compliance statement as a significant benchmark?</w:t>
      </w:r>
    </w:p>
    <w:p w:rsidR="00AA771E" w:rsidRDefault="00AA771E" w:rsidP="00140BF6"/>
    <w:p w:rsidR="00140BF6" w:rsidRDefault="00140BF6" w:rsidP="00140BF6">
      <w:r>
        <w:t>According to Article 14</w:t>
      </w:r>
      <w:r w:rsidR="00231ED2">
        <w:t>(</w:t>
      </w:r>
      <w:r>
        <w:t>c</w:t>
      </w:r>
      <w:r w:rsidR="00231ED2">
        <w:t>)</w:t>
      </w:r>
      <w:r>
        <w:t>(6) and 14</w:t>
      </w:r>
      <w:r w:rsidR="00231ED2">
        <w:t>(</w:t>
      </w:r>
      <w:r>
        <w:t>d</w:t>
      </w:r>
      <w:r w:rsidR="00231ED2">
        <w:t>)</w:t>
      </w:r>
      <w:r>
        <w:t>(2), administrators of significant and non-significant benchmarks respectively may decide not to comply with a number of governance requirements following a “comply or explain approach”, i.e. the administrators need to explain why non-compliance is appropriate in a compl</w:t>
      </w:r>
      <w:r>
        <w:t>i</w:t>
      </w:r>
      <w:r>
        <w:t>ance statement, for which ESMA is empowered to develop a template. Given that most benchmark admi</w:t>
      </w:r>
      <w:r>
        <w:t>n</w:t>
      </w:r>
      <w:r>
        <w:t>i</w:t>
      </w:r>
      <w:r w:rsidR="00DF1841">
        <w:t>strators already issue</w:t>
      </w:r>
      <w:r>
        <w:t xml:space="preserve"> compliance statements as regar</w:t>
      </w:r>
      <w:r w:rsidR="00AA771E">
        <w:t>ds the IOSCO Principles</w:t>
      </w:r>
      <w:r w:rsidR="00DF1841">
        <w:t xml:space="preserve"> - which</w:t>
      </w:r>
      <w:r w:rsidR="00DF1841" w:rsidRPr="00DF1841">
        <w:t xml:space="preserve"> are often externa</w:t>
      </w:r>
      <w:r w:rsidR="00DF1841" w:rsidRPr="00DF1841">
        <w:t>l</w:t>
      </w:r>
      <w:r w:rsidR="00DF1841" w:rsidRPr="00DF1841">
        <w:t>ly certified</w:t>
      </w:r>
      <w:r w:rsidR="00DF1841">
        <w:t xml:space="preserve"> -</w:t>
      </w:r>
      <w:r w:rsidR="00AA771E">
        <w:t>, ESMA c</w:t>
      </w:r>
      <w:r>
        <w:t>ould leave room for discretion in order to allow administrators to use as much</w:t>
      </w:r>
      <w:r w:rsidR="00DF1841">
        <w:t xml:space="preserve"> content</w:t>
      </w:r>
      <w:r>
        <w:t xml:space="preserve"> as possi</w:t>
      </w:r>
      <w:r w:rsidR="00DF1841">
        <w:t xml:space="preserve">ble from their IOSCO compliance </w:t>
      </w:r>
      <w:r>
        <w:t xml:space="preserve">statements. </w:t>
      </w:r>
    </w:p>
    <w:p w:rsidR="00AA771E" w:rsidRDefault="00AA771E" w:rsidP="00140BF6"/>
    <w:p w:rsidR="009A2624" w:rsidRDefault="00140BF6" w:rsidP="00140BF6">
      <w:r>
        <w:t>It should be clear how the respective administrator should complete the statements and how it can offer enough information to the NCA if it has chosen to “explain” rather than “comply”; it should also be clear what additional information can be requested by the NCA to</w:t>
      </w:r>
      <w:r w:rsidR="00760371">
        <w:t xml:space="preserve"> ensure compliance with</w:t>
      </w:r>
      <w:r w:rsidR="00DF1841">
        <w:t xml:space="preserve"> the BMR. </w:t>
      </w:r>
    </w:p>
    <w:permEnd w:id="1000870327"/>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9A2624" w:rsidRDefault="00AA771E" w:rsidP="009A2624">
      <w:permStart w:id="2061524897" w:edGrp="everyone"/>
      <w:r w:rsidRPr="00AA771E">
        <w:t>Euronext would like to point out that in many commodity markets – also if their Benchmarks are Regulated Data Benchmarks - there is a low level of transparency on the market size. Many market players in many commodity markets do not publish transaction volume as they tend to be active on the markets exclusively for hedging purposes.</w:t>
      </w:r>
    </w:p>
    <w:permEnd w:id="2061524897"/>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unreli</w:t>
      </w:r>
      <w:r w:rsidRPr="007F44BF">
        <w:t>a</w:t>
      </w:r>
      <w:r w:rsidRPr="007F44BF">
        <w:t>ble can be sufficiently described by the suggested aspects?</w:t>
      </w:r>
    </w:p>
    <w:p w:rsidR="009A2624" w:rsidRDefault="009A2624" w:rsidP="009A2624">
      <w:r>
        <w:t>&lt;ESMA_QUESTION_DP_BMR_83&gt;</w:t>
      </w:r>
    </w:p>
    <w:p w:rsidR="009A2624" w:rsidRDefault="009A2624" w:rsidP="009A2624">
      <w:permStart w:id="1668300626" w:edGrp="everyone"/>
      <w:r>
        <w:t>TYPE YOUR TEXT HERE</w:t>
      </w:r>
    </w:p>
    <w:permEnd w:id="1668300626"/>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9A2624" w:rsidRDefault="009A2624" w:rsidP="009A2624">
      <w:permStart w:id="1317173474" w:edGrp="everyone"/>
      <w:r>
        <w:t>TYPE YOUR TEXT HERE</w:t>
      </w:r>
    </w:p>
    <w:permEnd w:id="1317173474"/>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A2624" w:rsidRDefault="009A2624" w:rsidP="009A2624">
      <w:permStart w:id="1823220920" w:edGrp="everyone"/>
      <w:r>
        <w:t>TYPE YOUR TEXT HERE</w:t>
      </w:r>
    </w:p>
    <w:permEnd w:id="1823220920"/>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t>&lt;ESMA_QUESTION_DP_BMR_86&gt;</w:t>
      </w:r>
    </w:p>
    <w:p w:rsidR="009A2624" w:rsidRDefault="009A2624" w:rsidP="009A2624">
      <w:permStart w:id="1971083339" w:edGrp="everyone"/>
      <w:r>
        <w:t>TYPE YOUR TEXT HERE</w:t>
      </w:r>
    </w:p>
    <w:permEnd w:id="1971083339"/>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9A2624" w:rsidRDefault="009A2624" w:rsidP="009A2624">
      <w:permStart w:id="1826641961" w:edGrp="everyone"/>
      <w:r>
        <w:t>TYPE YOUR TEXT HERE</w:t>
      </w:r>
    </w:p>
    <w:permEnd w:id="1826641961"/>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9A2624" w:rsidRDefault="00AA771E" w:rsidP="009A2624">
      <w:permStart w:id="1698958105" w:edGrp="everyone"/>
      <w:r w:rsidRPr="00AA771E">
        <w:t>Euronext  fully agrees with</w:t>
      </w:r>
      <w:r>
        <w:t xml:space="preserve"> ESMA´s approach regarding the benchmark statement for regulated-data b</w:t>
      </w:r>
      <w:r w:rsidRPr="00AA771E">
        <w:t>enchmarks. In particular exchanges are already very closely supervised by the respective competent authority.</w:t>
      </w:r>
    </w:p>
    <w:permEnd w:id="1698958105"/>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A2624" w:rsidRDefault="009A2624" w:rsidP="009A2624">
      <w:permStart w:id="2052271363" w:edGrp="everyone"/>
      <w:r>
        <w:t>TYPE YOUR TEXT HERE</w:t>
      </w:r>
    </w:p>
    <w:permEnd w:id="2052271363"/>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9A2624" w:rsidRDefault="00AA771E" w:rsidP="009A2624">
      <w:permStart w:id="1938560000" w:edGrp="everyone"/>
      <w:r w:rsidRPr="00AA771E">
        <w:lastRenderedPageBreak/>
        <w:t xml:space="preserve">Referring to </w:t>
      </w:r>
      <w:r w:rsidR="00231ED2">
        <w:t xml:space="preserve">para </w:t>
      </w:r>
      <w:r w:rsidRPr="00AA771E">
        <w:t>279 we opt for Option 1 as Option 2 and 3 do not deliver additional information and content but pose more burdens to the administrators of non-significan</w:t>
      </w:r>
      <w:r>
        <w:t>t b</w:t>
      </w:r>
      <w:r w:rsidRPr="00AA771E">
        <w:t>enchmarks.</w:t>
      </w:r>
    </w:p>
    <w:permEnd w:id="1938560000"/>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9A2624" w:rsidRDefault="009A2624" w:rsidP="009A2624">
      <w:permStart w:id="900211221" w:edGrp="everyone"/>
      <w:r>
        <w:t>TYPE YOUR TEXT HERE</w:t>
      </w:r>
    </w:p>
    <w:permEnd w:id="900211221"/>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A2624" w:rsidRDefault="009A2624" w:rsidP="009A2624">
      <w:permStart w:id="24387605" w:edGrp="everyone"/>
      <w:r>
        <w:t>TYPE YOUR TEXT HERE</w:t>
      </w:r>
    </w:p>
    <w:permEnd w:id="24387605"/>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t>&lt;ESMA_QUESTION_DP_BMR_93&gt;</w:t>
      </w:r>
    </w:p>
    <w:p w:rsidR="009A2624" w:rsidRDefault="00AA771E" w:rsidP="009A2624">
      <w:permStart w:id="694050339" w:edGrp="everyone"/>
      <w:r w:rsidRPr="00AA771E">
        <w:t>Disclosure of financial information is not justified by level 1 – except for critical / systemically relevant benchmarks. Therefore a full disclosure of financial informati</w:t>
      </w:r>
      <w:r>
        <w:t>on does not seem proportionate</w:t>
      </w:r>
    </w:p>
    <w:permEnd w:id="694050339"/>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9A2624" w:rsidRDefault="009A2624" w:rsidP="009A2624">
      <w:permStart w:id="434911032" w:edGrp="everyone"/>
      <w:r>
        <w:t>TYPE YOUR TEXT HERE</w:t>
      </w:r>
    </w:p>
    <w:permEnd w:id="434911032"/>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9A2624" w:rsidRDefault="009A2624" w:rsidP="009A2624">
      <w:permStart w:id="1569004400" w:edGrp="everyone"/>
      <w:r>
        <w:t>TYPE YOUR TEXT HERE</w:t>
      </w:r>
    </w:p>
    <w:permEnd w:id="1569004400"/>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9A2624" w:rsidRDefault="009A2624" w:rsidP="009A2624">
      <w:permStart w:id="1315011574" w:edGrp="everyone"/>
      <w:r>
        <w:t>TYPE YOUR TEXT HERE</w:t>
      </w:r>
    </w:p>
    <w:permEnd w:id="1315011574"/>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lastRenderedPageBreak/>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A2624" w:rsidRDefault="009A2624" w:rsidP="009A2624">
      <w:permStart w:id="1764433710" w:edGrp="everyone"/>
      <w:r>
        <w:t>TYPE YOUR TEXT HERE</w:t>
      </w:r>
    </w:p>
    <w:permEnd w:id="1764433710"/>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A2624" w:rsidRDefault="009A2624" w:rsidP="009A2624">
      <w:permStart w:id="1188064888" w:edGrp="everyone"/>
      <w:r>
        <w:t>TYPE YOUR TEXT HERE</w:t>
      </w:r>
    </w:p>
    <w:permEnd w:id="1188064888"/>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7944F4" w:rsidRDefault="007944F4" w:rsidP="007944F4">
      <w:permStart w:id="187984019" w:edGrp="everyone"/>
      <w:r>
        <w:t>Euronext considers that the RTS should provide clarity, in line with the Level 1 text, as to which circu</w:t>
      </w:r>
      <w:r>
        <w:t>m</w:t>
      </w:r>
      <w:r>
        <w:t xml:space="preserve">stances benchmarks based on exchange data from outside the EU would be considered regulated-data benchmarks, enabling the administrator to subsequently benefit from the exemptions specified in Article 12a. To prevent market disruption and a decline of transparent investment vehicles allowing investors to benefit from the development of growth markets beyond the EU, data sourced from 3rd country trading venues subject to an equivalent regulation to </w:t>
      </w:r>
      <w:proofErr w:type="spellStart"/>
      <w:r>
        <w:t>MiFID</w:t>
      </w:r>
      <w:proofErr w:type="spellEnd"/>
      <w:r>
        <w:t xml:space="preserve"> should be considered regulated data.  </w:t>
      </w:r>
    </w:p>
    <w:p w:rsidR="007944F4" w:rsidRDefault="007944F4" w:rsidP="007944F4"/>
    <w:p w:rsidR="007944F4" w:rsidRDefault="007944F4" w:rsidP="007944F4">
      <w:r>
        <w:t>As to the form and the content of the application for recognition, clear guidance is needed on issues which are critical for market access, like the involvement of the “legal representative” in the oversight function, the content of audit reports etc. It should be acknowledged that the involvement of the representative in the oversight function can be achieved by different means, i.e. that the level of involvement of the repr</w:t>
      </w:r>
      <w:r>
        <w:t>e</w:t>
      </w:r>
      <w:r>
        <w:t>sentative in the oversight function may depend on the circumstance of the case at hand.</w:t>
      </w:r>
    </w:p>
    <w:p w:rsidR="009A2624" w:rsidRDefault="007944F4" w:rsidP="007944F4">
      <w:r>
        <w:t>In order to ensure legal certainty, clear guidance is needed as regards the information 3rd country admin-</w:t>
      </w:r>
      <w:proofErr w:type="spellStart"/>
      <w:r>
        <w:t>istrators</w:t>
      </w:r>
      <w:proofErr w:type="spellEnd"/>
      <w:r>
        <w:t xml:space="preserve"> must submit to their Member State of reference in order to claim the exemptions subsequent to the classification to a specific benchmark category. In order to reflect established market practices and ensure the competitiveness of benchmark administrators in a global industry, cost related reasons as well as joint ventures with strategic partners in markets outside the EU should be acknowledged as objective reasons for an endorsement.]</w:t>
      </w:r>
    </w:p>
    <w:permEnd w:id="187984019"/>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9A2624" w:rsidRDefault="009A2624" w:rsidP="009A2624">
      <w:permStart w:id="1496086064" w:edGrp="everyone"/>
      <w:r>
        <w:t>TYPE YOUR TEXT HERE</w:t>
      </w:r>
    </w:p>
    <w:permEnd w:id="1496086064"/>
    <w:p w:rsidR="009A2624" w:rsidRDefault="009A2624" w:rsidP="009A2624">
      <w:r>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9A2624" w:rsidRDefault="009A2624" w:rsidP="009A2624">
      <w:permStart w:id="595607887" w:edGrp="everyone"/>
      <w:r>
        <w:t>TYPE YOUR TEXT HERE</w:t>
      </w:r>
    </w:p>
    <w:permEnd w:id="595607887"/>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lastRenderedPageBreak/>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9A2624" w:rsidRDefault="009A2624" w:rsidP="009A2624">
      <w:permStart w:id="1520512031" w:edGrp="everyone"/>
      <w:r>
        <w:t>TYPE YOUR TEXT HERE</w:t>
      </w:r>
    </w:p>
    <w:permEnd w:id="1520512031"/>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9A2624" w:rsidRDefault="009A2624" w:rsidP="009A2624">
      <w:permStart w:id="364584288" w:edGrp="everyone"/>
      <w:r>
        <w:t>TYPE YOUR TEXT HERE</w:t>
      </w:r>
    </w:p>
    <w:permEnd w:id="364584288"/>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9A2624" w:rsidRDefault="009A2624" w:rsidP="009A2624">
      <w:permStart w:id="1507419344" w:edGrp="everyone"/>
      <w:r>
        <w:t>TYPE YOUR TEXT HERE</w:t>
      </w:r>
    </w:p>
    <w:permEnd w:id="1507419344"/>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9A2624" w:rsidRDefault="009A2624" w:rsidP="009A2624">
      <w:permStart w:id="1654070506" w:edGrp="everyone"/>
      <w:r>
        <w:t>TYPE YOUR TEXT HERE</w:t>
      </w:r>
    </w:p>
    <w:permEnd w:id="1654070506"/>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A2624" w:rsidRDefault="009A2624" w:rsidP="009A2624">
      <w:permStart w:id="1697841560" w:edGrp="everyone"/>
      <w:r>
        <w:t>TYPE YOUR TEXT HERE</w:t>
      </w:r>
    </w:p>
    <w:permEnd w:id="1697841560"/>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t>Which thresholds would be appropriate to foresee and how might a time limit be fixed? Please detail the reasons behind any suggestion.</w:t>
      </w:r>
    </w:p>
    <w:p w:rsidR="009A2624" w:rsidRDefault="009A2624" w:rsidP="009A2624">
      <w:r>
        <w:t>&lt;ESMA_QUESTION_DP_BMR_107&gt;</w:t>
      </w:r>
    </w:p>
    <w:p w:rsidR="009A2624" w:rsidRDefault="009A2624" w:rsidP="009A2624">
      <w:permStart w:id="354884536" w:edGrp="everyone"/>
      <w:r>
        <w:t>TYPE YOUR TEXT HERE</w:t>
      </w:r>
    </w:p>
    <w:permEnd w:id="354884536"/>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lastRenderedPageBreak/>
        <w:t>&lt;ESMA_QUESTION_DP_BMR_108&gt;</w:t>
      </w:r>
    </w:p>
    <w:p w:rsidR="009A2624" w:rsidRDefault="009A2624" w:rsidP="009A2624">
      <w:permStart w:id="1504910052" w:edGrp="everyone"/>
      <w:r>
        <w:t>TYPE YOUR TEXT HERE</w:t>
      </w:r>
    </w:p>
    <w:permEnd w:id="1504910052"/>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1944346252" w:edGrp="everyone"/>
      <w:r>
        <w:t>TYPE YOUR TEXT HERE</w:t>
      </w:r>
    </w:p>
    <w:permEnd w:id="1944346252"/>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1271610777" w:edGrp="everyone"/>
      <w:r>
        <w:t>TYPE YOUR TEXT HERE</w:t>
      </w:r>
    </w:p>
    <w:permEnd w:id="1271610777"/>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9A2624" w:rsidRDefault="009A2624" w:rsidP="009A2624">
      <w:permStart w:id="453995047" w:edGrp="everyone"/>
      <w:r>
        <w:t>TYPE YOUR TEXT HERE</w:t>
      </w:r>
    </w:p>
    <w:permEnd w:id="453995047"/>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9A2624" w:rsidRDefault="009A2624" w:rsidP="009A2624">
      <w:permStart w:id="1574585403" w:edGrp="everyone"/>
      <w:r>
        <w:t>TYPE YOUR TEXT HERE</w:t>
      </w:r>
    </w:p>
    <w:permEnd w:id="1574585403"/>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Default="009A2624" w:rsidP="009A2624">
      <w:permStart w:id="1310017842" w:edGrp="everyone"/>
      <w:r>
        <w:t>TYPE YOUR TEXT HERE</w:t>
      </w:r>
    </w:p>
    <w:permEnd w:id="1310017842"/>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92" w:rsidRDefault="00F51092">
      <w:r>
        <w:separator/>
      </w:r>
    </w:p>
    <w:p w:rsidR="00F51092" w:rsidRDefault="00F51092"/>
  </w:endnote>
  <w:endnote w:type="continuationSeparator" w:id="0">
    <w:p w:rsidR="00F51092" w:rsidRDefault="00F51092">
      <w:r>
        <w:continuationSeparator/>
      </w:r>
    </w:p>
    <w:p w:rsidR="00F51092" w:rsidRDefault="00F51092"/>
  </w:endnote>
  <w:endnote w:type="continuationNotice" w:id="1">
    <w:p w:rsidR="00F51092" w:rsidRDefault="00F51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51092" w:rsidRPr="00616B9B" w:rsidTr="00315E96">
      <w:trPr>
        <w:trHeight w:val="284"/>
      </w:trPr>
      <w:tc>
        <w:tcPr>
          <w:tcW w:w="8460" w:type="dxa"/>
        </w:tcPr>
        <w:p w:rsidR="00F51092" w:rsidRPr="00315E96" w:rsidRDefault="00F51092" w:rsidP="00315E96">
          <w:pPr>
            <w:pStyle w:val="00Footer"/>
            <w:rPr>
              <w:lang w:val="fr-FR"/>
            </w:rPr>
          </w:pPr>
        </w:p>
      </w:tc>
      <w:tc>
        <w:tcPr>
          <w:tcW w:w="952" w:type="dxa"/>
        </w:tcPr>
        <w:p w:rsidR="00F51092" w:rsidRPr="00616B9B" w:rsidRDefault="00F5109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E3172">
            <w:rPr>
              <w:rFonts w:cs="Arial"/>
              <w:noProof/>
              <w:sz w:val="22"/>
              <w:szCs w:val="22"/>
            </w:rPr>
            <w:t>27</w:t>
          </w:r>
          <w:r w:rsidRPr="00616B9B">
            <w:rPr>
              <w:rFonts w:cs="Arial"/>
              <w:noProof/>
              <w:sz w:val="22"/>
              <w:szCs w:val="22"/>
            </w:rPr>
            <w:fldChar w:fldCharType="end"/>
          </w:r>
        </w:p>
      </w:tc>
    </w:tr>
  </w:tbl>
  <w:p w:rsidR="00F51092" w:rsidRDefault="00F51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2" w:rsidRDefault="00F51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92" w:rsidRDefault="00F51092">
      <w:r>
        <w:separator/>
      </w:r>
    </w:p>
    <w:p w:rsidR="00F51092" w:rsidRDefault="00F51092"/>
  </w:footnote>
  <w:footnote w:type="continuationSeparator" w:id="0">
    <w:p w:rsidR="00F51092" w:rsidRDefault="00F51092">
      <w:r>
        <w:continuationSeparator/>
      </w:r>
    </w:p>
    <w:p w:rsidR="00F51092" w:rsidRDefault="00F51092"/>
  </w:footnote>
  <w:footnote w:type="continuationNotice" w:id="1">
    <w:p w:rsidR="00F51092" w:rsidRDefault="00F51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2" w:rsidRDefault="00F51092">
    <w:pPr>
      <w:pStyle w:val="Header"/>
    </w:pPr>
    <w:r>
      <w:rPr>
        <w:noProof/>
        <w:lang w:val="nl-NL" w:eastAsia="nl-N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2" w:rsidRDefault="00F51092" w:rsidP="00013CCE">
    <w:pPr>
      <w:pStyle w:val="Header"/>
      <w:jc w:val="right"/>
    </w:pPr>
    <w:r>
      <w:rPr>
        <w:noProof/>
        <w:lang w:val="nl-NL" w:eastAsia="nl-N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092" w:rsidRDefault="00F510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51092" w:rsidRPr="002F4496" w:rsidTr="000C06C9">
      <w:trPr>
        <w:trHeight w:val="284"/>
      </w:trPr>
      <w:tc>
        <w:tcPr>
          <w:tcW w:w="8460" w:type="dxa"/>
        </w:tcPr>
        <w:p w:rsidR="00F51092" w:rsidRPr="000C3B6D" w:rsidRDefault="00F51092" w:rsidP="000C06C9">
          <w:pPr>
            <w:pStyle w:val="00Footer"/>
            <w:rPr>
              <w:lang w:val="fr-FR"/>
            </w:rPr>
          </w:pPr>
        </w:p>
      </w:tc>
      <w:tc>
        <w:tcPr>
          <w:tcW w:w="952" w:type="dxa"/>
        </w:tcPr>
        <w:p w:rsidR="00F51092" w:rsidRPr="00146B34" w:rsidRDefault="00F51092" w:rsidP="000C06C9">
          <w:pPr>
            <w:pStyle w:val="00aPagenumber"/>
            <w:rPr>
              <w:lang w:val="fr-FR"/>
            </w:rPr>
          </w:pPr>
        </w:p>
      </w:tc>
    </w:tr>
  </w:tbl>
  <w:p w:rsidR="00F51092" w:rsidRPr="00DB46C3" w:rsidRDefault="00F51092">
    <w:pPr>
      <w:rPr>
        <w:lang w:val="fr-FR"/>
      </w:rPr>
    </w:pPr>
  </w:p>
  <w:p w:rsidR="00F51092" w:rsidRPr="002F4496" w:rsidRDefault="00F51092">
    <w:pPr>
      <w:pStyle w:val="Header"/>
      <w:rPr>
        <w:lang w:val="fr-FR"/>
      </w:rPr>
    </w:pPr>
  </w:p>
  <w:p w:rsidR="00F51092" w:rsidRPr="002F4496" w:rsidRDefault="00F51092" w:rsidP="000C06C9">
    <w:pPr>
      <w:pStyle w:val="Header"/>
      <w:tabs>
        <w:tab w:val="clear" w:pos="4536"/>
        <w:tab w:val="clear" w:pos="9072"/>
        <w:tab w:val="left" w:pos="8227"/>
      </w:tabs>
      <w:rPr>
        <w:lang w:val="fr-FR"/>
      </w:rPr>
    </w:pPr>
  </w:p>
  <w:p w:rsidR="00F51092" w:rsidRPr="002F4496" w:rsidRDefault="00F51092" w:rsidP="000C06C9">
    <w:pPr>
      <w:pStyle w:val="Header"/>
      <w:tabs>
        <w:tab w:val="clear" w:pos="4536"/>
        <w:tab w:val="clear" w:pos="9072"/>
        <w:tab w:val="left" w:pos="8227"/>
      </w:tabs>
      <w:rPr>
        <w:lang w:val="fr-FR"/>
      </w:rPr>
    </w:pPr>
  </w:p>
  <w:p w:rsidR="00F51092" w:rsidRPr="002F4496" w:rsidRDefault="00F51092">
    <w:pPr>
      <w:pStyle w:val="Header"/>
      <w:rPr>
        <w:lang w:val="fr-FR"/>
      </w:rPr>
    </w:pPr>
  </w:p>
  <w:p w:rsidR="00F51092" w:rsidRPr="002F4496" w:rsidRDefault="00F51092">
    <w:pPr>
      <w:pStyle w:val="Header"/>
      <w:rPr>
        <w:lang w:val="fr-FR"/>
      </w:rPr>
    </w:pPr>
  </w:p>
  <w:p w:rsidR="00F51092" w:rsidRPr="002F4496" w:rsidRDefault="00F51092">
    <w:pPr>
      <w:pStyle w:val="Header"/>
      <w:rPr>
        <w:lang w:val="fr-FR"/>
      </w:rPr>
    </w:pPr>
  </w:p>
  <w:p w:rsidR="00F51092" w:rsidRPr="002F4496" w:rsidRDefault="00F51092">
    <w:pPr>
      <w:pStyle w:val="Header"/>
      <w:rPr>
        <w:lang w:val="fr-FR"/>
      </w:rPr>
    </w:pPr>
  </w:p>
  <w:p w:rsidR="00F51092" w:rsidRPr="002F4496" w:rsidRDefault="00F51092">
    <w:pPr>
      <w:pStyle w:val="Header"/>
      <w:rPr>
        <w:highlight w:val="yellow"/>
        <w:lang w:val="fr-FR"/>
      </w:rPr>
    </w:pPr>
  </w:p>
  <w:p w:rsidR="00F51092" w:rsidRDefault="00F51092">
    <w:pPr>
      <w:pStyle w:val="Header"/>
    </w:pPr>
    <w:r>
      <w:rPr>
        <w:noProof/>
        <w:lang w:val="nl-NL" w:eastAsia="nl-NL"/>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NL" w:eastAsia="nl-NL"/>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B9346C"/>
    <w:multiLevelType w:val="hybridMultilevel"/>
    <w:tmpl w:val="B07279D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1A1BF6"/>
    <w:multiLevelType w:val="hybridMultilevel"/>
    <w:tmpl w:val="41689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E362909"/>
    <w:multiLevelType w:val="hybridMultilevel"/>
    <w:tmpl w:val="7AA6C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7"/>
  </w:num>
  <w:num w:numId="5">
    <w:abstractNumId w:val="29"/>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2"/>
  </w:num>
  <w:num w:numId="16">
    <w:abstractNumId w:val="1"/>
  </w:num>
  <w:num w:numId="17">
    <w:abstractNumId w:val="16"/>
  </w:num>
  <w:num w:numId="18">
    <w:abstractNumId w:val="17"/>
  </w:num>
  <w:num w:numId="19">
    <w:abstractNumId w:val="19"/>
  </w:num>
  <w:num w:numId="20">
    <w:abstractNumId w:val="30"/>
  </w:num>
  <w:num w:numId="21">
    <w:abstractNumId w:val="39"/>
  </w:num>
  <w:num w:numId="22">
    <w:abstractNumId w:val="28"/>
  </w:num>
  <w:num w:numId="23">
    <w:abstractNumId w:val="11"/>
  </w:num>
  <w:num w:numId="24">
    <w:abstractNumId w:val="33"/>
  </w:num>
  <w:num w:numId="25">
    <w:abstractNumId w:val="32"/>
  </w:num>
  <w:num w:numId="26">
    <w:abstractNumId w:val="21"/>
  </w:num>
  <w:num w:numId="27">
    <w:abstractNumId w:val="36"/>
  </w:num>
  <w:num w:numId="28">
    <w:abstractNumId w:val="42"/>
  </w:num>
  <w:num w:numId="29">
    <w:abstractNumId w:val="9"/>
  </w:num>
  <w:num w:numId="30">
    <w:abstractNumId w:val="4"/>
  </w:num>
  <w:num w:numId="31">
    <w:abstractNumId w:val="24"/>
  </w:num>
  <w:num w:numId="32">
    <w:abstractNumId w:val="2"/>
  </w:num>
  <w:num w:numId="33">
    <w:abstractNumId w:val="7"/>
  </w:num>
  <w:num w:numId="34">
    <w:abstractNumId w:val="23"/>
  </w:num>
  <w:num w:numId="35">
    <w:abstractNumId w:val="38"/>
  </w:num>
  <w:num w:numId="36">
    <w:abstractNumId w:val="37"/>
  </w:num>
  <w:num w:numId="37">
    <w:abstractNumId w:val="13"/>
  </w:num>
  <w:num w:numId="38">
    <w:abstractNumId w:val="3"/>
  </w:num>
  <w:num w:numId="39">
    <w:abstractNumId w:val="40"/>
  </w:num>
  <w:num w:numId="40">
    <w:abstractNumId w:val="8"/>
  </w:num>
  <w:num w:numId="41">
    <w:abstractNumId w:val="26"/>
  </w:num>
  <w:num w:numId="42">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4A2F"/>
    <w:rsid w:val="00036FAE"/>
    <w:rsid w:val="00041858"/>
    <w:rsid w:val="00041904"/>
    <w:rsid w:val="00041ACA"/>
    <w:rsid w:val="0004389E"/>
    <w:rsid w:val="000463A6"/>
    <w:rsid w:val="00046CC9"/>
    <w:rsid w:val="00046E91"/>
    <w:rsid w:val="000502FE"/>
    <w:rsid w:val="0005126D"/>
    <w:rsid w:val="00051992"/>
    <w:rsid w:val="00051E9A"/>
    <w:rsid w:val="000521A7"/>
    <w:rsid w:val="00052F47"/>
    <w:rsid w:val="0005399B"/>
    <w:rsid w:val="00054DE6"/>
    <w:rsid w:val="00054EB5"/>
    <w:rsid w:val="000569D7"/>
    <w:rsid w:val="000576D7"/>
    <w:rsid w:val="00060F72"/>
    <w:rsid w:val="00062592"/>
    <w:rsid w:val="000636A1"/>
    <w:rsid w:val="000649D9"/>
    <w:rsid w:val="00064D57"/>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1FE3"/>
    <w:rsid w:val="000B275C"/>
    <w:rsid w:val="000B2C3D"/>
    <w:rsid w:val="000B371F"/>
    <w:rsid w:val="000B55C0"/>
    <w:rsid w:val="000B5DF2"/>
    <w:rsid w:val="000C06C9"/>
    <w:rsid w:val="000C1DCC"/>
    <w:rsid w:val="000C1FBC"/>
    <w:rsid w:val="000C28EF"/>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172"/>
    <w:rsid w:val="000E3937"/>
    <w:rsid w:val="000E4926"/>
    <w:rsid w:val="000E5F7F"/>
    <w:rsid w:val="000E7086"/>
    <w:rsid w:val="000E7C65"/>
    <w:rsid w:val="000F04D2"/>
    <w:rsid w:val="000F3529"/>
    <w:rsid w:val="000F55B7"/>
    <w:rsid w:val="000F604F"/>
    <w:rsid w:val="000F7399"/>
    <w:rsid w:val="001027F1"/>
    <w:rsid w:val="00104F2E"/>
    <w:rsid w:val="001072DD"/>
    <w:rsid w:val="00110D7A"/>
    <w:rsid w:val="00110E85"/>
    <w:rsid w:val="00111464"/>
    <w:rsid w:val="0011167D"/>
    <w:rsid w:val="00112892"/>
    <w:rsid w:val="00112E48"/>
    <w:rsid w:val="001130EA"/>
    <w:rsid w:val="00114259"/>
    <w:rsid w:val="001168B2"/>
    <w:rsid w:val="00117C20"/>
    <w:rsid w:val="00120F0E"/>
    <w:rsid w:val="00121BED"/>
    <w:rsid w:val="0012296C"/>
    <w:rsid w:val="00123D39"/>
    <w:rsid w:val="001244CD"/>
    <w:rsid w:val="0012566F"/>
    <w:rsid w:val="001262B1"/>
    <w:rsid w:val="00130F41"/>
    <w:rsid w:val="00130FAF"/>
    <w:rsid w:val="00135F2B"/>
    <w:rsid w:val="001372DD"/>
    <w:rsid w:val="001405BA"/>
    <w:rsid w:val="00140BF6"/>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04F"/>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754D"/>
    <w:rsid w:val="001A1642"/>
    <w:rsid w:val="001A371B"/>
    <w:rsid w:val="001A4766"/>
    <w:rsid w:val="001A5E5C"/>
    <w:rsid w:val="001A6A0D"/>
    <w:rsid w:val="001A6C51"/>
    <w:rsid w:val="001A6FAA"/>
    <w:rsid w:val="001A7D73"/>
    <w:rsid w:val="001B0363"/>
    <w:rsid w:val="001B0FB9"/>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748A"/>
    <w:rsid w:val="001F0F63"/>
    <w:rsid w:val="001F3996"/>
    <w:rsid w:val="001F44A4"/>
    <w:rsid w:val="001F579D"/>
    <w:rsid w:val="001F65EF"/>
    <w:rsid w:val="001F697B"/>
    <w:rsid w:val="001F75D7"/>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1ED2"/>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BF"/>
    <w:rsid w:val="003223D7"/>
    <w:rsid w:val="00323D9F"/>
    <w:rsid w:val="00324FDB"/>
    <w:rsid w:val="00325F48"/>
    <w:rsid w:val="003273FE"/>
    <w:rsid w:val="0033194F"/>
    <w:rsid w:val="00332304"/>
    <w:rsid w:val="00332406"/>
    <w:rsid w:val="00332D8D"/>
    <w:rsid w:val="00336B56"/>
    <w:rsid w:val="003370F4"/>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9E3"/>
    <w:rsid w:val="003A5DAC"/>
    <w:rsid w:val="003A6591"/>
    <w:rsid w:val="003A6E9A"/>
    <w:rsid w:val="003B08C8"/>
    <w:rsid w:val="003B2567"/>
    <w:rsid w:val="003B381A"/>
    <w:rsid w:val="003B4976"/>
    <w:rsid w:val="003B4B3F"/>
    <w:rsid w:val="003B6258"/>
    <w:rsid w:val="003B7A99"/>
    <w:rsid w:val="003C0343"/>
    <w:rsid w:val="003C0C95"/>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1E"/>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3F98"/>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C7C46"/>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8E7"/>
    <w:rsid w:val="00511AAB"/>
    <w:rsid w:val="00514D10"/>
    <w:rsid w:val="00516783"/>
    <w:rsid w:val="00517EF8"/>
    <w:rsid w:val="00520083"/>
    <w:rsid w:val="0052029E"/>
    <w:rsid w:val="0052076A"/>
    <w:rsid w:val="00520A2C"/>
    <w:rsid w:val="00520E25"/>
    <w:rsid w:val="0052183D"/>
    <w:rsid w:val="005223F2"/>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0B5B"/>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27B8"/>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696"/>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E7F92"/>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4D34"/>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9DD"/>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19FD"/>
    <w:rsid w:val="006521F3"/>
    <w:rsid w:val="006524D5"/>
    <w:rsid w:val="00652BBD"/>
    <w:rsid w:val="00653633"/>
    <w:rsid w:val="00653F69"/>
    <w:rsid w:val="00654936"/>
    <w:rsid w:val="00655485"/>
    <w:rsid w:val="006558B3"/>
    <w:rsid w:val="00657F7A"/>
    <w:rsid w:val="00660BF0"/>
    <w:rsid w:val="0066189C"/>
    <w:rsid w:val="006630CF"/>
    <w:rsid w:val="00663413"/>
    <w:rsid w:val="00663EFF"/>
    <w:rsid w:val="00666F74"/>
    <w:rsid w:val="00667FEA"/>
    <w:rsid w:val="006710D2"/>
    <w:rsid w:val="00671A8B"/>
    <w:rsid w:val="00671F53"/>
    <w:rsid w:val="006725A0"/>
    <w:rsid w:val="0067537C"/>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1149"/>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2ED"/>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37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4F4"/>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D7D31"/>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BEF"/>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7C8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27C"/>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886"/>
    <w:rsid w:val="00871F04"/>
    <w:rsid w:val="008746C1"/>
    <w:rsid w:val="00874DA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676F"/>
    <w:rsid w:val="008C0320"/>
    <w:rsid w:val="008C2A81"/>
    <w:rsid w:val="008C3863"/>
    <w:rsid w:val="008C4BDC"/>
    <w:rsid w:val="008C50FF"/>
    <w:rsid w:val="008C5435"/>
    <w:rsid w:val="008C6BD1"/>
    <w:rsid w:val="008D2DB5"/>
    <w:rsid w:val="008D3F10"/>
    <w:rsid w:val="008D611D"/>
    <w:rsid w:val="008E1422"/>
    <w:rsid w:val="008E1B6A"/>
    <w:rsid w:val="008E3054"/>
    <w:rsid w:val="008E32FF"/>
    <w:rsid w:val="008E5625"/>
    <w:rsid w:val="008E5C5B"/>
    <w:rsid w:val="008E6A37"/>
    <w:rsid w:val="008E73E2"/>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06EE"/>
    <w:rsid w:val="00942BD6"/>
    <w:rsid w:val="00942DED"/>
    <w:rsid w:val="00943A41"/>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4307"/>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6B06"/>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A66"/>
    <w:rsid w:val="00A33CCC"/>
    <w:rsid w:val="00A33ECB"/>
    <w:rsid w:val="00A34DE0"/>
    <w:rsid w:val="00A35728"/>
    <w:rsid w:val="00A36EE3"/>
    <w:rsid w:val="00A37435"/>
    <w:rsid w:val="00A4173D"/>
    <w:rsid w:val="00A41A95"/>
    <w:rsid w:val="00A4248B"/>
    <w:rsid w:val="00A426AD"/>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0509"/>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A771E"/>
    <w:rsid w:val="00AB0C86"/>
    <w:rsid w:val="00AB2AEC"/>
    <w:rsid w:val="00AB2DC1"/>
    <w:rsid w:val="00AB3102"/>
    <w:rsid w:val="00AB3D9A"/>
    <w:rsid w:val="00AB4B1D"/>
    <w:rsid w:val="00AB6B5E"/>
    <w:rsid w:val="00AC047F"/>
    <w:rsid w:val="00AC3934"/>
    <w:rsid w:val="00AC50C8"/>
    <w:rsid w:val="00AC5581"/>
    <w:rsid w:val="00AC56AD"/>
    <w:rsid w:val="00AC61BE"/>
    <w:rsid w:val="00AC63CB"/>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3DEB"/>
    <w:rsid w:val="00B4401C"/>
    <w:rsid w:val="00B44802"/>
    <w:rsid w:val="00B455D1"/>
    <w:rsid w:val="00B46135"/>
    <w:rsid w:val="00B462C1"/>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0227"/>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2FA4"/>
    <w:rsid w:val="00C044B4"/>
    <w:rsid w:val="00C05105"/>
    <w:rsid w:val="00C05A5D"/>
    <w:rsid w:val="00C06144"/>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286B"/>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A7604"/>
    <w:rsid w:val="00DB0965"/>
    <w:rsid w:val="00DB0E47"/>
    <w:rsid w:val="00DB14D2"/>
    <w:rsid w:val="00DB2BDD"/>
    <w:rsid w:val="00DB4121"/>
    <w:rsid w:val="00DB46C3"/>
    <w:rsid w:val="00DB5742"/>
    <w:rsid w:val="00DB5EDF"/>
    <w:rsid w:val="00DB6C46"/>
    <w:rsid w:val="00DB72B8"/>
    <w:rsid w:val="00DC16AF"/>
    <w:rsid w:val="00DC2A9A"/>
    <w:rsid w:val="00DC2E2E"/>
    <w:rsid w:val="00DC4D68"/>
    <w:rsid w:val="00DC6463"/>
    <w:rsid w:val="00DC6535"/>
    <w:rsid w:val="00DC7822"/>
    <w:rsid w:val="00DC7AF1"/>
    <w:rsid w:val="00DD2D92"/>
    <w:rsid w:val="00DD3026"/>
    <w:rsid w:val="00DD33DC"/>
    <w:rsid w:val="00DD3BB0"/>
    <w:rsid w:val="00DD3D0E"/>
    <w:rsid w:val="00DD61F5"/>
    <w:rsid w:val="00DE64A6"/>
    <w:rsid w:val="00DE66EB"/>
    <w:rsid w:val="00DE7035"/>
    <w:rsid w:val="00DF12E3"/>
    <w:rsid w:val="00DF1841"/>
    <w:rsid w:val="00DF2E8E"/>
    <w:rsid w:val="00DF3F1D"/>
    <w:rsid w:val="00DF595C"/>
    <w:rsid w:val="00DF7EA7"/>
    <w:rsid w:val="00E04548"/>
    <w:rsid w:val="00E0484E"/>
    <w:rsid w:val="00E063F8"/>
    <w:rsid w:val="00E114D6"/>
    <w:rsid w:val="00E1166E"/>
    <w:rsid w:val="00E11DBD"/>
    <w:rsid w:val="00E13211"/>
    <w:rsid w:val="00E142C2"/>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39A7"/>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D15"/>
    <w:rsid w:val="00EB018B"/>
    <w:rsid w:val="00EB1003"/>
    <w:rsid w:val="00EB167E"/>
    <w:rsid w:val="00EB24ED"/>
    <w:rsid w:val="00EB2A00"/>
    <w:rsid w:val="00EB309B"/>
    <w:rsid w:val="00EB3AA2"/>
    <w:rsid w:val="00EB4763"/>
    <w:rsid w:val="00EB4AFA"/>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8A"/>
    <w:rsid w:val="00EE56FF"/>
    <w:rsid w:val="00EE5886"/>
    <w:rsid w:val="00EE5FBF"/>
    <w:rsid w:val="00EE6472"/>
    <w:rsid w:val="00EE76F2"/>
    <w:rsid w:val="00EF0769"/>
    <w:rsid w:val="00EF0D7C"/>
    <w:rsid w:val="00EF1A76"/>
    <w:rsid w:val="00EF40E2"/>
    <w:rsid w:val="00EF4F56"/>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591"/>
    <w:rsid w:val="00F30BC9"/>
    <w:rsid w:val="00F31E57"/>
    <w:rsid w:val="00F32462"/>
    <w:rsid w:val="00F32FF7"/>
    <w:rsid w:val="00F33EDE"/>
    <w:rsid w:val="00F35079"/>
    <w:rsid w:val="00F3568B"/>
    <w:rsid w:val="00F377CD"/>
    <w:rsid w:val="00F40C3B"/>
    <w:rsid w:val="00F40CE0"/>
    <w:rsid w:val="00F42DBC"/>
    <w:rsid w:val="00F4308D"/>
    <w:rsid w:val="00F44012"/>
    <w:rsid w:val="00F44947"/>
    <w:rsid w:val="00F458EF"/>
    <w:rsid w:val="00F47121"/>
    <w:rsid w:val="00F4775D"/>
    <w:rsid w:val="00F504DD"/>
    <w:rsid w:val="00F50874"/>
    <w:rsid w:val="00F51092"/>
    <w:rsid w:val="00F516C6"/>
    <w:rsid w:val="00F52221"/>
    <w:rsid w:val="00F52B28"/>
    <w:rsid w:val="00F536BB"/>
    <w:rsid w:val="00F53755"/>
    <w:rsid w:val="00F53E59"/>
    <w:rsid w:val="00F5475B"/>
    <w:rsid w:val="00F56A4F"/>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4416"/>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CC7D-4D07-408F-8280-692C87AD87F4}">
  <ds:schemaRefs>
    <ds:schemaRef ds:uri="http://schemas.openxmlformats.org/officeDocument/2006/bibliography"/>
  </ds:schemaRefs>
</ds:datastoreItem>
</file>

<file path=customXml/itemProps2.xml><?xml version="1.0" encoding="utf-8"?>
<ds:datastoreItem xmlns:ds="http://schemas.openxmlformats.org/officeDocument/2006/customXml" ds:itemID="{87826DA1-47C1-4F64-82EB-E1F6365B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9822</Words>
  <Characters>56177</Characters>
  <Application>Microsoft Office Word</Application>
  <DocSecurity>8</DocSecurity>
  <Lines>468</Lines>
  <Paragraphs>131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65868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Daphne VanDerStam</cp:lastModifiedBy>
  <cp:revision>2</cp:revision>
  <cp:lastPrinted>2015-02-18T11:01:00Z</cp:lastPrinted>
  <dcterms:created xsi:type="dcterms:W3CDTF">2016-03-31T15:06:00Z</dcterms:created>
  <dcterms:modified xsi:type="dcterms:W3CDTF">2016-03-31T15:06:00Z</dcterms:modified>
</cp:coreProperties>
</file>