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bookmarkStart w:id="0" w:name="_GoBack"/>
            <w:bookmarkEnd w:id="0"/>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EE3136" w:rsidRDefault="00EE3136" w:rsidP="00EE3136">
      <w:permStart w:id="1729055818" w:edGrp="everyone"/>
      <w:r>
        <w:t>________________________________________</w:t>
      </w:r>
    </w:p>
    <w:p w:rsidR="00EE3136" w:rsidRDefault="00EE3136" w:rsidP="00EE3136">
      <w:r>
        <w:t xml:space="preserve">The CNMV's Advisory Committee has been set by the Spanish Securities Market Law as the consultative body of the CNMV. This Committee is composed by market participants (members of secondary markets, issuers, retail investors, intermediaries, the collective investment industry, </w:t>
      </w:r>
      <w:proofErr w:type="spellStart"/>
      <w:r>
        <w:t>etc</w:t>
      </w:r>
      <w:proofErr w:type="spellEnd"/>
      <w:r>
        <w:t>) and its opinions are ind</w:t>
      </w:r>
      <w:r>
        <w:t>e</w:t>
      </w:r>
      <w:r>
        <w:t>pendent from those of the CNMV.</w:t>
      </w:r>
    </w:p>
    <w:p w:rsidR="00EE3136" w:rsidRDefault="00EE3136" w:rsidP="00EE3136">
      <w:r w:rsidRPr="00EE3136">
        <w:t>_______________________________________</w:t>
      </w:r>
    </w:p>
    <w:p w:rsidR="00EE3136" w:rsidRDefault="00EE3136" w:rsidP="00EE3136"/>
    <w:p w:rsidR="00EE3136" w:rsidRDefault="00EE3136" w:rsidP="00EE3136">
      <w:r>
        <w:t>I. The projected Benchmarks Regulation and the scope of the ESMA Discussion Paper and key dates</w:t>
      </w:r>
    </w:p>
    <w:p w:rsidR="00EE3136" w:rsidRDefault="00EE3136" w:rsidP="00EE3136">
      <w:r>
        <w:t>In September 2013, the European Commission proposed a draft Benchmarks Regulation (BMR).</w:t>
      </w:r>
    </w:p>
    <w:p w:rsidR="00EE3136" w:rsidRDefault="00EE3136" w:rsidP="00EE3136">
      <w:r>
        <w:t>In November 2015, the European Parliament and Council agreed on a compromise text of the Benc</w:t>
      </w:r>
      <w:r>
        <w:t>h</w:t>
      </w:r>
      <w:r>
        <w:t>marks Regulation, which is currently awaiting a vote by the European Parliament, final approval by the Council, and other formalities before publication of the final agreed text.</w:t>
      </w:r>
    </w:p>
    <w:p w:rsidR="00EE3136" w:rsidRDefault="00EE3136" w:rsidP="00EE3136">
      <w:r>
        <w:t>While the level 1 benchmark regulation has not yet been approved, the ESMA Discussion Paper seeks to lay the foundations for development of measures that will constitute the level 2 regulations, starting from that compromise text.</w:t>
      </w:r>
    </w:p>
    <w:p w:rsidR="00EE3136" w:rsidRDefault="00EE3136" w:rsidP="00EE3136">
      <w:r>
        <w:t>Specifically, the discussion paper is divided into 13 sections, which constitute the ESMA's mandate on the Benchmark Regulation:</w:t>
      </w:r>
    </w:p>
    <w:p w:rsidR="00EE3136" w:rsidRDefault="00EE3136" w:rsidP="00EE3136">
      <w:r>
        <w:t xml:space="preserve">2 Definitions (Article 3 of the BMR) </w:t>
      </w:r>
    </w:p>
    <w:p w:rsidR="00EE3136" w:rsidRDefault="00EE3136" w:rsidP="00EE3136">
      <w:r>
        <w:t xml:space="preserve">3 Oversight function (Article 5a BMR) </w:t>
      </w:r>
    </w:p>
    <w:p w:rsidR="00EE3136" w:rsidRDefault="00EE3136" w:rsidP="00EE3136">
      <w:r>
        <w:t xml:space="preserve">4 Input data (Article 7 BMR) </w:t>
      </w:r>
    </w:p>
    <w:p w:rsidR="00EE3136" w:rsidRDefault="00EE3136" w:rsidP="00EE3136">
      <w:r>
        <w:t xml:space="preserve">5 Transparency of the methodology (Article 7b BMR) </w:t>
      </w:r>
    </w:p>
    <w:p w:rsidR="00EE3136" w:rsidRDefault="00EE3136" w:rsidP="00EE3136">
      <w:r>
        <w:t xml:space="preserve">6 Code of conduct (Article 9 BMR) </w:t>
      </w:r>
    </w:p>
    <w:p w:rsidR="00EE3136" w:rsidRDefault="00EE3136" w:rsidP="00EE3136">
      <w:r>
        <w:t xml:space="preserve">7 Governance and control requirements for supervised contributors (Article 11 BMR) </w:t>
      </w:r>
    </w:p>
    <w:p w:rsidR="00EE3136" w:rsidRDefault="00EE3136" w:rsidP="00EE3136">
      <w:r>
        <w:t xml:space="preserve">8 Critical benchmarks (Article 13 BMR) </w:t>
      </w:r>
    </w:p>
    <w:p w:rsidR="00EE3136" w:rsidRDefault="00EE3136" w:rsidP="00EE3136">
      <w:r>
        <w:t xml:space="preserve">9 Significant benchmarks (Article 14c BMR) </w:t>
      </w:r>
    </w:p>
    <w:p w:rsidR="00EE3136" w:rsidRDefault="00EE3136" w:rsidP="00EE3136">
      <w:r>
        <w:t xml:space="preserve">10 Compliance </w:t>
      </w:r>
      <w:proofErr w:type="gramStart"/>
      <w:r>
        <w:t>statement</w:t>
      </w:r>
      <w:proofErr w:type="gramEnd"/>
      <w:r>
        <w:t xml:space="preserve"> for significant and non-significant benchmarks (Articles 14c and 14d BMR) </w:t>
      </w:r>
    </w:p>
    <w:p w:rsidR="00EE3136" w:rsidRDefault="00EE3136" w:rsidP="00EE3136">
      <w:r>
        <w:t xml:space="preserve">11 Benchmark </w:t>
      </w:r>
      <w:proofErr w:type="gramStart"/>
      <w:r>
        <w:t>statement</w:t>
      </w:r>
      <w:proofErr w:type="gramEnd"/>
      <w:r>
        <w:t xml:space="preserve"> (Article 15 BMR)</w:t>
      </w:r>
    </w:p>
    <w:p w:rsidR="00EE3136" w:rsidRDefault="00EE3136" w:rsidP="00EE3136">
      <w:r>
        <w:t>12 Authorisation and registration of an administrator (Article 23 BMR)</w:t>
      </w:r>
    </w:p>
    <w:p w:rsidR="00EE3136" w:rsidRDefault="00EE3136" w:rsidP="00EE3136">
      <w:r>
        <w:t>13 Recognition and endorsement of third-country administrators and benchmarks (Articles 21a and 21b BMR)</w:t>
      </w:r>
    </w:p>
    <w:p w:rsidR="00EE3136" w:rsidRDefault="00EE3136" w:rsidP="00EE3136">
      <w:r>
        <w:t>14 Transitional provisions (Article 39 BMR)</w:t>
      </w:r>
    </w:p>
    <w:p w:rsidR="00EE3136" w:rsidRDefault="00EE3136" w:rsidP="00EE3136">
      <w:r>
        <w:t>The ESMA will examine responses during the second quarter of 2016 and will publish another discussion paper in the second half of 2016.</w:t>
      </w:r>
    </w:p>
    <w:p w:rsidR="00EE3136" w:rsidRDefault="00EE3136" w:rsidP="00EE3136">
      <w:r>
        <w:t>The Regulation is expected to be published in mid-2016 and to come into force in 2018.</w:t>
      </w:r>
    </w:p>
    <w:p w:rsidR="00EE3136" w:rsidRDefault="00EE3136" w:rsidP="00EE3136">
      <w:r>
        <w:t>This report is a response to the Reply Form supplied by the ESMA in connection with the Discussion Paper.</w:t>
      </w:r>
    </w:p>
    <w:p w:rsidR="00EE3136" w:rsidRDefault="00EE3136" w:rsidP="00EE3136">
      <w:r>
        <w:t>Of particular interest are the replies to questions Q18 (linked to Q18); Q9 (linked to Q10 and Q11); Q48 (linked to Q49, Q58, Q61 and Q64); Q65 (linked to Q66 and Q67); Q76; Q77; Q90; Q97 (linked to Q98), and Q106 (linked to Q107).</w:t>
      </w:r>
    </w:p>
    <w:p w:rsidR="00EE3136" w:rsidRDefault="00EE3136" w:rsidP="00EE3136"/>
    <w:permEnd w:id="1729055818"/>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42732E" w:rsidRDefault="0042732E" w:rsidP="009A2624">
      <w:permStart w:id="1687159856" w:edGrp="everyone"/>
      <w:r w:rsidRPr="0042732E">
        <w:t>The benchmarks should be openly available to the public. It is not essential for this definition to match the channels and forms used to make the current benchmarks available to interested parties; rather, it would appear to be more important that there be a clear and explicit will to make a benchmark available to the public</w:t>
      </w:r>
    </w:p>
    <w:p w:rsidR="009A2624" w:rsidRDefault="0042732E" w:rsidP="009A2624">
      <w:proofErr w:type="gramStart"/>
      <w:r w:rsidRPr="0042732E">
        <w:t>.</w:t>
      </w:r>
      <w:permEnd w:id="1687159856"/>
      <w:r w:rsidR="009A2624">
        <w:t>&lt;</w:t>
      </w:r>
      <w:proofErr w:type="gramEnd"/>
      <w:r w:rsidR="009A2624">
        <w: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42732E" w:rsidRDefault="0042732E" w:rsidP="009A2624">
      <w:permStart w:id="1330200685" w:edGrp="everyone"/>
      <w:r w:rsidRPr="0042732E">
        <w:t>In line with the reply to Q1, the question should be whether the processes for publication of the index evidence the administrator's willingness to make it available to the public</w:t>
      </w:r>
    </w:p>
    <w:p w:rsidR="009A2624" w:rsidRDefault="0042732E" w:rsidP="009A2624">
      <w:proofErr w:type="gramStart"/>
      <w:r w:rsidRPr="0042732E">
        <w:t>.</w:t>
      </w:r>
      <w:permEnd w:id="1330200685"/>
      <w:r w:rsidR="009A2624">
        <w:t>&lt;</w:t>
      </w:r>
      <w:proofErr w:type="gramEnd"/>
      <w:r w:rsidR="009A2624">
        <w: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42732E" w:rsidRDefault="0042732E" w:rsidP="009A2624">
      <w:permStart w:id="2025290743" w:edGrp="everyone"/>
      <w:r w:rsidRPr="0042732E">
        <w:t>We agree with the IOSCO principle.</w:t>
      </w:r>
    </w:p>
    <w:permEnd w:id="2025290743"/>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7B5D3F" w:rsidRDefault="007B5D3F" w:rsidP="007B5D3F">
      <w:permStart w:id="274352449" w:edGrp="everyone"/>
      <w:r>
        <w:t>The proposed definition for “issuance of a financial instrument” is adequate, since it does cover all the different categories of financial instrument included in its definition.</w:t>
      </w:r>
    </w:p>
    <w:p w:rsidR="007B5D3F" w:rsidRDefault="007B5D3F" w:rsidP="007B5D3F"/>
    <w:p w:rsidR="007B5D3F" w:rsidRDefault="007B5D3F" w:rsidP="007B5D3F">
      <w:r>
        <w:t>However, not strictly linked to the definition of "issuance of a financial instrument ", but rather to the defin</w:t>
      </w:r>
      <w:r>
        <w:t>i</w:t>
      </w:r>
      <w:r>
        <w:t>tion of "use of a benchmark", it needs to be clarified whether Pension Funds when acting as users of a benchmark, are within the scope of this Regulation.</w:t>
      </w:r>
    </w:p>
    <w:p w:rsidR="007B5D3F" w:rsidRDefault="007B5D3F" w:rsidP="007B5D3F">
      <w:r>
        <w:t xml:space="preserve"> </w:t>
      </w:r>
    </w:p>
    <w:p w:rsidR="007B5D3F" w:rsidRDefault="007B5D3F" w:rsidP="007B5D3F">
      <w:r>
        <w:t>For instance, Recital (8) states that the scope of this Regulation should be as broad as necessary to create a preventive regulatory framework (…). However, neither the object established in Art.1, or the definition for “use of a benchmark” (Art.3.1.5) covers, in any of the actions mentioned, the use of a benchmark by pension funds. Pension funds do not have the nature of financial instruments or Investment Funds as defined under BMR (art.3.1.16), which only includes explicitly UCITS or AIF.</w:t>
      </w:r>
    </w:p>
    <w:p w:rsidR="007B5D3F" w:rsidRDefault="007B5D3F" w:rsidP="007B5D3F">
      <w:r>
        <w:t xml:space="preserve"> </w:t>
      </w:r>
    </w:p>
    <w:p w:rsidR="007B5D3F" w:rsidRDefault="007B5D3F" w:rsidP="007B5D3F">
      <w:r>
        <w:t xml:space="preserve">Furthermore, among the obligations arising from the use </w:t>
      </w:r>
      <w:proofErr w:type="gramStart"/>
      <w:r>
        <w:t>of a</w:t>
      </w:r>
      <w:proofErr w:type="gramEnd"/>
      <w:r>
        <w:t xml:space="preserve"> benchmarks, the Regulation states that:</w:t>
      </w:r>
    </w:p>
    <w:p w:rsidR="007B5D3F" w:rsidRDefault="007B5D3F" w:rsidP="007B5D3F">
      <w:r>
        <w:t xml:space="preserve"> </w:t>
      </w:r>
    </w:p>
    <w:p w:rsidR="007B5D3F" w:rsidRDefault="007B5D3F" w:rsidP="007B5D3F">
      <w:r>
        <w:t>•         Supervised entities may only use registered benchmarks (Article 19.1)</w:t>
      </w:r>
    </w:p>
    <w:p w:rsidR="007B5D3F" w:rsidRDefault="007B5D3F" w:rsidP="007B5D3F">
      <w:r>
        <w:t>•         Supervised entities must have written plans setting out the actions that they would take in the event that a benchmark materially changes or ceases to be provided (Article 17.2.)</w:t>
      </w:r>
    </w:p>
    <w:p w:rsidR="007B5D3F" w:rsidRDefault="007B5D3F" w:rsidP="007B5D3F">
      <w:r>
        <w:t xml:space="preserve"> </w:t>
      </w:r>
    </w:p>
    <w:p w:rsidR="007B5D3F" w:rsidRDefault="007B5D3F" w:rsidP="007B5D3F">
      <w:r>
        <w:lastRenderedPageBreak/>
        <w:t>Regarding "supervised entities", BMR foresees, among others: Investment Funds UCITS (Article 3.14.e), AIF Managers (3.14.f) and Institutions for Occupational Retirement Provisions as defined in Article 6(a) of Directive 2003/41/EC (Article 3.14.fa</w:t>
      </w:r>
      <w:proofErr w:type="gramStart"/>
      <w:r>
        <w:t>) .</w:t>
      </w:r>
      <w:proofErr w:type="gramEnd"/>
    </w:p>
    <w:p w:rsidR="007B5D3F" w:rsidRDefault="007B5D3F" w:rsidP="007B5D3F">
      <w:r>
        <w:t xml:space="preserve"> </w:t>
      </w:r>
    </w:p>
    <w:p w:rsidR="007B5D3F" w:rsidRDefault="007B5D3F" w:rsidP="007B5D3F">
      <w:r>
        <w:t>And so, the combination of all these provisions raises some issues of legal consistency:</w:t>
      </w:r>
    </w:p>
    <w:p w:rsidR="007B5D3F" w:rsidRDefault="007B5D3F" w:rsidP="007B5D3F">
      <w:r>
        <w:t xml:space="preserve"> </w:t>
      </w:r>
    </w:p>
    <w:p w:rsidR="007B5D3F" w:rsidRDefault="007B5D3F" w:rsidP="007B5D3F">
      <w:proofErr w:type="gramStart"/>
      <w:r>
        <w:t>a</w:t>
      </w:r>
      <w:proofErr w:type="gramEnd"/>
      <w:r>
        <w:t>)    First of all, if the use of a benchmark by Institutions for Occupational Retirement Provisions must be considered subject to this Regulation.</w:t>
      </w:r>
    </w:p>
    <w:p w:rsidR="007B5D3F" w:rsidRDefault="007B5D3F" w:rsidP="007B5D3F">
      <w:r>
        <w:t>b)    If so, whether or not, other Pension Funds would also be subject to this regulation (e.g. other instit</w:t>
      </w:r>
      <w:r>
        <w:t>u</w:t>
      </w:r>
      <w:r>
        <w:t>tions authorized and supervised operating at national level, provided that they are recognized under national law and their primary purpose is to provide retirement benefits, in line with the provisions of Article 2(10) of EMIR Regulation).</w:t>
      </w:r>
    </w:p>
    <w:p w:rsidR="007B5D3F" w:rsidRDefault="007B5D3F" w:rsidP="007B5D3F">
      <w:r>
        <w:t xml:space="preserve"> </w:t>
      </w:r>
    </w:p>
    <w:p w:rsidR="007B5D3F" w:rsidRDefault="007B5D3F" w:rsidP="009A2624">
      <w:r>
        <w:t>Therefore, we would see merit if ESMA could specify whether or not Individual and Occupational Pension Funds could be considered as users of benchmarks under this Regulation.</w:t>
      </w:r>
    </w:p>
    <w:permEnd w:id="274352449"/>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42732E" w:rsidRDefault="0042732E" w:rsidP="009A2624">
      <w:permStart w:id="713128455" w:edGrp="everyone"/>
      <w:r w:rsidRPr="0042732E">
        <w:t>Actions by securities market infrastructures that may fall under or be related to the issuance of financial instruments are those that may be performed by organised markets in derivative products and their central counterparties.</w:t>
      </w:r>
    </w:p>
    <w:permEnd w:id="713128455"/>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623FE6" w:rsidRDefault="00623FE6" w:rsidP="009A2624">
      <w:pPr>
        <w:rPr>
          <w:rFonts w:cs="Arial"/>
          <w:color w:val="222222"/>
          <w:lang w:val="en"/>
        </w:rPr>
      </w:pPr>
      <w:permStart w:id="501891190" w:edGrp="everyone"/>
      <w:r>
        <w:rPr>
          <w:rFonts w:cs="Arial"/>
          <w:color w:val="222222"/>
        </w:rPr>
        <w:t>The BMR</w:t>
      </w:r>
      <w:r>
        <w:rPr>
          <w:rFonts w:cs="Arial"/>
          <w:color w:val="222222"/>
          <w:lang w:val="en"/>
        </w:rPr>
        <w:t xml:space="preserve"> contains a very broad definition of monitoring indexes function, including some aspects that </w:t>
      </w:r>
      <w:r w:rsidR="0011588B">
        <w:rPr>
          <w:rFonts w:cs="Arial"/>
          <w:color w:val="222222"/>
          <w:lang w:val="en"/>
        </w:rPr>
        <w:t>may not fully match</w:t>
      </w:r>
      <w:r>
        <w:rPr>
          <w:rFonts w:cs="Arial"/>
          <w:color w:val="222222"/>
          <w:lang w:val="en"/>
        </w:rPr>
        <w:t xml:space="preserve"> </w:t>
      </w:r>
      <w:r w:rsidR="0011588B">
        <w:rPr>
          <w:rFonts w:cs="Arial"/>
          <w:color w:val="222222"/>
          <w:lang w:val="en"/>
        </w:rPr>
        <w:t>the standard</w:t>
      </w:r>
      <w:r>
        <w:rPr>
          <w:rFonts w:cs="Arial"/>
          <w:color w:val="222222"/>
          <w:lang w:val="en"/>
        </w:rPr>
        <w:t xml:space="preserve"> monitoring activities, so </w:t>
      </w:r>
      <w:r w:rsidR="0011588B">
        <w:rPr>
          <w:rFonts w:cs="Arial"/>
          <w:color w:val="222222"/>
          <w:lang w:val="en"/>
        </w:rPr>
        <w:t xml:space="preserve">that </w:t>
      </w:r>
      <w:r>
        <w:rPr>
          <w:rFonts w:cs="Arial"/>
          <w:color w:val="222222"/>
          <w:lang w:val="en"/>
        </w:rPr>
        <w:t>it could be a variety of entities affected by this oversight and they may be called to participate in some aspects.</w:t>
      </w:r>
    </w:p>
    <w:p w:rsidR="00623FE6" w:rsidRDefault="00623FE6" w:rsidP="009A2624">
      <w:pPr>
        <w:rPr>
          <w:rFonts w:cs="Arial"/>
          <w:color w:val="222222"/>
          <w:lang w:val="en"/>
        </w:rPr>
      </w:pPr>
      <w:r>
        <w:rPr>
          <w:rFonts w:cs="Arial"/>
          <w:color w:val="222222"/>
          <w:lang w:val="en"/>
        </w:rPr>
        <w:br/>
        <w:t xml:space="preserve">In the same vein, the </w:t>
      </w:r>
      <w:r w:rsidR="0011588B">
        <w:rPr>
          <w:rFonts w:cs="Arial"/>
          <w:color w:val="222222"/>
          <w:lang w:val="en"/>
        </w:rPr>
        <w:t>BMR</w:t>
      </w:r>
      <w:r>
        <w:rPr>
          <w:rFonts w:cs="Arial"/>
          <w:color w:val="222222"/>
          <w:lang w:val="en"/>
        </w:rPr>
        <w:t xml:space="preserve"> supports different ways of structuring and managing the oversight function of these indexes, so it is not necessary to use standard formulas as to integrate, in any case, contributors in organs typical exercise oversight functions, especially because those formulas uniforms may compromise the independence of such bodies. Consequently, and in relation </w:t>
      </w:r>
      <w:r w:rsidR="00173B8E">
        <w:rPr>
          <w:rFonts w:cs="Arial"/>
          <w:color w:val="222222"/>
          <w:lang w:val="en"/>
        </w:rPr>
        <w:t xml:space="preserve">to standard </w:t>
      </w:r>
      <w:r>
        <w:rPr>
          <w:rFonts w:cs="Arial"/>
          <w:color w:val="222222"/>
          <w:lang w:val="en"/>
        </w:rPr>
        <w:t>activities of the monitoring function, in addition to precautionary measures such as abstaining from those contributors in relation to matters affecting them, which referred to in paragraph 52 and Q18 of the Dis</w:t>
      </w:r>
      <w:r w:rsidR="00547C82">
        <w:rPr>
          <w:rFonts w:cs="Arial"/>
          <w:color w:val="222222"/>
          <w:lang w:val="en"/>
        </w:rPr>
        <w:t>cussion Paper, t</w:t>
      </w:r>
      <w:r>
        <w:rPr>
          <w:rFonts w:cs="Arial"/>
          <w:color w:val="222222"/>
          <w:lang w:val="en"/>
        </w:rPr>
        <w:t>hey should be considered other formulas and procedures for contributors benchmarks criteria and forward their views to the bodies exercising oversight role and that the latter can request the opinion of the contributors.</w:t>
      </w:r>
    </w:p>
    <w:permEnd w:id="501891190"/>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EA3F29" w:rsidRDefault="00EA3F29" w:rsidP="009A2624">
      <w:permStart w:id="2063221436" w:edGrp="everyone"/>
      <w:r w:rsidRPr="00EA3F29">
        <w:t>Yes.</w:t>
      </w:r>
    </w:p>
    <w:permEnd w:id="2063221436"/>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lastRenderedPageBreak/>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EA3F29" w:rsidRDefault="00EA3F29" w:rsidP="009A2624">
      <w:permStart w:id="1708856867" w:edGrp="everyone"/>
      <w:r w:rsidRPr="00EA3F29">
        <w:t>Not applicable</w:t>
      </w:r>
    </w:p>
    <w:permEnd w:id="1708856867"/>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0C0B53" w:rsidRDefault="000C0B53" w:rsidP="009A2624">
      <w:permStart w:id="406215629" w:edGrp="everyone"/>
      <w:r w:rsidRPr="000C0B53">
        <w:t>Administrators of more than one benchmark may only apply a single definition of the oversight function for such indices if there are no significant differences between the benchmarks in question. Where there are significant differences between the various benchmarks that they administer, they should have distinct oversight functions adapted to each benchmark's characteristics.</w:t>
      </w:r>
    </w:p>
    <w:permEnd w:id="406215629"/>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0C0B53" w:rsidRDefault="000C0B53" w:rsidP="009A2624">
      <w:permStart w:id="2076999137" w:edGrp="everyone"/>
      <w:r w:rsidRPr="000C0B53">
        <w:t>See response to Q9.</w:t>
      </w:r>
    </w:p>
    <w:permEnd w:id="2076999137"/>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0C0B53" w:rsidRDefault="000C0B53" w:rsidP="009A2624">
      <w:permStart w:id="1556882826" w:edGrp="everyone"/>
      <w:r w:rsidRPr="000C0B53">
        <w:t>See response to Q9.</w:t>
      </w:r>
    </w:p>
    <w:permEnd w:id="1556882826"/>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0C0B53" w:rsidRDefault="000C0B53" w:rsidP="009A2624">
      <w:permStart w:id="1527009811" w:edGrp="everyone"/>
      <w:r w:rsidRPr="000C0B53">
        <w:t>See response to Q6.</w:t>
      </w:r>
    </w:p>
    <w:permEnd w:id="1527009811"/>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lastRenderedPageBreak/>
        <w:t>&lt;ESMA_QUESTION_DP_BMR_13&gt;</w:t>
      </w:r>
    </w:p>
    <w:p w:rsidR="000C0B53" w:rsidRPr="000C0B53" w:rsidRDefault="000C0B53" w:rsidP="009A2624">
      <w:pPr>
        <w:rPr>
          <w:lang w:val="es-ES"/>
        </w:rPr>
      </w:pPr>
      <w:permStart w:id="794388254" w:edGrp="everyone"/>
      <w:r w:rsidRPr="000C0B53">
        <w:rPr>
          <w:lang w:val="es-ES"/>
        </w:rPr>
        <w:t>No</w:t>
      </w:r>
    </w:p>
    <w:permEnd w:id="794388254"/>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0C0B53" w:rsidRDefault="000C0B53" w:rsidP="009A2624">
      <w:permStart w:id="1197746199" w:edGrp="everyone"/>
      <w:r w:rsidRPr="000C0B53">
        <w:t>We agree, because the purpose of the oversight function is to review and cross-check the benchmark management criteria, but not the commercial and business decisions of the indices' administrators. Ho</w:t>
      </w:r>
      <w:r w:rsidRPr="000C0B53">
        <w:t>w</w:t>
      </w:r>
      <w:r w:rsidRPr="000C0B53">
        <w:t>ever, it may occasionally be difficult to delimit these two fields.</w:t>
      </w:r>
    </w:p>
    <w:permEnd w:id="1197746199"/>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0C0B53" w:rsidRDefault="000C0B53" w:rsidP="009A2624">
      <w:permStart w:id="1858995586" w:edGrp="everyone"/>
      <w:r w:rsidRPr="000C0B53">
        <w:t>We agree.</w:t>
      </w:r>
    </w:p>
    <w:permEnd w:id="1858995586"/>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0C0B53" w:rsidRPr="000C0B53" w:rsidRDefault="000C0B53" w:rsidP="009A2624">
      <w:pPr>
        <w:rPr>
          <w:lang w:val="es-ES"/>
        </w:rPr>
      </w:pPr>
      <w:permStart w:id="1273894691" w:edGrp="everyone"/>
      <w:r w:rsidRPr="000C0B53">
        <w:rPr>
          <w:lang w:val="es-ES"/>
        </w:rPr>
        <w:t>No</w:t>
      </w:r>
    </w:p>
    <w:permEnd w:id="1273894691"/>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0C0B53" w:rsidRDefault="000C0B53" w:rsidP="009A2624">
      <w:permStart w:id="968241259" w:edGrp="everyone"/>
      <w:r w:rsidRPr="000C0B53">
        <w:t>We agree with the list of elements to be considered in defining benchmark oversight procedures. Some elements (e.g. criteria for selecting members of oversight bodies, or general criteria for exercising the oversight function) will clearly differ greatly depending on the nature of the index in question.</w:t>
      </w:r>
    </w:p>
    <w:permEnd w:id="968241259"/>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0C0B53" w:rsidRDefault="000C0B53" w:rsidP="009A2624">
      <w:permStart w:id="1552627400" w:edGrp="everyone"/>
      <w:r w:rsidRPr="000C0B53">
        <w:t>See response to Q6.</w:t>
      </w:r>
    </w:p>
    <w:permEnd w:id="1552627400"/>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0C0B53" w:rsidRDefault="000C0B53" w:rsidP="009A2624">
      <w:permStart w:id="1514932880" w:edGrp="everyone"/>
      <w:r w:rsidRPr="000C0B53">
        <w:t>We agree.</w:t>
      </w:r>
    </w:p>
    <w:permEnd w:id="1514932880"/>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0C0B53" w:rsidRDefault="000C0B53" w:rsidP="009A2624">
      <w:permStart w:id="1329876395" w:edGrp="everyone"/>
      <w:r w:rsidRPr="000C0B53">
        <w:t>Given the diversity of benchmarks, it is clearly preferable for the frequency of transmission to be defined by the benchmark administrator, that it be public, and that it be explained in detail with a justification, and documented.</w:t>
      </w:r>
    </w:p>
    <w:permEnd w:id="1329876395"/>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0C0B53" w:rsidRDefault="000C0B53" w:rsidP="009A2624">
      <w:permStart w:id="1270167897" w:edGrp="everyone"/>
      <w:r w:rsidRPr="000C0B53">
        <w:t>We agree.</w:t>
      </w:r>
    </w:p>
    <w:permEnd w:id="1270167897"/>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0C0B53" w:rsidRPr="000C0B53" w:rsidRDefault="000C0B53" w:rsidP="000C0B53">
      <w:pPr>
        <w:rPr>
          <w:lang w:val="es-ES"/>
        </w:rPr>
      </w:pPr>
      <w:permStart w:id="419243290" w:edGrp="everyone"/>
      <w:r w:rsidRPr="000C0B53">
        <w:rPr>
          <w:lang w:val="es-ES"/>
        </w:rPr>
        <w:t>No.</w:t>
      </w:r>
    </w:p>
    <w:permEnd w:id="419243290"/>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0371BA" w:rsidRPr="000371BA" w:rsidRDefault="000371BA" w:rsidP="000371BA">
      <w:permStart w:id="379935446" w:edGrp="everyone"/>
      <w:r w:rsidRPr="000371BA">
        <w:t>Yes, because this would contribute to the benchmark's reliability and enhance trust.</w:t>
      </w:r>
    </w:p>
    <w:permEnd w:id="379935446"/>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0371BA" w:rsidRPr="000371BA" w:rsidRDefault="000371BA" w:rsidP="000371BA">
      <w:pPr>
        <w:rPr>
          <w:lang w:val="es-ES"/>
        </w:rPr>
      </w:pPr>
      <w:permStart w:id="1713069821" w:edGrp="everyone"/>
      <w:r w:rsidRPr="000371BA">
        <w:rPr>
          <w:lang w:val="es-ES"/>
        </w:rPr>
        <w:t>No.</w:t>
      </w:r>
    </w:p>
    <w:permEnd w:id="1713069821"/>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0371BA" w:rsidRPr="000371BA" w:rsidRDefault="000371BA" w:rsidP="000371BA">
      <w:permStart w:id="1048607159" w:edGrp="everyone"/>
      <w:r w:rsidRPr="000371BA">
        <w:t>Yes.</w:t>
      </w:r>
    </w:p>
    <w:permEnd w:id="1048607159"/>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0371BA" w:rsidRPr="000371BA" w:rsidRDefault="000371BA" w:rsidP="000371BA">
      <w:permStart w:id="379283583" w:edGrp="everyone"/>
      <w:r w:rsidRPr="000371BA">
        <w:t>Yes.</w:t>
      </w:r>
    </w:p>
    <w:permEnd w:id="379283583"/>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0371BA" w:rsidRPr="000371BA" w:rsidRDefault="000371BA" w:rsidP="000371BA">
      <w:permStart w:id="1452497704" w:edGrp="everyone"/>
      <w:r w:rsidRPr="000371BA">
        <w:t>Yes.</w:t>
      </w:r>
    </w:p>
    <w:permEnd w:id="1452497704"/>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0371BA" w:rsidRPr="000371BA" w:rsidRDefault="000371BA" w:rsidP="000371BA">
      <w:pPr>
        <w:rPr>
          <w:lang w:val="es-ES"/>
        </w:rPr>
      </w:pPr>
      <w:permStart w:id="424281385" w:edGrp="everyone"/>
      <w:r w:rsidRPr="000371BA">
        <w:rPr>
          <w:lang w:val="es-ES"/>
        </w:rPr>
        <w:t>No.</w:t>
      </w:r>
    </w:p>
    <w:permEnd w:id="424281385"/>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0371BA" w:rsidRPr="000371BA" w:rsidRDefault="000371BA" w:rsidP="000371BA">
      <w:permStart w:id="1285509837" w:edGrp="everyone"/>
      <w:r w:rsidRPr="000371BA">
        <w:t>We agree.</w:t>
      </w:r>
    </w:p>
    <w:permEnd w:id="1285509837"/>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0371BA" w:rsidRDefault="000371BA" w:rsidP="009A2624">
      <w:permStart w:id="1766665754" w:edGrp="everyone"/>
      <w:r w:rsidRPr="000371BA">
        <w:t>We agree.</w:t>
      </w:r>
    </w:p>
    <w:permEnd w:id="1766665754"/>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0371BA" w:rsidRPr="000371BA" w:rsidRDefault="000371BA" w:rsidP="000371BA">
      <w:permStart w:id="636682517" w:edGrp="everyone"/>
      <w:r w:rsidRPr="000371BA">
        <w:t>We agree.</w:t>
      </w:r>
    </w:p>
    <w:permEnd w:id="636682517"/>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0371BA" w:rsidRPr="000371BA" w:rsidRDefault="000371BA" w:rsidP="000371BA">
      <w:permStart w:id="2089031277" w:edGrp="everyone"/>
      <w:r w:rsidRPr="000371BA">
        <w:t>We agree.</w:t>
      </w:r>
    </w:p>
    <w:permEnd w:id="2089031277"/>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0371BA" w:rsidRPr="000371BA" w:rsidRDefault="000371BA" w:rsidP="000371BA">
      <w:permStart w:id="1884894027" w:edGrp="everyone"/>
      <w:r w:rsidRPr="000371BA">
        <w:t>We agree.</w:t>
      </w:r>
    </w:p>
    <w:permEnd w:id="1884894027"/>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lastRenderedPageBreak/>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0371BA" w:rsidRPr="000371BA" w:rsidRDefault="000371BA" w:rsidP="000371BA">
      <w:permStart w:id="2035567099" w:edGrp="everyone"/>
      <w:r w:rsidRPr="000371BA">
        <w:t>Yes.</w:t>
      </w:r>
    </w:p>
    <w:permEnd w:id="2035567099"/>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0371BA" w:rsidRPr="000371BA" w:rsidRDefault="000371BA" w:rsidP="000371BA">
      <w:pPr>
        <w:rPr>
          <w:lang w:val="es-ES"/>
        </w:rPr>
      </w:pPr>
      <w:permStart w:id="247287166" w:edGrp="everyone"/>
      <w:r w:rsidRPr="000371BA">
        <w:rPr>
          <w:lang w:val="es-ES"/>
        </w:rPr>
        <w:t>No.</w:t>
      </w:r>
    </w:p>
    <w:permEnd w:id="247287166"/>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0371BA" w:rsidRPr="000371BA" w:rsidRDefault="000371BA" w:rsidP="000371BA">
      <w:permStart w:id="904342762" w:edGrp="everyone"/>
      <w:r w:rsidRPr="000371BA">
        <w:t>We agree.</w:t>
      </w:r>
    </w:p>
    <w:permEnd w:id="904342762"/>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0371BA" w:rsidRPr="000371BA" w:rsidRDefault="000371BA" w:rsidP="000371BA">
      <w:permStart w:id="563485000" w:edGrp="everyone"/>
      <w:r w:rsidRPr="000371BA">
        <w:t>The information proposed in the discussion paper is adequate.</w:t>
      </w:r>
    </w:p>
    <w:permEnd w:id="563485000"/>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0371BA" w:rsidRPr="000371BA" w:rsidRDefault="000371BA" w:rsidP="000371BA">
      <w:permStart w:id="1780689664" w:edGrp="everyone"/>
      <w:r w:rsidRPr="000371BA">
        <w:t>The proposed information is adequate.</w:t>
      </w:r>
    </w:p>
    <w:permEnd w:id="1780689664"/>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873594" w:rsidRDefault="00873594" w:rsidP="009A2624">
      <w:permStart w:id="1509951139" w:edGrp="everyone"/>
      <w:r w:rsidRPr="00873594">
        <w:t xml:space="preserve">The proposal to divulge the responses received in the context of a benchmark change, provided that the authors </w:t>
      </w:r>
      <w:proofErr w:type="gramStart"/>
      <w:r w:rsidRPr="00873594">
        <w:t>consent,</w:t>
      </w:r>
      <w:proofErr w:type="gramEnd"/>
      <w:r w:rsidRPr="00873594">
        <w:t xml:space="preserve"> is balanced.</w:t>
      </w:r>
    </w:p>
    <w:permEnd w:id="1509951139"/>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873594" w:rsidRPr="00873594" w:rsidRDefault="00873594" w:rsidP="00873594">
      <w:permStart w:id="233404040" w:edGrp="everyone"/>
      <w:r w:rsidRPr="00873594">
        <w:lastRenderedPageBreak/>
        <w:t>The proposal is appropriate.</w:t>
      </w:r>
    </w:p>
    <w:permEnd w:id="233404040"/>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873594" w:rsidRPr="00873594" w:rsidRDefault="00873594" w:rsidP="00873594">
      <w:permStart w:id="1596151011" w:edGrp="everyone"/>
      <w:r w:rsidRPr="00873594">
        <w:t>The proposal to disclose the internal review of methodology is appropriate.</w:t>
      </w:r>
    </w:p>
    <w:permEnd w:id="1596151011"/>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873594" w:rsidRPr="00873594" w:rsidRDefault="00873594" w:rsidP="00873594">
      <w:permStart w:id="889027453" w:edGrp="everyone"/>
      <w:r w:rsidRPr="00873594">
        <w:t>We agree.</w:t>
      </w:r>
    </w:p>
    <w:permEnd w:id="889027453"/>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873594" w:rsidRPr="00873594" w:rsidRDefault="00873594" w:rsidP="00873594">
      <w:permStart w:id="172981493" w:edGrp="everyone"/>
      <w:r w:rsidRPr="00873594">
        <w:t>We agree with the proposal that there be a standard code of conduct for all benchmark types although the implications and the management and application of the provisions will evidently differ as a function of the nature, characteristics and user universe of the benchmark in question.</w:t>
      </w:r>
    </w:p>
    <w:permEnd w:id="172981493"/>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873594" w:rsidRPr="00873594" w:rsidRDefault="00873594" w:rsidP="00873594">
      <w:permStart w:id="504901782" w:edGrp="everyone"/>
      <w:r w:rsidRPr="00873594">
        <w:t>Yes, because it is not that each benchmark requires a different structure or type of code of conduct to that of its administrator; rather, the application of the same code of conduct scheme will have different inspir</w:t>
      </w:r>
      <w:r w:rsidRPr="00873594">
        <w:t>a</w:t>
      </w:r>
      <w:r w:rsidRPr="00873594">
        <w:t>tions depending on the market or economic reality to which the benchmark refers.</w:t>
      </w:r>
    </w:p>
    <w:permEnd w:id="504901782"/>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873594" w:rsidRPr="00873594" w:rsidRDefault="00873594" w:rsidP="00873594">
      <w:permStart w:id="189548598" w:edGrp="everyone"/>
      <w:r w:rsidRPr="00873594">
        <w:t>We agree.</w:t>
      </w:r>
    </w:p>
    <w:permEnd w:id="189548598"/>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lastRenderedPageBreak/>
        <w:t>&lt;ESMA_QUESTION_DP_BMR_46&gt;</w:t>
      </w:r>
    </w:p>
    <w:p w:rsidR="00873594" w:rsidRPr="00873594" w:rsidRDefault="00873594" w:rsidP="00873594">
      <w:permStart w:id="604314876" w:edGrp="everyone"/>
      <w:r w:rsidRPr="00873594">
        <w:t>Yes, in line with the responses to Q43 and Q44.</w:t>
      </w:r>
    </w:p>
    <w:permEnd w:id="604314876"/>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873594" w:rsidRPr="00873594" w:rsidRDefault="00873594" w:rsidP="00873594">
      <w:permStart w:id="1318198625" w:edGrp="everyone"/>
      <w:r w:rsidRPr="00873594">
        <w:t>We agree with the terms of the proposal.</w:t>
      </w:r>
    </w:p>
    <w:permEnd w:id="1318198625"/>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873594" w:rsidRPr="00873594" w:rsidRDefault="00873594" w:rsidP="00873594">
      <w:permStart w:id="113931805" w:edGrp="everyone"/>
      <w:r w:rsidRPr="00873594">
        <w:t>It is up to the contributors to manage and resolve any conflicts of interest arising for their employees and other natural persons from which they receive input data (submitters). Therefore, the contributors' internal rules and procedures must contain the appropriate provisions, ensuring that the requirements set out in the code of conduct of the corresponding benchmark's administrator are complied with, as set out in section 177 of the Discussion Paper, but benchmark administrators should not have to develop proc</w:t>
      </w:r>
      <w:r w:rsidRPr="00873594">
        <w:t>e</w:t>
      </w:r>
      <w:r w:rsidRPr="00873594">
        <w:t>dures relating to conflicts of interest that affect their employees and those of their contributors.</w:t>
      </w:r>
    </w:p>
    <w:permEnd w:id="113931805"/>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873594" w:rsidRPr="00873594" w:rsidRDefault="00873594" w:rsidP="00873594">
      <w:permStart w:id="1727533542" w:edGrp="everyone"/>
      <w:r w:rsidRPr="00873594">
        <w:t>In line with the response to Q48, the oversight obligation and consequent liabilities with respect to the submitters used by the contributors lie with the latter, and those obligations and responsibilities should not be transferred to the administrator of the corresponding benchmark.</w:t>
      </w:r>
    </w:p>
    <w:permEnd w:id="1727533542"/>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873594" w:rsidRPr="00873594" w:rsidRDefault="00873594" w:rsidP="00873594">
      <w:permStart w:id="1836320827" w:edGrp="everyone"/>
      <w:r w:rsidRPr="00873594">
        <w:t>We agree.</w:t>
      </w:r>
    </w:p>
    <w:permEnd w:id="1836320827"/>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873594" w:rsidRPr="00873594" w:rsidRDefault="00873594" w:rsidP="00873594">
      <w:permStart w:id="899569834" w:edGrp="everyone"/>
      <w:r w:rsidRPr="00873594">
        <w:t>We consider it to be adequate and sufficient.</w:t>
      </w:r>
    </w:p>
    <w:permEnd w:id="899569834"/>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873594" w:rsidRPr="00873594" w:rsidRDefault="00873594" w:rsidP="00873594">
      <w:permStart w:id="1057561906" w:edGrp="everyone"/>
      <w:r w:rsidRPr="00873594">
        <w:lastRenderedPageBreak/>
        <w:t>Consistency of contributors' behaviour is one of the objectives to be pursued by the benchmark's code of conduct.</w:t>
      </w:r>
    </w:p>
    <w:permEnd w:id="1057561906"/>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873594" w:rsidRPr="00873594" w:rsidRDefault="00873594" w:rsidP="00873594">
      <w:permStart w:id="549481429" w:edGrp="everyone"/>
      <w:r w:rsidRPr="00873594">
        <w:t>Those set out in the discussion paper would appear to be sufficient.</w:t>
      </w:r>
    </w:p>
    <w:permEnd w:id="549481429"/>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873594" w:rsidRPr="00873594" w:rsidRDefault="00873594" w:rsidP="00873594">
      <w:permStart w:id="617486461" w:edGrp="everyone"/>
      <w:r w:rsidRPr="00873594">
        <w:t>The checks for validating input data that are listed in the discussion paper are adequate. It is up to each contributor to detail those checks to ensure that they achieve the levels set out in the corresponding benchmark's code of conduct.</w:t>
      </w:r>
    </w:p>
    <w:permEnd w:id="617486461"/>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873594" w:rsidRPr="00873594" w:rsidRDefault="00873594" w:rsidP="00873594">
      <w:permStart w:id="996419497" w:edGrp="everyone"/>
      <w:r w:rsidRPr="00873594">
        <w:t>We agree with the requirements for record-keeping with regard to the information supplied by contributors.</w:t>
      </w:r>
    </w:p>
    <w:permEnd w:id="996419497"/>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873594" w:rsidRPr="00873594" w:rsidRDefault="00873594" w:rsidP="00873594">
      <w:permStart w:id="1838429470" w:edGrp="everyone"/>
      <w:r w:rsidRPr="00873594">
        <w:t>We agree that expert judgement should be subject to record-keeping. The details of the record-keeping will depend on the frequency and scope with which they are used in the benchmark.</w:t>
      </w:r>
    </w:p>
    <w:permEnd w:id="1838429470"/>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873594" w:rsidRPr="00873594" w:rsidRDefault="00873594" w:rsidP="00873594">
      <w:permStart w:id="2105151848" w:edGrp="everyone"/>
      <w:r w:rsidRPr="00873594">
        <w:t>We agree.</w:t>
      </w:r>
    </w:p>
    <w:permEnd w:id="2105151848"/>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DC5C9A" w:rsidRPr="00DC5C9A" w:rsidRDefault="00DC5C9A" w:rsidP="00DC5C9A">
      <w:permStart w:id="1242920969" w:edGrp="everyone"/>
      <w:r w:rsidRPr="00DC5C9A">
        <w:t>The list of examples contained in the Discussion Paper is adequate. It is up to each benchmark's code of conduct to establish the levels of assurance to be achieved by contributors with respect to preventing and dealing with conflicts of interest, whereas the details as to the specific means, procedures and checks to be used should depend on each contributor.</w:t>
      </w:r>
    </w:p>
    <w:permEnd w:id="1242920969"/>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lastRenderedPageBreak/>
        <w:t>Do you have any additional comments with regard to the contents of a code of conduct in accordance with Article 9(2)?</w:t>
      </w:r>
    </w:p>
    <w:p w:rsidR="009A2624" w:rsidRDefault="009A2624" w:rsidP="009A2624">
      <w:r>
        <w:t>&lt;ESMA_QUESTION_DP_BMR_59&gt;</w:t>
      </w:r>
    </w:p>
    <w:p w:rsidR="00DC5C9A" w:rsidRPr="00DC5C9A" w:rsidRDefault="00DC5C9A" w:rsidP="00DC5C9A">
      <w:pPr>
        <w:rPr>
          <w:lang w:val="es-ES"/>
        </w:rPr>
      </w:pPr>
      <w:permStart w:id="475225471" w:edGrp="everyone"/>
      <w:r w:rsidRPr="00DC5C9A">
        <w:rPr>
          <w:lang w:val="es-ES"/>
        </w:rPr>
        <w:t>No.</w:t>
      </w:r>
    </w:p>
    <w:permEnd w:id="475225471"/>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DC5C9A" w:rsidRPr="00DC5C9A" w:rsidRDefault="00DC5C9A" w:rsidP="00DC5C9A">
      <w:permStart w:id="1346129813" w:edGrp="everyone"/>
      <w:r w:rsidRPr="00DC5C9A">
        <w:t>We agree.</w:t>
      </w:r>
    </w:p>
    <w:permEnd w:id="1346129813"/>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DC5C9A" w:rsidRPr="00DC5C9A" w:rsidRDefault="00DC5C9A" w:rsidP="00DC5C9A">
      <w:permStart w:id="1856522650" w:edGrp="everyone"/>
      <w:r w:rsidRPr="00DC5C9A">
        <w:t>Yes, on the understanding that, subject to the appropriate structure of liabilities, internal relations between contributors and their submitters should be managed by the former, without prejudice to actions by the supervisors (section 177 of the Discussion Paper).</w:t>
      </w:r>
    </w:p>
    <w:permEnd w:id="1856522650"/>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DC5C9A" w:rsidRPr="00DC5C9A" w:rsidRDefault="00DC5C9A" w:rsidP="00DC5C9A">
      <w:permStart w:id="1782937530" w:edGrp="everyone"/>
      <w:r w:rsidRPr="00DC5C9A">
        <w:t>Yes, since that will make it possible to perform the necessary oversight of contributors' input to the benchmarks they manage.</w:t>
      </w:r>
    </w:p>
    <w:permEnd w:id="1782937530"/>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DC5C9A" w:rsidRPr="00DC5C9A" w:rsidRDefault="00DC5C9A" w:rsidP="00DC5C9A">
      <w:permStart w:id="1745890545" w:edGrp="everyone"/>
      <w:r w:rsidRPr="00DC5C9A">
        <w:t>We agree.</w:t>
      </w:r>
    </w:p>
    <w:permEnd w:id="1745890545"/>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DC5C9A" w:rsidRPr="00DC5C9A" w:rsidRDefault="00DC5C9A" w:rsidP="00DC5C9A">
      <w:permStart w:id="782528250" w:edGrp="everyone"/>
      <w:r w:rsidRPr="00DC5C9A">
        <w:t>This is a matter of the internal relations between submitters and the contributors for which they work.</w:t>
      </w:r>
    </w:p>
    <w:permEnd w:id="782528250"/>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DC5C9A" w:rsidRPr="00DC5C9A" w:rsidRDefault="00DC5C9A" w:rsidP="00DC5C9A">
      <w:permStart w:id="1323828365" w:edGrp="everyone"/>
      <w:r w:rsidRPr="00DC5C9A">
        <w:lastRenderedPageBreak/>
        <w:t>It is hard to posit a general rule for what could be considered a reasonable delay, since that will depend on the contributor and on its contribution to the benchmark in question. In any event, such delays in sign-off of the data supplied by submitters should be very exceptional.</w:t>
      </w:r>
    </w:p>
    <w:permEnd w:id="1323828365"/>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DC5C9A" w:rsidRPr="00DC5C9A" w:rsidRDefault="00DC5C9A" w:rsidP="00DC5C9A">
      <w:permStart w:id="468085520" w:edGrp="everyone"/>
      <w:r w:rsidRPr="00DC5C9A">
        <w:t xml:space="preserve">It is up to benchmark administrators to establish the criteria for deciding </w:t>
      </w:r>
      <w:proofErr w:type="gramStart"/>
      <w:r w:rsidRPr="00DC5C9A">
        <w:t>what is a reasonable delay, considering that such a delay would be very exceptional</w:t>
      </w:r>
      <w:proofErr w:type="gramEnd"/>
      <w:r w:rsidRPr="00DC5C9A">
        <w:t>.</w:t>
      </w:r>
    </w:p>
    <w:permEnd w:id="468085520"/>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DC5C9A" w:rsidRPr="00DC5C9A" w:rsidRDefault="00DC5C9A" w:rsidP="00DC5C9A">
      <w:permStart w:id="10451065" w:edGrp="everyone"/>
      <w:r w:rsidRPr="00DC5C9A">
        <w:t>In automated processes for filing contributions, sign-off should be assigned to high-level persons at the entity in question.</w:t>
      </w:r>
    </w:p>
    <w:permEnd w:id="10451065"/>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DC5C9A" w:rsidRPr="00DC5C9A" w:rsidRDefault="00DC5C9A" w:rsidP="00DC5C9A">
      <w:permStart w:id="1918006652" w:edGrp="everyone"/>
      <w:r w:rsidRPr="00DC5C9A">
        <w:t>We agree.</w:t>
      </w:r>
    </w:p>
    <w:permEnd w:id="1918006652"/>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DC5C9A" w:rsidRPr="00DC5C9A" w:rsidRDefault="00DC5C9A" w:rsidP="00DC5C9A">
      <w:permStart w:id="56627000" w:edGrp="everyone"/>
      <w:r w:rsidRPr="00DC5C9A">
        <w:t>We agree.</w:t>
      </w:r>
    </w:p>
    <w:permEnd w:id="56627000"/>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DC5C9A" w:rsidRPr="00DC5C9A" w:rsidRDefault="00DC5C9A" w:rsidP="00DC5C9A">
      <w:permStart w:id="972758369" w:edGrp="everyone"/>
      <w:r w:rsidRPr="00DC5C9A">
        <w:t>The diversity and breadth of requirements contained in BMR make it difficult to know whether compliance will lead to additional costs for contributors.</w:t>
      </w:r>
    </w:p>
    <w:permEnd w:id="972758369"/>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lastRenderedPageBreak/>
        <w:t>&lt;ESMA_QUESTION_DP_BMR_71&gt;</w:t>
      </w:r>
    </w:p>
    <w:p w:rsidR="00DC5C9A" w:rsidRPr="00DC5C9A" w:rsidRDefault="00DC5C9A" w:rsidP="00DC5C9A">
      <w:permStart w:id="1130562751" w:edGrp="everyone"/>
      <w:r w:rsidRPr="00DC5C9A">
        <w:t>We agree.</w:t>
      </w:r>
    </w:p>
    <w:permEnd w:id="1130562751"/>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DC5C9A" w:rsidRPr="00DC5C9A" w:rsidRDefault="00DC5C9A" w:rsidP="00DC5C9A">
      <w:pPr>
        <w:rPr>
          <w:lang w:val="es-ES"/>
        </w:rPr>
      </w:pPr>
      <w:permStart w:id="936212759" w:edGrp="everyone"/>
      <w:r w:rsidRPr="00DC5C9A">
        <w:rPr>
          <w:lang w:val="es-ES"/>
        </w:rPr>
        <w:t>No.</w:t>
      </w:r>
    </w:p>
    <w:permEnd w:id="936212759"/>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DC5C9A" w:rsidRPr="00DC5C9A" w:rsidRDefault="00DC5C9A" w:rsidP="00DC5C9A">
      <w:pPr>
        <w:rPr>
          <w:lang w:val="es-ES"/>
        </w:rPr>
      </w:pPr>
      <w:permStart w:id="55207859" w:edGrp="everyone"/>
      <w:r w:rsidRPr="00DC5C9A">
        <w:rPr>
          <w:lang w:val="es-ES"/>
        </w:rPr>
        <w:t>No.</w:t>
      </w:r>
    </w:p>
    <w:permEnd w:id="55207859"/>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DC5C9A" w:rsidRPr="00DC5C9A" w:rsidRDefault="00DC5C9A" w:rsidP="00DC5C9A">
      <w:permStart w:id="1946114353" w:edGrp="everyone"/>
      <w:r w:rsidRPr="00DC5C9A">
        <w:t>Double accounting of units in collective investment undertakings should be avoided; the proposal in the Discussion Paper is reasonable in this regard.</w:t>
      </w:r>
    </w:p>
    <w:permEnd w:id="1946114353"/>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DC5C9A" w:rsidRPr="00DC5C9A" w:rsidRDefault="00DC5C9A" w:rsidP="00DC5C9A">
      <w:permStart w:id="1693471625" w:edGrp="everyone"/>
      <w:r w:rsidRPr="00DC5C9A">
        <w:t>We agree.</w:t>
      </w:r>
    </w:p>
    <w:permEnd w:id="169347162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DC5C9A" w:rsidRPr="00DC5C9A" w:rsidRDefault="00DC5C9A" w:rsidP="00DC5C9A">
      <w:permStart w:id="858460745" w:edGrp="everyone"/>
      <w:r w:rsidRPr="00DC5C9A">
        <w:t>The rule should be as simple as possible and cover all collective investment undertakings; accordingly, the second option proposed in the Discussion Paper appears to be preferable: the latest available net asset value.</w:t>
      </w:r>
    </w:p>
    <w:permEnd w:id="858460745"/>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lastRenderedPageBreak/>
        <w:t>&lt;ESMA_QUESTION_DP_BMR_77&gt;</w:t>
      </w:r>
    </w:p>
    <w:p w:rsidR="00DC5C9A" w:rsidRPr="00DC5C9A" w:rsidRDefault="00DC5C9A" w:rsidP="00DC5C9A">
      <w:permStart w:id="1226779145" w:edGrp="everyone"/>
      <w:r w:rsidRPr="00DC5C9A">
        <w:t>In the case of critical benchmarks, the first approach set out in the Discussion Paper would be preferable: focus on the part of the nominal, notional or net value that is actually referenced to the critical benchmark.</w:t>
      </w:r>
    </w:p>
    <w:permEnd w:id="1226779145"/>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DC5C9A" w:rsidRPr="00DC5C9A" w:rsidRDefault="00DC5C9A" w:rsidP="00DC5C9A">
      <w:permStart w:id="343499959" w:edGrp="everyone"/>
      <w:r w:rsidRPr="00DC5C9A">
        <w:t>We agree.</w:t>
      </w:r>
    </w:p>
    <w:permEnd w:id="343499959"/>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DC5C9A" w:rsidRPr="00DC5C9A" w:rsidRDefault="00DC5C9A" w:rsidP="00DC5C9A">
      <w:permStart w:id="742925188" w:edGrp="everyone"/>
      <w:r w:rsidRPr="00DC5C9A">
        <w:t>No other parameters which would be preferable to those listed in the Discussion Paper have been ident</w:t>
      </w:r>
      <w:r w:rsidRPr="00DC5C9A">
        <w:t>i</w:t>
      </w:r>
      <w:r w:rsidRPr="00DC5C9A">
        <w:t>fied.</w:t>
      </w:r>
    </w:p>
    <w:permEnd w:id="742925188"/>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DC5C9A" w:rsidRPr="00DC5C9A" w:rsidRDefault="00DC5C9A" w:rsidP="00DC5C9A">
      <w:permStart w:id="1500909597" w:edGrp="everyone"/>
      <w:r w:rsidRPr="00DC5C9A">
        <w:t>We agree that ESMA should work to detail the criteria as regards the application of, and exceptions to, the precepts of the BMR referred to in article 14.c.2; no criteria other than those set out in that article have been identified.</w:t>
      </w:r>
    </w:p>
    <w:permEnd w:id="1500909597"/>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DC5C9A" w:rsidRPr="00DC5C9A" w:rsidRDefault="00DC5C9A" w:rsidP="00DC5C9A">
      <w:permStart w:id="1437030534" w:edGrp="everyone"/>
      <w:r w:rsidRPr="00DC5C9A">
        <w:t>We agree with the identified fields and cannot think of any others.</w:t>
      </w:r>
    </w:p>
    <w:permEnd w:id="1437030534"/>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DC5C9A" w:rsidRPr="00DC5C9A" w:rsidRDefault="00DC5C9A" w:rsidP="00DC5C9A">
      <w:permStart w:id="730677946" w:edGrp="everyone"/>
      <w:r w:rsidRPr="00DC5C9A">
        <w:t>We agree with the suggested minimum aspects.</w:t>
      </w:r>
    </w:p>
    <w:permEnd w:id="730677946"/>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lastRenderedPageBreak/>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DC5C9A" w:rsidRPr="00DC5C9A" w:rsidRDefault="00DC5C9A" w:rsidP="00DC5C9A">
      <w:permStart w:id="195626430" w:edGrp="everyone"/>
      <w:r w:rsidRPr="00DC5C9A">
        <w:t>Yes.</w:t>
      </w:r>
    </w:p>
    <w:permEnd w:id="195626430"/>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DC5C9A" w:rsidRPr="00DC5C9A" w:rsidRDefault="00DC5C9A" w:rsidP="00DC5C9A">
      <w:permStart w:id="657983865" w:edGrp="everyone"/>
      <w:r w:rsidRPr="00DC5C9A">
        <w:t>We agree with the identified minimum information.</w:t>
      </w:r>
    </w:p>
    <w:permEnd w:id="657983865"/>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5D11EE" w:rsidRPr="005D11EE" w:rsidRDefault="005D11EE" w:rsidP="005D11EE">
      <w:permStart w:id="1787248483" w:edGrp="everyone"/>
      <w:r w:rsidRPr="005D11EE">
        <w:t>We agree.</w:t>
      </w:r>
    </w:p>
    <w:permEnd w:id="1787248483"/>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5D11EE" w:rsidRPr="005D11EE" w:rsidRDefault="005D11EE" w:rsidP="005D11EE">
      <w:permStart w:id="1889603767" w:edGrp="everyone"/>
      <w:r w:rsidRPr="005D11EE">
        <w:t>We agree.</w:t>
      </w:r>
    </w:p>
    <w:permEnd w:id="1889603767"/>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5D11EE" w:rsidRPr="005D11EE" w:rsidRDefault="005D11EE" w:rsidP="005D11EE">
      <w:permStart w:id="1417026983" w:edGrp="everyone"/>
      <w:r w:rsidRPr="005D11EE">
        <w:t>We agree.</w:t>
      </w:r>
    </w:p>
    <w:permEnd w:id="1417026983"/>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5D11EE" w:rsidRPr="005D11EE" w:rsidRDefault="005D11EE" w:rsidP="005D11EE">
      <w:permStart w:id="2053926198" w:edGrp="everyone"/>
      <w:r w:rsidRPr="005D11EE">
        <w:t>We agree.</w:t>
      </w:r>
    </w:p>
    <w:permEnd w:id="2053926198"/>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5D11EE" w:rsidRPr="005D11EE" w:rsidRDefault="005D11EE" w:rsidP="005D11EE">
      <w:permStart w:id="1196640709" w:edGrp="everyone"/>
      <w:r w:rsidRPr="005D11EE">
        <w:t>We agree.</w:t>
      </w:r>
    </w:p>
    <w:permEnd w:id="1196640709"/>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lastRenderedPageBreak/>
        <w:t>Do you agree with the suggested additional requirements for significant benchmarks? Which of the three options proposed you prefer, and why?</w:t>
      </w:r>
    </w:p>
    <w:p w:rsidR="009A2624" w:rsidRDefault="009A2624" w:rsidP="009A2624">
      <w:r>
        <w:t>&lt;ESMA_QUESTION_DP_BMR_90&gt;</w:t>
      </w:r>
    </w:p>
    <w:p w:rsidR="005D11EE" w:rsidRPr="005D11EE" w:rsidRDefault="005D11EE" w:rsidP="005D11EE">
      <w:permStart w:id="101283604" w:edGrp="everyone"/>
      <w:r w:rsidRPr="005D11EE">
        <w:t>Considering the regulatory exceptions that might apply to significant benchmarks, the declarations in connection with them should include the necessary proportional information. For these reasons of propo</w:t>
      </w:r>
      <w:r w:rsidRPr="005D11EE">
        <w:t>r</w:t>
      </w:r>
      <w:r w:rsidRPr="005D11EE">
        <w:t>tionality and sufficiency, we prefer option 2 set out in the Discussion Paper.</w:t>
      </w:r>
    </w:p>
    <w:permEnd w:id="101283604"/>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5D11EE" w:rsidRPr="005D11EE" w:rsidRDefault="005D11EE" w:rsidP="005D11EE">
      <w:permStart w:id="18170303" w:edGrp="everyone"/>
      <w:r w:rsidRPr="005D11EE">
        <w:t>We agree.</w:t>
      </w:r>
    </w:p>
    <w:permEnd w:id="18170303"/>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5D11EE" w:rsidRPr="005D11EE" w:rsidRDefault="005D11EE" w:rsidP="005D11EE">
      <w:permStart w:id="420094407" w:edGrp="everyone"/>
      <w:r w:rsidRPr="005D11EE">
        <w:t>We have not identified any additional content that would be necessary in the statement on non-significant benchmarks.</w:t>
      </w:r>
    </w:p>
    <w:permEnd w:id="420094407"/>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5D11EE" w:rsidRPr="005D11EE" w:rsidRDefault="005D11EE" w:rsidP="005D11EE">
      <w:permStart w:id="310004290" w:edGrp="everyone"/>
      <w:r w:rsidRPr="005D11EE">
        <w:t>We agree, and cannot identify any cases requiring adaptation. Evidently, the detail and complexity of the information required of each administrator will depend on their nature and the benchmarks they manage.</w:t>
      </w:r>
    </w:p>
    <w:permEnd w:id="310004290"/>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5D11EE" w:rsidRPr="005D11EE" w:rsidRDefault="005D11EE" w:rsidP="005D11EE">
      <w:permStart w:id="1843427105" w:edGrp="everyone"/>
      <w:r w:rsidRPr="005D11EE">
        <w:t>We agree with the proposed approach. We have not identified cases where additional information might be required based on the type of supplier or on conflicts of interest.</w:t>
      </w:r>
    </w:p>
    <w:permEnd w:id="1843427105"/>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5D11EE" w:rsidRPr="005D11EE" w:rsidRDefault="005D11EE" w:rsidP="005D11EE">
      <w:permStart w:id="2131061696" w:edGrp="everyone"/>
      <w:r w:rsidRPr="005D11EE">
        <w:t>We agree, and cannot identify any areas requiring special treatment.</w:t>
      </w:r>
    </w:p>
    <w:permEnd w:id="2131061696"/>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lastRenderedPageBreak/>
        <w:t>Can you suggest other specific situations for which it is important to identify the information elements to be provided in the authorisation application?</w:t>
      </w:r>
    </w:p>
    <w:p w:rsidR="009A2624" w:rsidRDefault="009A2624" w:rsidP="009A2624">
      <w:r>
        <w:t>&lt;ESMA_QUESTION_DP_BMR_96&gt;</w:t>
      </w:r>
    </w:p>
    <w:p w:rsidR="005D11EE" w:rsidRPr="005D11EE" w:rsidRDefault="005D11EE" w:rsidP="005D11EE">
      <w:pPr>
        <w:rPr>
          <w:lang w:val="es-ES"/>
        </w:rPr>
      </w:pPr>
      <w:permStart w:id="558378731" w:edGrp="everyone"/>
      <w:r w:rsidRPr="005D11EE">
        <w:rPr>
          <w:lang w:val="es-ES"/>
        </w:rPr>
        <w:t>No.</w:t>
      </w:r>
    </w:p>
    <w:permEnd w:id="558378731"/>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5D11EE" w:rsidRPr="005D11EE" w:rsidRDefault="005D11EE" w:rsidP="005D11EE">
      <w:permStart w:id="2001760863" w:edGrp="everyone"/>
      <w:r w:rsidRPr="005D11EE">
        <w:t>We agree. Differences between the requirements for authorisation and registration should take account of the nature of the entity subject to each of these procedures and, specifically, the scope of supervision to which entities that elect to register are subject.</w:t>
      </w:r>
    </w:p>
    <w:permEnd w:id="2001760863"/>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5D11EE" w:rsidRPr="005D11EE" w:rsidRDefault="005D11EE" w:rsidP="005D11EE">
      <w:permStart w:id="775751897" w:edGrp="everyone"/>
      <w:r w:rsidRPr="005D11EE">
        <w:t>See response to Q97.</w:t>
      </w:r>
    </w:p>
    <w:permEnd w:id="775751897"/>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5D11EE" w:rsidRPr="005D11EE" w:rsidRDefault="005D11EE" w:rsidP="005D11EE">
      <w:permStart w:id="1757814591" w:edGrp="everyone"/>
      <w:r w:rsidRPr="005D11EE">
        <w:t>In addition to the information already identified in the Discussion Paper (section 324), it would be nece</w:t>
      </w:r>
      <w:r w:rsidRPr="005D11EE">
        <w:t>s</w:t>
      </w:r>
      <w:r w:rsidRPr="005D11EE">
        <w:t>sary to collect information about the administrator's legal status and form, the definition and characteristics of the benchmarks that it manages, and the type and scale of use to which they will be put.</w:t>
      </w:r>
    </w:p>
    <w:permEnd w:id="1757814591"/>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5D11EE" w:rsidRDefault="005D11EE" w:rsidP="009A2624">
      <w:permStart w:id="749615795" w:edGrp="everyone"/>
      <w:r w:rsidRPr="005D11EE">
        <w:t>We agree.</w:t>
      </w:r>
    </w:p>
    <w:permEnd w:id="749615795"/>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5D11EE" w:rsidRDefault="005D11EE" w:rsidP="005D11EE">
      <w:permStart w:id="1418089996" w:edGrp="everyone"/>
      <w:r>
        <w:t>For the case of the market or economic reality that the benchmark is intended to measure, it is necessary to consider the difficulty that the market or economic area in question would have in gaining access to the benchmark if the latter were not distributed in a Member State of the European Union and the resulting harm for those economic areas. Likewise, in the case of contributors, it is necessary to consider the grea</w:t>
      </w:r>
      <w:r>
        <w:t>t</w:t>
      </w:r>
      <w:r>
        <w:t>er ease with which they would be able to contribute data to the benchmark if it were distributed in the corresponding European Union Member State.</w:t>
      </w:r>
    </w:p>
    <w:p w:rsidR="005D11EE" w:rsidRDefault="005D11EE" w:rsidP="005D11EE">
      <w:r>
        <w:t>As regards the availability of input data and the specific requirements for the company supplying the benchmark, the analysis would be similar to the case of contributors.</w:t>
      </w:r>
    </w:p>
    <w:permEnd w:id="1418089996"/>
    <w:p w:rsidR="009A2624" w:rsidRDefault="009A2624" w:rsidP="009A2624">
      <w:r>
        <w:lastRenderedPageBreak/>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5D11EE" w:rsidRPr="005D11EE" w:rsidRDefault="005D11EE" w:rsidP="005D11EE">
      <w:permStart w:id="1205955285" w:edGrp="everyone"/>
      <w:r w:rsidRPr="005D11EE">
        <w:t>No such other elements have been identified.</w:t>
      </w:r>
    </w:p>
    <w:permEnd w:id="1205955285"/>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5D11EE" w:rsidRPr="005D11EE" w:rsidRDefault="005D11EE" w:rsidP="005D11EE">
      <w:permStart w:id="1952337274" w:edGrp="everyone"/>
      <w:r w:rsidRPr="005D11EE">
        <w:t>Yes.</w:t>
      </w:r>
    </w:p>
    <w:permEnd w:id="1952337274"/>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5D11EE" w:rsidRPr="005D11EE" w:rsidRDefault="005D11EE" w:rsidP="005D11EE">
      <w:permStart w:id="885461477" w:edGrp="everyone"/>
      <w:r w:rsidRPr="005D11EE">
        <w:t>No other circumstances have been identified.</w:t>
      </w:r>
    </w:p>
    <w:permEnd w:id="885461477"/>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5D11EE" w:rsidRPr="005D11EE" w:rsidRDefault="005D11EE" w:rsidP="005D11EE">
      <w:permStart w:id="221276340" w:edGrp="everyone"/>
      <w:r w:rsidRPr="005D11EE">
        <w:t>We agree.</w:t>
      </w:r>
    </w:p>
    <w:permEnd w:id="221276340"/>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5D11EE" w:rsidRPr="005D11EE" w:rsidRDefault="005D11EE" w:rsidP="005D11EE">
      <w:permStart w:id="1230972368" w:edGrp="everyone"/>
      <w:r w:rsidRPr="005D11EE">
        <w:t>The first option is preferable since it delimits a clear field for all affected and interested parties and avoids having to specify an aspect that is broadly open to interpretation, namely, the threshold or level of benc</w:t>
      </w:r>
      <w:r w:rsidRPr="005D11EE">
        <w:t>h</w:t>
      </w:r>
      <w:r w:rsidRPr="005D11EE">
        <w:t>mark usage below which they should be disqualified.</w:t>
      </w:r>
    </w:p>
    <w:permEnd w:id="1230972368"/>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5D11EE" w:rsidRPr="005D11EE" w:rsidRDefault="005D11EE" w:rsidP="005D11EE">
      <w:permStart w:id="322534478" w:edGrp="everyone"/>
      <w:r w:rsidRPr="005D11EE">
        <w:t>In accordance with the response to Q106, we do not consider the possibility of setting usage levels or thresholds. The other option (fixing a minimum threshold for non-compliant benchmarks) should apply when there is a detailed list of the benchmarks under the scope of the Regulation.</w:t>
      </w:r>
    </w:p>
    <w:permEnd w:id="322534478"/>
    <w:p w:rsidR="009A2624" w:rsidRDefault="009A2624" w:rsidP="009A2624">
      <w:r>
        <w:lastRenderedPageBreak/>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5D11EE" w:rsidRDefault="005D11EE" w:rsidP="009A2624">
      <w:permStart w:id="1736977833" w:edGrp="everyone"/>
      <w:r w:rsidRPr="005D11EE">
        <w:t>We consider it to be adequate.</w:t>
      </w:r>
    </w:p>
    <w:permEnd w:id="1736977833"/>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5D11EE" w:rsidRPr="005D11EE" w:rsidRDefault="005D11EE" w:rsidP="005D11EE">
      <w:permStart w:id="179311119" w:edGrp="everyone"/>
      <w:r w:rsidRPr="005D11EE">
        <w:t>We consider it to be appropriate.</w:t>
      </w:r>
    </w:p>
    <w:permEnd w:id="179311119"/>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C94DC3" w:rsidRPr="00C94DC3" w:rsidRDefault="00C94DC3" w:rsidP="00C94DC3">
      <w:permStart w:id="957169929" w:edGrp="everyone"/>
      <w:r w:rsidRPr="00C94DC3">
        <w:t>Sections 360 to 362 of the Discussion Paper properly identify the information that it is reasonable to gather about benchmark suppliers and users.</w:t>
      </w:r>
    </w:p>
    <w:permEnd w:id="957169929"/>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C94DC3" w:rsidRPr="00C94DC3" w:rsidRDefault="00C94DC3" w:rsidP="00C94DC3">
      <w:permStart w:id="851403523" w:edGrp="everyone"/>
      <w:r w:rsidRPr="00C94DC3">
        <w:t>We agree.</w:t>
      </w:r>
    </w:p>
    <w:permEnd w:id="851403523"/>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C94DC3" w:rsidRPr="00C94DC3" w:rsidRDefault="00C94DC3" w:rsidP="00C94DC3">
      <w:permStart w:id="1666584929" w:edGrp="everyone"/>
      <w:r w:rsidRPr="00C94DC3">
        <w:t>Yes, as already stated in reply to Q110.</w:t>
      </w:r>
    </w:p>
    <w:permEnd w:id="1666584929"/>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C94DC3" w:rsidP="009A2624">
      <w:permStart w:id="762848325" w:edGrp="everyone"/>
      <w:r w:rsidRPr="00C94DC3">
        <w:t>That evaluation is difficult since it requires the application of a very broad concept, i.e. force majeure, as referred to in section 346 and Q105 of the Discussion Paper, to very disparate contracts and instr</w:t>
      </w:r>
      <w:r w:rsidRPr="00C94DC3">
        <w:t>u</w:t>
      </w:r>
      <w:r w:rsidRPr="00C94DC3">
        <w:t>ments</w:t>
      </w:r>
      <w:proofErr w:type="gramStart"/>
      <w:r w:rsidRPr="00C94DC3">
        <w:t>.</w:t>
      </w:r>
      <w:permEnd w:id="762848325"/>
      <w:r w:rsidR="009A2624">
        <w:t>&lt;</w:t>
      </w:r>
      <w:proofErr w:type="gramEnd"/>
      <w:r w:rsidR="009A2624">
        <w: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E6" w:rsidRDefault="00623FE6">
      <w:r>
        <w:separator/>
      </w:r>
    </w:p>
    <w:p w:rsidR="00623FE6" w:rsidRDefault="00623FE6"/>
  </w:endnote>
  <w:endnote w:type="continuationSeparator" w:id="0">
    <w:p w:rsidR="00623FE6" w:rsidRDefault="00623FE6">
      <w:r>
        <w:continuationSeparator/>
      </w:r>
    </w:p>
    <w:p w:rsidR="00623FE6" w:rsidRDefault="00623FE6"/>
  </w:endnote>
  <w:endnote w:type="continuationNotice" w:id="1">
    <w:p w:rsidR="00623FE6" w:rsidRDefault="0062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Myriad Pro Light">
    <w:altName w:val="Corbel"/>
    <w:panose1 w:val="020B0403030403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23FE6" w:rsidRPr="00616B9B" w:rsidTr="00315E96">
      <w:trPr>
        <w:trHeight w:val="284"/>
      </w:trPr>
      <w:tc>
        <w:tcPr>
          <w:tcW w:w="8460" w:type="dxa"/>
        </w:tcPr>
        <w:p w:rsidR="00623FE6" w:rsidRPr="00315E96" w:rsidRDefault="00623FE6" w:rsidP="00315E96">
          <w:pPr>
            <w:pStyle w:val="00Footer"/>
            <w:rPr>
              <w:lang w:val="fr-FR"/>
            </w:rPr>
          </w:pPr>
        </w:p>
      </w:tc>
      <w:tc>
        <w:tcPr>
          <w:tcW w:w="952" w:type="dxa"/>
        </w:tcPr>
        <w:p w:rsidR="00623FE6" w:rsidRPr="00616B9B" w:rsidRDefault="00623FE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843B4">
            <w:rPr>
              <w:rFonts w:cs="Arial"/>
              <w:noProof/>
              <w:sz w:val="22"/>
              <w:szCs w:val="22"/>
            </w:rPr>
            <w:t>23</w:t>
          </w:r>
          <w:r w:rsidRPr="00616B9B">
            <w:rPr>
              <w:rFonts w:cs="Arial"/>
              <w:noProof/>
              <w:sz w:val="22"/>
              <w:szCs w:val="22"/>
            </w:rPr>
            <w:fldChar w:fldCharType="end"/>
          </w:r>
        </w:p>
      </w:tc>
    </w:tr>
  </w:tbl>
  <w:p w:rsidR="00623FE6" w:rsidRDefault="00623F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E6" w:rsidRDefault="00623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E6" w:rsidRDefault="00623FE6">
      <w:r>
        <w:separator/>
      </w:r>
    </w:p>
    <w:p w:rsidR="00623FE6" w:rsidRDefault="00623FE6"/>
  </w:footnote>
  <w:footnote w:type="continuationSeparator" w:id="0">
    <w:p w:rsidR="00623FE6" w:rsidRDefault="00623FE6">
      <w:r>
        <w:continuationSeparator/>
      </w:r>
    </w:p>
    <w:p w:rsidR="00623FE6" w:rsidRDefault="00623FE6"/>
  </w:footnote>
  <w:footnote w:type="continuationNotice" w:id="1">
    <w:p w:rsidR="00623FE6" w:rsidRDefault="00623F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E6" w:rsidRDefault="00623FE6">
    <w:pPr>
      <w:pStyle w:val="Encabezado"/>
    </w:pPr>
    <w:r>
      <w:rPr>
        <w:noProof/>
        <w:lang w:val="es-ES" w:eastAsia="es-ES"/>
      </w:rPr>
      <w:drawing>
        <wp:anchor distT="0" distB="0" distL="114300" distR="114300" simplePos="0" relativeHeight="251658240" behindDoc="0" locked="0" layoutInCell="1" allowOverlap="1" wp14:anchorId="05F4EDB3" wp14:editId="204FABA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14:anchorId="2B789496" wp14:editId="4BE9087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E6" w:rsidRDefault="00623FE6" w:rsidP="00013CCE">
    <w:pPr>
      <w:pStyle w:val="Encabezado"/>
      <w:jc w:val="right"/>
    </w:pPr>
    <w:r>
      <w:rPr>
        <w:noProof/>
        <w:lang w:val="es-ES" w:eastAsia="es-ES"/>
      </w:rPr>
      <w:drawing>
        <wp:anchor distT="0" distB="0" distL="114300" distR="114300" simplePos="0" relativeHeight="251657216" behindDoc="0" locked="0" layoutInCell="1" allowOverlap="1" wp14:anchorId="45F5E1F8" wp14:editId="04EAB7C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3B99B246" wp14:editId="125904D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E6" w:rsidRDefault="00623F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23FE6" w:rsidRPr="002F4496" w:rsidTr="000C06C9">
      <w:trPr>
        <w:trHeight w:val="284"/>
      </w:trPr>
      <w:tc>
        <w:tcPr>
          <w:tcW w:w="8460" w:type="dxa"/>
        </w:tcPr>
        <w:p w:rsidR="00623FE6" w:rsidRPr="000C3B6D" w:rsidRDefault="00623FE6" w:rsidP="000C06C9">
          <w:pPr>
            <w:pStyle w:val="00Footer"/>
            <w:rPr>
              <w:lang w:val="fr-FR"/>
            </w:rPr>
          </w:pPr>
        </w:p>
      </w:tc>
      <w:tc>
        <w:tcPr>
          <w:tcW w:w="952" w:type="dxa"/>
        </w:tcPr>
        <w:p w:rsidR="00623FE6" w:rsidRPr="00146B34" w:rsidRDefault="00623FE6" w:rsidP="000C06C9">
          <w:pPr>
            <w:pStyle w:val="00aPagenumber"/>
            <w:rPr>
              <w:lang w:val="fr-FR"/>
            </w:rPr>
          </w:pPr>
        </w:p>
      </w:tc>
    </w:tr>
  </w:tbl>
  <w:p w:rsidR="00623FE6" w:rsidRPr="00DB46C3" w:rsidRDefault="00623FE6">
    <w:pPr>
      <w:rPr>
        <w:lang w:val="fr-FR"/>
      </w:rPr>
    </w:pPr>
  </w:p>
  <w:p w:rsidR="00623FE6" w:rsidRPr="002F4496" w:rsidRDefault="00623FE6">
    <w:pPr>
      <w:pStyle w:val="Encabezado"/>
      <w:rPr>
        <w:lang w:val="fr-FR"/>
      </w:rPr>
    </w:pPr>
  </w:p>
  <w:p w:rsidR="00623FE6" w:rsidRPr="002F4496" w:rsidRDefault="00623FE6" w:rsidP="000C06C9">
    <w:pPr>
      <w:pStyle w:val="Encabezado"/>
      <w:tabs>
        <w:tab w:val="clear" w:pos="4536"/>
        <w:tab w:val="clear" w:pos="9072"/>
        <w:tab w:val="left" w:pos="8227"/>
      </w:tabs>
      <w:rPr>
        <w:lang w:val="fr-FR"/>
      </w:rPr>
    </w:pPr>
  </w:p>
  <w:p w:rsidR="00623FE6" w:rsidRPr="002F4496" w:rsidRDefault="00623FE6" w:rsidP="000C06C9">
    <w:pPr>
      <w:pStyle w:val="Encabezado"/>
      <w:tabs>
        <w:tab w:val="clear" w:pos="4536"/>
        <w:tab w:val="clear" w:pos="9072"/>
        <w:tab w:val="left" w:pos="8227"/>
      </w:tabs>
      <w:rPr>
        <w:lang w:val="fr-FR"/>
      </w:rPr>
    </w:pPr>
  </w:p>
  <w:p w:rsidR="00623FE6" w:rsidRPr="002F4496" w:rsidRDefault="00623FE6">
    <w:pPr>
      <w:pStyle w:val="Encabezado"/>
      <w:rPr>
        <w:lang w:val="fr-FR"/>
      </w:rPr>
    </w:pPr>
  </w:p>
  <w:p w:rsidR="00623FE6" w:rsidRPr="002F4496" w:rsidRDefault="00623FE6">
    <w:pPr>
      <w:pStyle w:val="Encabezado"/>
      <w:rPr>
        <w:lang w:val="fr-FR"/>
      </w:rPr>
    </w:pPr>
  </w:p>
  <w:p w:rsidR="00623FE6" w:rsidRPr="002F4496" w:rsidRDefault="00623FE6">
    <w:pPr>
      <w:pStyle w:val="Encabezado"/>
      <w:rPr>
        <w:lang w:val="fr-FR"/>
      </w:rPr>
    </w:pPr>
  </w:p>
  <w:p w:rsidR="00623FE6" w:rsidRPr="002F4496" w:rsidRDefault="00623FE6">
    <w:pPr>
      <w:pStyle w:val="Encabezado"/>
      <w:rPr>
        <w:lang w:val="fr-FR"/>
      </w:rPr>
    </w:pPr>
  </w:p>
  <w:p w:rsidR="00623FE6" w:rsidRPr="002F4496" w:rsidRDefault="00623FE6">
    <w:pPr>
      <w:pStyle w:val="Encabezado"/>
      <w:rPr>
        <w:highlight w:val="yellow"/>
        <w:lang w:val="fr-FR"/>
      </w:rPr>
    </w:pPr>
  </w:p>
  <w:p w:rsidR="00623FE6" w:rsidRDefault="00623FE6">
    <w:pPr>
      <w:pStyle w:val="Encabezado"/>
    </w:pPr>
    <w:r>
      <w:rPr>
        <w:noProof/>
        <w:lang w:val="es-ES" w:eastAsia="es-E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371BA"/>
    <w:rsid w:val="00041858"/>
    <w:rsid w:val="0004389E"/>
    <w:rsid w:val="000463A6"/>
    <w:rsid w:val="00046CC9"/>
    <w:rsid w:val="00046E91"/>
    <w:rsid w:val="000502FE"/>
    <w:rsid w:val="00050705"/>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0B53"/>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588B"/>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3B8E"/>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432"/>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32E"/>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B4"/>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C82"/>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1EE"/>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3FE6"/>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D3F"/>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359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4DC3"/>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C9A"/>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3F29"/>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3136"/>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3745841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B7A2-454C-4F1A-8FAB-C59E3B7B17D2}">
  <ds:schemaRefs>
    <ds:schemaRef ds:uri="http://schemas.openxmlformats.org/officeDocument/2006/bibliography"/>
  </ds:schemaRefs>
</ds:datastoreItem>
</file>

<file path=customXml/itemProps2.xml><?xml version="1.0" encoding="utf-8"?>
<ds:datastoreItem xmlns:ds="http://schemas.openxmlformats.org/officeDocument/2006/customXml" ds:itemID="{810B37D1-01D9-4D68-9F3C-94AB028C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7010</Words>
  <Characters>41798</Characters>
  <Application>Microsoft Office Word</Application>
  <DocSecurity>8</DocSecurity>
  <Lines>348</Lines>
  <Paragraphs>97</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48711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Concepción García Rodera</cp:lastModifiedBy>
  <cp:revision>2</cp:revision>
  <cp:lastPrinted>2016-03-31T11:02:00Z</cp:lastPrinted>
  <dcterms:created xsi:type="dcterms:W3CDTF">2016-03-31T11:04:00Z</dcterms:created>
  <dcterms:modified xsi:type="dcterms:W3CDTF">2016-03-31T11:04:00Z</dcterms:modified>
</cp:coreProperties>
</file>