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2A40D1">
        <w:trPr>
          <w:trHeight w:val="284"/>
        </w:trPr>
        <w:tc>
          <w:tcPr>
            <w:tcW w:w="9412" w:type="dxa"/>
          </w:tcPr>
          <w:p w:rsidR="002A40D1" w:rsidRDefault="00710EFD">
            <w:pPr>
              <w:pStyle w:val="00bDBInfo"/>
              <w:rPr>
                <w:rFonts w:cs="Arial"/>
              </w:rPr>
            </w:pPr>
            <w:r>
              <w:rPr>
                <w:rFonts w:cs="Arial"/>
              </w:rPr>
              <w:t>15 February 2016</w:t>
            </w:r>
          </w:p>
        </w:tc>
      </w:tr>
    </w:tbl>
    <w:p w:rsidR="002A40D1" w:rsidRDefault="002A40D1">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2A40D1">
        <w:trPr>
          <w:trHeight w:hRule="exact" w:val="1209"/>
        </w:trPr>
        <w:tc>
          <w:tcPr>
            <w:tcW w:w="9397" w:type="dxa"/>
            <w:vAlign w:val="bottom"/>
          </w:tcPr>
          <w:p w:rsidR="002A40D1" w:rsidRDefault="00710EFD">
            <w:pPr>
              <w:pStyle w:val="01aDBTitle"/>
              <w:rPr>
                <w:rFonts w:cs="Arial"/>
                <w:sz w:val="32"/>
              </w:rPr>
            </w:pPr>
            <w:r>
              <w:rPr>
                <w:rFonts w:cs="Arial"/>
                <w:sz w:val="32"/>
              </w:rPr>
              <w:t xml:space="preserve">Reply form for the </w:t>
            </w:r>
            <w:r>
              <w:rPr>
                <w:sz w:val="32"/>
              </w:rPr>
              <w:t xml:space="preserve">  </w:t>
            </w:r>
          </w:p>
          <w:p w:rsidR="002A40D1" w:rsidRDefault="00710EFD">
            <w:pPr>
              <w:pStyle w:val="01aDBTitle"/>
              <w:rPr>
                <w:rFonts w:cs="Arial"/>
                <w:sz w:val="32"/>
              </w:rPr>
            </w:pPr>
            <w:r>
              <w:rPr>
                <w:rFonts w:cs="Arial"/>
                <w:sz w:val="32"/>
              </w:rPr>
              <w:t>Discussion Paper on Benchmarks Regulation</w:t>
            </w:r>
          </w:p>
        </w:tc>
      </w:tr>
      <w:tr w:rsidR="002A40D1">
        <w:trPr>
          <w:trHeight w:hRule="exact" w:val="605"/>
        </w:trPr>
        <w:tc>
          <w:tcPr>
            <w:tcW w:w="9397" w:type="dxa"/>
            <w:tcMar>
              <w:top w:w="142" w:type="dxa"/>
            </w:tcMar>
          </w:tcPr>
          <w:p w:rsidR="002A40D1" w:rsidRDefault="00710EFD">
            <w:pPr>
              <w:pStyle w:val="01bDBSubtitle"/>
              <w:rPr>
                <w:rFonts w:ascii="Arial" w:hAnsi="Arial" w:cs="Arial"/>
                <w:sz w:val="32"/>
              </w:rPr>
            </w:pPr>
            <w:r>
              <w:rPr>
                <w:rFonts w:ascii="Arial" w:hAnsi="Arial" w:cs="Arial"/>
                <w:sz w:val="32"/>
              </w:rPr>
              <w:t xml:space="preserve"> </w:t>
            </w:r>
          </w:p>
        </w:tc>
      </w:tr>
    </w:tbl>
    <w:p w:rsidR="002A40D1" w:rsidRDefault="002A40D1">
      <w:pPr>
        <w:pStyle w:val="05HeadlinenoIndex"/>
        <w:rPr>
          <w:rFonts w:cs="Arial"/>
        </w:rPr>
        <w:sectPr w:rsidR="002A40D1">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2A40D1">
        <w:trPr>
          <w:trHeight w:hRule="exact" w:val="964"/>
        </w:trPr>
        <w:tc>
          <w:tcPr>
            <w:tcW w:w="2325" w:type="dxa"/>
          </w:tcPr>
          <w:p w:rsidR="002A40D1" w:rsidRDefault="00710EFD">
            <w:pPr>
              <w:pStyle w:val="02Date"/>
              <w:rPr>
                <w:rFonts w:cs="Arial"/>
                <w:highlight w:val="red"/>
              </w:rPr>
            </w:pPr>
            <w:r>
              <w:rPr>
                <w:rFonts w:cs="Arial"/>
              </w:rPr>
              <w:lastRenderedPageBreak/>
              <w:t>Date: 15 February 2016</w:t>
            </w:r>
          </w:p>
        </w:tc>
      </w:tr>
    </w:tbl>
    <w:p w:rsidR="002A40D1" w:rsidRDefault="00710EFD">
      <w:pPr>
        <w:pStyle w:val="05HeadlinenoIndex"/>
        <w:rPr>
          <w:rFonts w:cs="Arial"/>
        </w:rPr>
      </w:pPr>
      <w:bookmarkStart w:id="0" w:name="_Toc280628648"/>
      <w:r>
        <w:rPr>
          <w:rFonts w:cs="Arial"/>
        </w:rPr>
        <w:t xml:space="preserve">Responding to this paper </w:t>
      </w:r>
    </w:p>
    <w:p w:rsidR="002A40D1" w:rsidRDefault="00710EFD">
      <w:pPr>
        <w:pStyle w:val="04BodyText"/>
        <w:spacing w:before="120" w:after="120"/>
        <w:rPr>
          <w:rFonts w:cs="Arial"/>
        </w:rPr>
      </w:pPr>
      <w:r>
        <w:rPr>
          <w:rFonts w:cs="Arial"/>
        </w:rPr>
        <w:t>The European Securities and Markets Authority (ESMA) invites responses to the specific questions listed in Consultation Paper on the European Single Electronic Format (ESEF), published on the ESMA website.</w:t>
      </w:r>
    </w:p>
    <w:p w:rsidR="002A40D1" w:rsidRDefault="002A40D1">
      <w:pPr>
        <w:autoSpaceDE w:val="0"/>
        <w:autoSpaceDN w:val="0"/>
        <w:adjustRightInd w:val="0"/>
        <w:spacing w:before="120" w:after="120" w:line="276" w:lineRule="auto"/>
        <w:jc w:val="both"/>
        <w:rPr>
          <w:rStyle w:val="Strong4"/>
          <w:rFonts w:cs="Arial"/>
          <w:i/>
        </w:rPr>
      </w:pPr>
    </w:p>
    <w:p w:rsidR="002A40D1" w:rsidRDefault="00710EFD">
      <w:pPr>
        <w:autoSpaceDE w:val="0"/>
        <w:autoSpaceDN w:val="0"/>
        <w:adjustRightInd w:val="0"/>
        <w:spacing w:before="120" w:after="120" w:line="276" w:lineRule="auto"/>
        <w:jc w:val="both"/>
        <w:rPr>
          <w:rStyle w:val="Strong4"/>
          <w:rFonts w:cs="Arial"/>
          <w:i/>
        </w:rPr>
      </w:pPr>
      <w:r>
        <w:rPr>
          <w:rStyle w:val="Strong4"/>
          <w:rFonts w:cs="Arial"/>
          <w:i/>
        </w:rPr>
        <w:t>Instructions</w:t>
      </w:r>
    </w:p>
    <w:p w:rsidR="002A40D1" w:rsidRDefault="00710EFD">
      <w:pPr>
        <w:pStyle w:val="04BodyText"/>
        <w:spacing w:before="120" w:after="120"/>
        <w:rPr>
          <w:rFonts w:cs="Arial"/>
        </w:rPr>
      </w:pPr>
      <w:r>
        <w:rPr>
          <w:rFonts w:cs="Arial"/>
        </w:rPr>
        <w:t>Please note that, in order to facilitate the analysis of the large number of responses expected, you are requested to use this file to send your response to ESMA so as to allow us to process it properly. Ther</w:t>
      </w:r>
      <w:r>
        <w:rPr>
          <w:rFonts w:cs="Arial"/>
        </w:rPr>
        <w:t>e</w:t>
      </w:r>
      <w:r>
        <w:rPr>
          <w:rFonts w:cs="Arial"/>
        </w:rPr>
        <w:t>fore, ESMA will only be able to consider responses which follow the instructions described below:</w:t>
      </w:r>
    </w:p>
    <w:p w:rsidR="002A40D1" w:rsidRDefault="00710EFD">
      <w:pPr>
        <w:pStyle w:val="04bList"/>
        <w:numPr>
          <w:ilvl w:val="0"/>
          <w:numId w:val="32"/>
        </w:numPr>
        <w:spacing w:before="120" w:after="120"/>
        <w:rPr>
          <w:rFonts w:cs="Arial"/>
        </w:rPr>
      </w:pPr>
      <w:r>
        <w:rPr>
          <w:rFonts w:cs="Arial"/>
        </w:rPr>
        <w:t>use this form and send your responses in Word format (pdf documents will not be considered e</w:t>
      </w:r>
      <w:r>
        <w:rPr>
          <w:rFonts w:cs="Arial"/>
        </w:rPr>
        <w:t>x</w:t>
      </w:r>
      <w:r>
        <w:rPr>
          <w:rFonts w:cs="Arial"/>
        </w:rPr>
        <w:t>cept for annexes);</w:t>
      </w:r>
    </w:p>
    <w:p w:rsidR="002A40D1" w:rsidRDefault="00710EFD">
      <w:pPr>
        <w:pStyle w:val="04bList"/>
        <w:numPr>
          <w:ilvl w:val="0"/>
          <w:numId w:val="32"/>
        </w:numPr>
        <w:spacing w:before="120" w:after="120"/>
        <w:rPr>
          <w:rFonts w:cs="Arial"/>
        </w:rPr>
      </w:pPr>
      <w:r>
        <w:rPr>
          <w:rFonts w:cs="Arial"/>
        </w:rPr>
        <w:t>do not remove the tags of type &lt;</w:t>
      </w:r>
      <w:r>
        <w:t xml:space="preserve"> </w:t>
      </w:r>
      <w:r>
        <w:rPr>
          <w:rFonts w:cs="Arial"/>
        </w:rPr>
        <w:t>ESMA_QUESTION_</w:t>
      </w:r>
      <w:r>
        <w:t>DP_BMR</w:t>
      </w:r>
      <w:r>
        <w:rPr>
          <w:rFonts w:cs="Arial"/>
        </w:rPr>
        <w:t>_1&gt; - i.e. the response to one question has to be framed by the 2 tags corresponding to the question; and</w:t>
      </w:r>
    </w:p>
    <w:p w:rsidR="002A40D1" w:rsidRDefault="00710EFD">
      <w:pPr>
        <w:pStyle w:val="04bList"/>
        <w:numPr>
          <w:ilvl w:val="0"/>
          <w:numId w:val="32"/>
        </w:numPr>
        <w:spacing w:before="120" w:after="120"/>
        <w:rPr>
          <w:rFonts w:cs="Arial"/>
        </w:rPr>
      </w:pPr>
      <w:r>
        <w:rPr>
          <w:rFonts w:cs="Arial"/>
        </w:rPr>
        <w:t>if you do not have a response to a question, do not delete it and leave the text “TYPE YOUR TEXT HERE” between the tags.</w:t>
      </w:r>
    </w:p>
    <w:p w:rsidR="002A40D1" w:rsidRDefault="00710EFD">
      <w:pPr>
        <w:pStyle w:val="04bList"/>
        <w:numPr>
          <w:ilvl w:val="0"/>
          <w:numId w:val="0"/>
        </w:numPr>
        <w:spacing w:before="120" w:after="120"/>
        <w:rPr>
          <w:rFonts w:cs="Arial"/>
        </w:rPr>
      </w:pPr>
      <w:r>
        <w:rPr>
          <w:rFonts w:cs="Arial"/>
        </w:rPr>
        <w:t>Responses are most helpful:</w:t>
      </w:r>
    </w:p>
    <w:p w:rsidR="002A40D1" w:rsidRDefault="00710EFD">
      <w:pPr>
        <w:pStyle w:val="04bList"/>
        <w:numPr>
          <w:ilvl w:val="0"/>
          <w:numId w:val="33"/>
        </w:numPr>
        <w:spacing w:before="120" w:after="120"/>
        <w:rPr>
          <w:rFonts w:cs="Arial"/>
        </w:rPr>
      </w:pPr>
      <w:r>
        <w:rPr>
          <w:rFonts w:cs="Arial"/>
        </w:rPr>
        <w:t>if they respond to the question stated;</w:t>
      </w:r>
    </w:p>
    <w:p w:rsidR="002A40D1" w:rsidRDefault="00710EFD">
      <w:pPr>
        <w:pStyle w:val="04bList"/>
        <w:numPr>
          <w:ilvl w:val="0"/>
          <w:numId w:val="33"/>
        </w:numPr>
        <w:spacing w:before="120" w:after="120"/>
        <w:rPr>
          <w:rFonts w:cs="Arial"/>
        </w:rPr>
      </w:pPr>
      <w:r>
        <w:rPr>
          <w:rFonts w:cs="Arial"/>
        </w:rPr>
        <w:t>contain a clear rationale, including on any related costs and benefits; and</w:t>
      </w:r>
    </w:p>
    <w:p w:rsidR="002A40D1" w:rsidRDefault="00710EFD">
      <w:pPr>
        <w:pStyle w:val="04bList"/>
        <w:numPr>
          <w:ilvl w:val="0"/>
          <w:numId w:val="33"/>
        </w:numPr>
        <w:spacing w:before="120" w:after="120"/>
        <w:rPr>
          <w:rFonts w:cs="Arial"/>
        </w:rPr>
      </w:pPr>
      <w:r>
        <w:rPr>
          <w:rFonts w:cs="Arial"/>
        </w:rPr>
        <w:t>describe any alternatives that ESMA should consider</w:t>
      </w:r>
    </w:p>
    <w:p w:rsidR="002A40D1" w:rsidRDefault="002A40D1">
      <w:pPr>
        <w:pStyle w:val="04BodyText"/>
        <w:spacing w:before="120" w:after="120"/>
        <w:jc w:val="left"/>
        <w:rPr>
          <w:rFonts w:cs="Arial"/>
          <w:b/>
        </w:rPr>
      </w:pPr>
    </w:p>
    <w:p w:rsidR="002A40D1" w:rsidRDefault="00710EFD">
      <w:pPr>
        <w:pStyle w:val="04BodyText"/>
        <w:spacing w:before="120" w:after="120"/>
        <w:jc w:val="left"/>
        <w:rPr>
          <w:rFonts w:cs="Arial"/>
          <w:b/>
        </w:rPr>
      </w:pPr>
      <w:r>
        <w:rPr>
          <w:rFonts w:cs="Arial"/>
          <w:b/>
        </w:rPr>
        <w:t>Naming protocol</w:t>
      </w:r>
    </w:p>
    <w:p w:rsidR="002A40D1" w:rsidRDefault="00710EFD">
      <w:pPr>
        <w:pStyle w:val="04BodyText"/>
        <w:spacing w:before="120" w:after="120"/>
        <w:jc w:val="left"/>
        <w:rPr>
          <w:rFonts w:cs="Arial"/>
        </w:rPr>
      </w:pPr>
      <w:r>
        <w:rPr>
          <w:rFonts w:cs="Arial"/>
        </w:rPr>
        <w:t>In order to facilitate the handling of stakeholders responses please save your document using the follo</w:t>
      </w:r>
      <w:r>
        <w:rPr>
          <w:rFonts w:cs="Arial"/>
        </w:rPr>
        <w:t>w</w:t>
      </w:r>
      <w:r>
        <w:rPr>
          <w:rFonts w:cs="Arial"/>
        </w:rPr>
        <w:t>ing format:</w:t>
      </w:r>
    </w:p>
    <w:p w:rsidR="002A40D1" w:rsidRDefault="00710EFD">
      <w:pPr>
        <w:pStyle w:val="04BodyText"/>
        <w:spacing w:before="120" w:after="120"/>
        <w:jc w:val="left"/>
        <w:rPr>
          <w:rFonts w:cs="Arial"/>
        </w:rPr>
      </w:pPr>
      <w:r>
        <w:rPr>
          <w:rFonts w:cs="Arial"/>
        </w:rPr>
        <w:t>ESMA_</w:t>
      </w:r>
      <w:r>
        <w:t>DP_BMR</w:t>
      </w:r>
      <w:r>
        <w:rPr>
          <w:rFonts w:cs="Arial"/>
        </w:rPr>
        <w:t xml:space="preserve"> _NAMEOFCOMPANY_NAMEOFDOCUMENT.</w:t>
      </w:r>
    </w:p>
    <w:p w:rsidR="002A40D1" w:rsidRDefault="00710EFD">
      <w:pPr>
        <w:pStyle w:val="04BodyText"/>
        <w:spacing w:before="120" w:after="120"/>
        <w:jc w:val="left"/>
        <w:rPr>
          <w:rFonts w:cs="Arial"/>
        </w:rPr>
      </w:pPr>
      <w:r>
        <w:rPr>
          <w:rFonts w:cs="Arial"/>
        </w:rPr>
        <w:t>E.g. if the respondent were XXXX, the name of the reply form would be:</w:t>
      </w:r>
    </w:p>
    <w:p w:rsidR="002A40D1" w:rsidRDefault="00710EFD">
      <w:pPr>
        <w:pStyle w:val="04BodyText"/>
        <w:spacing w:before="120" w:after="120"/>
        <w:jc w:val="left"/>
        <w:rPr>
          <w:rFonts w:cs="Arial"/>
        </w:rPr>
      </w:pPr>
      <w:r>
        <w:rPr>
          <w:rFonts w:cs="Arial"/>
        </w:rPr>
        <w:t>ESMA_</w:t>
      </w:r>
      <w:r>
        <w:t>DP_BMR</w:t>
      </w:r>
      <w:r>
        <w:rPr>
          <w:rFonts w:cs="Arial"/>
        </w:rPr>
        <w:t xml:space="preserve"> _XXXX_REPLYFORM or </w:t>
      </w:r>
    </w:p>
    <w:p w:rsidR="002A40D1" w:rsidRDefault="00710EFD">
      <w:pPr>
        <w:pStyle w:val="04BodyText"/>
        <w:spacing w:before="120" w:after="120"/>
        <w:jc w:val="left"/>
        <w:rPr>
          <w:rFonts w:cs="Arial"/>
        </w:rPr>
      </w:pPr>
      <w:r>
        <w:rPr>
          <w:rFonts w:cs="Arial"/>
        </w:rPr>
        <w:t>ESMA_</w:t>
      </w:r>
      <w:r>
        <w:t>DP_BMR</w:t>
      </w:r>
      <w:r>
        <w:rPr>
          <w:rFonts w:cs="Arial"/>
        </w:rPr>
        <w:t xml:space="preserve"> _XXXX_ANNEX1</w:t>
      </w:r>
    </w:p>
    <w:p w:rsidR="002A40D1" w:rsidRDefault="00710EFD">
      <w:pPr>
        <w:pStyle w:val="04bList"/>
        <w:numPr>
          <w:ilvl w:val="0"/>
          <w:numId w:val="0"/>
        </w:numPr>
        <w:spacing w:before="120" w:after="120"/>
        <w:rPr>
          <w:rFonts w:cs="Arial"/>
        </w:rPr>
      </w:pPr>
      <w:r>
        <w:rPr>
          <w:rFonts w:cs="Arial"/>
        </w:rPr>
        <w:t>To help you navigate this document more easily, bookmarks are available in “Navigation Pane” for Word 2010 and in “Document Map” for Word 2007.</w:t>
      </w:r>
    </w:p>
    <w:p w:rsidR="002A40D1" w:rsidRDefault="002A40D1">
      <w:pPr>
        <w:autoSpaceDE w:val="0"/>
        <w:autoSpaceDN w:val="0"/>
        <w:adjustRightInd w:val="0"/>
        <w:spacing w:before="120" w:after="120" w:line="276" w:lineRule="auto"/>
        <w:jc w:val="both"/>
        <w:rPr>
          <w:rFonts w:cs="Arial"/>
          <w:b/>
          <w:bCs/>
          <w:i/>
          <w:color w:val="000000"/>
          <w:szCs w:val="20"/>
          <w:lang w:eastAsia="en-GB"/>
        </w:rPr>
      </w:pPr>
    </w:p>
    <w:p w:rsidR="002A40D1" w:rsidRDefault="00710EFD">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2A40D1" w:rsidRDefault="00710EFD">
      <w:pPr>
        <w:pStyle w:val="04BodyText"/>
        <w:spacing w:before="120" w:after="120"/>
        <w:rPr>
          <w:rFonts w:cs="Arial"/>
        </w:rPr>
      </w:pPr>
      <w:r>
        <w:rPr>
          <w:rFonts w:cs="Arial"/>
        </w:rPr>
        <w:t>Responses must reach us by 31 March 2016</w:t>
      </w:r>
      <w:r>
        <w:rPr>
          <w:rFonts w:cs="Arial"/>
          <w:b/>
        </w:rPr>
        <w:t>.</w:t>
      </w:r>
    </w:p>
    <w:p w:rsidR="002A40D1" w:rsidRDefault="00710EFD">
      <w:pPr>
        <w:pStyle w:val="04BodyText"/>
        <w:spacing w:before="120" w:after="120"/>
        <w:rPr>
          <w:rFonts w:cs="Arial"/>
        </w:rPr>
      </w:pPr>
      <w:r>
        <w:rPr>
          <w:rFonts w:cs="Arial"/>
        </w:rPr>
        <w:t xml:space="preserve">All contributions should be submitted online at </w:t>
      </w:r>
      <w:hyperlink r:id="rId13" w:history="1">
        <w:r>
          <w:rPr>
            <w:rStyle w:val="Hyperlink"/>
            <w:rFonts w:cs="Arial"/>
          </w:rPr>
          <w:t>www.esma.europa.eu</w:t>
        </w:r>
      </w:hyperlink>
      <w:r>
        <w:rPr>
          <w:rFonts w:cs="Arial"/>
        </w:rPr>
        <w:t xml:space="preserve"> under the heading ‘Your i</w:t>
      </w:r>
      <w:r>
        <w:rPr>
          <w:rFonts w:cs="Arial"/>
        </w:rPr>
        <w:t>n</w:t>
      </w:r>
      <w:r>
        <w:rPr>
          <w:rFonts w:cs="Arial"/>
        </w:rPr>
        <w:t xml:space="preserve">put/Consultations’. </w:t>
      </w:r>
    </w:p>
    <w:p w:rsidR="002A40D1" w:rsidRDefault="002A40D1">
      <w:pPr>
        <w:autoSpaceDE w:val="0"/>
        <w:autoSpaceDN w:val="0"/>
        <w:adjustRightInd w:val="0"/>
        <w:spacing w:before="120" w:after="120" w:line="276" w:lineRule="auto"/>
        <w:jc w:val="both"/>
        <w:rPr>
          <w:rFonts w:cs="Arial"/>
          <w:b/>
          <w:bCs/>
          <w:i/>
          <w:color w:val="000000"/>
          <w:szCs w:val="20"/>
          <w:lang w:eastAsia="en-GB"/>
        </w:rPr>
      </w:pPr>
      <w:bookmarkStart w:id="1" w:name="_Toc335141334"/>
    </w:p>
    <w:p w:rsidR="002A40D1" w:rsidRDefault="00710EFD">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lastRenderedPageBreak/>
        <w:t>Publication of responses</w:t>
      </w:r>
      <w:bookmarkEnd w:id="1"/>
    </w:p>
    <w:p w:rsidR="002A40D1" w:rsidRDefault="00710EFD">
      <w:pPr>
        <w:pStyle w:val="04BodyText"/>
        <w:spacing w:before="120" w:after="120"/>
        <w:rPr>
          <w:rFonts w:cs="Arial"/>
        </w:rPr>
      </w:pPr>
      <w:r>
        <w:rPr>
          <w:rFonts w:cs="Arial"/>
        </w:rPr>
        <w:t xml:space="preserve">All contributions received will be published following the end of the consultation period, unless otherwise requested. </w:t>
      </w:r>
      <w:r>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Pr>
          <w:rFonts w:cs="Arial"/>
        </w:rPr>
        <w:t xml:space="preserve"> Note also that a confidential response may be requested from us in accordance with ESMA’s rules on access to doc</w:t>
      </w:r>
      <w:r>
        <w:rPr>
          <w:rFonts w:cs="Arial"/>
        </w:rPr>
        <w:t>u</w:t>
      </w:r>
      <w:r>
        <w:rPr>
          <w:rFonts w:cs="Arial"/>
        </w:rPr>
        <w:t>ments. We may consult you if we receive such a request. Any decision we make is reviewable by ESMA’s Board of Appeal and the European Ombudsman.</w:t>
      </w:r>
    </w:p>
    <w:p w:rsidR="002A40D1" w:rsidRDefault="002A40D1">
      <w:pPr>
        <w:autoSpaceDE w:val="0"/>
        <w:autoSpaceDN w:val="0"/>
        <w:adjustRightInd w:val="0"/>
        <w:spacing w:before="120" w:after="120" w:line="276" w:lineRule="auto"/>
        <w:jc w:val="both"/>
        <w:rPr>
          <w:rFonts w:cs="Arial"/>
          <w:b/>
          <w:bCs/>
          <w:i/>
          <w:color w:val="000000"/>
          <w:szCs w:val="20"/>
          <w:lang w:eastAsia="en-GB"/>
        </w:rPr>
      </w:pPr>
      <w:bookmarkStart w:id="2" w:name="_Toc335141335"/>
    </w:p>
    <w:p w:rsidR="002A40D1" w:rsidRDefault="00710EFD">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Data protection</w:t>
      </w:r>
      <w:bookmarkEnd w:id="2"/>
    </w:p>
    <w:p w:rsidR="002A40D1" w:rsidRDefault="00710EFD">
      <w:pPr>
        <w:autoSpaceDE w:val="0"/>
        <w:autoSpaceDN w:val="0"/>
        <w:adjustRightInd w:val="0"/>
        <w:spacing w:before="120" w:after="120" w:line="276" w:lineRule="auto"/>
        <w:jc w:val="both"/>
        <w:rPr>
          <w:rFonts w:cs="Arial"/>
          <w:szCs w:val="20"/>
        </w:rPr>
      </w:pPr>
      <w:r>
        <w:rPr>
          <w:rFonts w:cs="Arial"/>
          <w:szCs w:val="20"/>
        </w:rPr>
        <w:t xml:space="preserve">Information on data protection can be found at </w:t>
      </w:r>
      <w:hyperlink r:id="rId14" w:history="1">
        <w:r>
          <w:rPr>
            <w:rStyle w:val="Hyperlink"/>
            <w:rFonts w:cs="Arial"/>
            <w:szCs w:val="20"/>
          </w:rPr>
          <w:t>www.esma.europa.eu</w:t>
        </w:r>
      </w:hyperlink>
      <w:r>
        <w:rPr>
          <w:rFonts w:cs="Arial"/>
          <w:szCs w:val="20"/>
        </w:rPr>
        <w:t xml:space="preserve"> under the </w:t>
      </w:r>
      <w:r>
        <w:rPr>
          <w:rFonts w:cs="Arial"/>
          <w:szCs w:val="22"/>
          <w:lang w:eastAsia="en-GB"/>
        </w:rPr>
        <w:t>headings ‘Legal notice’ and ‘Data protection’</w:t>
      </w:r>
      <w:r>
        <w:rPr>
          <w:rFonts w:cs="Arial"/>
          <w:szCs w:val="20"/>
        </w:rPr>
        <w:t>.</w:t>
      </w:r>
    </w:p>
    <w:p w:rsidR="002A40D1" w:rsidRDefault="002A40D1">
      <w:pPr>
        <w:autoSpaceDE w:val="0"/>
        <w:autoSpaceDN w:val="0"/>
        <w:adjustRightInd w:val="0"/>
        <w:spacing w:before="120" w:after="120" w:line="276" w:lineRule="auto"/>
        <w:jc w:val="both"/>
        <w:rPr>
          <w:rFonts w:cs="Arial"/>
          <w:szCs w:val="20"/>
        </w:rPr>
      </w:pPr>
    </w:p>
    <w:bookmarkEnd w:id="0"/>
    <w:p w:rsidR="002A40D1" w:rsidRDefault="00710EFD">
      <w:pPr>
        <w:rPr>
          <w:rFonts w:cs="Arial"/>
          <w:b/>
          <w:bCs/>
          <w:kern w:val="32"/>
          <w:sz w:val="24"/>
          <w:szCs w:val="32"/>
        </w:rPr>
      </w:pPr>
      <w:r>
        <w:br w:type="page"/>
      </w:r>
    </w:p>
    <w:p w:rsidR="002A40D1" w:rsidRDefault="00710EFD">
      <w:pPr>
        <w:pStyle w:val="Heading1"/>
        <w:numPr>
          <w:ilvl w:val="0"/>
          <w:numId w:val="0"/>
        </w:numPr>
        <w:ind w:left="431" w:hanging="431"/>
      </w:pPr>
      <w:r>
        <w:lastRenderedPageBreak/>
        <w:t>Introduction</w:t>
      </w:r>
    </w:p>
    <w:p w:rsidR="002A40D1" w:rsidRDefault="00710EFD">
      <w:pPr>
        <w:rPr>
          <w:rStyle w:val="IntenseEmphasis"/>
        </w:rPr>
      </w:pPr>
      <w:r>
        <w:rPr>
          <w:rStyle w:val="IntenseEmphasis"/>
        </w:rPr>
        <w:t>Please make your introductory comments below, if any:</w:t>
      </w:r>
    </w:p>
    <w:p w:rsidR="002A40D1" w:rsidRDefault="002A40D1"/>
    <w:p w:rsidR="002A40D1" w:rsidRDefault="00710EFD">
      <w:r>
        <w:t>&lt;ESMA_COMMENT_ DP_BMR_1&gt;</w:t>
      </w:r>
    </w:p>
    <w:p w:rsidR="00E4105C" w:rsidRDefault="00710EFD" w:rsidP="00E4105C">
      <w:permStart w:id="64179208" w:edGrp="everyone"/>
      <w:r>
        <w:t xml:space="preserve">CME Group owns and operates </w:t>
      </w:r>
      <w:r w:rsidR="00E4105C" w:rsidRPr="00E4105C">
        <w:t>four derivatives exchanges in the U.S. that are registered as designated contract markets (“DCMs”) with the U.S. Commodity Futures Trading Commission (“CFTC”), including Chicago Mercantile Exchange Inc. (“CME”); Board of Trade of the City of Chicago, Inc. (“CBOT”); New York Mercantile Exchange, Inc. (“NYMEX”); and Commodity Exchange, Inc. (“COMEX”). CME also ope</w:t>
      </w:r>
      <w:r w:rsidR="00E4105C" w:rsidRPr="00E4105C">
        <w:t>r</w:t>
      </w:r>
      <w:r w:rsidR="00E4105C" w:rsidRPr="00E4105C">
        <w:t>ates a clearing house registered with the CFTC as a Derivatives Clearing Organization. Our exchanges offer the widest range of global products across all major asset classes, including futures and options based on interest rates, equity indexes, foreign exchange, energy, agricultural commodities, metals and alternative investment products.</w:t>
      </w:r>
    </w:p>
    <w:p w:rsidR="00E4105C" w:rsidRDefault="00E4105C" w:rsidP="00E4105C"/>
    <w:p w:rsidR="00E4105C" w:rsidRDefault="00E4105C" w:rsidP="00E4105C">
      <w:r w:rsidRPr="00E4105C">
        <w:t>In Europe, CME Group operates a London-based derivatives exchange, trade repository and a clearing house, as well as Technology and Support Centre in Belfast. CME Europe Ltd. is authorised by the U.K. Financial Conduct Authority (“FCA”) as a Recognised Investment Exchange. Its current product offering includes futures contracts for 30 currency pairs and a suite of commodity contracts. CME Clearing Europe is a recognised CCP by the Bank of England, and is also authorised under the European Market Infr</w:t>
      </w:r>
      <w:r w:rsidRPr="00E4105C">
        <w:t>a</w:t>
      </w:r>
      <w:r w:rsidRPr="00E4105C">
        <w:t>structure Regulation (“EMIR”) by the European Securities and Market Authority (“ESMA”). It provides clearing services for exchange-traded derivatives on CME Europe, as well as multi-asset class OTC transactions. CME European Trade Repository is ESMA-registered in accordance with EMIR requir</w:t>
      </w:r>
      <w:r w:rsidRPr="00E4105C">
        <w:t>e</w:t>
      </w:r>
      <w:r w:rsidRPr="00E4105C">
        <w:t>ments. It offers reporting solutions for all market participan</w:t>
      </w:r>
      <w:r w:rsidR="00D847A8">
        <w:t>ts and across all asset classes</w:t>
      </w:r>
      <w:r w:rsidR="002F3163">
        <w:t>.</w:t>
      </w:r>
      <w:bookmarkStart w:id="3" w:name="_GoBack"/>
      <w:bookmarkEnd w:id="3"/>
    </w:p>
    <w:p w:rsidR="00E4105C" w:rsidRDefault="00E4105C" w:rsidP="00E4105C"/>
    <w:p w:rsidR="00E4105C" w:rsidRPr="00E4105C" w:rsidRDefault="00E4105C" w:rsidP="00E4105C">
      <w:r w:rsidRPr="00E4105C">
        <w:t>CME Benchmark Europe Limited (“CMEBEL”), which is a fully owned subsidiary of CME Group</w:t>
      </w:r>
      <w:r w:rsidR="008621D4">
        <w:t xml:space="preserve"> and FCA-authorised benchmark administrator</w:t>
      </w:r>
      <w:r w:rsidRPr="00E4105C">
        <w:t>, cu</w:t>
      </w:r>
      <w:r w:rsidRPr="00E4105C">
        <w:t>r</w:t>
      </w:r>
      <w:r w:rsidRPr="00E4105C">
        <w:t>rently co-administers the LBMA Silver Price. As of 15 August 2014, the LBMA Silver Price replaced the former London Silver Fix, which had been in exis</w:t>
      </w:r>
      <w:r w:rsidRPr="00E4105C">
        <w:t>t</w:t>
      </w:r>
      <w:r w:rsidRPr="00E4105C">
        <w:t>ence for 117 years. Unlike the London Silver Fix, which was submission based, the LBMA Silver Price is now calcula</w:t>
      </w:r>
      <w:r w:rsidRPr="00E4105C">
        <w:t>t</w:t>
      </w:r>
      <w:r w:rsidRPr="00E4105C">
        <w:t>ed and published by CMEBEL and Thomson Reuters Benchmark Services using an electro</w:t>
      </w:r>
      <w:r w:rsidRPr="00E4105C">
        <w:t>n</w:t>
      </w:r>
      <w:r w:rsidRPr="00E4105C">
        <w:t>ic auction platform. CMEBEL provides the calculation services, via its electronic auction platform, and ensures surveillance. Thomson Reuters is responsible for the publication, the administration and gover</w:t>
      </w:r>
      <w:r w:rsidRPr="00E4105C">
        <w:t>n</w:t>
      </w:r>
      <w:r w:rsidRPr="00E4105C">
        <w:t>ance of the benchmark.</w:t>
      </w:r>
    </w:p>
    <w:permEnd w:id="64179208"/>
    <w:p w:rsidR="002A40D1" w:rsidRDefault="00710EFD">
      <w:r>
        <w:t>&lt;ESMA_COMMENT_ DP_BMR_1&gt;</w:t>
      </w:r>
    </w:p>
    <w:p w:rsidR="002A40D1" w:rsidRDefault="002A40D1"/>
    <w:p w:rsidR="002A40D1" w:rsidRDefault="00710EFD">
      <w:pPr>
        <w:pStyle w:val="Questionstyle"/>
        <w:numPr>
          <w:ilvl w:val="0"/>
          <w:numId w:val="38"/>
        </w:numPr>
      </w:pPr>
      <w:r>
        <w:br w:type="page"/>
      </w:r>
    </w:p>
    <w:p w:rsidR="002A40D1" w:rsidRDefault="00710EFD">
      <w:pPr>
        <w:pStyle w:val="Questionstyle"/>
      </w:pPr>
      <w:r>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2A40D1" w:rsidRDefault="00710EFD">
      <w:r>
        <w:t>&lt;ESMA_QUESTION_DP_BMR_1&gt;</w:t>
      </w:r>
    </w:p>
    <w:p w:rsidR="002A40D1" w:rsidRDefault="00710EFD">
      <w:pPr>
        <w:jc w:val="both"/>
        <w:rPr>
          <w:rFonts w:cs="Arial"/>
          <w:szCs w:val="20"/>
        </w:rPr>
      </w:pPr>
      <w:permStart w:id="1203004911" w:edGrp="everyone"/>
      <w:r>
        <w:rPr>
          <w:rFonts w:cs="Arial"/>
          <w:szCs w:val="20"/>
        </w:rPr>
        <w:t>CME Group is of the opinion that there will be value in providing a more detailed clarification of the notion of “</w:t>
      </w:r>
      <w:r>
        <w:rPr>
          <w:rFonts w:cs="Arial"/>
          <w:i/>
          <w:szCs w:val="20"/>
        </w:rPr>
        <w:t>made available to the public</w:t>
      </w:r>
      <w:r>
        <w:rPr>
          <w:rFonts w:cs="Arial"/>
          <w:szCs w:val="20"/>
        </w:rPr>
        <w:t>” in order to allow precise assessment of the BMR’s scope. We note that the definition of an “</w:t>
      </w:r>
      <w:r>
        <w:rPr>
          <w:rFonts w:cs="Arial"/>
          <w:i/>
          <w:szCs w:val="20"/>
        </w:rPr>
        <w:t>index</w:t>
      </w:r>
      <w:r>
        <w:rPr>
          <w:rFonts w:cs="Arial"/>
          <w:szCs w:val="20"/>
        </w:rPr>
        <w:t>” under BMR provides for broad application, which is in line with the leading objective of the BMR as expressed in recital 8. In this context, we would like to take the opportunity of this consultation process to ask for ESMA’s clarification in future technical advice or Level 3 guidance that daily settlement prices (“DSPs”) and/or final settlement prices (“FSPs”), which are calculated and pu</w:t>
      </w:r>
      <w:r>
        <w:rPr>
          <w:rFonts w:cs="Arial"/>
          <w:szCs w:val="20"/>
        </w:rPr>
        <w:t>b</w:t>
      </w:r>
      <w:r>
        <w:rPr>
          <w:rFonts w:cs="Arial"/>
          <w:szCs w:val="20"/>
        </w:rPr>
        <w:t>lished by exchanges that list derivative contracts, are not indices / benchmarks for the purpose of the BMR. We believe that such harmonised guidance is needed in order to avoid uncertainties, potentially conflicting overlap in EU legislation and to ensure uniform implementation of the regulation across Me</w:t>
      </w:r>
      <w:r>
        <w:rPr>
          <w:rFonts w:cs="Arial"/>
          <w:szCs w:val="20"/>
        </w:rPr>
        <w:t>m</w:t>
      </w:r>
      <w:r>
        <w:rPr>
          <w:rFonts w:cs="Arial"/>
          <w:szCs w:val="20"/>
        </w:rPr>
        <w:t xml:space="preserve">ber States.  </w:t>
      </w:r>
    </w:p>
    <w:p w:rsidR="002A40D1" w:rsidRDefault="002A40D1">
      <w:pPr>
        <w:jc w:val="both"/>
        <w:rPr>
          <w:rFonts w:cs="Arial"/>
          <w:szCs w:val="20"/>
        </w:rPr>
      </w:pPr>
    </w:p>
    <w:p w:rsidR="002A40D1" w:rsidRDefault="00710EFD">
      <w:pPr>
        <w:jc w:val="both"/>
        <w:rPr>
          <w:rFonts w:cs="Arial"/>
          <w:szCs w:val="20"/>
        </w:rPr>
      </w:pPr>
      <w:r>
        <w:rPr>
          <w:rFonts w:cs="Arial"/>
          <w:szCs w:val="20"/>
        </w:rPr>
        <w:t>We note that from a technical and operational point of view, both DSPs and FSPs meet the three main criteria defining an “</w:t>
      </w:r>
      <w:r>
        <w:rPr>
          <w:rFonts w:cs="Arial"/>
          <w:i/>
          <w:szCs w:val="20"/>
        </w:rPr>
        <w:t>index</w:t>
      </w:r>
      <w:r>
        <w:rPr>
          <w:rFonts w:cs="Arial"/>
          <w:szCs w:val="20"/>
        </w:rPr>
        <w:t>” under the BMR, i.e. they are published, determined by the application of a formula or other method of calculation, and on the basis of one or more underlying assets or prices. The settlement process for exchange-listed futures contracts is a highly regulated activity, which has been subject to rigorous regulatory oversight in the EU and other jurisdictions for decades.</w:t>
      </w:r>
      <w:r>
        <w:rPr>
          <w:rStyle w:val="FootnoteReference"/>
          <w:rFonts w:cs="Arial"/>
          <w:szCs w:val="20"/>
        </w:rPr>
        <w:footnoteReference w:id="2"/>
      </w:r>
      <w:r>
        <w:rPr>
          <w:rFonts w:cs="Arial"/>
          <w:szCs w:val="20"/>
        </w:rPr>
        <w:t xml:space="preserve"> This regulatory oversight addresses every aspect of systems and controls around the determination of settlement prices as part of exchanges’ wider compliance arrangements, including stringent listing and contract approval rules by national competent authorities</w:t>
      </w:r>
      <w:r>
        <w:rPr>
          <w:rStyle w:val="FootnoteReference"/>
          <w:rFonts w:cs="Arial"/>
          <w:szCs w:val="20"/>
        </w:rPr>
        <w:footnoteReference w:id="3"/>
      </w:r>
      <w:r>
        <w:rPr>
          <w:rFonts w:cs="Arial"/>
          <w:szCs w:val="20"/>
        </w:rPr>
        <w:t>, transparent methodology, operational and governance rules for market operators (including internal oversight mechanisms), anti-market abuse provisions and market surveillance functions, conflict of interest policies and others. Consequently, we are respectfully of the opinion that subjecting DSPs and FSPs to the BMR would lead to unnecessarily overlapping and pote</w:t>
      </w:r>
      <w:r>
        <w:rPr>
          <w:rFonts w:cs="Arial"/>
          <w:szCs w:val="20"/>
        </w:rPr>
        <w:t>n</w:t>
      </w:r>
      <w:r>
        <w:rPr>
          <w:rFonts w:cs="Arial"/>
          <w:szCs w:val="20"/>
        </w:rPr>
        <w:t>tially conflicting regulation.</w:t>
      </w:r>
      <w:r>
        <w:rPr>
          <w:rStyle w:val="FootnoteReference"/>
          <w:rFonts w:cs="Arial"/>
          <w:szCs w:val="20"/>
        </w:rPr>
        <w:footnoteReference w:id="4"/>
      </w:r>
      <w:r>
        <w:rPr>
          <w:rFonts w:cs="Arial"/>
          <w:szCs w:val="20"/>
        </w:rPr>
        <w:t xml:space="preserve"> </w:t>
      </w:r>
      <w:r>
        <w:rPr>
          <w:rStyle w:val="FootnoteReference"/>
          <w:rFonts w:cs="Arial"/>
          <w:szCs w:val="20"/>
        </w:rPr>
        <w:footnoteReference w:id="5"/>
      </w:r>
    </w:p>
    <w:p w:rsidR="002A40D1" w:rsidRDefault="002A40D1">
      <w:pPr>
        <w:jc w:val="both"/>
        <w:rPr>
          <w:rFonts w:cs="Arial"/>
          <w:szCs w:val="20"/>
        </w:rPr>
      </w:pPr>
    </w:p>
    <w:p w:rsidR="002A40D1" w:rsidRDefault="00710EFD">
      <w:pPr>
        <w:jc w:val="both"/>
        <w:rPr>
          <w:rFonts w:cs="Arial"/>
          <w:color w:val="C0504D"/>
          <w:szCs w:val="20"/>
        </w:rPr>
      </w:pPr>
      <w:r>
        <w:rPr>
          <w:rFonts w:cs="Arial"/>
          <w:szCs w:val="20"/>
        </w:rPr>
        <w:t>It is furthermore our understanding that the exemption from the scope of the BMR for “</w:t>
      </w:r>
      <w:r>
        <w:rPr>
          <w:rFonts w:cs="Arial"/>
          <w:i/>
          <w:szCs w:val="20"/>
        </w:rPr>
        <w:t>the provision of a single reference price for any financial instrument</w:t>
      </w:r>
      <w:r>
        <w:rPr>
          <w:rFonts w:cs="Arial"/>
          <w:szCs w:val="20"/>
        </w:rPr>
        <w:t>” extends to DSPs and FSPs. We note that this exem</w:t>
      </w:r>
      <w:r>
        <w:rPr>
          <w:rFonts w:cs="Arial"/>
          <w:szCs w:val="20"/>
        </w:rPr>
        <w:t>p</w:t>
      </w:r>
      <w:r>
        <w:rPr>
          <w:rFonts w:cs="Arial"/>
          <w:szCs w:val="20"/>
        </w:rPr>
        <w:t>tion is broadly consistent with similar provisions included in the IOSCO Principles for Financial Benc</w:t>
      </w:r>
      <w:r>
        <w:rPr>
          <w:rFonts w:cs="Arial"/>
          <w:szCs w:val="20"/>
        </w:rPr>
        <w:t>h</w:t>
      </w:r>
      <w:r>
        <w:rPr>
          <w:rFonts w:cs="Arial"/>
          <w:szCs w:val="20"/>
        </w:rPr>
        <w:lastRenderedPageBreak/>
        <w:t>marks.</w:t>
      </w:r>
      <w:r>
        <w:rPr>
          <w:rStyle w:val="FootnoteReference"/>
          <w:rFonts w:cs="Arial"/>
          <w:szCs w:val="20"/>
        </w:rPr>
        <w:t xml:space="preserve"> </w:t>
      </w:r>
      <w:r>
        <w:rPr>
          <w:rStyle w:val="FootnoteReference"/>
          <w:rFonts w:cs="Arial"/>
          <w:szCs w:val="20"/>
        </w:rPr>
        <w:footnoteReference w:id="6"/>
      </w:r>
      <w:r>
        <w:rPr>
          <w:rFonts w:cs="Arial"/>
          <w:szCs w:val="20"/>
        </w:rPr>
        <w:t xml:space="preserve"> The BMR</w:t>
      </w:r>
      <w:r w:rsidR="00927377">
        <w:rPr>
          <w:rFonts w:cs="Arial"/>
          <w:szCs w:val="20"/>
        </w:rPr>
        <w:t>’s single price exemption</w:t>
      </w:r>
      <w:r>
        <w:rPr>
          <w:rFonts w:cs="Arial"/>
          <w:szCs w:val="20"/>
        </w:rPr>
        <w:t xml:space="preserve"> is intended to capture all types of financial instruments and we would e</w:t>
      </w:r>
      <w:r>
        <w:rPr>
          <w:rFonts w:cs="Arial"/>
          <w:szCs w:val="20"/>
        </w:rPr>
        <w:t>n</w:t>
      </w:r>
      <w:r>
        <w:rPr>
          <w:rFonts w:cs="Arial"/>
          <w:szCs w:val="20"/>
        </w:rPr>
        <w:t xml:space="preserve">courage ESMA to provide further clarification to this end. At the same time, we understand that to the extent that DSPs and FSPs serve as </w:t>
      </w:r>
      <w:r>
        <w:rPr>
          <w:rFonts w:cs="Arial"/>
          <w:i/>
          <w:szCs w:val="20"/>
        </w:rPr>
        <w:t>data inputs</w:t>
      </w:r>
      <w:r>
        <w:rPr>
          <w:rFonts w:cs="Arial"/>
          <w:szCs w:val="20"/>
        </w:rPr>
        <w:t xml:space="preserve"> to benchmarks administered by third parties (for instance indepen</w:t>
      </w:r>
      <w:r>
        <w:rPr>
          <w:rFonts w:cs="Arial"/>
          <w:szCs w:val="20"/>
        </w:rPr>
        <w:t>d</w:t>
      </w:r>
      <w:r>
        <w:rPr>
          <w:rFonts w:cs="Arial"/>
          <w:szCs w:val="20"/>
        </w:rPr>
        <w:t>ent price reporting agencies or index providers), they fall within the scope of the BMR in so far as benc</w:t>
      </w:r>
      <w:r>
        <w:rPr>
          <w:rFonts w:cs="Arial"/>
          <w:szCs w:val="20"/>
        </w:rPr>
        <w:t>h</w:t>
      </w:r>
      <w:r>
        <w:rPr>
          <w:rFonts w:cs="Arial"/>
          <w:szCs w:val="20"/>
        </w:rPr>
        <w:t>marks administered by such third parties are considered “</w:t>
      </w:r>
      <w:r>
        <w:rPr>
          <w:rFonts w:cs="Arial"/>
          <w:i/>
          <w:szCs w:val="20"/>
        </w:rPr>
        <w:t>regulated data benchmarks</w:t>
      </w:r>
      <w:r>
        <w:rPr>
          <w:rFonts w:cs="Arial"/>
          <w:szCs w:val="20"/>
        </w:rPr>
        <w:t>”.  However, single futures contracts and their daily / final settlement prices should be clearly carved out from the scope of the BMR.</w:t>
      </w:r>
      <w:r>
        <w:rPr>
          <w:rFonts w:cs="Arial"/>
          <w:b/>
          <w:szCs w:val="20"/>
        </w:rPr>
        <w:t xml:space="preserve"> </w:t>
      </w:r>
    </w:p>
    <w:permEnd w:id="1203004911"/>
    <w:p w:rsidR="002A40D1" w:rsidRDefault="00710EFD">
      <w:r>
        <w:t>&lt;ESMA_QUESTION_DP_BMR_1&gt;</w:t>
      </w:r>
    </w:p>
    <w:p w:rsidR="002A40D1" w:rsidRDefault="002A40D1"/>
    <w:p w:rsidR="002A40D1" w:rsidRDefault="00710EFD">
      <w:pPr>
        <w:pStyle w:val="Questionstyle"/>
      </w:pPr>
      <w:r>
        <w:t>Do you have any proposals on which aspects of the publication process of an index should be considered in order for it to be deemed as having made the index available to the public, for the pu</w:t>
      </w:r>
      <w:r>
        <w:t>r</w:t>
      </w:r>
      <w:r>
        <w:t>pose of the BMR?</w:t>
      </w:r>
    </w:p>
    <w:p w:rsidR="002A40D1" w:rsidRDefault="00710EFD">
      <w:r>
        <w:t>&lt;ESMA_QUESTION_DP_BMR_2&gt;</w:t>
      </w:r>
    </w:p>
    <w:p w:rsidR="002A40D1" w:rsidRDefault="00710EFD">
      <w:pPr>
        <w:jc w:val="both"/>
        <w:rPr>
          <w:rFonts w:cs="Arial"/>
          <w:szCs w:val="20"/>
        </w:rPr>
      </w:pPr>
      <w:permStart w:id="1025055229" w:edGrp="everyone"/>
      <w:r>
        <w:rPr>
          <w:rFonts w:cs="Arial"/>
          <w:szCs w:val="20"/>
        </w:rPr>
        <w:t xml:space="preserve">Please refer to the response provided under Question 1. </w:t>
      </w:r>
    </w:p>
    <w:permEnd w:id="1025055229"/>
    <w:p w:rsidR="002A40D1" w:rsidRDefault="00710EFD">
      <w:r>
        <w:t>&lt;ESMA_QUESTION_DP_BMR_2&gt;</w:t>
      </w:r>
    </w:p>
    <w:p w:rsidR="002A40D1" w:rsidRDefault="002A40D1"/>
    <w:p w:rsidR="002A40D1" w:rsidRDefault="00710EFD">
      <w:pPr>
        <w:pStyle w:val="Questionstyle"/>
        <w:rPr>
          <w:rFonts w:cstheme="minorHAnsi"/>
        </w:rPr>
      </w:pPr>
      <w:r>
        <w:t>Do you agree with ESMA’s proposal to align the administering the arrangements for determi</w:t>
      </w:r>
      <w:r>
        <w:t>n</w:t>
      </w:r>
      <w:r>
        <w:t>ing a benchmark with the IOSCO principle on the overall responsibility of the administrator? Which other characteristics/activities would you regard as covered by Article 3(1) point 3(a)?</w:t>
      </w:r>
    </w:p>
    <w:p w:rsidR="002A40D1" w:rsidRDefault="00710EFD">
      <w:r>
        <w:t>&lt;ESMA_QUESTION_DP_BMR_3&gt;</w:t>
      </w:r>
    </w:p>
    <w:p w:rsidR="002A40D1" w:rsidRDefault="00710EFD">
      <w:pPr>
        <w:jc w:val="both"/>
        <w:rPr>
          <w:rFonts w:cs="Arial"/>
          <w:szCs w:val="20"/>
        </w:rPr>
      </w:pPr>
      <w:permStart w:id="1183527103" w:edGrp="everyone"/>
      <w:r>
        <w:rPr>
          <w:rFonts w:cs="Arial"/>
          <w:szCs w:val="20"/>
        </w:rPr>
        <w:t>CME Group has traditionally supported close alignment of the national-level legislation with international standards, including the IOSCO Principles on Financial Benchmarks. We therefore agree with ESMA’s proposal to align the notion of “</w:t>
      </w:r>
      <w:r>
        <w:rPr>
          <w:rFonts w:cs="Arial"/>
          <w:i/>
          <w:szCs w:val="20"/>
        </w:rPr>
        <w:t>administering the arrangements for determining a benchmark</w:t>
      </w:r>
      <w:r>
        <w:rPr>
          <w:rFonts w:cs="Arial"/>
          <w:szCs w:val="20"/>
        </w:rPr>
        <w:t>” with the requirements of Principle 1 setting out the overall reasonability of the administrator. Development of the methodology and the establishment of the governance arrangements are one of the core tasks underta</w:t>
      </w:r>
      <w:r>
        <w:rPr>
          <w:rFonts w:cs="Arial"/>
          <w:szCs w:val="20"/>
        </w:rPr>
        <w:t>k</w:t>
      </w:r>
      <w:r>
        <w:rPr>
          <w:rFonts w:cs="Arial"/>
          <w:szCs w:val="20"/>
        </w:rPr>
        <w:t xml:space="preserve">en by benchmark administrators. </w:t>
      </w:r>
    </w:p>
    <w:permEnd w:id="1183527103"/>
    <w:p w:rsidR="002A40D1" w:rsidRDefault="00710EFD">
      <w:r>
        <w:t>&lt;ESMA_QUESTION_DP_BMR_3&gt;</w:t>
      </w:r>
    </w:p>
    <w:p w:rsidR="002A40D1" w:rsidRDefault="002A40D1"/>
    <w:p w:rsidR="002A40D1" w:rsidRDefault="00710EFD">
      <w:pPr>
        <w:pStyle w:val="Questionstyle"/>
      </w:pPr>
      <w:r>
        <w:t>Do you agree with ESMA’s proposal for a definition of issuance of a financial instrument? Are there additional aspects that this definition should cover?</w:t>
      </w:r>
    </w:p>
    <w:p w:rsidR="002A40D1" w:rsidRDefault="00710EFD">
      <w:r>
        <w:t>&lt;ESMA_QUESTION_DP_BMR_4&gt;</w:t>
      </w:r>
    </w:p>
    <w:p w:rsidR="002A40D1" w:rsidRDefault="00710EFD">
      <w:pPr>
        <w:jc w:val="both"/>
        <w:rPr>
          <w:rFonts w:cs="Arial"/>
          <w:szCs w:val="20"/>
        </w:rPr>
      </w:pPr>
      <w:permStart w:id="1112147175" w:edGrp="everyone"/>
      <w:r>
        <w:rPr>
          <w:rFonts w:cs="Arial"/>
          <w:szCs w:val="20"/>
        </w:rPr>
        <w:t>CME Group respectfully disagrees with ESMA’s proposals. While we acknowledge ESMA’s concern that there is no generic definition of issuance across various EU legislative acts, we consider that the term “issuer”/”issuance” is used in EU legislation and generally understood to mean the creation of a transfer</w:t>
      </w:r>
      <w:r>
        <w:rPr>
          <w:rFonts w:cs="Arial"/>
          <w:szCs w:val="20"/>
        </w:rPr>
        <w:t>a</w:t>
      </w:r>
      <w:r>
        <w:rPr>
          <w:rFonts w:cs="Arial"/>
          <w:szCs w:val="20"/>
        </w:rPr>
        <w:t xml:space="preserve">ble security and not the “creation” of a derivative. Issuance and listing or </w:t>
      </w:r>
      <w:proofErr w:type="gramStart"/>
      <w:r>
        <w:rPr>
          <w:rFonts w:cs="Arial"/>
          <w:szCs w:val="20"/>
        </w:rPr>
        <w:t>admission to trading are</w:t>
      </w:r>
      <w:proofErr w:type="gramEnd"/>
      <w:r>
        <w:rPr>
          <w:rFonts w:cs="Arial"/>
          <w:szCs w:val="20"/>
        </w:rPr>
        <w:t xml:space="preserve"> distinct concepts used in EU legislation (see for example Article 18(8) MiFID II). Including the “creation” of a derivative confuses these concepts. Given the lack of clear definitions of “issuance” in EU legislation, this risks creating uncertainty and conflict as to whether issuance in other contexts also could include the “creation” of a derivative. </w:t>
      </w:r>
    </w:p>
    <w:p w:rsidR="002A40D1" w:rsidRDefault="002A40D1">
      <w:pPr>
        <w:jc w:val="both"/>
        <w:rPr>
          <w:rFonts w:cs="Arial"/>
          <w:szCs w:val="20"/>
        </w:rPr>
      </w:pPr>
    </w:p>
    <w:p w:rsidR="002A40D1" w:rsidRDefault="00710EFD">
      <w:pPr>
        <w:jc w:val="both"/>
        <w:rPr>
          <w:rFonts w:cs="Arial"/>
          <w:szCs w:val="20"/>
        </w:rPr>
      </w:pPr>
      <w:r>
        <w:rPr>
          <w:rFonts w:cs="Arial"/>
          <w:szCs w:val="20"/>
        </w:rPr>
        <w:t>We strongly suggest that the notion of “</w:t>
      </w:r>
      <w:r>
        <w:rPr>
          <w:rFonts w:cs="Arial"/>
          <w:i/>
          <w:szCs w:val="20"/>
        </w:rPr>
        <w:t>issuanc</w:t>
      </w:r>
      <w:r>
        <w:rPr>
          <w:rFonts w:cs="Arial"/>
          <w:szCs w:val="20"/>
        </w:rPr>
        <w:t>e” should therefore remain limited to the creation of tran</w:t>
      </w:r>
      <w:r>
        <w:rPr>
          <w:rFonts w:cs="Arial"/>
          <w:szCs w:val="20"/>
        </w:rPr>
        <w:t>s</w:t>
      </w:r>
      <w:r>
        <w:rPr>
          <w:rFonts w:cs="Arial"/>
          <w:szCs w:val="20"/>
        </w:rPr>
        <w:t>ferable securities for the purposes of raising finance.</w:t>
      </w:r>
    </w:p>
    <w:p w:rsidR="002A40D1" w:rsidRDefault="002A40D1">
      <w:pPr>
        <w:jc w:val="both"/>
        <w:rPr>
          <w:rFonts w:cs="Arial"/>
          <w:szCs w:val="20"/>
        </w:rPr>
      </w:pPr>
    </w:p>
    <w:p w:rsidR="002A40D1" w:rsidRDefault="00710EFD">
      <w:pPr>
        <w:jc w:val="both"/>
        <w:rPr>
          <w:rFonts w:cs="Arial"/>
          <w:szCs w:val="20"/>
        </w:rPr>
      </w:pPr>
      <w:r>
        <w:rPr>
          <w:rFonts w:cs="Arial"/>
          <w:szCs w:val="20"/>
        </w:rPr>
        <w:lastRenderedPageBreak/>
        <w:t>Should ESMA nevertheless arrive at the conclusion that the notion of “</w:t>
      </w:r>
      <w:r>
        <w:rPr>
          <w:rFonts w:cs="Arial"/>
          <w:i/>
          <w:szCs w:val="20"/>
        </w:rPr>
        <w:t>issuance</w:t>
      </w:r>
      <w:r>
        <w:rPr>
          <w:rFonts w:cs="Arial"/>
          <w:szCs w:val="20"/>
        </w:rPr>
        <w:t>” should be applicable to derivatives, it should be clarified that this definition is applicable exclusively to the BMR for the purpose of defining the “</w:t>
      </w:r>
      <w:r>
        <w:rPr>
          <w:rFonts w:cs="Arial"/>
          <w:i/>
          <w:szCs w:val="20"/>
        </w:rPr>
        <w:t>use of benchmarks</w:t>
      </w:r>
      <w:r>
        <w:rPr>
          <w:rFonts w:cs="Arial"/>
          <w:szCs w:val="20"/>
        </w:rPr>
        <w:t xml:space="preserve">” and is not applicable to any other European legislation. </w:t>
      </w:r>
    </w:p>
    <w:permEnd w:id="1112147175"/>
    <w:p w:rsidR="002A40D1" w:rsidRDefault="00710EFD">
      <w:r>
        <w:t>&lt;ESMA_QUESTION_DP_BMR_4&gt;</w:t>
      </w:r>
    </w:p>
    <w:p w:rsidR="002A40D1" w:rsidRDefault="002A40D1"/>
    <w:p w:rsidR="002A40D1" w:rsidRDefault="00710EFD">
      <w:pPr>
        <w:pStyle w:val="Questionstyle"/>
      </w:pPr>
      <w:r>
        <w:t xml:space="preserve">Do you think that the business activities of market operators and CCPs in connection with possible creation of financial instruments for trading could fall under the specification of “issuance of a financial instrument which references an index or a combination of indices”? If not, which element of the “use of benchmark” definition could cover these business activities? </w:t>
      </w:r>
    </w:p>
    <w:p w:rsidR="002A40D1" w:rsidRDefault="00710EFD">
      <w:r>
        <w:t>&lt;ESMA_QUESTION_DP_BMR_5&gt;</w:t>
      </w:r>
    </w:p>
    <w:p w:rsidR="002A40D1" w:rsidRDefault="00710EFD">
      <w:pPr>
        <w:jc w:val="both"/>
        <w:rPr>
          <w:rFonts w:cs="Arial"/>
          <w:szCs w:val="20"/>
        </w:rPr>
      </w:pPr>
      <w:permStart w:id="1009014557" w:edGrp="everyone"/>
      <w:r>
        <w:rPr>
          <w:rFonts w:cs="Arial"/>
          <w:szCs w:val="20"/>
        </w:rPr>
        <w:t>As per our response to Question 4, CME Group respectfully disagrees with ESMA’s suggestion that the business activities of market operators and CCPs in connection with the “creation” of financial instruments for trading could fall under the concept of “</w:t>
      </w:r>
      <w:r>
        <w:rPr>
          <w:rFonts w:cs="Arial"/>
          <w:i/>
          <w:szCs w:val="20"/>
        </w:rPr>
        <w:t>issuance</w:t>
      </w:r>
      <w:r>
        <w:rPr>
          <w:rFonts w:cs="Arial"/>
          <w:szCs w:val="20"/>
        </w:rPr>
        <w:t xml:space="preserve">”. </w:t>
      </w:r>
    </w:p>
    <w:p w:rsidR="002A40D1" w:rsidRDefault="002A40D1">
      <w:pPr>
        <w:jc w:val="both"/>
        <w:rPr>
          <w:rFonts w:cs="Arial"/>
          <w:szCs w:val="20"/>
        </w:rPr>
      </w:pPr>
    </w:p>
    <w:p w:rsidR="002A40D1" w:rsidRDefault="00710EFD">
      <w:pPr>
        <w:jc w:val="both"/>
        <w:rPr>
          <w:rFonts w:cs="Arial"/>
          <w:szCs w:val="20"/>
        </w:rPr>
      </w:pPr>
      <w:r>
        <w:rPr>
          <w:rFonts w:cs="Arial"/>
          <w:szCs w:val="20"/>
        </w:rPr>
        <w:t>While we do not question the fact that EU-based exchanges and CCPs will have to be compliant with the BMR as “</w:t>
      </w:r>
      <w:r>
        <w:rPr>
          <w:rFonts w:cs="Arial"/>
          <w:i/>
          <w:szCs w:val="20"/>
        </w:rPr>
        <w:t>users of benchmarks</w:t>
      </w:r>
      <w:r>
        <w:rPr>
          <w:rFonts w:cs="Arial"/>
          <w:szCs w:val="20"/>
        </w:rPr>
        <w:t>”, we are of the opinion that there are other elements of the definition of “</w:t>
      </w:r>
      <w:r>
        <w:rPr>
          <w:rFonts w:cs="Arial"/>
          <w:i/>
          <w:szCs w:val="20"/>
        </w:rPr>
        <w:t>use of benchmark</w:t>
      </w:r>
      <w:r>
        <w:rPr>
          <w:rFonts w:cs="Arial"/>
          <w:szCs w:val="20"/>
        </w:rPr>
        <w:t>” that seem more appropriate and closer to the market practice in this area. Point (b) of the definition of “</w:t>
      </w:r>
      <w:r>
        <w:rPr>
          <w:rFonts w:cs="Arial"/>
          <w:i/>
          <w:szCs w:val="20"/>
        </w:rPr>
        <w:t>use of benchmark</w:t>
      </w:r>
      <w:r>
        <w:rPr>
          <w:rFonts w:cs="Arial"/>
          <w:szCs w:val="20"/>
        </w:rPr>
        <w:t>” (i.e. “</w:t>
      </w:r>
      <w:r>
        <w:rPr>
          <w:rFonts w:cs="Arial"/>
          <w:i/>
          <w:szCs w:val="20"/>
        </w:rPr>
        <w:t>determining the amount payable under the financial instrument</w:t>
      </w:r>
      <w:r>
        <w:rPr>
          <w:rFonts w:cs="Arial"/>
          <w:szCs w:val="20"/>
        </w:rPr>
        <w:t>”) reflects more accurately the role and function of market infrastructure.  An exchange that lists a cash-settled futures contract that is based on a benchmark - for example a commodity price assessment pr</w:t>
      </w:r>
      <w:r>
        <w:rPr>
          <w:rFonts w:cs="Arial"/>
          <w:szCs w:val="20"/>
        </w:rPr>
        <w:t>o</w:t>
      </w:r>
      <w:r>
        <w:rPr>
          <w:rFonts w:cs="Arial"/>
          <w:szCs w:val="20"/>
        </w:rPr>
        <w:t>vided by a Price Reporting Agency - “</w:t>
      </w:r>
      <w:r>
        <w:rPr>
          <w:rFonts w:cs="Arial"/>
          <w:i/>
          <w:szCs w:val="20"/>
        </w:rPr>
        <w:t>uses</w:t>
      </w:r>
      <w:r>
        <w:rPr>
          <w:rFonts w:cs="Arial"/>
          <w:szCs w:val="20"/>
        </w:rPr>
        <w:t>” this price assessment in its settlement process in a sense that such index is included in the procedure designed to determine a settlement price of the contract.</w:t>
      </w:r>
    </w:p>
    <w:p w:rsidR="002A40D1" w:rsidRDefault="002A40D1">
      <w:pPr>
        <w:jc w:val="both"/>
        <w:rPr>
          <w:rFonts w:cs="Arial"/>
          <w:szCs w:val="20"/>
        </w:rPr>
      </w:pPr>
    </w:p>
    <w:p w:rsidR="002A40D1" w:rsidRDefault="00710EFD">
      <w:pPr>
        <w:jc w:val="both"/>
        <w:rPr>
          <w:rFonts w:cs="Arial"/>
          <w:szCs w:val="20"/>
        </w:rPr>
      </w:pPr>
      <w:r>
        <w:rPr>
          <w:rFonts w:cs="Arial"/>
          <w:szCs w:val="20"/>
        </w:rPr>
        <w:t>We note however that the provision by a CCP of such a settlement price for CCP risk-management pu</w:t>
      </w:r>
      <w:r>
        <w:rPr>
          <w:rFonts w:cs="Arial"/>
          <w:szCs w:val="20"/>
        </w:rPr>
        <w:t>r</w:t>
      </w:r>
      <w:r>
        <w:rPr>
          <w:rFonts w:cs="Arial"/>
          <w:szCs w:val="20"/>
        </w:rPr>
        <w:t>poses and settlement would be excluded from the scope of the BMR according to Article 2(2</w:t>
      </w:r>
      <w:proofErr w:type="gramStart"/>
      <w:r>
        <w:rPr>
          <w:rFonts w:cs="Arial"/>
          <w:szCs w:val="20"/>
        </w:rPr>
        <w:t>)(</w:t>
      </w:r>
      <w:proofErr w:type="gramEnd"/>
      <w:r>
        <w:rPr>
          <w:rFonts w:cs="Arial"/>
          <w:szCs w:val="20"/>
        </w:rPr>
        <w:t xml:space="preserve">ab). </w:t>
      </w:r>
    </w:p>
    <w:permEnd w:id="1009014557"/>
    <w:p w:rsidR="002A40D1" w:rsidRDefault="00710EFD">
      <w:r>
        <w:t>&lt;ESMA_QUESTION_DP_BMR_5&gt;</w:t>
      </w:r>
    </w:p>
    <w:p w:rsidR="002A40D1" w:rsidRDefault="002A40D1"/>
    <w:p w:rsidR="002A40D1" w:rsidRDefault="00710EFD">
      <w:pPr>
        <w:pStyle w:val="Questionstyle"/>
      </w:pPr>
      <w:r>
        <w:t>Do you agree with the proposed list of appropriate governance arrangements for the oversight function? Would you propose any additional structure or changes to the proposed structures?</w:t>
      </w:r>
    </w:p>
    <w:p w:rsidR="002A40D1" w:rsidRDefault="00710EFD">
      <w:r>
        <w:t>&lt;ESMA_QUESTION_DP_BMR_6&gt;</w:t>
      </w:r>
    </w:p>
    <w:p w:rsidR="002A40D1" w:rsidRDefault="00710EFD">
      <w:pPr>
        <w:jc w:val="both"/>
        <w:rPr>
          <w:rFonts w:cs="Arial"/>
          <w:szCs w:val="20"/>
        </w:rPr>
      </w:pPr>
      <w:permStart w:id="1304130526" w:edGrp="everyone"/>
      <w:r>
        <w:rPr>
          <w:rFonts w:cs="Arial"/>
          <w:szCs w:val="20"/>
        </w:rPr>
        <w:t xml:space="preserve">CME Group has traditionally supported a proportionate approach to the role and structure of the oversight function. We agree with ESMA’s proposals regarding the governance arrangements for the oversight function. </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CME Benchmark Europe Limited (“CMEBEL”) is a wholly owned subsidiary of CME Group, and it currently co-administers one benchmark, the LBMA Silver Price. We welcome ESMA’s suggestion that where the administrator is not wholly owned or controlled by its contributors or users (which is the case for CMEBEL), an internal board or committee could be established to operate as an oversight function with respect to that benchmark. In addition, we also agree with ESMA’s suggestion that in certain cases a natural person may perform the oversight function with respect to a given benchmark. </w:t>
      </w:r>
    </w:p>
    <w:permEnd w:id="1304130526"/>
    <w:p w:rsidR="002A40D1" w:rsidRDefault="00710EFD">
      <w:r>
        <w:t>&lt;ESMA_QUESTION_DP_BMR_6&gt;</w:t>
      </w:r>
    </w:p>
    <w:p w:rsidR="002A40D1" w:rsidRDefault="002A40D1"/>
    <w:p w:rsidR="002A40D1" w:rsidRDefault="00710EFD">
      <w:pPr>
        <w:pStyle w:val="Questionstyle"/>
      </w:pPr>
      <w:r>
        <w:t>Do you believe these proposals sufficiently address the needs of all types of benchmarks and administrators? If not, what characteristics do such benchmarks have that would need to be addressed in the proposals?</w:t>
      </w:r>
    </w:p>
    <w:p w:rsidR="002A40D1" w:rsidRDefault="00710EFD">
      <w:r>
        <w:t>&lt;ESMA_QUESTION_DP_BMR_7&gt;</w:t>
      </w:r>
    </w:p>
    <w:p w:rsidR="002A40D1" w:rsidRDefault="00710EFD">
      <w:pPr>
        <w:jc w:val="both"/>
        <w:rPr>
          <w:rFonts w:cs="Arial"/>
          <w:szCs w:val="20"/>
        </w:rPr>
      </w:pPr>
      <w:permStart w:id="1118909471" w:edGrp="everyone"/>
      <w:r>
        <w:rPr>
          <w:rFonts w:cs="Arial"/>
          <w:szCs w:val="20"/>
        </w:rPr>
        <w:t xml:space="preserve">CME Group is of the opinion that the proposed arrangements sufficiently address the requirements of different types of benchmarks and their administrators. </w:t>
      </w:r>
    </w:p>
    <w:permEnd w:id="1118909471"/>
    <w:p w:rsidR="002A40D1" w:rsidRDefault="00710EFD">
      <w:r>
        <w:t>&lt;ESMA_QUESTION_DP_BMR_7&gt;</w:t>
      </w:r>
    </w:p>
    <w:p w:rsidR="002A40D1" w:rsidRDefault="002A40D1"/>
    <w:p w:rsidR="002A40D1" w:rsidRDefault="00710EFD">
      <w:pPr>
        <w:pStyle w:val="Questionstyle"/>
      </w:pPr>
      <w:r>
        <w:lastRenderedPageBreak/>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2A40D1" w:rsidRDefault="00710EFD">
      <w:r>
        <w:t>&lt;ESMA_QUESTION_DP_BMR_8&gt;</w:t>
      </w:r>
    </w:p>
    <w:p w:rsidR="002A40D1" w:rsidRDefault="00710EFD">
      <w:pPr>
        <w:jc w:val="both"/>
        <w:rPr>
          <w:rFonts w:cs="Arial"/>
          <w:szCs w:val="20"/>
        </w:rPr>
      </w:pPr>
      <w:permStart w:id="677393101" w:edGrp="everyone"/>
      <w:r>
        <w:rPr>
          <w:rFonts w:cs="Arial"/>
          <w:szCs w:val="20"/>
        </w:rPr>
        <w:t>CME Group administers jointly with Thomson Reuters the LBMA Silver Price, which is one of the UK (specified) regulated benchmarks. The independent oversight committee of this benchmark is currently composed of eight members, representing both administrators, the Royal Mint, London Bullion Market Association (LMBA), users of the benchmark and one participant. It is responsible for overseeing the scope of the LBMA Silver Price by developing a code of conduct for the participants and regularly revie</w:t>
      </w:r>
      <w:r>
        <w:rPr>
          <w:rFonts w:cs="Arial"/>
          <w:szCs w:val="20"/>
        </w:rPr>
        <w:t>w</w:t>
      </w:r>
      <w:r>
        <w:rPr>
          <w:rFonts w:cs="Arial"/>
          <w:szCs w:val="20"/>
        </w:rPr>
        <w:t>ing the practice, standards and definition of the benchmark to ensure it remains relevant and retains its integrity. The governance and procedures of the oversight committee are set out in Terms of Reference document, which is subject to annual reviews.</w:t>
      </w:r>
      <w:r>
        <w:rPr>
          <w:rStyle w:val="FootnoteReference"/>
          <w:rFonts w:cs="Arial"/>
          <w:szCs w:val="20"/>
        </w:rPr>
        <w:footnoteReference w:id="7"/>
      </w:r>
      <w:r>
        <w:rPr>
          <w:rFonts w:cs="Arial"/>
          <w:szCs w:val="20"/>
        </w:rPr>
        <w:t xml:space="preserve"> The LBMA Silver Price Oversight Committee’s responsibil</w:t>
      </w:r>
      <w:r>
        <w:rPr>
          <w:rFonts w:cs="Arial"/>
          <w:szCs w:val="20"/>
        </w:rPr>
        <w:t>i</w:t>
      </w:r>
      <w:r>
        <w:rPr>
          <w:rFonts w:cs="Arial"/>
          <w:szCs w:val="20"/>
        </w:rPr>
        <w:t>ties include, among others, provision of independent guidance to the administrators on the on-going functioning of the benchmark, regular review of the auction process scrutiny, its code of conduct, selection procedure of auction contributors, conflict of interest policy, guidance on the calculation methodology, verification and distribution of the benchmark, and assistance in the appointment of internal / external auditors for the benchmark.</w:t>
      </w:r>
    </w:p>
    <w:permEnd w:id="677393101"/>
    <w:p w:rsidR="002A40D1" w:rsidRDefault="00710EFD">
      <w:r>
        <w:t>&lt;ESMA_QUESTION_DP_BMR_8&gt;</w:t>
      </w:r>
    </w:p>
    <w:p w:rsidR="002A40D1" w:rsidRDefault="002A40D1"/>
    <w:p w:rsidR="002A40D1" w:rsidRDefault="00710EFD">
      <w:pPr>
        <w:pStyle w:val="Questionstyle"/>
      </w:pPr>
      <w:r>
        <w:t>Do you agree that an administrator could establish one oversight function for all the benc</w:t>
      </w:r>
      <w:r>
        <w:t>h</w:t>
      </w:r>
      <w:r>
        <w:t>marks it provides? Do you think it is appropriate for an administrator to have multiple oversight fun</w:t>
      </w:r>
      <w:r>
        <w:t>c</w:t>
      </w:r>
      <w:r>
        <w:t>tions where it provides benchmarks that have different methodologies, users or seek to measure very different markets or economic realities?</w:t>
      </w:r>
    </w:p>
    <w:p w:rsidR="002A40D1" w:rsidRDefault="00710EFD">
      <w:r>
        <w:t>&lt;ESMA_QUESTION_DP_BMR_9&gt;</w:t>
      </w:r>
    </w:p>
    <w:p w:rsidR="002A40D1" w:rsidRDefault="00710EFD">
      <w:pPr>
        <w:jc w:val="both"/>
        <w:rPr>
          <w:rFonts w:cs="Arial"/>
          <w:szCs w:val="20"/>
        </w:rPr>
      </w:pPr>
      <w:permStart w:id="1796945719" w:edGrp="everyone"/>
      <w:r>
        <w:rPr>
          <w:rFonts w:cs="Arial"/>
          <w:szCs w:val="20"/>
        </w:rPr>
        <w:t>CME Group is of the opinion that having multiple oversight committees should not be a requirement and that a proportionate approach should be adopted. That said, the administrator should be allowed to co</w:t>
      </w:r>
      <w:r>
        <w:rPr>
          <w:rFonts w:cs="Arial"/>
          <w:szCs w:val="20"/>
        </w:rPr>
        <w:t>n</w:t>
      </w:r>
      <w:r>
        <w:rPr>
          <w:rFonts w:cs="Arial"/>
          <w:szCs w:val="20"/>
        </w:rPr>
        <w:t xml:space="preserve">sider the value of having more than one oversight committee where appropriate e.g. if there are potential conflicts of interest involved. Any potential conflicts of interests stemming from having a single oversight committee should be governed by the administrator’s governance procedures. </w:t>
      </w:r>
    </w:p>
    <w:p w:rsidR="002A40D1" w:rsidRDefault="002A40D1">
      <w:pPr>
        <w:jc w:val="both"/>
        <w:rPr>
          <w:rFonts w:cs="Arial"/>
          <w:szCs w:val="20"/>
        </w:rPr>
      </w:pPr>
    </w:p>
    <w:p w:rsidR="002A40D1" w:rsidRDefault="00710EFD">
      <w:r>
        <w:rPr>
          <w:rFonts w:cs="Arial"/>
          <w:szCs w:val="20"/>
        </w:rPr>
        <w:t xml:space="preserve">We therefore agree with ESMA’s suggestion that where an administrator provides multiple benchmarks based on different </w:t>
      </w:r>
      <w:proofErr w:type="spellStart"/>
      <w:r>
        <w:rPr>
          <w:rFonts w:cs="Arial"/>
          <w:szCs w:val="20"/>
        </w:rPr>
        <w:t>underlyings</w:t>
      </w:r>
      <w:proofErr w:type="spellEnd"/>
      <w:r>
        <w:rPr>
          <w:rFonts w:cs="Arial"/>
          <w:szCs w:val="20"/>
        </w:rPr>
        <w:t xml:space="preserve"> or on varying methodologies, it should be able to establish an overarching oversight function with respect to all benchmarks, with sub-functions reporting to it where appropriate). </w:t>
      </w:r>
      <w:permEnd w:id="1796945719"/>
      <w:r>
        <w:t>&lt;ESMA_QUESTION_DP_BMR_9&gt;</w:t>
      </w:r>
    </w:p>
    <w:p w:rsidR="002A40D1" w:rsidRDefault="002A40D1"/>
    <w:p w:rsidR="002A40D1" w:rsidRDefault="00710EFD">
      <w:pPr>
        <w:pStyle w:val="Questionstyle"/>
      </w:pPr>
      <w:r>
        <w:t>If an administrator provides more than one critical benchmark, do you support the approach of one oversight function exercising oversight over all the critical benchmarks? Do you think it is nece</w:t>
      </w:r>
      <w:r>
        <w:t>s</w:t>
      </w:r>
      <w:r>
        <w:t xml:space="preserve">sary for an oversight function to have sub-functions, to account for the different needs of different types of benchmarks? </w:t>
      </w:r>
    </w:p>
    <w:p w:rsidR="002A40D1" w:rsidRDefault="00710EFD">
      <w:r>
        <w:t>&lt;ESMA_QUESTION_DP_BMR_10&gt;</w:t>
      </w:r>
    </w:p>
    <w:p w:rsidR="002A40D1" w:rsidRDefault="00710EFD">
      <w:permStart w:id="1670987285" w:edGrp="everyone"/>
      <w:r>
        <w:rPr>
          <w:rFonts w:cs="Arial"/>
          <w:szCs w:val="20"/>
        </w:rPr>
        <w:t xml:space="preserve">CME Group is of the opinion that if the same administrator oversees more than one critical benchmark, maintaining a single oversight committee for all critical benchmarks under its administration could help to ensure consistency of monitoring and supervision in relation to those benchmarks. It is </w:t>
      </w:r>
      <w:proofErr w:type="gramStart"/>
      <w:r>
        <w:rPr>
          <w:rFonts w:cs="Arial"/>
          <w:szCs w:val="20"/>
        </w:rPr>
        <w:t>likely,</w:t>
      </w:r>
      <w:proofErr w:type="gramEnd"/>
      <w:r>
        <w:rPr>
          <w:rFonts w:cs="Arial"/>
          <w:szCs w:val="20"/>
        </w:rPr>
        <w:t xml:space="preserve"> however, </w:t>
      </w:r>
      <w:r>
        <w:rPr>
          <w:rFonts w:cs="Arial"/>
          <w:szCs w:val="20"/>
        </w:rPr>
        <w:lastRenderedPageBreak/>
        <w:t>that establishment of sub-functions dedicated to particular benchmarks but within the same oversight committee structure will be necessary in order to sufficiently address the unique characteristics of each benchmark. The use of sub-functions would allow well-tailored and functional oversight of multiple benc</w:t>
      </w:r>
      <w:r>
        <w:rPr>
          <w:rFonts w:cs="Arial"/>
          <w:szCs w:val="20"/>
        </w:rPr>
        <w:t>h</w:t>
      </w:r>
      <w:r>
        <w:rPr>
          <w:rFonts w:cs="Arial"/>
          <w:szCs w:val="20"/>
        </w:rPr>
        <w:t xml:space="preserve">marks while not adding unnecessary administrative burden for administrators. </w:t>
      </w:r>
      <w:permEnd w:id="1670987285"/>
      <w:r>
        <w:t>&lt;E</w:t>
      </w:r>
      <w:r>
        <w:t>S</w:t>
      </w:r>
      <w:r>
        <w:t>MA_QUESTION_DP_BMR_10&gt;</w:t>
      </w:r>
    </w:p>
    <w:p w:rsidR="002A40D1" w:rsidRDefault="002A40D1"/>
    <w:p w:rsidR="002A40D1" w:rsidRDefault="00710EFD">
      <w:pPr>
        <w:pStyle w:val="Questionstyle"/>
      </w:pPr>
      <w:r>
        <w:t>Where an administrator provides critical benchmarks and significant or non-significant benc</w:t>
      </w:r>
      <w:r>
        <w:t>h</w:t>
      </w:r>
      <w:r>
        <w:t xml:space="preserve">marks, do you think it should establish different oversight functions depending on the nature, scale and complexity of the critical benchmarks versus the significant or non-significant benchmarks? </w:t>
      </w:r>
    </w:p>
    <w:p w:rsidR="002A40D1" w:rsidRDefault="00710EFD">
      <w:r>
        <w:t>&lt;ESMA_QUESTION_DP_BMR_11&gt;</w:t>
      </w:r>
    </w:p>
    <w:p w:rsidR="002A40D1" w:rsidRDefault="00710EFD">
      <w:pPr>
        <w:jc w:val="both"/>
        <w:rPr>
          <w:rFonts w:cs="Arial"/>
          <w:szCs w:val="20"/>
        </w:rPr>
      </w:pPr>
      <w:permStart w:id="1955738096" w:edGrp="everyone"/>
      <w:r>
        <w:rPr>
          <w:rFonts w:cs="Arial"/>
          <w:szCs w:val="20"/>
        </w:rPr>
        <w:t>CME Group broadly agrees with ESMA’s proposals under paragraph 46 of the DP. However, the decision whether or not to establish multiple oversight functions should be left to the discretion of the benchmark administrator. Administrators are best placed to assess the oversight requirements of each benchmark they provide. Should the single oversight function for multiple benchmarks be deemed as effectively addressing those benchmarks’ oversight requirements, the administrator should be allowed to maintain it, with relevant sub-functions if necessary (please refer to our response under Question 9 for more details)</w:t>
      </w:r>
      <w:proofErr w:type="gramStart"/>
      <w:r>
        <w:rPr>
          <w:rFonts w:cs="Arial"/>
          <w:szCs w:val="20"/>
        </w:rPr>
        <w:t>.</w:t>
      </w:r>
      <w:proofErr w:type="gramEnd"/>
      <w:r>
        <w:rPr>
          <w:rFonts w:cs="Arial"/>
          <w:szCs w:val="20"/>
        </w:rPr>
        <w:t xml:space="preserve">   </w:t>
      </w:r>
    </w:p>
    <w:permEnd w:id="1955738096"/>
    <w:p w:rsidR="002A40D1" w:rsidRDefault="00710EFD">
      <w:r>
        <w:t>&lt;ESMA_QUESTION_DP_BMR_11&gt;</w:t>
      </w:r>
    </w:p>
    <w:p w:rsidR="002A40D1" w:rsidRDefault="002A40D1"/>
    <w:p w:rsidR="002A40D1" w:rsidRDefault="00710EFD">
      <w:pPr>
        <w:pStyle w:val="Questionstyle"/>
      </w:pPr>
      <w:r>
        <w:t xml:space="preserve">In which cases would you agree that contributors should be prevented from participating in oversight committees? </w:t>
      </w:r>
    </w:p>
    <w:p w:rsidR="002A40D1" w:rsidRDefault="00710EFD">
      <w:r>
        <w:t>&lt;ESMA_QUESTION_DP_BMR_12&gt;</w:t>
      </w:r>
    </w:p>
    <w:p w:rsidR="002A40D1" w:rsidRDefault="00710EFD">
      <w:pPr>
        <w:jc w:val="both"/>
        <w:rPr>
          <w:rFonts w:cs="Arial"/>
          <w:szCs w:val="20"/>
        </w:rPr>
      </w:pPr>
      <w:permStart w:id="115171270" w:edGrp="everyone"/>
      <w:r>
        <w:rPr>
          <w:rFonts w:cs="Arial"/>
          <w:szCs w:val="20"/>
        </w:rPr>
        <w:t>CME Group is of the opinion that it may be appropriate in certain cases for contributors/submitters to be prevented from participating in the oversight committees where such participation would put those contri</w:t>
      </w:r>
      <w:r>
        <w:rPr>
          <w:rFonts w:cs="Arial"/>
          <w:szCs w:val="20"/>
        </w:rPr>
        <w:t>b</w:t>
      </w:r>
      <w:r>
        <w:rPr>
          <w:rFonts w:cs="Arial"/>
          <w:szCs w:val="20"/>
        </w:rPr>
        <w:t>utors at an unfair competitive advantage over those that do not have this access or where their particip</w:t>
      </w:r>
      <w:r>
        <w:rPr>
          <w:rFonts w:cs="Arial"/>
          <w:szCs w:val="20"/>
        </w:rPr>
        <w:t>a</w:t>
      </w:r>
      <w:r>
        <w:rPr>
          <w:rFonts w:cs="Arial"/>
          <w:szCs w:val="20"/>
        </w:rPr>
        <w:t>tion may result in the oversight committee not acting in a wholly objective way. In many cases however, where such conflicts of interest do arise, it should be possible to manage them (as described in section 3.6 of the DP) and allow the contributor to participate in most of the committee’s activities. There may be cases where such conflicts management is not possible in practice meaning the contributor / participant should not be on the oversight committee.</w:t>
      </w:r>
    </w:p>
    <w:permEnd w:id="115171270"/>
    <w:p w:rsidR="002A40D1" w:rsidRDefault="00710EFD">
      <w:r>
        <w:t>&lt;ESMA_QUESTION_DP_BMR_12&gt;</w:t>
      </w:r>
    </w:p>
    <w:p w:rsidR="002A40D1" w:rsidRDefault="002A40D1"/>
    <w:p w:rsidR="002A40D1" w:rsidRDefault="00710EFD">
      <w:pPr>
        <w:pStyle w:val="Questionstyle"/>
      </w:pPr>
      <w:r>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w:t>
      </w:r>
      <w:r>
        <w:t>d</w:t>
      </w:r>
      <w:r>
        <w:t>ed? Please describe the nature, and where possible provide estimates, of these costs.</w:t>
      </w:r>
    </w:p>
    <w:p w:rsidR="002A40D1" w:rsidRDefault="00710EFD">
      <w:r>
        <w:t>&lt;ESMA_QUESTION_DP_BMR_13&gt;</w:t>
      </w:r>
    </w:p>
    <w:p w:rsidR="002A40D1" w:rsidRDefault="00710EFD">
      <w:pPr>
        <w:jc w:val="both"/>
        <w:rPr>
          <w:rFonts w:cs="Arial"/>
          <w:szCs w:val="20"/>
        </w:rPr>
      </w:pPr>
      <w:permStart w:id="583822100" w:edGrp="everyone"/>
      <w:r>
        <w:rPr>
          <w:rFonts w:cs="Arial"/>
          <w:szCs w:val="20"/>
        </w:rPr>
        <w:t>Maintaining multiple oversight functions will naturally increase the costs of benchmark administration. However, in the context of the overall benchmark administration process the costs of maintaining ove</w:t>
      </w:r>
      <w:r>
        <w:rPr>
          <w:rFonts w:cs="Arial"/>
          <w:szCs w:val="20"/>
        </w:rPr>
        <w:t>r</w:t>
      </w:r>
      <w:r>
        <w:rPr>
          <w:rFonts w:cs="Arial"/>
          <w:szCs w:val="20"/>
        </w:rPr>
        <w:t>sight committee are relatively small. Membership of the oversight committees is usually (although not always) a non-remunerated function, exercised alongside an individual’s professional employment. Benchmark administrators are obliged to provide secretarial services, meeting facilities, conference lines, etc. but the effective costs are limited to staff time responsible for the preparation and coordination of meetings and proceedings.</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More generally, it is difficult to assess the full impact of the BMR on the functioning of oversight </w:t>
      </w:r>
      <w:r w:rsidR="008621D4">
        <w:rPr>
          <w:rFonts w:cs="Arial"/>
          <w:szCs w:val="20"/>
        </w:rPr>
        <w:t>commi</w:t>
      </w:r>
      <w:r w:rsidR="008621D4">
        <w:rPr>
          <w:rFonts w:cs="Arial"/>
          <w:szCs w:val="20"/>
        </w:rPr>
        <w:t>t</w:t>
      </w:r>
      <w:r w:rsidR="008621D4">
        <w:rPr>
          <w:rFonts w:cs="Arial"/>
          <w:szCs w:val="20"/>
        </w:rPr>
        <w:t>tees</w:t>
      </w:r>
      <w:r>
        <w:rPr>
          <w:rFonts w:cs="Arial"/>
          <w:szCs w:val="20"/>
        </w:rPr>
        <w:t>. To the extent that greater numbers of oversight committee members are needed and those me</w:t>
      </w:r>
      <w:r>
        <w:rPr>
          <w:rFonts w:cs="Arial"/>
          <w:szCs w:val="20"/>
        </w:rPr>
        <w:t>m</w:t>
      </w:r>
      <w:r>
        <w:rPr>
          <w:rFonts w:cs="Arial"/>
          <w:szCs w:val="20"/>
        </w:rPr>
        <w:t>bers require remuneration, this may result in greater costs that would potentially end up being passed on to the benchmark users to their detriment.</w:t>
      </w:r>
    </w:p>
    <w:permEnd w:id="583822100"/>
    <w:p w:rsidR="002A40D1" w:rsidRDefault="00710EFD">
      <w:r>
        <w:t>&lt;ESMA_QUESTION_DP_BMR_13&gt;</w:t>
      </w:r>
    </w:p>
    <w:p w:rsidR="002A40D1" w:rsidRDefault="002A40D1"/>
    <w:p w:rsidR="002A40D1" w:rsidRDefault="00710EFD">
      <w:pPr>
        <w:pStyle w:val="Questionstyle"/>
      </w:pPr>
      <w:r>
        <w:lastRenderedPageBreak/>
        <w:t xml:space="preserve">Do you agree that, in all cases, an oversight function should not be responsible for overseeing the business decisions of the management body? </w:t>
      </w:r>
    </w:p>
    <w:p w:rsidR="002A40D1" w:rsidRDefault="00710EFD">
      <w:r>
        <w:t>&lt;ESMA_QUESTION_DP_BMR_14&gt;</w:t>
      </w:r>
    </w:p>
    <w:p w:rsidR="002A40D1" w:rsidRDefault="00710EFD">
      <w:permStart w:id="1065887861" w:edGrp="everyone"/>
      <w:r>
        <w:rPr>
          <w:rFonts w:cs="Arial"/>
          <w:szCs w:val="20"/>
        </w:rPr>
        <w:t>CME Group agrees with ESMA’s proposal that an oversight body should not be responsible for overseeing the business decisions of the management body. This should remain the responsibility of a benchmark administrator. An oversight body should be able to challenge the management body decisions only in so far as they relate to the administration of a benchmark as set out in Article 5a of the BMR</w:t>
      </w:r>
      <w:proofErr w:type="gramStart"/>
      <w:r>
        <w:rPr>
          <w:rFonts w:cs="Arial"/>
          <w:szCs w:val="20"/>
        </w:rPr>
        <w:t>.</w:t>
      </w:r>
      <w:permEnd w:id="1065887861"/>
      <w:r>
        <w:t>&lt;</w:t>
      </w:r>
      <w:proofErr w:type="gramEnd"/>
      <w:r>
        <w:t>ESMA_QUESTION_DP_BMR_14&gt;</w:t>
      </w:r>
    </w:p>
    <w:p w:rsidR="002A40D1" w:rsidRDefault="002A40D1"/>
    <w:p w:rsidR="002A40D1" w:rsidRDefault="00710EFD">
      <w:pPr>
        <w:pStyle w:val="Questionstyle"/>
      </w:pPr>
      <w:r>
        <w:t>Do you support the proposed positioning of the oversight function of an administrator? If not, please explain your reasons why this positioning may not be appropriate.</w:t>
      </w:r>
    </w:p>
    <w:p w:rsidR="002A40D1" w:rsidRDefault="00710EFD">
      <w:r>
        <w:t>&lt;ESMA_QUESTION_DP_BMR_15&gt;</w:t>
      </w:r>
    </w:p>
    <w:p w:rsidR="002A40D1" w:rsidRDefault="00710EFD">
      <w:permStart w:id="840398259" w:edGrp="everyone"/>
      <w:r>
        <w:rPr>
          <w:rFonts w:cs="Arial"/>
          <w:szCs w:val="20"/>
        </w:rPr>
        <w:t>CME Group agrees with ESMA’s proposal that the oversight function should be fully embedded within an administrator’s structure and need not consist of a fully external committee. Based on our experience to date with the management of the LBMA Silver Price Oversight Committee we are convinced that internal</w:t>
      </w:r>
      <w:r>
        <w:rPr>
          <w:rFonts w:cs="Arial"/>
          <w:szCs w:val="20"/>
        </w:rPr>
        <w:t>i</w:t>
      </w:r>
      <w:r>
        <w:rPr>
          <w:rFonts w:cs="Arial"/>
          <w:szCs w:val="20"/>
        </w:rPr>
        <w:t>sation of oversight function positively contributes to its functioning. With administrators serving on the oversight committee the decision-making process is likely to be more efficient. This is particularly i</w:t>
      </w:r>
      <w:r>
        <w:rPr>
          <w:rFonts w:cs="Arial"/>
          <w:szCs w:val="20"/>
        </w:rPr>
        <w:t>m</w:t>
      </w:r>
      <w:r>
        <w:rPr>
          <w:rFonts w:cs="Arial"/>
          <w:szCs w:val="20"/>
        </w:rPr>
        <w:t xml:space="preserve">portant when the decisions need to be taken under the time pressure and/or when there is a need to address a problem with the benchmark functioning.   </w:t>
      </w:r>
      <w:permEnd w:id="840398259"/>
      <w:r>
        <w:t>&lt;ESMA_QUESTION_DP_BMR_15&gt;</w:t>
      </w:r>
    </w:p>
    <w:p w:rsidR="002A40D1" w:rsidRDefault="002A40D1"/>
    <w:p w:rsidR="002A40D1" w:rsidRDefault="00710EFD">
      <w:pPr>
        <w:pStyle w:val="Questionstyle"/>
      </w:pPr>
      <w:r>
        <w:t>Do you have any additional comments with regard to the procedures for the oversight function as well as the composition and positioning of the oversight function within an administrator’s organ</w:t>
      </w:r>
      <w:r>
        <w:t>i</w:t>
      </w:r>
      <w:r>
        <w:t>sation?</w:t>
      </w:r>
    </w:p>
    <w:p w:rsidR="002A40D1" w:rsidRDefault="00710EFD">
      <w:r>
        <w:t>&lt;ESMA_QUESTION_DP_BMR_16&gt;</w:t>
      </w:r>
    </w:p>
    <w:p w:rsidR="002A40D1" w:rsidRDefault="00710EFD">
      <w:pPr>
        <w:jc w:val="both"/>
        <w:rPr>
          <w:rFonts w:cs="Arial"/>
          <w:szCs w:val="20"/>
        </w:rPr>
      </w:pPr>
      <w:permStart w:id="1666340184" w:edGrp="everyone"/>
      <w:r>
        <w:rPr>
          <w:rFonts w:cs="Arial"/>
          <w:szCs w:val="20"/>
        </w:rPr>
        <w:t>No comment.</w:t>
      </w:r>
    </w:p>
    <w:permEnd w:id="1666340184"/>
    <w:p w:rsidR="002A40D1" w:rsidRDefault="00710EFD">
      <w:r>
        <w:t>&lt;ESMA_QUESTION_DP_BMR_16&gt;</w:t>
      </w:r>
    </w:p>
    <w:p w:rsidR="002A40D1" w:rsidRDefault="002A40D1"/>
    <w:p w:rsidR="002A40D1" w:rsidRDefault="00710EFD">
      <w:pPr>
        <w:pStyle w:val="Questionstyle"/>
      </w:pPr>
      <w:r>
        <w:t>Do you agree with the proposed list of elements of procedures required for all oversight fun</w:t>
      </w:r>
      <w:r>
        <w:t>c</w:t>
      </w:r>
      <w:r>
        <w:t>tions? Should different procedures be employed for different types of benchmarks?</w:t>
      </w:r>
    </w:p>
    <w:p w:rsidR="002A40D1" w:rsidRDefault="00710EFD">
      <w:r>
        <w:t>&lt;ESMA_QUESTION_DP_BMR_17&gt;</w:t>
      </w:r>
    </w:p>
    <w:p w:rsidR="002A40D1" w:rsidRDefault="00710EFD">
      <w:pPr>
        <w:jc w:val="both"/>
        <w:rPr>
          <w:rFonts w:cs="Arial"/>
          <w:szCs w:val="20"/>
        </w:rPr>
      </w:pPr>
      <w:permStart w:id="2123897109" w:edGrp="everyone"/>
      <w:r>
        <w:rPr>
          <w:rFonts w:cs="Arial"/>
          <w:szCs w:val="20"/>
        </w:rPr>
        <w:t>CME Group agrees with ESMA’s proposed elements of the procedure (involving terms of reference, criteria to select members, the summary of membership of any board or committee charged with an ove</w:t>
      </w:r>
      <w:r>
        <w:rPr>
          <w:rFonts w:cs="Arial"/>
          <w:szCs w:val="20"/>
        </w:rPr>
        <w:t>r</w:t>
      </w:r>
      <w:r>
        <w:rPr>
          <w:rFonts w:cs="Arial"/>
          <w:szCs w:val="20"/>
        </w:rPr>
        <w:t>sight function, declaration of conflict of interests, process for election). However, we would like to stress that the application of the above-mentioned procedures should take place in accordance with the propo</w:t>
      </w:r>
      <w:r>
        <w:rPr>
          <w:rFonts w:cs="Arial"/>
          <w:szCs w:val="20"/>
        </w:rPr>
        <w:t>r</w:t>
      </w:r>
      <w:r>
        <w:rPr>
          <w:rFonts w:cs="Arial"/>
          <w:szCs w:val="20"/>
        </w:rPr>
        <w:t xml:space="preserve">tionality principle reflecting the type, nature and structure of a benchmark. </w:t>
      </w:r>
    </w:p>
    <w:permEnd w:id="2123897109"/>
    <w:p w:rsidR="002A40D1" w:rsidRDefault="00710EFD">
      <w:r>
        <w:t>&lt;ESMA_QUESTION_DP_BMR_17&gt;</w:t>
      </w:r>
    </w:p>
    <w:p w:rsidR="002A40D1" w:rsidRDefault="002A40D1"/>
    <w:p w:rsidR="002A40D1" w:rsidRDefault="00710EFD">
      <w:pPr>
        <w:pStyle w:val="Questionstyle"/>
      </w:pPr>
      <w:r>
        <w:t>Do you agree with the proposed treatment of conflicts of interest arising from the composition of an oversight function? Have you identified any additional conflicts which ESMA should consider in drafting the RTS?</w:t>
      </w:r>
    </w:p>
    <w:p w:rsidR="002A40D1" w:rsidRDefault="00710EFD">
      <w:r>
        <w:t>&lt;ESMA_QUESTION_DP_BMR_18&gt;</w:t>
      </w:r>
    </w:p>
    <w:p w:rsidR="002A40D1" w:rsidRDefault="00710EFD">
      <w:pPr>
        <w:jc w:val="both"/>
        <w:rPr>
          <w:rFonts w:cs="Arial"/>
          <w:szCs w:val="20"/>
        </w:rPr>
      </w:pPr>
      <w:permStart w:id="323121126" w:edGrp="everyone"/>
      <w:r>
        <w:rPr>
          <w:rFonts w:cs="Arial"/>
          <w:szCs w:val="20"/>
        </w:rPr>
        <w:t>CME Group agrees with ESMA’s proposals regarding the proposed treatment of the conflict of interests. We agree in particular that in the case of benchmarks based on submissions from contributors, the ove</w:t>
      </w:r>
      <w:r>
        <w:rPr>
          <w:rFonts w:cs="Arial"/>
          <w:szCs w:val="20"/>
        </w:rPr>
        <w:t>r</w:t>
      </w:r>
      <w:r>
        <w:rPr>
          <w:rFonts w:cs="Arial"/>
          <w:szCs w:val="20"/>
        </w:rPr>
        <w:t xml:space="preserve">sight committee could propose excluding representatives of contributors from committee meetings dealing with monitoring and/or redact the published minutes accordingly. However, we reiterate our response to Question 12 that in some cases where it is not possible to effectively manage the conflicts of interest that arise, the most efficient solution would be to exclude the contributor from participating in the oversight committee. </w:t>
      </w:r>
    </w:p>
    <w:permEnd w:id="323121126"/>
    <w:p w:rsidR="002A40D1" w:rsidRDefault="00710EFD">
      <w:r>
        <w:lastRenderedPageBreak/>
        <w:t>&lt;ESMA_QUESTION_DP_BMR_18&gt;</w:t>
      </w:r>
    </w:p>
    <w:p w:rsidR="002A40D1" w:rsidRDefault="002A40D1"/>
    <w:p w:rsidR="002A40D1" w:rsidRDefault="00710EFD">
      <w:pPr>
        <w:pStyle w:val="Questionstyle"/>
      </w:pPr>
      <w:r>
        <w:t>Do you agree with the list of records to be kept by the administrator for input data verific</w:t>
      </w:r>
      <w:r>
        <w:t>a</w:t>
      </w:r>
      <w:r>
        <w:t>tion? If not, please specify which information is superfluous / which additional information is needed and why.</w:t>
      </w:r>
    </w:p>
    <w:p w:rsidR="002A40D1" w:rsidRDefault="00710EFD">
      <w:r>
        <w:t>&lt;ESMA_QUESTION_DP_BMR_19&gt;</w:t>
      </w:r>
    </w:p>
    <w:p w:rsidR="002A40D1" w:rsidRDefault="00710EFD">
      <w:pPr>
        <w:jc w:val="both"/>
        <w:rPr>
          <w:rFonts w:cs="Arial"/>
          <w:szCs w:val="20"/>
        </w:rPr>
      </w:pPr>
      <w:permStart w:id="1636699068" w:edGrp="everyone"/>
      <w:r>
        <w:rPr>
          <w:rFonts w:cs="Arial"/>
          <w:szCs w:val="20"/>
        </w:rPr>
        <w:t xml:space="preserve">CME Group is of the opinion that the list of records proposed by ESMA to be kept by the administrator for input data verification is overly prescriptive and does not necessarily reflect the diversity of benchmark methodologies in the market. An inappropriate specification of information to be recorded would create an unnecessary burden on administrators. Further, while recognising the importance of the verifiability of contributions, we caution that requirements that indirectly require contributors to provide an inappropriate amount or type of information may reduce the willingness of contributors to contribute and so reduce the quality of the benchmark. In particular, any requirement on contributors to provide details of substantial exposures (and changes therein) of individual traders or trading desks could have this effect. </w:t>
      </w:r>
    </w:p>
    <w:p w:rsidR="002A40D1" w:rsidRDefault="002A40D1">
      <w:pPr>
        <w:jc w:val="both"/>
        <w:rPr>
          <w:rFonts w:cs="Arial"/>
          <w:szCs w:val="20"/>
        </w:rPr>
      </w:pPr>
    </w:p>
    <w:p w:rsidR="002A40D1" w:rsidRDefault="00710EFD">
      <w:r>
        <w:rPr>
          <w:rFonts w:cs="Arial"/>
          <w:szCs w:val="20"/>
        </w:rPr>
        <w:t>The benchmark administrator is best placed to determine what information is needed from contributors in order to verify contributions (and consequently what needs to be recorded). We agree with ESMA that all of the items listed in paragraph 70 of the DP (and potentially others) may be required for the purposes of verifiability in some (but not all) cases. We therefore suggest that such a non-exhaustive list is included in the RTS as possibilities that administrators may adopt as it deems appropriate but with the overriding principle that the administrator must record all information it believes is required to adequately verify the contributions it receives. To ensure consistency in application of verification rules by benchmark admini</w:t>
      </w:r>
      <w:r>
        <w:rPr>
          <w:rFonts w:cs="Arial"/>
          <w:szCs w:val="20"/>
        </w:rPr>
        <w:t>s</w:t>
      </w:r>
      <w:r>
        <w:rPr>
          <w:rFonts w:cs="Arial"/>
          <w:szCs w:val="20"/>
        </w:rPr>
        <w:t xml:space="preserve">trators, ESMA could issue Level 3 guidance on what verification means building on the ideas presented in the DP. </w:t>
      </w:r>
      <w:permEnd w:id="1636699068"/>
      <w:r>
        <w:t>&lt;ESMA_QUESTION_DP_BMR_19&gt;</w:t>
      </w:r>
    </w:p>
    <w:p w:rsidR="002A40D1" w:rsidRDefault="002A40D1"/>
    <w:p w:rsidR="002A40D1" w:rsidRDefault="00710EFD">
      <w:pPr>
        <w:pStyle w:val="Questionstyle"/>
      </w:pPr>
      <w:r>
        <w:t>Do you agree that, for the information to be transmitted to the administrator in view of ensu</w:t>
      </w:r>
      <w:r>
        <w:t>r</w:t>
      </w:r>
      <w:r>
        <w:t>ing the verifiability of input data, weekly transmission is sufficient? Would you instead consider it appropriate to leave the frequency of transmission to be defined by the administrator (i.e. in the code of conduct)?</w:t>
      </w:r>
    </w:p>
    <w:p w:rsidR="002A40D1" w:rsidRDefault="00710EFD">
      <w:r>
        <w:t>&lt;ESMA_QUESTION_DP_BMR_20&gt;</w:t>
      </w:r>
    </w:p>
    <w:p w:rsidR="002A40D1" w:rsidRDefault="00710EFD">
      <w:pPr>
        <w:jc w:val="both"/>
        <w:rPr>
          <w:rFonts w:cs="Arial"/>
          <w:szCs w:val="20"/>
        </w:rPr>
      </w:pPr>
      <w:permStart w:id="795431845" w:edGrp="everyone"/>
      <w:r>
        <w:rPr>
          <w:rFonts w:cs="Arial"/>
          <w:szCs w:val="20"/>
        </w:rPr>
        <w:t>CME Group opposes an overly prescriptive approach regarding the verifiability of input data. We are of the opinion that regulating the precise frequency of data transmission is unnecessary to meet the requir</w:t>
      </w:r>
      <w:r>
        <w:rPr>
          <w:rFonts w:cs="Arial"/>
          <w:szCs w:val="20"/>
        </w:rPr>
        <w:t>e</w:t>
      </w:r>
      <w:r>
        <w:rPr>
          <w:rFonts w:cs="Arial"/>
          <w:szCs w:val="20"/>
        </w:rPr>
        <w:t>ments of the BMR.  We believe that the administrators are best placed to assess the level and format of verification mechanisms for the benchmarks under their administration, depending on their types and risk characteristics. Frequency of transmissions should therefore be set out in the code of conduct (when applicable), or more generally in benchmark methodology and not specified in an RTS.</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It is also possible that some of the information required for verifiability (e.g. past contributions) should be sent on a more frequent basis than others (e.g. remedial actions taken in response to audit findings). In some cases it may only be appropriate for the administrator to require certain information to be provided on an on-demand (rather than periodic) basis. </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Again, the benchmark administrator will be best placed to determine the required frequency of different types of information given the verification requirements of the relevant benchmark methodology. </w:t>
      </w:r>
    </w:p>
    <w:permEnd w:id="795431845"/>
    <w:p w:rsidR="002A40D1" w:rsidRDefault="00710EFD">
      <w:r>
        <w:t>&lt;ESMA_QUESTION_DP_BMR_20&gt;</w:t>
      </w:r>
    </w:p>
    <w:p w:rsidR="002A40D1" w:rsidRDefault="002A40D1"/>
    <w:p w:rsidR="002A40D1" w:rsidRDefault="00710EFD">
      <w:pPr>
        <w:pStyle w:val="Questionstyle"/>
      </w:pPr>
      <w:r>
        <w:t>Do you agree with the concept of appropriateness as elaborated in this section?</w:t>
      </w:r>
    </w:p>
    <w:p w:rsidR="002A40D1" w:rsidRDefault="00710EFD">
      <w:r>
        <w:t>&lt;ESMA_QUESTION_DP_BMR_21&gt;</w:t>
      </w:r>
    </w:p>
    <w:p w:rsidR="002A40D1" w:rsidRDefault="00710EFD">
      <w:pPr>
        <w:jc w:val="both"/>
        <w:rPr>
          <w:rFonts w:cs="Arial"/>
          <w:szCs w:val="20"/>
        </w:rPr>
      </w:pPr>
      <w:permStart w:id="1070077497" w:edGrp="everyone"/>
      <w:r>
        <w:rPr>
          <w:rFonts w:cs="Arial"/>
          <w:szCs w:val="20"/>
        </w:rPr>
        <w:t>CME Group opposes an overly prescriptive approach to assessing the appropriateness of input data. The checks that an administrator should perform to determine appropriateness will be highly dependent on the type and methodology of the benchmark. Prescriptive lists of required checks risk creating an unnece</w:t>
      </w:r>
      <w:r>
        <w:rPr>
          <w:rFonts w:cs="Arial"/>
          <w:szCs w:val="20"/>
        </w:rPr>
        <w:t>s</w:t>
      </w:r>
      <w:r>
        <w:rPr>
          <w:rFonts w:cs="Arial"/>
          <w:szCs w:val="20"/>
        </w:rPr>
        <w:lastRenderedPageBreak/>
        <w:t xml:space="preserve">sary administrative burden for administrators. While the list of checks at paragraph 75 of the DP are useful considerations, the administrator should be able to determine which tests for appropriateness it performs to ensure that a proportionate and effective approach is taken. </w:t>
      </w:r>
    </w:p>
    <w:permEnd w:id="1070077497"/>
    <w:p w:rsidR="002A40D1" w:rsidRDefault="00710EFD">
      <w:r>
        <w:t>&lt;ESMA_QUESTION_DP_BMR_21&gt;</w:t>
      </w:r>
    </w:p>
    <w:p w:rsidR="002A40D1" w:rsidRDefault="002A40D1"/>
    <w:p w:rsidR="002A40D1" w:rsidRDefault="00710EFD">
      <w:pPr>
        <w:pStyle w:val="Questionstyle"/>
      </w:pPr>
      <w:r>
        <w:t>Do you see any other checks an administrator could use to verify the appropriateness of input data?</w:t>
      </w:r>
    </w:p>
    <w:p w:rsidR="002A40D1" w:rsidRDefault="00710EFD">
      <w:r>
        <w:t>&lt;ESMA_QUESTION_DP_BMR_22&gt;</w:t>
      </w:r>
    </w:p>
    <w:p w:rsidR="002A40D1" w:rsidRDefault="00710EFD">
      <w:pPr>
        <w:jc w:val="both"/>
        <w:rPr>
          <w:rFonts w:cs="Arial"/>
          <w:szCs w:val="20"/>
        </w:rPr>
      </w:pPr>
      <w:permStart w:id="1639981864" w:edGrp="everyone"/>
      <w:r>
        <w:rPr>
          <w:rFonts w:cs="Arial"/>
          <w:szCs w:val="20"/>
        </w:rPr>
        <w:t>No comment.</w:t>
      </w:r>
    </w:p>
    <w:permEnd w:id="1639981864"/>
    <w:p w:rsidR="002A40D1" w:rsidRDefault="00710EFD">
      <w:r>
        <w:t>&lt;ESMA_QUESTION_DP_BMR_22&gt;</w:t>
      </w:r>
    </w:p>
    <w:p w:rsidR="002A40D1" w:rsidRDefault="002A40D1"/>
    <w:p w:rsidR="002A40D1" w:rsidRDefault="00710EFD">
      <w:pPr>
        <w:pStyle w:val="Questionstyle"/>
      </w:pPr>
      <w:r>
        <w:t>Would you consider it useful that the administrator maintains records of the analyses pe</w:t>
      </w:r>
      <w:r>
        <w:t>r</w:t>
      </w:r>
      <w:r>
        <w:t>formed to evaluate the appropriateness of input data?</w:t>
      </w:r>
    </w:p>
    <w:p w:rsidR="002A40D1" w:rsidRDefault="00710EFD">
      <w:r>
        <w:t>&lt;ESMA_QUESTION_DP_BMR_23&gt;</w:t>
      </w:r>
    </w:p>
    <w:p w:rsidR="002A40D1" w:rsidRDefault="00710EFD">
      <w:pPr>
        <w:jc w:val="both"/>
        <w:rPr>
          <w:rFonts w:cs="Arial"/>
          <w:szCs w:val="20"/>
        </w:rPr>
      </w:pPr>
      <w:permStart w:id="1382695875" w:edGrp="everyone"/>
      <w:r>
        <w:rPr>
          <w:rFonts w:cs="Arial"/>
          <w:szCs w:val="20"/>
        </w:rPr>
        <w:t>To the extent that the appropriateness tests are a well-defined set of tests regularly performed by the administrator, CME Group believes that it would be more appropriate for the administrator to record r</w:t>
      </w:r>
      <w:r>
        <w:rPr>
          <w:rFonts w:cs="Arial"/>
          <w:szCs w:val="20"/>
        </w:rPr>
        <w:t>e</w:t>
      </w:r>
      <w:r>
        <w:rPr>
          <w:rFonts w:cs="Arial"/>
          <w:szCs w:val="20"/>
        </w:rPr>
        <w:t>sults on an exceptions only basis. A requirement to record unexceptional results of routine analysis seems overly burdensome on administrators. In such cases, a record of the fact that the test was performed and there were no exceptions should be sufficient.</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Where the appropriateness performed by administrators </w:t>
      </w:r>
      <w:proofErr w:type="gramStart"/>
      <w:r>
        <w:rPr>
          <w:rFonts w:cs="Arial"/>
          <w:szCs w:val="20"/>
        </w:rPr>
        <w:t>are</w:t>
      </w:r>
      <w:proofErr w:type="gramEnd"/>
      <w:r>
        <w:rPr>
          <w:rFonts w:cs="Arial"/>
          <w:szCs w:val="20"/>
        </w:rPr>
        <w:t xml:space="preserve"> more ad-hoc, irregular and/or non-standard, it would seem more justifiable for the administrator to record the results every time. </w:t>
      </w:r>
    </w:p>
    <w:permEnd w:id="1382695875"/>
    <w:p w:rsidR="002A40D1" w:rsidRDefault="00710EFD">
      <w:r>
        <w:t>&lt;ESMA_QUESTION_DP_BMR_23&gt;</w:t>
      </w:r>
    </w:p>
    <w:p w:rsidR="002A40D1" w:rsidRDefault="002A40D1"/>
    <w:p w:rsidR="002A40D1" w:rsidRDefault="00710EFD">
      <w:pPr>
        <w:pStyle w:val="Questionstyle"/>
      </w:pPr>
      <w:r>
        <w:t>Do you see other possible measures to ensure verifiability of input data?</w:t>
      </w:r>
    </w:p>
    <w:p w:rsidR="002A40D1" w:rsidRDefault="00710EFD">
      <w:r>
        <w:t>&lt;ESMA_QUESTION_DP_BMR_24&gt;</w:t>
      </w:r>
    </w:p>
    <w:p w:rsidR="002A40D1" w:rsidRDefault="00710EFD">
      <w:pPr>
        <w:jc w:val="both"/>
        <w:rPr>
          <w:rFonts w:cs="Arial"/>
          <w:szCs w:val="20"/>
        </w:rPr>
      </w:pPr>
      <w:permStart w:id="784794981" w:edGrp="everyone"/>
      <w:r>
        <w:rPr>
          <w:rFonts w:cs="Arial"/>
          <w:szCs w:val="20"/>
        </w:rPr>
        <w:t>No comment.</w:t>
      </w:r>
    </w:p>
    <w:permEnd w:id="784794981"/>
    <w:p w:rsidR="002A40D1" w:rsidRDefault="00710EFD">
      <w:r>
        <w:t>&lt;ESMA_QUESTION_DP_BMR_24&gt;</w:t>
      </w:r>
    </w:p>
    <w:p w:rsidR="002A40D1" w:rsidRDefault="002A40D1"/>
    <w:p w:rsidR="002A40D1" w:rsidRDefault="00710EFD">
      <w:pPr>
        <w:pStyle w:val="Questionstyle"/>
      </w:pPr>
      <w:r>
        <w:t>Do you agree with the identification of the concepts and underpinning activities of evaluation, validation and verifiability, as used in this section?</w:t>
      </w:r>
    </w:p>
    <w:p w:rsidR="002A40D1" w:rsidRDefault="00710EFD">
      <w:r>
        <w:t>&lt;ESMA_QUESTION_DP_BMR_25&gt;</w:t>
      </w:r>
    </w:p>
    <w:p w:rsidR="002A40D1" w:rsidRDefault="00710EFD">
      <w:pPr>
        <w:jc w:val="both"/>
        <w:rPr>
          <w:rFonts w:cs="Arial"/>
          <w:szCs w:val="20"/>
        </w:rPr>
      </w:pPr>
      <w:permStart w:id="1201550153" w:edGrp="everyone"/>
      <w:r>
        <w:rPr>
          <w:rFonts w:cs="Arial"/>
          <w:szCs w:val="20"/>
        </w:rPr>
        <w:t>No comment.</w:t>
      </w:r>
    </w:p>
    <w:permEnd w:id="1201550153"/>
    <w:p w:rsidR="002A40D1" w:rsidRDefault="00710EFD">
      <w:r>
        <w:t>&lt;ESMA_QUESTION_DP_BMR_25&gt;</w:t>
      </w:r>
    </w:p>
    <w:p w:rsidR="002A40D1" w:rsidRDefault="002A40D1"/>
    <w:p w:rsidR="002A40D1" w:rsidRDefault="00710EFD">
      <w:pPr>
        <w:pStyle w:val="Questionstyle"/>
      </w:pPr>
      <w:r>
        <w:t>Do you agree that all staff involved in input data submission should undergo training, but that such training should be more elaborate / should be repeated more frequently where it concerns front office staff contributing to benchmarks?</w:t>
      </w:r>
    </w:p>
    <w:p w:rsidR="002A40D1" w:rsidRDefault="00710EFD">
      <w:r>
        <w:t>&lt;ESMA_QUESTION_DP_BMR_26&gt;</w:t>
      </w:r>
    </w:p>
    <w:p w:rsidR="002A40D1" w:rsidRDefault="00710EFD">
      <w:pPr>
        <w:jc w:val="both"/>
        <w:rPr>
          <w:rFonts w:cs="Arial"/>
          <w:szCs w:val="20"/>
        </w:rPr>
      </w:pPr>
      <w:permStart w:id="144062330" w:edGrp="everyone"/>
      <w:r>
        <w:rPr>
          <w:rFonts w:cs="Arial"/>
          <w:szCs w:val="20"/>
        </w:rPr>
        <w:t>As an administrator and not a contributor, CME Group believes that contributors are best positioned to respond to Questions 26-29 in detail. As a general comment from an administrator’s perspective though, CME Group cautions that unnecessarily burdensome requirements on contributors could be counterpr</w:t>
      </w:r>
      <w:r>
        <w:rPr>
          <w:rFonts w:cs="Arial"/>
          <w:szCs w:val="20"/>
        </w:rPr>
        <w:t>o</w:t>
      </w:r>
      <w:r>
        <w:rPr>
          <w:rFonts w:cs="Arial"/>
          <w:szCs w:val="20"/>
        </w:rPr>
        <w:t xml:space="preserve">ductive to the aim of ensuring the quality of benchmarks if contributors withdraw their participation as a result. </w:t>
      </w:r>
    </w:p>
    <w:permEnd w:id="144062330"/>
    <w:p w:rsidR="002A40D1" w:rsidRDefault="00710EFD">
      <w:r>
        <w:t>&lt;ESMA_QUESTION_DP_BMR_26&gt;</w:t>
      </w:r>
    </w:p>
    <w:p w:rsidR="002A40D1" w:rsidRDefault="002A40D1"/>
    <w:p w:rsidR="002A40D1" w:rsidRDefault="00710EFD">
      <w:pPr>
        <w:pStyle w:val="Questionstyle"/>
      </w:pPr>
      <w:r>
        <w:t>Do you agree to the three lines of defence-principle as an ideal type of internal oversight architecture?</w:t>
      </w:r>
    </w:p>
    <w:p w:rsidR="002A40D1" w:rsidRDefault="00710EFD">
      <w:r>
        <w:lastRenderedPageBreak/>
        <w:t>&lt;ESMA_QUESTION_DP_BMR_27&gt;</w:t>
      </w:r>
    </w:p>
    <w:p w:rsidR="002A40D1" w:rsidRDefault="00710EFD">
      <w:permStart w:id="1988231607" w:edGrp="everyone"/>
      <w:r>
        <w:t>TYPE YOUR TEXT HERE</w:t>
      </w:r>
    </w:p>
    <w:permEnd w:id="1988231607"/>
    <w:p w:rsidR="002A40D1" w:rsidRDefault="00710EFD">
      <w:r>
        <w:t>&lt;ESMA_QUESTION_DP_BMR_27&gt;</w:t>
      </w:r>
    </w:p>
    <w:p w:rsidR="002A40D1" w:rsidRDefault="002A40D1"/>
    <w:p w:rsidR="002A40D1" w:rsidRDefault="00710EFD">
      <w:pPr>
        <w:pStyle w:val="Questionstyle"/>
      </w:pPr>
      <w:r>
        <w:t>Do you identify other elements that could improve oversight at contributor level?</w:t>
      </w:r>
    </w:p>
    <w:p w:rsidR="002A40D1" w:rsidRDefault="00710EFD">
      <w:r>
        <w:t>&lt;ESMA_QUESTION_DP_BMR_28&gt;</w:t>
      </w:r>
    </w:p>
    <w:p w:rsidR="002A40D1" w:rsidRDefault="00710EFD">
      <w:permStart w:id="1994992525" w:edGrp="everyone"/>
      <w:r>
        <w:t>TYPE YOUR TEXT HERE</w:t>
      </w:r>
    </w:p>
    <w:permEnd w:id="1994992525"/>
    <w:p w:rsidR="002A40D1" w:rsidRDefault="00710EFD">
      <w:r>
        <w:t>&lt;ESMA_QUESTION_DP_BMR_28&gt;</w:t>
      </w:r>
    </w:p>
    <w:p w:rsidR="002A40D1" w:rsidRDefault="002A40D1"/>
    <w:p w:rsidR="002A40D1" w:rsidRDefault="00710EFD">
      <w:pPr>
        <w:pStyle w:val="Questionstyle"/>
      </w:pPr>
      <w:r>
        <w:t>Do you agree with the list of elements contained in a conflict of interest policy? If not, please state which elements should be added / which elements you consider superfluous and why.</w:t>
      </w:r>
    </w:p>
    <w:p w:rsidR="002A40D1" w:rsidRDefault="00710EFD">
      <w:r>
        <w:t>&lt;ESMA_QUESTION_DP_BMR_29&gt;</w:t>
      </w:r>
    </w:p>
    <w:p w:rsidR="002A40D1" w:rsidRDefault="00710EFD">
      <w:permStart w:id="2065045621" w:edGrp="everyone"/>
      <w:r>
        <w:t>TYPE YOUR TEXT HERE</w:t>
      </w:r>
    </w:p>
    <w:permEnd w:id="2065045621"/>
    <w:p w:rsidR="002A40D1" w:rsidRDefault="00710EFD">
      <w:r>
        <w:t>&lt;ESMA_QUESTION_DP_BMR_29&gt;</w:t>
      </w:r>
    </w:p>
    <w:p w:rsidR="002A40D1" w:rsidRDefault="002A40D1"/>
    <w:p w:rsidR="002A40D1" w:rsidRDefault="00710EFD">
      <w:pPr>
        <w:pStyle w:val="Questionstyle"/>
      </w:pPr>
      <w:r>
        <w:t>Do you agree that where expert judgement is relied on and/or discretion is used additional appropriate measures to ensure verifiability of input data should be imposed? If not, please specify examples and reasons why you disagree.</w:t>
      </w:r>
    </w:p>
    <w:p w:rsidR="002A40D1" w:rsidRDefault="00710EFD">
      <w:r>
        <w:t>&lt;ESMA_QUESTION_DP_BMR_30&gt;</w:t>
      </w:r>
    </w:p>
    <w:p w:rsidR="002A40D1" w:rsidRDefault="00710EFD">
      <w:pPr>
        <w:jc w:val="both"/>
        <w:rPr>
          <w:rFonts w:cs="Arial"/>
          <w:szCs w:val="20"/>
        </w:rPr>
      </w:pPr>
      <w:permStart w:id="322722592" w:edGrp="everyone"/>
      <w:r>
        <w:rPr>
          <w:rFonts w:cs="Arial"/>
          <w:szCs w:val="20"/>
        </w:rPr>
        <w:t>No comment.</w:t>
      </w:r>
    </w:p>
    <w:permEnd w:id="322722592"/>
    <w:p w:rsidR="002A40D1" w:rsidRDefault="00710EFD">
      <w:r>
        <w:t>&lt;ESMA_QUESTION_DP_BMR_30&gt;</w:t>
      </w:r>
    </w:p>
    <w:p w:rsidR="002A40D1" w:rsidRDefault="002A40D1"/>
    <w:p w:rsidR="002A40D1" w:rsidRDefault="00710EFD">
      <w:pPr>
        <w:pStyle w:val="Questionstyle"/>
      </w:pPr>
      <w:r>
        <w:t xml:space="preserve">Do you agree to the list of criteria that can justify differentiation? If not, please specify why you disagree. </w:t>
      </w:r>
    </w:p>
    <w:p w:rsidR="002A40D1" w:rsidRDefault="00710EFD">
      <w:r>
        <w:t>&lt;ESMA_QUESTION_DP_BMR_31&gt;</w:t>
      </w:r>
    </w:p>
    <w:p w:rsidR="002A40D1" w:rsidRDefault="00710EFD">
      <w:pPr>
        <w:jc w:val="both"/>
        <w:rPr>
          <w:rFonts w:cs="Arial"/>
          <w:szCs w:val="20"/>
        </w:rPr>
      </w:pPr>
      <w:permStart w:id="1115293390" w:edGrp="everyone"/>
      <w:r>
        <w:rPr>
          <w:rFonts w:cs="Arial"/>
          <w:szCs w:val="20"/>
        </w:rPr>
        <w:t>No comment.</w:t>
      </w:r>
    </w:p>
    <w:permEnd w:id="1115293390"/>
    <w:p w:rsidR="002A40D1" w:rsidRDefault="00710EFD">
      <w:r>
        <w:t>&lt;ESMA_QUESTION_DP_BMR_31&gt;</w:t>
      </w:r>
    </w:p>
    <w:p w:rsidR="002A40D1" w:rsidRDefault="002A40D1"/>
    <w:p w:rsidR="002A40D1" w:rsidRDefault="00710EFD">
      <w:pPr>
        <w:pStyle w:val="Questionstyle"/>
      </w:pPr>
      <w:r>
        <w:t>Do you agree to the list of elements that are amenable to proportional implementation? If not, please specify why you disagree.</w:t>
      </w:r>
    </w:p>
    <w:p w:rsidR="002A40D1" w:rsidRDefault="00710EFD">
      <w:r>
        <w:t>&lt;ESMA_QUESTION_DP_BMR_32&gt;</w:t>
      </w:r>
    </w:p>
    <w:p w:rsidR="002A40D1" w:rsidRDefault="00710EFD">
      <w:pPr>
        <w:jc w:val="both"/>
        <w:rPr>
          <w:rFonts w:cs="Arial"/>
          <w:szCs w:val="20"/>
        </w:rPr>
      </w:pPr>
      <w:permStart w:id="1132070249" w:edGrp="everyone"/>
      <w:r>
        <w:rPr>
          <w:rFonts w:cs="Arial"/>
          <w:szCs w:val="20"/>
        </w:rPr>
        <w:t>No comment.</w:t>
      </w:r>
    </w:p>
    <w:permEnd w:id="1132070249"/>
    <w:p w:rsidR="002A40D1" w:rsidRDefault="00710EFD">
      <w:r>
        <w:t>&lt;ESMA_QUESTION_DP_BMR_32&gt;</w:t>
      </w:r>
    </w:p>
    <w:p w:rsidR="002A40D1" w:rsidRDefault="002A40D1"/>
    <w:p w:rsidR="002A40D1" w:rsidRDefault="00710EFD">
      <w:pPr>
        <w:pStyle w:val="Questionstyle"/>
      </w:pPr>
      <w:r>
        <w:t>Do you agree to the list of elements that are not amenable to proportional implementation? If not, please specify why you disagree.</w:t>
      </w:r>
    </w:p>
    <w:p w:rsidR="002A40D1" w:rsidRDefault="00710EFD">
      <w:r>
        <w:t>&lt;ESMA_QUESTION_DP_BMR_33&gt;</w:t>
      </w:r>
    </w:p>
    <w:p w:rsidR="002A40D1" w:rsidRDefault="00710EFD">
      <w:pPr>
        <w:jc w:val="both"/>
        <w:rPr>
          <w:rFonts w:cs="Arial"/>
          <w:szCs w:val="20"/>
        </w:rPr>
      </w:pPr>
      <w:permStart w:id="1481665678" w:edGrp="everyone"/>
      <w:r>
        <w:rPr>
          <w:rFonts w:cs="Arial"/>
          <w:szCs w:val="20"/>
        </w:rPr>
        <w:t>No comment.</w:t>
      </w:r>
    </w:p>
    <w:permEnd w:id="1481665678"/>
    <w:p w:rsidR="002A40D1" w:rsidRDefault="00710EFD">
      <w:r>
        <w:t>&lt;ESMA_QUESTION_DP_BMR_33&gt;</w:t>
      </w:r>
    </w:p>
    <w:p w:rsidR="002A40D1" w:rsidRDefault="002A40D1"/>
    <w:p w:rsidR="002A40D1" w:rsidRDefault="00710EFD">
      <w:pPr>
        <w:pStyle w:val="Questionstyle"/>
      </w:pPr>
      <w:r>
        <w:t>Do you consider the proposed list of key elements sufficiently granular “</w:t>
      </w:r>
      <w:r>
        <w:rPr>
          <w:i/>
        </w:rPr>
        <w:t>to allow users to understand how a benchmark is provided and to assess its representativeness, its relevance to partic</w:t>
      </w:r>
      <w:r>
        <w:rPr>
          <w:i/>
        </w:rPr>
        <w:t>u</w:t>
      </w:r>
      <w:r>
        <w:rPr>
          <w:i/>
        </w:rPr>
        <w:t>lar users and its appropriateness as a reference for financial instruments and contracts</w:t>
      </w:r>
      <w:r>
        <w:t>”?</w:t>
      </w:r>
    </w:p>
    <w:p w:rsidR="002A40D1" w:rsidRDefault="00710EFD">
      <w:r>
        <w:t>&lt;ESMA_QUESTION_DP_BMR_34&gt;</w:t>
      </w:r>
    </w:p>
    <w:p w:rsidR="002A40D1" w:rsidRDefault="00710EFD">
      <w:pPr>
        <w:jc w:val="both"/>
        <w:rPr>
          <w:rFonts w:cs="Arial"/>
          <w:szCs w:val="20"/>
        </w:rPr>
      </w:pPr>
      <w:permStart w:id="39862592" w:edGrp="everyone"/>
      <w:r>
        <w:rPr>
          <w:rFonts w:cs="Arial"/>
          <w:szCs w:val="20"/>
        </w:rPr>
        <w:lastRenderedPageBreak/>
        <w:t>CME Group is of the opinion that a benchmark’s key methodological features, such as procedures regar</w:t>
      </w:r>
      <w:r>
        <w:rPr>
          <w:rFonts w:cs="Arial"/>
          <w:szCs w:val="20"/>
        </w:rPr>
        <w:t>d</w:t>
      </w:r>
      <w:r>
        <w:rPr>
          <w:rFonts w:cs="Arial"/>
          <w:szCs w:val="20"/>
        </w:rPr>
        <w:t>ing the data inputs and calculation methodology should be explicable and easily accessible to any pr</w:t>
      </w:r>
      <w:r>
        <w:rPr>
          <w:rFonts w:cs="Arial"/>
          <w:szCs w:val="20"/>
        </w:rPr>
        <w:t>o</w:t>
      </w:r>
      <w:r>
        <w:rPr>
          <w:rFonts w:cs="Arial"/>
          <w:szCs w:val="20"/>
        </w:rPr>
        <w:t xml:space="preserve">spective user. As a general principle we are of the opinion that a benchmark’s governance mechanism will promote public confidence in the benchmark if it provides transparency with respect to the quality and integrity of both the benchmark’s and the price assessments on which the benchmark is based. </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We agree with ESMA’s recognition in paragraph 118 of the DP that there should be limitations on the extent of transparency required to protect intellectual property rights and avoid exposing the benchmark to abusive practices such as front-running. We do not strongly disagree to the list of disclosures in paragraph 122 of the DP provided that in each case the required level of disclosure is subject to the aforementioned limitations. In certain cases, this may mean that it is sufficient for the administrator to provide a qualitative description of certain elements of the methodology and withhold quantitative details such as key decision making thresholds. </w:t>
      </w:r>
    </w:p>
    <w:permEnd w:id="39862592"/>
    <w:p w:rsidR="002A40D1" w:rsidRDefault="00710EFD">
      <w:r>
        <w:t>&lt;ESMA_QUESTION_DP_BMR_34&gt;</w:t>
      </w:r>
    </w:p>
    <w:p w:rsidR="002A40D1" w:rsidRDefault="002A40D1"/>
    <w:p w:rsidR="002A40D1" w:rsidRDefault="00710EFD">
      <w:pPr>
        <w:pStyle w:val="Questionstyle"/>
      </w:pPr>
      <w:r>
        <w:t>Beyond the list of key elements, could you identify other elements of benchmark methodology that should be disclosed? If yes, please explain the reason why these elements should be disclosed.</w:t>
      </w:r>
    </w:p>
    <w:p w:rsidR="002A40D1" w:rsidRDefault="00710EFD">
      <w:r>
        <w:t>&lt;ESMA_QUESTION_DP_BMR_35&gt;</w:t>
      </w:r>
    </w:p>
    <w:p w:rsidR="002A40D1" w:rsidRDefault="00710EFD">
      <w:pPr>
        <w:jc w:val="both"/>
        <w:rPr>
          <w:rFonts w:cs="Arial"/>
          <w:szCs w:val="20"/>
        </w:rPr>
      </w:pPr>
      <w:permStart w:id="250500468" w:edGrp="everyone"/>
      <w:r>
        <w:rPr>
          <w:rFonts w:cs="Arial"/>
          <w:szCs w:val="20"/>
        </w:rPr>
        <w:t>No comment.</w:t>
      </w:r>
    </w:p>
    <w:permEnd w:id="250500468"/>
    <w:p w:rsidR="002A40D1" w:rsidRDefault="00710EFD">
      <w:r>
        <w:t>&lt;ESMA_QUESTION_DP_BMR_35&gt;</w:t>
      </w:r>
    </w:p>
    <w:p w:rsidR="002A40D1" w:rsidRDefault="002A40D1"/>
    <w:p w:rsidR="002A40D1" w:rsidRDefault="00710EFD">
      <w:pPr>
        <w:pStyle w:val="Questionstyle"/>
      </w:pPr>
      <w:r>
        <w:t xml:space="preserve">Do you agree that the proposed key elements must be disclosed </w:t>
      </w:r>
      <w:r>
        <w:rPr>
          <w:i/>
        </w:rPr>
        <w:t>to the public</w:t>
      </w:r>
      <w:r>
        <w:t xml:space="preserve"> (linked to Article 3, para 1, subpara 1, point (a))? If not, please specify why not.</w:t>
      </w:r>
    </w:p>
    <w:p w:rsidR="002A40D1" w:rsidRDefault="00710EFD">
      <w:r>
        <w:t>&lt;ESMA_QUESTION_DP_BMR_36&gt;</w:t>
      </w:r>
    </w:p>
    <w:p w:rsidR="002A40D1" w:rsidRDefault="00710EFD">
      <w:pPr>
        <w:jc w:val="both"/>
        <w:rPr>
          <w:rFonts w:cs="Arial"/>
          <w:szCs w:val="20"/>
        </w:rPr>
      </w:pPr>
      <w:permStart w:id="560357419" w:edGrp="everyone"/>
      <w:r>
        <w:rPr>
          <w:rFonts w:cs="Arial"/>
          <w:szCs w:val="20"/>
        </w:rPr>
        <w:t>CME Group believes that it should be adequate to provide key elements of methodology to just the users rather than the public.</w:t>
      </w:r>
    </w:p>
    <w:permEnd w:id="560357419"/>
    <w:p w:rsidR="002A40D1" w:rsidRDefault="00710EFD">
      <w:r>
        <w:t>&lt;ESMA_QUESTION_DP_BMR_36&gt;</w:t>
      </w:r>
    </w:p>
    <w:p w:rsidR="002A40D1" w:rsidRDefault="002A40D1"/>
    <w:p w:rsidR="002A40D1" w:rsidRDefault="00710EFD">
      <w:pPr>
        <w:pStyle w:val="Questionstyle"/>
        <w:rPr>
          <w:noProof/>
        </w:rPr>
      </w:pPr>
      <w:r>
        <w:rPr>
          <w:noProof/>
        </w:rPr>
        <w:t>Do you agree with ESMA’s proposal about the information to be made public concerning the internal review of the methodology? Please suggest any other information you consider useful to disclose on the topic.</w:t>
      </w:r>
    </w:p>
    <w:p w:rsidR="002A40D1" w:rsidRDefault="00710EFD">
      <w:r>
        <w:t>&lt;ESMA_QUESTION_DP_BMR_37&gt;</w:t>
      </w:r>
    </w:p>
    <w:p w:rsidR="002A40D1" w:rsidRDefault="00710EFD">
      <w:pPr>
        <w:jc w:val="both"/>
        <w:rPr>
          <w:rFonts w:cs="Arial"/>
          <w:szCs w:val="20"/>
        </w:rPr>
      </w:pPr>
      <w:permStart w:id="2119138578" w:edGrp="everyone"/>
      <w:r>
        <w:rPr>
          <w:rFonts w:cs="Arial"/>
          <w:szCs w:val="20"/>
        </w:rPr>
        <w:t>CME Group agrees with ESMA’s proposal regarding the information to be made public concerning the internal review of the methodology. We support in particular ESMA’s proposal that the frequency of the internal review of the methodology should be determined individually for each benchmark, taking into account its characteristics and risk profile. We agree that both the frequency of reviews and the membe</w:t>
      </w:r>
      <w:r>
        <w:rPr>
          <w:rFonts w:cs="Arial"/>
          <w:szCs w:val="20"/>
        </w:rPr>
        <w:t>r</w:t>
      </w:r>
      <w:r>
        <w:rPr>
          <w:rFonts w:cs="Arial"/>
          <w:szCs w:val="20"/>
        </w:rPr>
        <w:t xml:space="preserve">ship of review-conducting bodies or functions should be published. </w:t>
      </w:r>
    </w:p>
    <w:permEnd w:id="2119138578"/>
    <w:p w:rsidR="002A40D1" w:rsidRDefault="00710EFD">
      <w:r>
        <w:t>&lt;ESMA_QUESTION_DP_BMR_37&gt;</w:t>
      </w:r>
    </w:p>
    <w:p w:rsidR="002A40D1" w:rsidRDefault="002A40D1"/>
    <w:p w:rsidR="002A40D1" w:rsidRDefault="00710EFD">
      <w:pPr>
        <w:pStyle w:val="Questionstyle"/>
        <w:rPr>
          <w:noProof/>
        </w:rPr>
      </w:pPr>
      <w:r>
        <w:rPr>
          <w:noProof/>
        </w:rPr>
        <w:t>Do you agree with the above proposals to specify the information to be provided to benchmark users and, more in general, stakeholders regarding material changes in benchmark methodology?</w:t>
      </w:r>
    </w:p>
    <w:p w:rsidR="002A40D1" w:rsidRDefault="00710EFD">
      <w:r>
        <w:t>&lt;ESMA_QUESTION_DP_BMR_38&gt;</w:t>
      </w:r>
    </w:p>
    <w:p w:rsidR="002A40D1" w:rsidRDefault="00710EFD">
      <w:pPr>
        <w:jc w:val="both"/>
        <w:rPr>
          <w:rFonts w:cs="Arial"/>
          <w:szCs w:val="20"/>
        </w:rPr>
      </w:pPr>
      <w:permStart w:id="156530055" w:edGrp="everyone"/>
      <w:r>
        <w:rPr>
          <w:rFonts w:cs="Arial"/>
          <w:szCs w:val="20"/>
        </w:rPr>
        <w:t xml:space="preserve">CME Group shares ESMA’s view that the procedure prescribed in Article </w:t>
      </w:r>
      <w:proofErr w:type="gramStart"/>
      <w:r>
        <w:rPr>
          <w:rFonts w:cs="Arial"/>
          <w:szCs w:val="20"/>
        </w:rPr>
        <w:t>7b(</w:t>
      </w:r>
      <w:proofErr w:type="gramEnd"/>
      <w:r>
        <w:rPr>
          <w:rFonts w:cs="Arial"/>
          <w:szCs w:val="20"/>
        </w:rPr>
        <w:t xml:space="preserve">2) of the BMR with regards to the publication of changes to the methodology is sufficiently detailed. As a general point, we believe that there is a significant value in having meaningful transparency requirements for administrators with regards to any changes to a benchmark. We support the BMR requirement that a benchmark administrator should solicit market input before adopting major changes to the methodology. As a user of benchmarks, CME Group provides input to such consultation if and when required. We also agree with ESMA’s suggestion </w:t>
      </w:r>
      <w:r>
        <w:rPr>
          <w:rFonts w:cs="Arial"/>
          <w:szCs w:val="20"/>
        </w:rPr>
        <w:lastRenderedPageBreak/>
        <w:t xml:space="preserve">that practical aspects of such consultation procedures should be determined by administrators on case by case basis in order to maximise their usefulness. </w:t>
      </w:r>
    </w:p>
    <w:permEnd w:id="156530055"/>
    <w:p w:rsidR="002A40D1" w:rsidRDefault="00710EFD">
      <w:r>
        <w:t>&lt;ESMA_QUESTION_DP_BMR_38&gt;</w:t>
      </w:r>
    </w:p>
    <w:p w:rsidR="002A40D1" w:rsidRDefault="002A40D1"/>
    <w:p w:rsidR="002A40D1" w:rsidRDefault="00710EFD">
      <w:pPr>
        <w:pStyle w:val="Questionstyle"/>
        <w:rPr>
          <w:noProof/>
        </w:rPr>
      </w:pPr>
      <w:r>
        <w:rPr>
          <w:noProof/>
        </w:rPr>
        <w:t xml:space="preserve">Do you agree, in particular, on the opportunity that also the replies received in response to the consultation are made available to the public, where allowed by respondents? </w:t>
      </w:r>
    </w:p>
    <w:p w:rsidR="002A40D1" w:rsidRDefault="00710EFD">
      <w:r>
        <w:t>&lt;ESMA_QUESTION_DP_BMR_39&gt;</w:t>
      </w:r>
    </w:p>
    <w:p w:rsidR="002A40D1" w:rsidRDefault="00710EFD">
      <w:pPr>
        <w:jc w:val="both"/>
        <w:rPr>
          <w:rFonts w:cs="Arial"/>
          <w:szCs w:val="20"/>
        </w:rPr>
      </w:pPr>
      <w:permStart w:id="1355816046" w:edGrp="everyone"/>
      <w:r>
        <w:rPr>
          <w:rFonts w:cs="Arial"/>
          <w:szCs w:val="20"/>
        </w:rPr>
        <w:t>CME Group considers that it is a default position for all public consultations that responses can be made available to the public unless respondents specifically request that their submission is treated as confide</w:t>
      </w:r>
      <w:r>
        <w:rPr>
          <w:rFonts w:cs="Arial"/>
          <w:szCs w:val="20"/>
        </w:rPr>
        <w:t>n</w:t>
      </w:r>
      <w:r>
        <w:rPr>
          <w:rFonts w:cs="Arial"/>
          <w:szCs w:val="20"/>
        </w:rPr>
        <w:t>tial. To ensure that consultations are meaningful, respondents must have confidence that their submission will be kept confidential where requested. This is particularly important when a respondent provides sens</w:t>
      </w:r>
      <w:r>
        <w:rPr>
          <w:rFonts w:cs="Arial"/>
          <w:szCs w:val="20"/>
        </w:rPr>
        <w:t>i</w:t>
      </w:r>
      <w:r>
        <w:rPr>
          <w:rFonts w:cs="Arial"/>
          <w:szCs w:val="20"/>
        </w:rPr>
        <w:t>tive information about the use of a benchmark, such as the value of exposures of financial instruments referencing a given benchmark or other commercially-relevant/sensitive information. To this end, admini</w:t>
      </w:r>
      <w:r>
        <w:rPr>
          <w:rFonts w:cs="Arial"/>
          <w:szCs w:val="20"/>
        </w:rPr>
        <w:t>s</w:t>
      </w:r>
      <w:r>
        <w:rPr>
          <w:rFonts w:cs="Arial"/>
          <w:szCs w:val="20"/>
        </w:rPr>
        <w:t xml:space="preserve">trator’s procedures should clearly safeguard the confidentiality of a response should the respondent request such treatment. </w:t>
      </w:r>
    </w:p>
    <w:permEnd w:id="1355816046"/>
    <w:p w:rsidR="002A40D1" w:rsidRDefault="00710EFD">
      <w:r>
        <w:t>&lt;ESMA_QUESTION_DP_BMR_39&gt;</w:t>
      </w:r>
    </w:p>
    <w:p w:rsidR="002A40D1" w:rsidRDefault="002A40D1"/>
    <w:p w:rsidR="002A40D1" w:rsidRDefault="00710EFD">
      <w:pPr>
        <w:pStyle w:val="Questionstyle"/>
      </w:pPr>
      <w:r>
        <w:t>Do you agree that the publication requirements for key elements of methodology apply r</w:t>
      </w:r>
      <w:r>
        <w:t>e</w:t>
      </w:r>
      <w:r>
        <w:t>gardless of benchmark type? If not, please state which type of benchmark would be exempt / which elements of methodology would be exempt and why.</w:t>
      </w:r>
    </w:p>
    <w:p w:rsidR="002A40D1" w:rsidRDefault="00710EFD">
      <w:r>
        <w:t>&lt;ESMA_QUESTION_DP_BMR_40&gt;</w:t>
      </w:r>
    </w:p>
    <w:p w:rsidR="002A40D1" w:rsidRDefault="00710EFD">
      <w:pPr>
        <w:jc w:val="both"/>
        <w:rPr>
          <w:rFonts w:cs="Arial"/>
          <w:szCs w:val="20"/>
        </w:rPr>
      </w:pPr>
      <w:permStart w:id="462226295" w:edGrp="everyone"/>
      <w:r>
        <w:rPr>
          <w:rFonts w:cs="Arial"/>
          <w:szCs w:val="20"/>
        </w:rPr>
        <w:t>No comment.</w:t>
      </w:r>
    </w:p>
    <w:permEnd w:id="462226295"/>
    <w:p w:rsidR="002A40D1" w:rsidRDefault="00710EFD">
      <w:r>
        <w:t>&lt;ESMA_QUESTION_DP_BMR_40&gt;</w:t>
      </w:r>
    </w:p>
    <w:p w:rsidR="002A40D1" w:rsidRDefault="002A40D1"/>
    <w:p w:rsidR="002A40D1" w:rsidRDefault="00710EFD">
      <w:pPr>
        <w:pStyle w:val="Questionstyle"/>
      </w:pPr>
      <w:r>
        <w:t>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rsidR="002A40D1" w:rsidRDefault="00710EFD">
      <w:r>
        <w:t>&lt;ESMA_QUESTION_DP_BMR_41&gt;</w:t>
      </w:r>
    </w:p>
    <w:p w:rsidR="002A40D1" w:rsidRDefault="00710EFD">
      <w:pPr>
        <w:jc w:val="both"/>
        <w:rPr>
          <w:rFonts w:cs="Arial"/>
          <w:szCs w:val="20"/>
        </w:rPr>
      </w:pPr>
      <w:permStart w:id="975973076" w:edGrp="everyone"/>
      <w:r>
        <w:rPr>
          <w:rFonts w:cs="Arial"/>
          <w:szCs w:val="20"/>
        </w:rPr>
        <w:t>No comment.</w:t>
      </w:r>
    </w:p>
    <w:permEnd w:id="975973076"/>
    <w:p w:rsidR="002A40D1" w:rsidRDefault="00710EFD">
      <w:r>
        <w:t>&lt;ESMA_QUESTION_DP_BMR_41&gt;</w:t>
      </w:r>
    </w:p>
    <w:p w:rsidR="002A40D1" w:rsidRDefault="002A40D1"/>
    <w:p w:rsidR="002A40D1" w:rsidRDefault="00710EFD">
      <w:pPr>
        <w:pStyle w:val="Questionstyle"/>
      </w:pPr>
      <w:r>
        <w:t>Do you agree that, in the requirements regarding the procedure for material change, the pr</w:t>
      </w:r>
      <w:r>
        <w:t>o</w:t>
      </w:r>
      <w:r>
        <w:t>portionality built into the Level 1 text covers all needs for proportional application?</w:t>
      </w:r>
    </w:p>
    <w:p w:rsidR="002A40D1" w:rsidRDefault="00710EFD">
      <w:r>
        <w:t>&lt;ESMA_QUESTION_DP_BMR_42&gt;</w:t>
      </w:r>
    </w:p>
    <w:p w:rsidR="002A40D1" w:rsidRDefault="00710EFD">
      <w:pPr>
        <w:jc w:val="both"/>
        <w:rPr>
          <w:rFonts w:cs="Arial"/>
          <w:szCs w:val="20"/>
        </w:rPr>
      </w:pPr>
      <w:permStart w:id="876044141" w:edGrp="everyone"/>
      <w:r>
        <w:rPr>
          <w:rFonts w:cs="Arial"/>
          <w:szCs w:val="20"/>
        </w:rPr>
        <w:t>No comment.</w:t>
      </w:r>
    </w:p>
    <w:permEnd w:id="876044141"/>
    <w:p w:rsidR="002A40D1" w:rsidRDefault="00710EFD">
      <w:r>
        <w:t>&lt;ESMA_QUESTION_DP_BMR_42&gt;</w:t>
      </w:r>
    </w:p>
    <w:p w:rsidR="002A40D1" w:rsidRDefault="002A40D1"/>
    <w:p w:rsidR="002A40D1" w:rsidRDefault="00710EFD">
      <w:pPr>
        <w:pStyle w:val="Questionstyle"/>
      </w:pPr>
      <w:r>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rsidR="002A40D1" w:rsidRDefault="00710EFD">
      <w:r>
        <w:t>&lt;ESMA_QUESTION_DP_BMR_43&gt;</w:t>
      </w:r>
    </w:p>
    <w:p w:rsidR="002A40D1" w:rsidRDefault="00710EFD">
      <w:pPr>
        <w:jc w:val="both"/>
        <w:rPr>
          <w:rFonts w:cs="Arial"/>
          <w:szCs w:val="20"/>
        </w:rPr>
      </w:pPr>
      <w:permStart w:id="2027057689" w:edGrp="everyone"/>
      <w:r>
        <w:rPr>
          <w:rFonts w:cs="Arial"/>
          <w:szCs w:val="20"/>
        </w:rPr>
        <w:t>A benchmark administrator may or may not feel it appropriate to use a standard code of conduct depen</w:t>
      </w:r>
      <w:r>
        <w:rPr>
          <w:rFonts w:cs="Arial"/>
          <w:szCs w:val="20"/>
        </w:rPr>
        <w:t>d</w:t>
      </w:r>
      <w:r>
        <w:rPr>
          <w:rFonts w:cs="Arial"/>
          <w:szCs w:val="20"/>
        </w:rPr>
        <w:t xml:space="preserve">ing on the characteristics of their benchmarks so the use of a standard code of conduct should not be mandatory. CME Group therefore opposes any rigid “one-size-fits-all” approach with regards to the code of conduct although it agrees that administrators with several benchmarks should be permitted to make </w:t>
      </w:r>
      <w:r>
        <w:rPr>
          <w:rFonts w:cs="Arial"/>
          <w:szCs w:val="20"/>
        </w:rPr>
        <w:lastRenderedPageBreak/>
        <w:t>them as consistent as they reasonably can should they so wish. We welcome in particular the final BMR provisions that allow exemptions from this requirement for certain submission-based commodity benc</w:t>
      </w:r>
      <w:r>
        <w:rPr>
          <w:rFonts w:cs="Arial"/>
          <w:szCs w:val="20"/>
        </w:rPr>
        <w:t>h</w:t>
      </w:r>
      <w:r>
        <w:rPr>
          <w:rFonts w:cs="Arial"/>
          <w:szCs w:val="20"/>
        </w:rPr>
        <w:t>marks. We believe that if universally accepted by the stakeholders, codes of conducts can have some utility. However, we believe this can be achieved only if the code of conduct is sufficiently tailored to a specific asset class / market that the benchmark seeks to measure, and when the stakeholders have been given an opportunity to provide input in the course of a consultation process. As a general rule, a benc</w:t>
      </w:r>
      <w:r>
        <w:rPr>
          <w:rFonts w:cs="Arial"/>
          <w:szCs w:val="20"/>
        </w:rPr>
        <w:t>h</w:t>
      </w:r>
      <w:r>
        <w:rPr>
          <w:rFonts w:cs="Arial"/>
          <w:szCs w:val="20"/>
        </w:rPr>
        <w:t>mark administrator should be able to maintain the maximum flexibility with regards to the formulation of the code of conduct, due to the diversity of the underlying, the methodology and the nature of the contrib</w:t>
      </w:r>
      <w:r>
        <w:rPr>
          <w:rFonts w:cs="Arial"/>
          <w:szCs w:val="20"/>
        </w:rPr>
        <w:t>u</w:t>
      </w:r>
      <w:r>
        <w:rPr>
          <w:rFonts w:cs="Arial"/>
          <w:szCs w:val="20"/>
        </w:rPr>
        <w:t xml:space="preserve">tors (e.g. regulated versus non-regulated entities). </w:t>
      </w:r>
    </w:p>
    <w:p w:rsidR="002A40D1" w:rsidRDefault="002A40D1">
      <w:pPr>
        <w:jc w:val="both"/>
        <w:rPr>
          <w:rFonts w:cs="Arial"/>
          <w:szCs w:val="20"/>
        </w:rPr>
      </w:pPr>
    </w:p>
    <w:p w:rsidR="002A40D1" w:rsidRDefault="00710EFD">
      <w:pPr>
        <w:jc w:val="both"/>
        <w:rPr>
          <w:rFonts w:cs="Arial"/>
          <w:szCs w:val="20"/>
        </w:rPr>
      </w:pPr>
      <w:r>
        <w:rPr>
          <w:rFonts w:cs="Arial"/>
          <w:szCs w:val="20"/>
        </w:rPr>
        <w:t>A code of conduct should include an increasingly scalable level of responsibility that is correlated to the level of subjectivity used in determining the benchmark. Therefore, a code of conduct for transaction-based benchmarks could include less prescriptive rules because determining such benchmark should naturally be a robust and objective process. On the other hand, relying upon committed quotes may necessitate some judgment and therefore a code of conduct for such benchmark should be more stri</w:t>
      </w:r>
      <w:r>
        <w:rPr>
          <w:rFonts w:cs="Arial"/>
          <w:szCs w:val="20"/>
        </w:rPr>
        <w:t>n</w:t>
      </w:r>
      <w:r>
        <w:rPr>
          <w:rFonts w:cs="Arial"/>
          <w:szCs w:val="20"/>
        </w:rPr>
        <w:t>gent. Finally, benchmarks that rely exclusively or at least primarily on administrator judgment would oste</w:t>
      </w:r>
      <w:r>
        <w:rPr>
          <w:rFonts w:cs="Arial"/>
          <w:szCs w:val="20"/>
        </w:rPr>
        <w:t>n</w:t>
      </w:r>
      <w:r>
        <w:rPr>
          <w:rFonts w:cs="Arial"/>
          <w:szCs w:val="20"/>
        </w:rPr>
        <w:t xml:space="preserve">sibly have the highest level of responsibility embedded within the code of conduct. </w:t>
      </w:r>
    </w:p>
    <w:permEnd w:id="2027057689"/>
    <w:p w:rsidR="002A40D1" w:rsidRDefault="00710EFD">
      <w:r>
        <w:t>&lt;ESMA_QUESTION_DP_BMR_43&gt;</w:t>
      </w:r>
    </w:p>
    <w:p w:rsidR="002A40D1" w:rsidRDefault="002A40D1"/>
    <w:p w:rsidR="002A40D1" w:rsidRDefault="00710EFD">
      <w:pPr>
        <w:pStyle w:val="Questionstyle"/>
      </w:pPr>
      <w:r>
        <w:t>Do you believe that an administrator should be mandated to tailor a code of conduct, depen</w:t>
      </w:r>
      <w:r>
        <w:t>d</w:t>
      </w:r>
      <w:r>
        <w:t>ing on the market or economic reality it seeks to measure and/or the methodology applied for the determination of the benchmark? Please explain your answer using examples of different categories or sectors of benchmarks, where applicable.</w:t>
      </w:r>
    </w:p>
    <w:p w:rsidR="002A40D1" w:rsidRDefault="00710EFD">
      <w:r>
        <w:t>&lt;ESMA_QUESTION_DP_BMR_44&gt;</w:t>
      </w:r>
    </w:p>
    <w:p w:rsidR="002A40D1" w:rsidRDefault="00710EFD">
      <w:pPr>
        <w:jc w:val="both"/>
        <w:rPr>
          <w:rFonts w:cs="Arial"/>
          <w:szCs w:val="20"/>
        </w:rPr>
      </w:pPr>
      <w:permStart w:id="970027557" w:edGrp="everyone"/>
      <w:r>
        <w:rPr>
          <w:rFonts w:cs="Arial"/>
          <w:szCs w:val="20"/>
        </w:rPr>
        <w:t>Following on from our comments to Question 43, CME Group is of the opinion that benchmark administr</w:t>
      </w:r>
      <w:r>
        <w:rPr>
          <w:rFonts w:cs="Arial"/>
          <w:szCs w:val="20"/>
        </w:rPr>
        <w:t>a</w:t>
      </w:r>
      <w:r>
        <w:rPr>
          <w:rFonts w:cs="Arial"/>
          <w:szCs w:val="20"/>
        </w:rPr>
        <w:t>tors should be given maximum flexibility with regards to the formulation of the code of conduct although administrators with several benchmarks should be permitted to make them as consistent as they reason</w:t>
      </w:r>
      <w:r>
        <w:rPr>
          <w:rFonts w:cs="Arial"/>
          <w:szCs w:val="20"/>
        </w:rPr>
        <w:t>a</w:t>
      </w:r>
      <w:r>
        <w:rPr>
          <w:rFonts w:cs="Arial"/>
          <w:szCs w:val="20"/>
        </w:rPr>
        <w:t xml:space="preserve">bly can should they so wish.  </w:t>
      </w:r>
    </w:p>
    <w:permEnd w:id="970027557"/>
    <w:p w:rsidR="002A40D1" w:rsidRDefault="00710EFD">
      <w:r>
        <w:t>&lt;ESMA_QUESTION_DP_BMR_44&gt;</w:t>
      </w:r>
    </w:p>
    <w:p w:rsidR="002A40D1" w:rsidRDefault="002A40D1"/>
    <w:p w:rsidR="002A40D1" w:rsidRDefault="00710EFD">
      <w:pPr>
        <w:pStyle w:val="Questionstyle"/>
      </w:pPr>
      <w:r>
        <w:t>Do you agree with the above requirements for a contributor’s contribution process? Is there anything else that should be included?</w:t>
      </w:r>
    </w:p>
    <w:p w:rsidR="002A40D1" w:rsidRDefault="00710EFD">
      <w:r>
        <w:t>&lt;ESMA_QUESTION_DP_BMR_45&gt;</w:t>
      </w:r>
    </w:p>
    <w:p w:rsidR="002A40D1" w:rsidRDefault="00710EFD">
      <w:pPr>
        <w:jc w:val="both"/>
        <w:rPr>
          <w:rFonts w:cs="Arial"/>
          <w:szCs w:val="20"/>
        </w:rPr>
      </w:pPr>
      <w:permStart w:id="30627391" w:edGrp="everyone"/>
      <w:r>
        <w:rPr>
          <w:rFonts w:cs="Arial"/>
          <w:szCs w:val="20"/>
        </w:rPr>
        <w:t>No comment.</w:t>
      </w:r>
    </w:p>
    <w:permEnd w:id="30627391"/>
    <w:p w:rsidR="002A40D1" w:rsidRDefault="00710EFD">
      <w:r>
        <w:t>&lt;ESMA_QUESTION_DP_BMR_45&gt;</w:t>
      </w:r>
    </w:p>
    <w:p w:rsidR="002A40D1" w:rsidRDefault="002A40D1"/>
    <w:p w:rsidR="002A40D1" w:rsidRDefault="00710EFD">
      <w:pPr>
        <w:pStyle w:val="Questionstyle"/>
      </w:pPr>
      <w:r>
        <w:t>Do you agree that the details of the code of conduct to be specified by ESMA may still allow administrators to tailor the details of their codes of conduct with respect to the specific benchmarks provided?</w:t>
      </w:r>
    </w:p>
    <w:p w:rsidR="002A40D1" w:rsidRDefault="00710EFD">
      <w:r>
        <w:t>&lt;ESMA_QUESTION_DP_BMR_46&gt;</w:t>
      </w:r>
    </w:p>
    <w:p w:rsidR="002A40D1" w:rsidRDefault="00710EFD">
      <w:pPr>
        <w:jc w:val="both"/>
        <w:rPr>
          <w:rFonts w:cs="Arial"/>
          <w:szCs w:val="20"/>
        </w:rPr>
      </w:pPr>
      <w:permStart w:id="42281983" w:edGrp="everyone"/>
      <w:r>
        <w:rPr>
          <w:rFonts w:cs="Arial"/>
          <w:szCs w:val="20"/>
        </w:rPr>
        <w:t>No comment.</w:t>
      </w:r>
    </w:p>
    <w:permEnd w:id="42281983"/>
    <w:p w:rsidR="002A40D1" w:rsidRDefault="00710EFD">
      <w:r>
        <w:t>&lt;ESMA_QUESTION_DP_BMR_46&gt;</w:t>
      </w:r>
    </w:p>
    <w:p w:rsidR="002A40D1" w:rsidRDefault="002A40D1"/>
    <w:p w:rsidR="002A40D1" w:rsidRDefault="00710EFD">
      <w:pPr>
        <w:pStyle w:val="Questionstyle"/>
      </w:pPr>
      <w:r>
        <w:t>Do you agree that such information should be required from contributors under the code of conduct? Should any additional information be requested?</w:t>
      </w:r>
    </w:p>
    <w:p w:rsidR="002A40D1" w:rsidRDefault="00710EFD">
      <w:r>
        <w:t>&lt;ESMA_QUESTION_DP_BMR_47&gt;</w:t>
      </w:r>
    </w:p>
    <w:p w:rsidR="002A40D1" w:rsidRDefault="00710EFD">
      <w:pPr>
        <w:jc w:val="both"/>
        <w:rPr>
          <w:rFonts w:cs="Arial"/>
          <w:szCs w:val="20"/>
        </w:rPr>
      </w:pPr>
      <w:permStart w:id="864831874" w:edGrp="everyone"/>
      <w:r>
        <w:rPr>
          <w:rFonts w:cs="Arial"/>
          <w:szCs w:val="20"/>
        </w:rPr>
        <w:t>No comment.</w:t>
      </w:r>
    </w:p>
    <w:permEnd w:id="864831874"/>
    <w:p w:rsidR="002A40D1" w:rsidRDefault="00710EFD">
      <w:r>
        <w:t>&lt;ESMA_QUESTION_DP_BMR_47&gt;</w:t>
      </w:r>
    </w:p>
    <w:p w:rsidR="002A40D1" w:rsidRDefault="002A40D1"/>
    <w:p w:rsidR="002A40D1" w:rsidRDefault="00710EFD">
      <w:pPr>
        <w:pStyle w:val="Questionstyle"/>
      </w:pPr>
      <w:r>
        <w:lastRenderedPageBreak/>
        <w:t>Are their ways in which contributors may manage possible conflicts of interest at the level of the submitters? Should those conflicts, where managed, be disclosed to the administrator?</w:t>
      </w:r>
    </w:p>
    <w:p w:rsidR="002A40D1" w:rsidRDefault="00710EFD">
      <w:r>
        <w:t>&lt;ESMA_QUESTION_DP_BMR_48&gt;</w:t>
      </w:r>
    </w:p>
    <w:p w:rsidR="002A40D1" w:rsidRDefault="00710EFD">
      <w:pPr>
        <w:jc w:val="both"/>
        <w:rPr>
          <w:rFonts w:cs="Arial"/>
          <w:szCs w:val="20"/>
        </w:rPr>
      </w:pPr>
      <w:permStart w:id="1471500772" w:edGrp="everyone"/>
      <w:r>
        <w:rPr>
          <w:rFonts w:cs="Arial"/>
          <w:szCs w:val="20"/>
        </w:rPr>
        <w:t>No comment.</w:t>
      </w:r>
    </w:p>
    <w:permEnd w:id="1471500772"/>
    <w:p w:rsidR="002A40D1" w:rsidRDefault="00710EFD">
      <w:r>
        <w:t>&lt;ESMA_QUESTION_DP_BMR_48&gt;</w:t>
      </w:r>
    </w:p>
    <w:p w:rsidR="002A40D1" w:rsidRDefault="002A40D1"/>
    <w:p w:rsidR="002A40D1" w:rsidRDefault="00710EFD">
      <w:pPr>
        <w:pStyle w:val="Questionstyle"/>
      </w:pPr>
      <w:r>
        <w:t>Do you foresee any obstacles to the administrator’s ability to evaluate the authorisation of any submitters to contribute input data on behalf of a contributor?</w:t>
      </w:r>
    </w:p>
    <w:p w:rsidR="002A40D1" w:rsidRDefault="00710EFD">
      <w:r>
        <w:t>&lt;ESMA_QUESTION_DP_BMR_49&gt;</w:t>
      </w:r>
    </w:p>
    <w:p w:rsidR="002A40D1" w:rsidRDefault="00710EFD">
      <w:pPr>
        <w:jc w:val="both"/>
        <w:rPr>
          <w:rFonts w:cs="Arial"/>
          <w:szCs w:val="20"/>
        </w:rPr>
      </w:pPr>
      <w:permStart w:id="1332179910" w:edGrp="everyone"/>
      <w:r>
        <w:rPr>
          <w:rFonts w:cs="Arial"/>
          <w:szCs w:val="20"/>
        </w:rPr>
        <w:t xml:space="preserve">CME Group is of the opinion that the primary responsibility for ensuring that submitters are authorised to contribute data should lie with contributors. A change in the authority of a submitter is not necessarily something that the administrator can be expected to be aware of. While the administrator may be able to take certain steps to satisfy itself of the authority of a submitter via the procedures in the code of conduct it should be made clear that the administrator is entitled to rely on the ostensible authority of the submitter unless in the circumstances such reliance is not reasonable.  </w:t>
      </w:r>
    </w:p>
    <w:p w:rsidR="002A40D1" w:rsidRDefault="002A40D1">
      <w:pPr>
        <w:jc w:val="both"/>
        <w:rPr>
          <w:rFonts w:cs="Arial"/>
          <w:szCs w:val="20"/>
        </w:rPr>
      </w:pPr>
    </w:p>
    <w:permEnd w:id="1332179910"/>
    <w:p w:rsidR="002A40D1" w:rsidRDefault="00710EFD">
      <w:r>
        <w:t>&lt;ESMA_QUESTION_DP_BMR_49&gt;</w:t>
      </w:r>
    </w:p>
    <w:p w:rsidR="002A40D1" w:rsidRDefault="002A40D1"/>
    <w:p w:rsidR="002A40D1" w:rsidRDefault="00710EFD">
      <w:pPr>
        <w:pStyle w:val="Questionstyle"/>
      </w:pPr>
      <w:r>
        <w:t>Do you agree that a contributor’s contribution process should foresee clear rules for the excl</w:t>
      </w:r>
      <w:r>
        <w:t>u</w:t>
      </w:r>
      <w:r>
        <w:t>sion of data sources? Should any other information be supplied to administrators to allow them to ensure contributors have provided all relevant input data?</w:t>
      </w:r>
    </w:p>
    <w:p w:rsidR="002A40D1" w:rsidRDefault="00710EFD">
      <w:r>
        <w:t>&lt;ESMA_QUESTION_DP_BMR_50&gt;</w:t>
      </w:r>
    </w:p>
    <w:p w:rsidR="002A40D1" w:rsidRDefault="00710EFD">
      <w:pPr>
        <w:jc w:val="both"/>
        <w:rPr>
          <w:rFonts w:cs="Arial"/>
          <w:szCs w:val="20"/>
        </w:rPr>
      </w:pPr>
      <w:permStart w:id="85812997" w:edGrp="everyone"/>
      <w:r>
        <w:rPr>
          <w:rFonts w:cs="Arial"/>
          <w:szCs w:val="20"/>
        </w:rPr>
        <w:t>No comment.</w:t>
      </w:r>
    </w:p>
    <w:permEnd w:id="85812997"/>
    <w:p w:rsidR="002A40D1" w:rsidRDefault="00710EFD">
      <w:r>
        <w:t>&lt;ESMA_QUESTION_DP_BMR_50&gt;</w:t>
      </w:r>
    </w:p>
    <w:p w:rsidR="002A40D1" w:rsidRDefault="002A40D1"/>
    <w:p w:rsidR="002A40D1" w:rsidRDefault="00710EFD">
      <w:pPr>
        <w:pStyle w:val="Questionstyle"/>
      </w:pPr>
      <w:r>
        <w:t>Do you think that the listed procedures for submitting input data are comprehensive? If not, what is missing?</w:t>
      </w:r>
    </w:p>
    <w:p w:rsidR="002A40D1" w:rsidRDefault="00710EFD">
      <w:r>
        <w:t>&lt;ESMA_QUESTION_DP_BMR_51&gt;</w:t>
      </w:r>
    </w:p>
    <w:p w:rsidR="002A40D1" w:rsidRDefault="00710EFD">
      <w:pPr>
        <w:jc w:val="both"/>
        <w:rPr>
          <w:rFonts w:cs="Arial"/>
          <w:szCs w:val="20"/>
        </w:rPr>
      </w:pPr>
      <w:permStart w:id="2113884725" w:edGrp="everyone"/>
      <w:r>
        <w:rPr>
          <w:rFonts w:cs="Arial"/>
          <w:szCs w:val="20"/>
        </w:rPr>
        <w:t>CME Group believes that the listed procedures for submitting input data seem fairly expansive and pr</w:t>
      </w:r>
      <w:r>
        <w:rPr>
          <w:rFonts w:cs="Arial"/>
          <w:szCs w:val="20"/>
        </w:rPr>
        <w:t>e</w:t>
      </w:r>
      <w:r>
        <w:rPr>
          <w:rFonts w:cs="Arial"/>
          <w:szCs w:val="20"/>
        </w:rPr>
        <w:t>scriptive.</w:t>
      </w:r>
    </w:p>
    <w:permEnd w:id="2113884725"/>
    <w:p w:rsidR="002A40D1" w:rsidRDefault="00710EFD">
      <w:r>
        <w:t>&lt;ESMA_QUESTION_DP_BMR_51&gt;</w:t>
      </w:r>
    </w:p>
    <w:p w:rsidR="002A40D1" w:rsidRDefault="002A40D1"/>
    <w:p w:rsidR="002A40D1" w:rsidRDefault="00710EFD">
      <w:pPr>
        <w:pStyle w:val="Questionstyle"/>
      </w:pPr>
      <w:r>
        <w:t>Do you agree that rules are necessary to provide consistency of contributors’ behaviour over the time? Should this be set out in the code of conduct or in the benchmark methodology, or both?</w:t>
      </w:r>
    </w:p>
    <w:p w:rsidR="002A40D1" w:rsidRDefault="00710EFD">
      <w:r>
        <w:t>&lt;ESMA_QUESTION_DP_BMR_52&gt;</w:t>
      </w:r>
    </w:p>
    <w:p w:rsidR="002A40D1" w:rsidRDefault="00710EFD">
      <w:pPr>
        <w:jc w:val="both"/>
        <w:rPr>
          <w:rFonts w:cs="Arial"/>
          <w:szCs w:val="20"/>
        </w:rPr>
      </w:pPr>
      <w:permStart w:id="1517838911" w:edGrp="everyone"/>
      <w:r>
        <w:rPr>
          <w:rFonts w:cs="Arial"/>
          <w:szCs w:val="20"/>
        </w:rPr>
        <w:t>No comment.</w:t>
      </w:r>
    </w:p>
    <w:permEnd w:id="1517838911"/>
    <w:p w:rsidR="002A40D1" w:rsidRDefault="00710EFD">
      <w:r>
        <w:t>&lt;ESMA_QUESTION_DP_BMR_52&gt;</w:t>
      </w:r>
    </w:p>
    <w:p w:rsidR="002A40D1" w:rsidRDefault="002A40D1"/>
    <w:p w:rsidR="002A40D1" w:rsidRDefault="00710EFD">
      <w:pPr>
        <w:pStyle w:val="Questionstyle"/>
      </w:pPr>
      <w:r>
        <w:t xml:space="preserve">Should policies, in addition to those set out in the methodology, be in place at the level of the contributors, regarding the use of discretion in providing input data? </w:t>
      </w:r>
    </w:p>
    <w:p w:rsidR="002A40D1" w:rsidRDefault="00710EFD">
      <w:r>
        <w:t>&lt;ESMA_QUESTION_DP_BMR_53&gt;</w:t>
      </w:r>
    </w:p>
    <w:p w:rsidR="002A40D1" w:rsidRDefault="00710EFD">
      <w:pPr>
        <w:jc w:val="both"/>
        <w:rPr>
          <w:rFonts w:cs="Arial"/>
          <w:szCs w:val="20"/>
        </w:rPr>
      </w:pPr>
      <w:permStart w:id="1257637332" w:edGrp="everyone"/>
      <w:r>
        <w:rPr>
          <w:rFonts w:cs="Arial"/>
          <w:szCs w:val="20"/>
        </w:rPr>
        <w:t>No comment.</w:t>
      </w:r>
    </w:p>
    <w:permEnd w:id="1257637332"/>
    <w:p w:rsidR="002A40D1" w:rsidRDefault="00710EFD">
      <w:r>
        <w:t>&lt;ESMA_QUESTION_DP_BMR_53&gt;</w:t>
      </w:r>
    </w:p>
    <w:p w:rsidR="002A40D1" w:rsidRDefault="002A40D1"/>
    <w:p w:rsidR="002A40D1" w:rsidRDefault="00710EFD">
      <w:pPr>
        <w:pStyle w:val="Questionstyle"/>
      </w:pPr>
      <w:r>
        <w:t xml:space="preserve">Do you agree with the list of checks for validation purposes? What other methods could be included? </w:t>
      </w:r>
    </w:p>
    <w:p w:rsidR="002A40D1" w:rsidRDefault="00710EFD">
      <w:r>
        <w:lastRenderedPageBreak/>
        <w:t>&lt;ESMA_QUESTION_DP_BMR_54&gt;</w:t>
      </w:r>
    </w:p>
    <w:p w:rsidR="002A40D1" w:rsidRDefault="00710EFD">
      <w:pPr>
        <w:jc w:val="both"/>
        <w:rPr>
          <w:rFonts w:cs="Arial"/>
          <w:szCs w:val="20"/>
        </w:rPr>
      </w:pPr>
      <w:permStart w:id="640252266" w:edGrp="everyone"/>
      <w:r>
        <w:rPr>
          <w:rFonts w:cs="Arial"/>
          <w:szCs w:val="20"/>
        </w:rPr>
        <w:t>No comment.</w:t>
      </w:r>
    </w:p>
    <w:permEnd w:id="640252266"/>
    <w:p w:rsidR="002A40D1" w:rsidRDefault="00710EFD">
      <w:r>
        <w:t>&lt;ESMA_QUESTION_DP_BMR_54&gt;</w:t>
      </w:r>
    </w:p>
    <w:p w:rsidR="002A40D1" w:rsidRDefault="002A40D1"/>
    <w:p w:rsidR="002A40D1" w:rsidRDefault="00710EFD">
      <w:pPr>
        <w:pStyle w:val="Questionstyle"/>
      </w:pPr>
      <w:r>
        <w:t>Do you agree with the minimum information requirement for record keeping? If not would you propose additional/alternative information?</w:t>
      </w:r>
    </w:p>
    <w:p w:rsidR="002A40D1" w:rsidRDefault="00710EFD">
      <w:r>
        <w:t>&lt;ESMA_QUESTION_DP_BMR_55&gt;</w:t>
      </w:r>
    </w:p>
    <w:p w:rsidR="002A40D1" w:rsidRDefault="00710EFD">
      <w:pPr>
        <w:jc w:val="both"/>
        <w:rPr>
          <w:rFonts w:cs="Arial"/>
          <w:szCs w:val="20"/>
        </w:rPr>
      </w:pPr>
      <w:permStart w:id="1336684598" w:edGrp="everyone"/>
      <w:r>
        <w:rPr>
          <w:rFonts w:cs="Arial"/>
          <w:szCs w:val="20"/>
        </w:rPr>
        <w:t>No comment.</w:t>
      </w:r>
    </w:p>
    <w:permEnd w:id="1336684598"/>
    <w:p w:rsidR="002A40D1" w:rsidRDefault="00710EFD">
      <w:r>
        <w:t>&lt;ESMA_QUESTION_DP_BMR_55&gt;</w:t>
      </w:r>
    </w:p>
    <w:p w:rsidR="002A40D1" w:rsidRDefault="002A40D1"/>
    <w:p w:rsidR="002A40D1" w:rsidRDefault="00710EFD">
      <w:pPr>
        <w:pStyle w:val="Questionstyle"/>
      </w:pPr>
      <w:r>
        <w:t>Do you support the recording of the use of expert judgement and of discretion? Should admi</w:t>
      </w:r>
      <w:r>
        <w:t>n</w:t>
      </w:r>
      <w:r>
        <w:t>istrators require the same records for all types of benchmarks?</w:t>
      </w:r>
    </w:p>
    <w:p w:rsidR="002A40D1" w:rsidRDefault="00710EFD">
      <w:r>
        <w:t>&lt;ESMA_QUESTION_DP_BMR_56&gt;</w:t>
      </w:r>
    </w:p>
    <w:p w:rsidR="002A40D1" w:rsidRDefault="00710EFD">
      <w:pPr>
        <w:jc w:val="both"/>
        <w:rPr>
          <w:rFonts w:cs="Arial"/>
          <w:szCs w:val="20"/>
        </w:rPr>
      </w:pPr>
      <w:permStart w:id="984105195" w:edGrp="everyone"/>
      <w:r>
        <w:rPr>
          <w:rFonts w:cs="Arial"/>
          <w:szCs w:val="20"/>
        </w:rPr>
        <w:t>No comment.</w:t>
      </w:r>
    </w:p>
    <w:permEnd w:id="984105195"/>
    <w:p w:rsidR="002A40D1" w:rsidRDefault="00710EFD">
      <w:r>
        <w:t>&lt;ESMA_QUESTION_DP_BMR_56&gt;</w:t>
      </w:r>
    </w:p>
    <w:p w:rsidR="002A40D1" w:rsidRDefault="002A40D1"/>
    <w:p w:rsidR="002A40D1" w:rsidRDefault="00710EFD">
      <w:pPr>
        <w:pStyle w:val="Questionstyle"/>
      </w:pPr>
      <w:r>
        <w:t xml:space="preserve">Do you agree that an administrator could require contributors to have in place a documented   escalation process to report suspicious transactions?  </w:t>
      </w:r>
    </w:p>
    <w:p w:rsidR="002A40D1" w:rsidRDefault="00710EFD">
      <w:r>
        <w:t>&lt;ESMA_QUESTION_DP_BMR_57&gt;</w:t>
      </w:r>
    </w:p>
    <w:p w:rsidR="002A40D1" w:rsidRDefault="00710EFD">
      <w:pPr>
        <w:jc w:val="both"/>
        <w:rPr>
          <w:rFonts w:cs="Arial"/>
          <w:szCs w:val="20"/>
        </w:rPr>
      </w:pPr>
      <w:permStart w:id="900626567" w:edGrp="everyone"/>
      <w:r>
        <w:rPr>
          <w:rFonts w:cs="Arial"/>
          <w:szCs w:val="20"/>
        </w:rPr>
        <w:t>No comment.</w:t>
      </w:r>
    </w:p>
    <w:permEnd w:id="900626567"/>
    <w:p w:rsidR="002A40D1" w:rsidRDefault="00710EFD">
      <w:r>
        <w:t>&lt;ESMA_QUESTION_DP_BMR_57&gt;</w:t>
      </w:r>
    </w:p>
    <w:p w:rsidR="002A40D1" w:rsidRDefault="002A40D1"/>
    <w:p w:rsidR="002A40D1" w:rsidRDefault="00710EFD">
      <w:pPr>
        <w:pStyle w:val="Questionstyle"/>
      </w:pPr>
      <w:r>
        <w:t>Do you agree with the list of policies, procedures and controls that would allow the identific</w:t>
      </w:r>
      <w:r>
        <w:t>a</w:t>
      </w:r>
      <w:r>
        <w:t>tion and management of conflicts of interest? Should other requirements be included?</w:t>
      </w:r>
    </w:p>
    <w:p w:rsidR="002A40D1" w:rsidRDefault="00710EFD">
      <w:r>
        <w:t>&lt;ESMA_QUESTION_DP_BMR_58&gt;</w:t>
      </w:r>
    </w:p>
    <w:p w:rsidR="002A40D1" w:rsidRDefault="00710EFD">
      <w:pPr>
        <w:jc w:val="both"/>
        <w:rPr>
          <w:rFonts w:cs="Arial"/>
          <w:szCs w:val="20"/>
        </w:rPr>
      </w:pPr>
      <w:permStart w:id="792003034" w:edGrp="everyone"/>
      <w:r>
        <w:rPr>
          <w:rFonts w:cs="Arial"/>
          <w:szCs w:val="20"/>
        </w:rPr>
        <w:t>No comment.</w:t>
      </w:r>
    </w:p>
    <w:permEnd w:id="792003034"/>
    <w:p w:rsidR="002A40D1" w:rsidRDefault="00710EFD">
      <w:r>
        <w:t>&lt;ESMA_QUESTION_DP_BMR_58&gt;</w:t>
      </w:r>
    </w:p>
    <w:p w:rsidR="002A40D1" w:rsidRDefault="002A40D1"/>
    <w:p w:rsidR="002A40D1" w:rsidRDefault="00710EFD">
      <w:pPr>
        <w:pStyle w:val="Questionstyle"/>
      </w:pPr>
      <w:r>
        <w:t>Do you have any additional comments with regard to the contents of a code of conduct in accordance with Article 9(2)?</w:t>
      </w:r>
    </w:p>
    <w:p w:rsidR="002A40D1" w:rsidRDefault="00710EFD">
      <w:r>
        <w:t>&lt;ESMA_QUESTION_DP_BMR_59&gt;</w:t>
      </w:r>
    </w:p>
    <w:p w:rsidR="002A40D1" w:rsidRDefault="00710EFD">
      <w:pPr>
        <w:jc w:val="both"/>
        <w:rPr>
          <w:rFonts w:cs="Arial"/>
          <w:szCs w:val="20"/>
        </w:rPr>
      </w:pPr>
      <w:permStart w:id="1373718547" w:edGrp="everyone"/>
      <w:r>
        <w:rPr>
          <w:rFonts w:cs="Arial"/>
          <w:szCs w:val="20"/>
        </w:rPr>
        <w:t xml:space="preserve">CME Group has no additional comments. </w:t>
      </w:r>
    </w:p>
    <w:permEnd w:id="1373718547"/>
    <w:p w:rsidR="002A40D1" w:rsidRDefault="00710EFD">
      <w:r>
        <w:t>&lt;ESMA_QUESTION_DP_BMR_59&gt;</w:t>
      </w:r>
    </w:p>
    <w:p w:rsidR="002A40D1" w:rsidRDefault="002A40D1"/>
    <w:p w:rsidR="002A40D1" w:rsidRDefault="00710EFD">
      <w:pPr>
        <w:pStyle w:val="Questionstyle"/>
      </w:pPr>
      <w:r>
        <w:t>Do you agree with the above list of requirements? Do you think that those requirements are appropriate for all benchmarks? If not what do you think should be the criteria we should use?</w:t>
      </w:r>
    </w:p>
    <w:p w:rsidR="002A40D1" w:rsidRDefault="00710EFD">
      <w:r>
        <w:t>&lt;ESMA_QUESTION_DP_BMR_60&gt;</w:t>
      </w:r>
    </w:p>
    <w:p w:rsidR="002A40D1" w:rsidRDefault="00710EFD">
      <w:pPr>
        <w:jc w:val="both"/>
        <w:rPr>
          <w:rFonts w:cs="Arial"/>
          <w:szCs w:val="20"/>
        </w:rPr>
      </w:pPr>
      <w:permStart w:id="1263755005" w:edGrp="everyone"/>
      <w:r>
        <w:rPr>
          <w:rFonts w:cs="Arial"/>
          <w:szCs w:val="20"/>
        </w:rPr>
        <w:t>CME Group has not responded to Questions 60-70 as we consider that contributors are better placed to answer these.</w:t>
      </w:r>
    </w:p>
    <w:permEnd w:id="1263755005"/>
    <w:p w:rsidR="002A40D1" w:rsidRDefault="00710EFD">
      <w:r>
        <w:t>&lt;ESMA_QUESTION_DP_BMR_60&gt;</w:t>
      </w:r>
    </w:p>
    <w:p w:rsidR="002A40D1" w:rsidRDefault="002A40D1"/>
    <w:p w:rsidR="002A40D1" w:rsidRDefault="00710EFD">
      <w:pPr>
        <w:pStyle w:val="Questionstyle"/>
      </w:pPr>
      <w:r>
        <w:t xml:space="preserve">Do you agree that information regarding breaches to the BMR or to Code of Conduct should also be made available to the Benchmark Administrator? </w:t>
      </w:r>
    </w:p>
    <w:p w:rsidR="002A40D1" w:rsidRDefault="00710EFD">
      <w:r>
        <w:t>&lt;ESMA_QUESTION_DP_BMR_61&gt;</w:t>
      </w:r>
    </w:p>
    <w:p w:rsidR="002A40D1" w:rsidRDefault="00710EFD">
      <w:permStart w:id="1325431404" w:edGrp="everyone"/>
      <w:r>
        <w:t>TYPE YOUR TEXT HERE</w:t>
      </w:r>
    </w:p>
    <w:permEnd w:id="1325431404"/>
    <w:p w:rsidR="002A40D1" w:rsidRDefault="00710EFD">
      <w:r>
        <w:lastRenderedPageBreak/>
        <w:t>&lt;ESMA_QUESTION_DP_BMR_61&gt;</w:t>
      </w:r>
    </w:p>
    <w:p w:rsidR="002A40D1" w:rsidRDefault="002A40D1"/>
    <w:p w:rsidR="002A40D1" w:rsidRDefault="00710EFD">
      <w:pPr>
        <w:pStyle w:val="Questionstyle"/>
      </w:pPr>
      <w:r>
        <w:t>Do you think that the external audit covering benchmark activities, where available, should also be made available, on request, to the Benchmark Administrator?</w:t>
      </w:r>
    </w:p>
    <w:p w:rsidR="002A40D1" w:rsidRDefault="00710EFD">
      <w:r>
        <w:t>&lt;ESMA_QUESTION_DP_BMR_62&gt;</w:t>
      </w:r>
    </w:p>
    <w:p w:rsidR="002A40D1" w:rsidRDefault="00710EFD">
      <w:permStart w:id="1359377707" w:edGrp="everyone"/>
      <w:r>
        <w:t>TYPE YOUR TEXT HERE</w:t>
      </w:r>
    </w:p>
    <w:permEnd w:id="1359377707"/>
    <w:p w:rsidR="002A40D1" w:rsidRDefault="00710EFD">
      <w:r>
        <w:t>&lt;ESMA_QUESTION_DP_BMR_62&gt;</w:t>
      </w:r>
    </w:p>
    <w:p w:rsidR="002A40D1" w:rsidRDefault="002A40D1"/>
    <w:p w:rsidR="002A40D1" w:rsidRDefault="00710EFD">
      <w:pPr>
        <w:pStyle w:val="Questionstyle"/>
      </w:pPr>
      <w:r>
        <w:t>Do you agree with the proposed criteria for the specific elements of systems and controls as listed in Article 11(2)(a) to (c)?  If not, what should be alternative criteria to substantiate these el</w:t>
      </w:r>
      <w:r>
        <w:t>e</w:t>
      </w:r>
      <w:r>
        <w:t xml:space="preserve">ments? </w:t>
      </w:r>
    </w:p>
    <w:p w:rsidR="002A40D1" w:rsidRDefault="00710EFD">
      <w:r>
        <w:t>&lt;ESMA_QUESTION_DP_BMR_63&gt;</w:t>
      </w:r>
    </w:p>
    <w:p w:rsidR="002A40D1" w:rsidRDefault="00710EFD">
      <w:permStart w:id="37365361" w:edGrp="everyone"/>
      <w:r>
        <w:t>TYPE YOUR TEXT HERE</w:t>
      </w:r>
    </w:p>
    <w:permEnd w:id="37365361"/>
    <w:p w:rsidR="002A40D1" w:rsidRDefault="00710EFD">
      <w:r>
        <w:t>&lt;ESMA_QUESTION_DP_BMR_63&gt;</w:t>
      </w:r>
    </w:p>
    <w:p w:rsidR="002A40D1" w:rsidRDefault="002A40D1"/>
    <w:p w:rsidR="002A40D1" w:rsidRDefault="00710EFD">
      <w:pPr>
        <w:pStyle w:val="Questionstyle"/>
      </w:pPr>
      <w:r>
        <w:t>Do you agree that the submitters should not be remunerated for the level of their contribution but could be remunerated for the quality of input and their ability to manage the conflicts of interest instead?</w:t>
      </w:r>
    </w:p>
    <w:p w:rsidR="002A40D1" w:rsidRDefault="00710EFD">
      <w:r>
        <w:t>&lt;ESMA_QUESTION_DP_BMR_64&gt;</w:t>
      </w:r>
    </w:p>
    <w:p w:rsidR="002A40D1" w:rsidRDefault="00710EFD">
      <w:permStart w:id="1630800815" w:edGrp="everyone"/>
      <w:r>
        <w:t>TYPE YOUR TEXT HERE</w:t>
      </w:r>
    </w:p>
    <w:permEnd w:id="1630800815"/>
    <w:p w:rsidR="002A40D1" w:rsidRDefault="00710EFD">
      <w:r>
        <w:t>&lt;ESMA_QUESTION_DP_BMR_64&gt;</w:t>
      </w:r>
    </w:p>
    <w:p w:rsidR="002A40D1" w:rsidRDefault="002A40D1"/>
    <w:p w:rsidR="002A40D1" w:rsidRDefault="00710EFD">
      <w:pPr>
        <w:pStyle w:val="Questionstyle"/>
      </w:pPr>
      <w:r>
        <w:t>What would be a reasonable delay for signing-off on the contribution? What are the reasons that would justify a delay in the sign off?</w:t>
      </w:r>
    </w:p>
    <w:p w:rsidR="002A40D1" w:rsidRDefault="00710EFD">
      <w:r>
        <w:t>&lt;ESMA_QUESTION_DP_BMR_65&gt;</w:t>
      </w:r>
    </w:p>
    <w:p w:rsidR="002A40D1" w:rsidRDefault="00710EFD">
      <w:permStart w:id="787569143" w:edGrp="everyone"/>
      <w:r>
        <w:t>TYPE YOUR TEXT HERE</w:t>
      </w:r>
    </w:p>
    <w:permEnd w:id="787569143"/>
    <w:p w:rsidR="002A40D1" w:rsidRDefault="00710EFD">
      <w:r>
        <w:t>&lt;ESMA_QUESTION_DP_BMR_65&gt;</w:t>
      </w:r>
    </w:p>
    <w:p w:rsidR="002A40D1" w:rsidRDefault="002A40D1"/>
    <w:p w:rsidR="002A40D1" w:rsidRDefault="00710EFD">
      <w:pPr>
        <w:pStyle w:val="Questionstyle"/>
      </w:pPr>
      <w:r>
        <w:t xml:space="preserve">Is the mentioned delay an element that may be established by the administrator in line with the applicable methodology and in consideration of the underlying, of the type of input data and of supervised contributors? </w:t>
      </w:r>
    </w:p>
    <w:p w:rsidR="002A40D1" w:rsidRDefault="00710EFD">
      <w:r>
        <w:t>&lt;ESMA_QUESTION_DP_BMR_66&gt;</w:t>
      </w:r>
    </w:p>
    <w:p w:rsidR="002A40D1" w:rsidRDefault="00710EFD">
      <w:permStart w:id="353832724" w:edGrp="everyone"/>
      <w:r>
        <w:t>TYPE YOUR TEXT HERE</w:t>
      </w:r>
    </w:p>
    <w:permEnd w:id="353832724"/>
    <w:p w:rsidR="002A40D1" w:rsidRDefault="00710EFD">
      <w:r>
        <w:t>&lt;ESMA_QUESTION_DP_BMR_66&gt;</w:t>
      </w:r>
    </w:p>
    <w:p w:rsidR="002A40D1" w:rsidRDefault="002A40D1"/>
    <w:p w:rsidR="002A40D1" w:rsidRDefault="00710EFD">
      <w:pPr>
        <w:pStyle w:val="Questionstyle"/>
      </w:pPr>
      <w:r>
        <w:t xml:space="preserve">In case of a contribution made through an automated process what should be the adequate level of seniority for signing-off? </w:t>
      </w:r>
    </w:p>
    <w:p w:rsidR="002A40D1" w:rsidRDefault="00710EFD">
      <w:r>
        <w:t>&lt;ESMA_QUESTION_DP_BMR_67&gt;</w:t>
      </w:r>
    </w:p>
    <w:p w:rsidR="002A40D1" w:rsidRDefault="00710EFD">
      <w:permStart w:id="2056009364" w:edGrp="everyone"/>
      <w:r>
        <w:t>TYPE YOUR TEXT HERE</w:t>
      </w:r>
    </w:p>
    <w:permEnd w:id="2056009364"/>
    <w:p w:rsidR="002A40D1" w:rsidRDefault="00710EFD">
      <w:r>
        <w:t>&lt;ESMA_QUESTION_DP_BMR_67&gt;</w:t>
      </w:r>
    </w:p>
    <w:p w:rsidR="002A40D1" w:rsidRDefault="002A40D1"/>
    <w:p w:rsidR="002A40D1" w:rsidRDefault="00710EFD">
      <w:pPr>
        <w:pStyle w:val="Questionstyle"/>
      </w:pPr>
      <w:r>
        <w:t xml:space="preserve">Do you agree with the above policies? Are there any other policies that should be in place at contributor’s level when expert judgement is used? </w:t>
      </w:r>
    </w:p>
    <w:p w:rsidR="002A40D1" w:rsidRDefault="00710EFD">
      <w:r>
        <w:t>&lt;ESMA_QUESTION_DP_BMR_68&gt;</w:t>
      </w:r>
    </w:p>
    <w:p w:rsidR="002A40D1" w:rsidRDefault="00710EFD">
      <w:permStart w:id="987898893" w:edGrp="everyone"/>
      <w:r>
        <w:lastRenderedPageBreak/>
        <w:t>TYPE YOUR TEXT HERE</w:t>
      </w:r>
    </w:p>
    <w:permEnd w:id="987898893"/>
    <w:p w:rsidR="002A40D1" w:rsidRDefault="00710EFD">
      <w:r>
        <w:t>&lt;ESMA_QUESTION_DP_BMR_68&gt;</w:t>
      </w:r>
    </w:p>
    <w:p w:rsidR="002A40D1" w:rsidRDefault="002A40D1"/>
    <w:p w:rsidR="002A40D1" w:rsidRDefault="00710EFD">
      <w:pPr>
        <w:pStyle w:val="Questionstyle"/>
      </w:pPr>
      <w:r>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rsidR="002A40D1" w:rsidRDefault="00710EFD">
      <w:r>
        <w:t>&lt;ESMA_QUESTION_DP_BMR_69&gt;</w:t>
      </w:r>
    </w:p>
    <w:p w:rsidR="002A40D1" w:rsidRDefault="00710EFD">
      <w:permStart w:id="73155114" w:edGrp="everyone"/>
      <w:r>
        <w:t>TYPE YOUR TEXT HERE</w:t>
      </w:r>
    </w:p>
    <w:permEnd w:id="73155114"/>
    <w:p w:rsidR="002A40D1" w:rsidRDefault="00710EFD">
      <w:r>
        <w:t>&lt;ESMA_QUESTION_DP_BMR_69&gt;</w:t>
      </w:r>
    </w:p>
    <w:p w:rsidR="002A40D1" w:rsidRDefault="002A40D1"/>
    <w:p w:rsidR="002A40D1" w:rsidRDefault="00710EFD">
      <w:pPr>
        <w:pStyle w:val="Questionstyle"/>
      </w:pPr>
      <w:r>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2A40D1" w:rsidRDefault="00710EFD">
      <w:r>
        <w:t>&lt;ESMA_QUESTION_DP_BMR_70&gt;</w:t>
      </w:r>
    </w:p>
    <w:p w:rsidR="002A40D1" w:rsidRDefault="00710EFD">
      <w:permStart w:id="921205736" w:edGrp="everyone"/>
      <w:r>
        <w:t>TYPE YOUR TEXT HERE</w:t>
      </w:r>
    </w:p>
    <w:permEnd w:id="921205736"/>
    <w:p w:rsidR="002A40D1" w:rsidRDefault="00710EFD">
      <w:r>
        <w:t>&lt;ESMA_QUESTION_DP_BMR_70&gt;</w:t>
      </w:r>
    </w:p>
    <w:p w:rsidR="002A40D1" w:rsidRDefault="002A40D1"/>
    <w:p w:rsidR="002A40D1" w:rsidRDefault="00710EFD">
      <w:pPr>
        <w:pStyle w:val="Questionstyle"/>
      </w:pPr>
      <w:r>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2A40D1" w:rsidRDefault="00710EFD">
      <w:r>
        <w:t>&lt;ESMA_QUESTION_DP_BMR_71&gt;</w:t>
      </w:r>
    </w:p>
    <w:p w:rsidR="002A40D1" w:rsidRDefault="00710EFD">
      <w:pPr>
        <w:jc w:val="both"/>
        <w:rPr>
          <w:rFonts w:cs="Arial"/>
          <w:szCs w:val="20"/>
        </w:rPr>
      </w:pPr>
      <w:permStart w:id="328083912" w:edGrp="everyone"/>
      <w:r>
        <w:rPr>
          <w:rFonts w:cs="Arial"/>
          <w:szCs w:val="20"/>
        </w:rPr>
        <w:t>No comment.</w:t>
      </w:r>
    </w:p>
    <w:permEnd w:id="328083912"/>
    <w:p w:rsidR="002A40D1" w:rsidRDefault="00710EFD">
      <w:r>
        <w:t>&lt;ESMA_QUESTION_DP_BMR_71&gt;</w:t>
      </w:r>
    </w:p>
    <w:p w:rsidR="002A40D1" w:rsidRDefault="002A40D1"/>
    <w:p w:rsidR="002A40D1" w:rsidRDefault="00710EFD">
      <w:pPr>
        <w:pStyle w:val="Questionstyle"/>
      </w:pPr>
      <w:r>
        <w:t xml:space="preserve">Are you aware of any shares in companies, other securities equivalent to shares in companies, partnerships or other entities, depositary receipts in respect of shares, emission allowances for which a benchmark is used as a reference? </w:t>
      </w:r>
    </w:p>
    <w:p w:rsidR="002A40D1" w:rsidRDefault="00710EFD">
      <w:r>
        <w:t>&lt;ESMA_QUESTION_DP_BMR_72&gt;</w:t>
      </w:r>
    </w:p>
    <w:p w:rsidR="002A40D1" w:rsidRDefault="00710EFD">
      <w:pPr>
        <w:jc w:val="both"/>
        <w:rPr>
          <w:rFonts w:cs="Arial"/>
          <w:szCs w:val="20"/>
        </w:rPr>
      </w:pPr>
      <w:permStart w:id="243361915" w:edGrp="everyone"/>
      <w:r>
        <w:rPr>
          <w:rFonts w:cs="Arial"/>
          <w:szCs w:val="20"/>
        </w:rPr>
        <w:t>No comment.</w:t>
      </w:r>
    </w:p>
    <w:permEnd w:id="243361915"/>
    <w:p w:rsidR="002A40D1" w:rsidRDefault="00710EFD">
      <w:r>
        <w:t>&lt;ESMA_QUESTION_DP_BMR_72&gt;</w:t>
      </w:r>
    </w:p>
    <w:p w:rsidR="002A40D1" w:rsidRDefault="002A40D1"/>
    <w:p w:rsidR="002A40D1" w:rsidRDefault="00710EFD">
      <w:pPr>
        <w:pStyle w:val="Questionstyle"/>
      </w:pPr>
      <w:r>
        <w:t>Do you have any suggestion for defining the assessment of the nominal amount of these fina</w:t>
      </w:r>
      <w:r>
        <w:t>n</w:t>
      </w:r>
      <w:r>
        <w:t>cial instruments when they refer to a benchmark?</w:t>
      </w:r>
    </w:p>
    <w:p w:rsidR="002A40D1" w:rsidRDefault="00710EFD">
      <w:r>
        <w:t>&lt;ESMA_QUESTION_DP_BMR_73&gt;</w:t>
      </w:r>
    </w:p>
    <w:p w:rsidR="002A40D1" w:rsidRDefault="00710EFD">
      <w:pPr>
        <w:jc w:val="both"/>
        <w:rPr>
          <w:rFonts w:cs="Arial"/>
          <w:szCs w:val="20"/>
        </w:rPr>
      </w:pPr>
      <w:permStart w:id="423370650" w:edGrp="everyone"/>
      <w:r>
        <w:rPr>
          <w:rFonts w:cs="Arial"/>
          <w:szCs w:val="20"/>
        </w:rPr>
        <w:t>No comment.</w:t>
      </w:r>
    </w:p>
    <w:permEnd w:id="423370650"/>
    <w:p w:rsidR="002A40D1" w:rsidRDefault="00710EFD">
      <w:r>
        <w:t>&lt;ESMA_QUESTION_DP_BMR_73&gt;</w:t>
      </w:r>
    </w:p>
    <w:p w:rsidR="002A40D1" w:rsidRDefault="002A40D1"/>
    <w:p w:rsidR="002A40D1" w:rsidRDefault="00710EFD">
      <w:pPr>
        <w:pStyle w:val="Questionstyle"/>
      </w:pPr>
      <w:r>
        <w:t>Do you agree with ESMA proposal in relation to the value of units in collective investment undertakings? If not, please explain why</w:t>
      </w:r>
    </w:p>
    <w:p w:rsidR="002A40D1" w:rsidRDefault="00710EFD">
      <w:r>
        <w:t>&lt;ESMA_QUESTION_DP_BMR_74&gt;</w:t>
      </w:r>
    </w:p>
    <w:p w:rsidR="002A40D1" w:rsidRDefault="00710EFD">
      <w:pPr>
        <w:jc w:val="both"/>
        <w:rPr>
          <w:rFonts w:cs="Arial"/>
          <w:szCs w:val="20"/>
        </w:rPr>
      </w:pPr>
      <w:permStart w:id="1904625864" w:edGrp="everyone"/>
      <w:r>
        <w:rPr>
          <w:rFonts w:cs="Arial"/>
          <w:szCs w:val="20"/>
        </w:rPr>
        <w:t>No comment.</w:t>
      </w:r>
    </w:p>
    <w:permEnd w:id="1904625864"/>
    <w:p w:rsidR="002A40D1" w:rsidRDefault="00710EFD">
      <w:r>
        <w:t>&lt;ESMA_QUESTION_DP_BMR_74&gt;</w:t>
      </w:r>
    </w:p>
    <w:p w:rsidR="002A40D1" w:rsidRDefault="002A40D1"/>
    <w:p w:rsidR="002A40D1" w:rsidRDefault="00710EFD">
      <w:pPr>
        <w:pStyle w:val="Questionstyle"/>
      </w:pPr>
      <w:r>
        <w:lastRenderedPageBreak/>
        <w:t>Do you agree with the approach of using the notional amount, as used and defined in the EMIR reporting regime, for the assessment of notional amount of derivatives under BMR Article 13(1)(i)? If not, please suggest alternative approaches.</w:t>
      </w:r>
    </w:p>
    <w:p w:rsidR="002A40D1" w:rsidRDefault="00710EFD">
      <w:r>
        <w:t>&lt;ESMA_QUESTION_DP_BMR_75&gt;</w:t>
      </w:r>
    </w:p>
    <w:p w:rsidR="002A40D1" w:rsidRDefault="00710EFD">
      <w:pPr>
        <w:jc w:val="both"/>
        <w:rPr>
          <w:rFonts w:cs="Arial"/>
          <w:szCs w:val="20"/>
        </w:rPr>
      </w:pPr>
      <w:permStart w:id="47213288" w:edGrp="everyone"/>
      <w:r>
        <w:rPr>
          <w:rFonts w:cs="Arial"/>
          <w:szCs w:val="20"/>
        </w:rPr>
        <w:t>CME Group has significant concerns with regards to the methodology of the threshold calculations under the BMR. The thresholds that the BMR prescribes for critical and significant benchmarks are based on the calculation of the total value of financial instruments, financial contracts and investment funds for which they serve as a reference. We note that benchmark administrators will have to conduct those calculations, even though they do not have control over the financial instruments, financial contracts or investment funds which use the benchmark. The major issues identified relate to data gathering by benchmark admi</w:t>
      </w:r>
      <w:r>
        <w:rPr>
          <w:rFonts w:cs="Arial"/>
          <w:szCs w:val="20"/>
        </w:rPr>
        <w:t>n</w:t>
      </w:r>
      <w:r>
        <w:rPr>
          <w:rFonts w:cs="Arial"/>
          <w:szCs w:val="20"/>
        </w:rPr>
        <w:t xml:space="preserve">istrators and the overall ability of benchmark administrators to conduct reliable threshold calculations, the frequency of conducting threshold assessments and territorial scope. Our comments are discussed in more detail below: </w:t>
      </w:r>
    </w:p>
    <w:p w:rsidR="002A40D1" w:rsidRDefault="002A40D1">
      <w:pPr>
        <w:jc w:val="both"/>
        <w:rPr>
          <w:rFonts w:cs="Arial"/>
          <w:szCs w:val="20"/>
        </w:rPr>
      </w:pPr>
    </w:p>
    <w:p w:rsidR="002A40D1" w:rsidRDefault="00710EFD">
      <w:pPr>
        <w:numPr>
          <w:ilvl w:val="0"/>
          <w:numId w:val="40"/>
        </w:numPr>
        <w:jc w:val="both"/>
        <w:rPr>
          <w:rFonts w:cs="Arial"/>
          <w:szCs w:val="20"/>
        </w:rPr>
      </w:pPr>
      <w:r>
        <w:rPr>
          <w:rFonts w:cs="Arial"/>
          <w:b/>
          <w:szCs w:val="20"/>
        </w:rPr>
        <w:t>Data gathering</w:t>
      </w:r>
      <w:r>
        <w:rPr>
          <w:rFonts w:cs="Arial"/>
          <w:szCs w:val="20"/>
        </w:rPr>
        <w:t xml:space="preserve"> - We agree with ESMA’s proposal to link the BMR definition of “</w:t>
      </w:r>
      <w:r>
        <w:rPr>
          <w:rFonts w:cs="Arial"/>
          <w:i/>
          <w:szCs w:val="20"/>
        </w:rPr>
        <w:t>notional amount of derivative contract</w:t>
      </w:r>
      <w:r>
        <w:rPr>
          <w:rFonts w:cs="Arial"/>
          <w:szCs w:val="20"/>
        </w:rPr>
        <w:t>” with the definition already existing in the EMIR regulatory technical stan</w:t>
      </w:r>
      <w:r>
        <w:rPr>
          <w:rFonts w:cs="Arial"/>
          <w:szCs w:val="20"/>
        </w:rPr>
        <w:t>d</w:t>
      </w:r>
      <w:r>
        <w:rPr>
          <w:rFonts w:cs="Arial"/>
          <w:szCs w:val="20"/>
        </w:rPr>
        <w:t>ards on trade reporting (RTS). However, with regards to ESMA’s proposal of quantifying the n</w:t>
      </w:r>
      <w:r>
        <w:rPr>
          <w:rFonts w:cs="Arial"/>
          <w:szCs w:val="20"/>
        </w:rPr>
        <w:t>o</w:t>
      </w:r>
      <w:r>
        <w:rPr>
          <w:rFonts w:cs="Arial"/>
          <w:szCs w:val="20"/>
        </w:rPr>
        <w:t>tional amount of derivatives referencing a benchmark by using data reported to Trade Reposit</w:t>
      </w:r>
      <w:r>
        <w:rPr>
          <w:rFonts w:cs="Arial"/>
          <w:szCs w:val="20"/>
        </w:rPr>
        <w:t>o</w:t>
      </w:r>
      <w:r>
        <w:rPr>
          <w:rFonts w:cs="Arial"/>
          <w:szCs w:val="20"/>
        </w:rPr>
        <w:t xml:space="preserve">ries, we can identify a number of practical </w:t>
      </w:r>
      <w:proofErr w:type="gramStart"/>
      <w:r>
        <w:rPr>
          <w:rFonts w:cs="Arial"/>
          <w:szCs w:val="20"/>
        </w:rPr>
        <w:t>challenges.</w:t>
      </w:r>
      <w:proofErr w:type="gramEnd"/>
      <w:r>
        <w:rPr>
          <w:rFonts w:cs="Arial"/>
          <w:szCs w:val="20"/>
        </w:rPr>
        <w:t xml:space="preserve"> In addition to issues regarding the identif</w:t>
      </w:r>
      <w:r>
        <w:rPr>
          <w:rFonts w:cs="Arial"/>
          <w:szCs w:val="20"/>
        </w:rPr>
        <w:t>i</w:t>
      </w:r>
      <w:r>
        <w:rPr>
          <w:rFonts w:cs="Arial"/>
          <w:szCs w:val="20"/>
        </w:rPr>
        <w:t>cation of an underlying index of a derivative contract reported to a Trade Repository, which ESMA discusses in the DP, there is a more general problem of access to data held by Trade Reposit</w:t>
      </w:r>
      <w:r>
        <w:rPr>
          <w:rFonts w:cs="Arial"/>
          <w:szCs w:val="20"/>
        </w:rPr>
        <w:t>o</w:t>
      </w:r>
      <w:r>
        <w:rPr>
          <w:rFonts w:cs="Arial"/>
          <w:szCs w:val="20"/>
        </w:rPr>
        <w:t>ries. Such access is limited to ESMA and the national competent authorities of certain CCPs and trading venues that are relevant to the contract. Benchmark administrators will not have such a</w:t>
      </w:r>
      <w:r>
        <w:rPr>
          <w:rFonts w:cs="Arial"/>
          <w:szCs w:val="20"/>
        </w:rPr>
        <w:t>c</w:t>
      </w:r>
      <w:r>
        <w:rPr>
          <w:rFonts w:cs="Arial"/>
          <w:szCs w:val="20"/>
        </w:rPr>
        <w:t xml:space="preserve">cess. Therefore, such solution would not be workable in practice, unless changes to EU law would allow administrators to access Trade Repository data. </w:t>
      </w:r>
    </w:p>
    <w:p w:rsidR="002A40D1" w:rsidRDefault="002A40D1">
      <w:pPr>
        <w:ind w:left="720"/>
        <w:jc w:val="both"/>
        <w:rPr>
          <w:rFonts w:cs="Arial"/>
          <w:szCs w:val="20"/>
        </w:rPr>
      </w:pPr>
    </w:p>
    <w:p w:rsidR="002A40D1" w:rsidRDefault="00710EFD">
      <w:pPr>
        <w:ind w:left="720"/>
        <w:jc w:val="both"/>
        <w:rPr>
          <w:rFonts w:cs="Arial"/>
          <w:szCs w:val="20"/>
        </w:rPr>
      </w:pPr>
      <w:r>
        <w:rPr>
          <w:rFonts w:cs="Arial"/>
          <w:szCs w:val="20"/>
        </w:rPr>
        <w:t>ESMA have not proposed how administrators would access such data. CME Group believes that ESMA is best placed to provide this data to administrators (subject to the necessary changes in law). Such data would need to be suitably anonymised, aggregated and specific to benchmarks that are relevant to the administrator to ensure the maximum possible confidentiality of the cou</w:t>
      </w:r>
      <w:r>
        <w:rPr>
          <w:rFonts w:cs="Arial"/>
          <w:szCs w:val="20"/>
        </w:rPr>
        <w:t>n</w:t>
      </w:r>
      <w:r>
        <w:rPr>
          <w:rFonts w:cs="Arial"/>
          <w:szCs w:val="20"/>
        </w:rPr>
        <w:t xml:space="preserve">terparties to the transactions. Trade repository data is already provided to ESMA and ESMA is the only place where a centralised and consolidated record of all Trade Repository data exists. Given this, it would be duplicative and therefore disproportionate for administrators to have to access the data directly from Trade Repositories and consolidate it for themselves. </w:t>
      </w:r>
    </w:p>
    <w:p w:rsidR="002A40D1" w:rsidRDefault="002A40D1">
      <w:pPr>
        <w:ind w:left="720"/>
        <w:jc w:val="both"/>
        <w:rPr>
          <w:rFonts w:cs="Arial"/>
          <w:szCs w:val="20"/>
        </w:rPr>
      </w:pPr>
    </w:p>
    <w:p w:rsidR="002A40D1" w:rsidRDefault="00710EFD">
      <w:pPr>
        <w:numPr>
          <w:ilvl w:val="0"/>
          <w:numId w:val="40"/>
        </w:numPr>
        <w:jc w:val="both"/>
        <w:rPr>
          <w:rFonts w:cs="Arial"/>
          <w:b/>
          <w:szCs w:val="20"/>
        </w:rPr>
      </w:pPr>
      <w:r>
        <w:rPr>
          <w:rFonts w:cs="Arial"/>
          <w:b/>
          <w:szCs w:val="20"/>
        </w:rPr>
        <w:t>Administrators’ ability to conduct threshold calculation</w:t>
      </w:r>
      <w:r>
        <w:rPr>
          <w:rFonts w:cs="Arial"/>
          <w:szCs w:val="20"/>
        </w:rPr>
        <w:t xml:space="preserve"> – CME Group is of the opinion that it will be extremely challenging for benchmark administrators to conduct reliable threshold calcul</w:t>
      </w:r>
      <w:r>
        <w:rPr>
          <w:rFonts w:cs="Arial"/>
          <w:szCs w:val="20"/>
        </w:rPr>
        <w:t>a</w:t>
      </w:r>
      <w:r>
        <w:rPr>
          <w:rFonts w:cs="Arial"/>
          <w:szCs w:val="20"/>
        </w:rPr>
        <w:t>tions. Except to the extent that ESMA provides consolidated Trade Repository data, benchmark administrators will have no practical means of establishing the extent to which their benchmarks are used in financial instruments, financial contracts or investment funds. We are not aware of l</w:t>
      </w:r>
      <w:r>
        <w:rPr>
          <w:rFonts w:cs="Arial"/>
          <w:szCs w:val="20"/>
        </w:rPr>
        <w:t>i</w:t>
      </w:r>
      <w:r>
        <w:rPr>
          <w:rFonts w:cs="Arial"/>
          <w:szCs w:val="20"/>
        </w:rPr>
        <w:t>censing agreements that would require a benchmark user to report the value of instruments refe</w:t>
      </w:r>
      <w:r>
        <w:rPr>
          <w:rFonts w:cs="Arial"/>
          <w:szCs w:val="20"/>
        </w:rPr>
        <w:t>r</w:t>
      </w:r>
      <w:r>
        <w:rPr>
          <w:rFonts w:cs="Arial"/>
          <w:szCs w:val="20"/>
        </w:rPr>
        <w:t>encing a benchmark to an administrator and neither do we think that this is a feasible means of obtaining data. Any such arrangement would in any event go beyond the remit of a benchmark administrator’s competence. For benchmarks which are offered for use free of charge, without formal license agreements or through third party distributors this problem will be even more a</w:t>
      </w:r>
      <w:r>
        <w:rPr>
          <w:rFonts w:cs="Arial"/>
          <w:szCs w:val="20"/>
        </w:rPr>
        <w:t>p</w:t>
      </w:r>
      <w:r>
        <w:rPr>
          <w:rFonts w:cs="Arial"/>
          <w:szCs w:val="20"/>
        </w:rPr>
        <w:t xml:space="preserve">parent.  </w:t>
      </w:r>
    </w:p>
    <w:p w:rsidR="002A40D1" w:rsidRDefault="002A40D1">
      <w:pPr>
        <w:jc w:val="both"/>
        <w:rPr>
          <w:rFonts w:cs="Arial"/>
          <w:szCs w:val="20"/>
        </w:rPr>
      </w:pPr>
    </w:p>
    <w:p w:rsidR="002A40D1" w:rsidRDefault="00710EFD">
      <w:pPr>
        <w:numPr>
          <w:ilvl w:val="0"/>
          <w:numId w:val="40"/>
        </w:numPr>
        <w:jc w:val="both"/>
        <w:rPr>
          <w:rFonts w:cs="Arial"/>
          <w:szCs w:val="20"/>
        </w:rPr>
      </w:pPr>
      <w:r>
        <w:rPr>
          <w:rFonts w:cs="Arial"/>
          <w:b/>
          <w:szCs w:val="20"/>
        </w:rPr>
        <w:t>Frequency of calculations</w:t>
      </w:r>
      <w:r>
        <w:rPr>
          <w:rFonts w:cs="Arial"/>
          <w:szCs w:val="20"/>
        </w:rPr>
        <w:t xml:space="preserve"> – It is unclear from the BMR Level 1 text, as well as from the initial proposals included in the DP, how often a benchmark administrator will be obliged to re-calculate the value of financial instruments and financial contracts referencing its benchmark. We unde</w:t>
      </w:r>
      <w:r>
        <w:rPr>
          <w:rFonts w:cs="Arial"/>
          <w:szCs w:val="20"/>
        </w:rPr>
        <w:t>r</w:t>
      </w:r>
      <w:r>
        <w:rPr>
          <w:rFonts w:cs="Arial"/>
          <w:szCs w:val="20"/>
        </w:rPr>
        <w:t>stand that the administrator will be obliged to do it at least once, i.e. when he will seek authoris</w:t>
      </w:r>
      <w:r>
        <w:rPr>
          <w:rFonts w:cs="Arial"/>
          <w:szCs w:val="20"/>
        </w:rPr>
        <w:t>a</w:t>
      </w:r>
      <w:r>
        <w:rPr>
          <w:rFonts w:cs="Arial"/>
          <w:szCs w:val="20"/>
        </w:rPr>
        <w:t>tion under the BMR for the first time. It is not clear, however, how often it will be obliged to re-assess this initial calculation. With practical challenges of assessing the threshold values as di</w:t>
      </w:r>
      <w:r>
        <w:rPr>
          <w:rFonts w:cs="Arial"/>
          <w:szCs w:val="20"/>
        </w:rPr>
        <w:t>s</w:t>
      </w:r>
      <w:r>
        <w:rPr>
          <w:rFonts w:cs="Arial"/>
          <w:szCs w:val="20"/>
        </w:rPr>
        <w:t>cussed in the abovementioned points aside, we would like to stress the fact that the value of f</w:t>
      </w:r>
      <w:r>
        <w:rPr>
          <w:rFonts w:cs="Arial"/>
          <w:szCs w:val="20"/>
        </w:rPr>
        <w:t>i</w:t>
      </w:r>
      <w:r>
        <w:rPr>
          <w:rFonts w:cs="Arial"/>
          <w:szCs w:val="20"/>
        </w:rPr>
        <w:t xml:space="preserve">nancial instruments and financial contracts can be highly volatile and the relevant thresholds can </w:t>
      </w:r>
      <w:r>
        <w:rPr>
          <w:rFonts w:cs="Arial"/>
          <w:szCs w:val="20"/>
        </w:rPr>
        <w:lastRenderedPageBreak/>
        <w:t>change on a continuous basis. Article 20 of the BMR seems to suggest that such assessment should be conducted at least every two years, for the purposes of the review of critical benc</w:t>
      </w:r>
      <w:r>
        <w:rPr>
          <w:rFonts w:cs="Arial"/>
          <w:szCs w:val="20"/>
        </w:rPr>
        <w:t>h</w:t>
      </w:r>
      <w:r>
        <w:rPr>
          <w:rFonts w:cs="Arial"/>
          <w:szCs w:val="20"/>
        </w:rPr>
        <w:t>marks list by the Commission, but we would welcome further guidance on this issue.</w:t>
      </w:r>
    </w:p>
    <w:p w:rsidR="002A40D1" w:rsidRDefault="002A40D1">
      <w:pPr>
        <w:jc w:val="both"/>
        <w:rPr>
          <w:rFonts w:cs="Arial"/>
          <w:szCs w:val="20"/>
        </w:rPr>
      </w:pPr>
    </w:p>
    <w:p w:rsidR="002A40D1" w:rsidRDefault="00710EFD">
      <w:pPr>
        <w:numPr>
          <w:ilvl w:val="0"/>
          <w:numId w:val="40"/>
        </w:numPr>
        <w:jc w:val="both"/>
        <w:rPr>
          <w:rFonts w:cs="Arial"/>
          <w:szCs w:val="20"/>
        </w:rPr>
      </w:pPr>
      <w:r>
        <w:rPr>
          <w:rFonts w:cs="Arial"/>
          <w:b/>
          <w:szCs w:val="20"/>
        </w:rPr>
        <w:t>Territorial scope</w:t>
      </w:r>
      <w:r>
        <w:rPr>
          <w:rFonts w:cs="Arial"/>
          <w:szCs w:val="20"/>
        </w:rPr>
        <w:t xml:space="preserve"> - The BMR is limited in its application to financial instruments traded on an EU trading venue or via a systematic internaliser. However, it is unclear whether the threshold calc</w:t>
      </w:r>
      <w:r>
        <w:rPr>
          <w:rFonts w:cs="Arial"/>
          <w:szCs w:val="20"/>
        </w:rPr>
        <w:t>u</w:t>
      </w:r>
      <w:r>
        <w:rPr>
          <w:rFonts w:cs="Arial"/>
          <w:szCs w:val="20"/>
        </w:rPr>
        <w:t xml:space="preserve">lation should apply to the value of transactions in financial instruments that are not traded on an EU trading venue or do not have an EU counterparty. It is our understanding </w:t>
      </w:r>
      <w:proofErr w:type="gramStart"/>
      <w:r>
        <w:rPr>
          <w:rFonts w:cs="Arial"/>
          <w:szCs w:val="20"/>
        </w:rPr>
        <w:t>that  it</w:t>
      </w:r>
      <w:proofErr w:type="gramEnd"/>
      <w:r>
        <w:rPr>
          <w:rFonts w:cs="Arial"/>
          <w:szCs w:val="20"/>
        </w:rPr>
        <w:t xml:space="preserve"> would only be consistent with the scope and objectives of the BMR to capture transactions with at least some EU nexus, but we would welcome further guidance from ESMA on this issue. </w:t>
      </w:r>
    </w:p>
    <w:p w:rsidR="002A40D1" w:rsidRDefault="002A40D1">
      <w:pPr>
        <w:jc w:val="both"/>
        <w:rPr>
          <w:rFonts w:cs="Arial"/>
          <w:szCs w:val="20"/>
        </w:rPr>
      </w:pPr>
    </w:p>
    <w:permEnd w:id="47213288"/>
    <w:p w:rsidR="002A40D1" w:rsidRDefault="00710EFD">
      <w:r>
        <w:t>&lt;ESMA_QUESTION_DP_BMR_75&gt;</w:t>
      </w:r>
    </w:p>
    <w:p w:rsidR="002A40D1" w:rsidRDefault="002A40D1"/>
    <w:p w:rsidR="002A40D1" w:rsidRDefault="00710EFD">
      <w:pPr>
        <w:pStyle w:val="Questionstyle"/>
      </w:pPr>
      <w:r>
        <w:t>Which are your views on the two options proposed to assess the net asset value of investment funds? Should you have a preference for an alternative option, please provide details and explain the reasons for your preference.</w:t>
      </w:r>
    </w:p>
    <w:p w:rsidR="002A40D1" w:rsidRDefault="00710EFD">
      <w:r>
        <w:t>&lt;ESMA_QUESTION_DP_BMR_76&gt;</w:t>
      </w:r>
    </w:p>
    <w:p w:rsidR="002A40D1" w:rsidRDefault="00710EFD">
      <w:pPr>
        <w:jc w:val="both"/>
        <w:rPr>
          <w:rFonts w:cs="Arial"/>
          <w:szCs w:val="20"/>
        </w:rPr>
      </w:pPr>
      <w:permStart w:id="1811617855" w:edGrp="everyone"/>
      <w:r>
        <w:rPr>
          <w:rFonts w:cs="Arial"/>
          <w:szCs w:val="20"/>
        </w:rPr>
        <w:t>No comment.</w:t>
      </w:r>
    </w:p>
    <w:permEnd w:id="1811617855"/>
    <w:p w:rsidR="002A40D1" w:rsidRDefault="00710EFD">
      <w:r>
        <w:t>&lt;ESMA_QUESTION_DP_BMR_76&gt;</w:t>
      </w:r>
    </w:p>
    <w:p w:rsidR="002A40D1" w:rsidRDefault="002A40D1"/>
    <w:p w:rsidR="002A40D1" w:rsidRDefault="00710EFD">
      <w:pPr>
        <w:pStyle w:val="Questionstyle"/>
      </w:pPr>
      <w:r>
        <w:t>Which are your views on the two approaches proposed to assess the nominal amount of fina</w:t>
      </w:r>
      <w:r>
        <w:t>n</w:t>
      </w:r>
      <w:r>
        <w:t>cial instruments other than derivatives, the notional amount of derivatives and the net asset value of an investment fund referencing a benchmark within a combination of benchmarks? Please provide details and explain the reasons for your preference. Do you think there are other possible approaches? If yes, please explain.</w:t>
      </w:r>
    </w:p>
    <w:p w:rsidR="002A40D1" w:rsidRDefault="00710EFD">
      <w:r>
        <w:t>&lt;ESMA_QUESTION_DP_BMR_77&gt;</w:t>
      </w:r>
    </w:p>
    <w:p w:rsidR="002A40D1" w:rsidRDefault="00710EFD">
      <w:pPr>
        <w:jc w:val="both"/>
        <w:rPr>
          <w:rFonts w:cs="Arial"/>
          <w:szCs w:val="20"/>
        </w:rPr>
      </w:pPr>
      <w:permStart w:id="1359691548" w:edGrp="everyone"/>
      <w:r>
        <w:rPr>
          <w:rFonts w:cs="Arial"/>
          <w:szCs w:val="20"/>
        </w:rPr>
        <w:t>No comment.</w:t>
      </w:r>
    </w:p>
    <w:permEnd w:id="1359691548"/>
    <w:p w:rsidR="002A40D1" w:rsidRDefault="00710EFD">
      <w:r>
        <w:t>&lt;ESMA_QUESTION_DP_BMR_77&gt;</w:t>
      </w:r>
    </w:p>
    <w:p w:rsidR="002A40D1" w:rsidRDefault="002A40D1"/>
    <w:p w:rsidR="002A40D1" w:rsidRDefault="00710EFD">
      <w:pPr>
        <w:pStyle w:val="Questionstyle"/>
      </w:pPr>
      <w:r>
        <w:rPr>
          <w:bCs/>
          <w:iCs/>
        </w:rPr>
        <w:t xml:space="preserve">Do you agree with the ‘relative impact’ approach, i.e. define one or more value and “ratios” for each of the five areas (markets integrity; or financial stability; or consumers; or the real economy; or the financing of households and corporations) that need to be assessed according to </w:t>
      </w:r>
      <w:r>
        <w:t>Article 13(1)(c), subparagraph (iii)? If not, please elaborate on other options that you consider more suitable.</w:t>
      </w:r>
    </w:p>
    <w:p w:rsidR="002A40D1" w:rsidRDefault="00710EFD">
      <w:r>
        <w:t>&lt;ESMA_QUESTION_DP_BMR_78&gt;</w:t>
      </w:r>
    </w:p>
    <w:p w:rsidR="002A40D1" w:rsidRDefault="00710EFD">
      <w:pPr>
        <w:jc w:val="both"/>
        <w:rPr>
          <w:rFonts w:cs="Arial"/>
          <w:szCs w:val="20"/>
        </w:rPr>
      </w:pPr>
      <w:permStart w:id="1213159004" w:edGrp="everyone"/>
      <w:r>
        <w:rPr>
          <w:rFonts w:cs="Arial"/>
          <w:szCs w:val="20"/>
        </w:rPr>
        <w:t>No comment.</w:t>
      </w:r>
    </w:p>
    <w:permEnd w:id="1213159004"/>
    <w:p w:rsidR="002A40D1" w:rsidRDefault="00710EFD">
      <w:r>
        <w:t>&lt;ESMA_QUESTION_DP_BMR_78&gt;</w:t>
      </w:r>
    </w:p>
    <w:p w:rsidR="002A40D1" w:rsidRDefault="002A40D1"/>
    <w:p w:rsidR="002A40D1" w:rsidRDefault="00710EFD">
      <w:pPr>
        <w:pStyle w:val="Questionstyle"/>
        <w:rPr>
          <w:bCs/>
          <w:iCs/>
        </w:rPr>
      </w:pPr>
      <w:r>
        <w:t xml:space="preserve">What kind of other objective grounds could be used to assess the potential impact of the discontinuity or unreliability of the benchmark besides the ones mentioned above (e.g. GDP, consumer credit agreement etc.)? </w:t>
      </w:r>
    </w:p>
    <w:p w:rsidR="002A40D1" w:rsidRDefault="00710EFD">
      <w:r>
        <w:t>&lt;ESMA_QUESTION_DP_BMR_79&gt;</w:t>
      </w:r>
    </w:p>
    <w:p w:rsidR="002A40D1" w:rsidRDefault="00710EFD">
      <w:pPr>
        <w:jc w:val="both"/>
        <w:rPr>
          <w:rFonts w:cs="Arial"/>
          <w:szCs w:val="20"/>
        </w:rPr>
      </w:pPr>
      <w:permStart w:id="1540311610" w:edGrp="everyone"/>
      <w:r>
        <w:rPr>
          <w:rFonts w:cs="Arial"/>
          <w:szCs w:val="20"/>
        </w:rPr>
        <w:t>No comment.</w:t>
      </w:r>
    </w:p>
    <w:permEnd w:id="1540311610"/>
    <w:p w:rsidR="002A40D1" w:rsidRDefault="00710EFD">
      <w:r>
        <w:t>&lt;ESMA_QUESTION_DP_BMR_79&gt;</w:t>
      </w:r>
    </w:p>
    <w:p w:rsidR="002A40D1" w:rsidRDefault="002A40D1"/>
    <w:p w:rsidR="002A40D1" w:rsidRDefault="00710EFD">
      <w:pPr>
        <w:pStyle w:val="Questionstyle"/>
      </w:pPr>
      <w:r>
        <w:t xml:space="preserve">Do you agree with ESMA’s approach to further define the above criteria? Particularly, do you think that ESMA should develop more concrete guidance for the possible rejection of the NCA under </w:t>
      </w:r>
      <w:r>
        <w:lastRenderedPageBreak/>
        <w:t>Article 14c para 2? Do you believe that NCAs should take into consideration additional elements in their assessment?</w:t>
      </w:r>
    </w:p>
    <w:p w:rsidR="002A40D1" w:rsidRDefault="00710EFD">
      <w:r>
        <w:t>&lt;ESMA_QUESTION_DP_BMR_80&gt;</w:t>
      </w:r>
    </w:p>
    <w:p w:rsidR="002A40D1" w:rsidRDefault="00710EFD">
      <w:pPr>
        <w:jc w:val="both"/>
        <w:rPr>
          <w:rFonts w:cs="Arial"/>
          <w:szCs w:val="20"/>
        </w:rPr>
      </w:pPr>
      <w:permStart w:id="357196359" w:edGrp="everyone"/>
      <w:r>
        <w:rPr>
          <w:rFonts w:cs="Arial"/>
          <w:szCs w:val="20"/>
        </w:rPr>
        <w:t>Paragraphs 227 to 234 discuss the potential for conflicts of interest and, in particular, paragraphs 232 and 233 mention a potential conflict of interest where an administrator engages in the market the benchmark is intended to represent. CME Group is both a benchmark administrator and operator of the auction techno</w:t>
      </w:r>
      <w:r>
        <w:rPr>
          <w:rFonts w:cs="Arial"/>
          <w:szCs w:val="20"/>
        </w:rPr>
        <w:t>l</w:t>
      </w:r>
      <w:r>
        <w:rPr>
          <w:rFonts w:cs="Arial"/>
          <w:szCs w:val="20"/>
        </w:rPr>
        <w:t>ogy that helps to determine that benchmark. In this context, we would like to clarify that although transa</w:t>
      </w:r>
      <w:r>
        <w:rPr>
          <w:rFonts w:cs="Arial"/>
          <w:szCs w:val="20"/>
        </w:rPr>
        <w:t>c</w:t>
      </w:r>
      <w:r>
        <w:rPr>
          <w:rFonts w:cs="Arial"/>
          <w:szCs w:val="20"/>
        </w:rPr>
        <w:t xml:space="preserve">tion data from the system that we operate is input data for the benchmark we administer, it should not be considered as engaging in the markets the benchmark represents. </w:t>
      </w:r>
    </w:p>
    <w:permEnd w:id="357196359"/>
    <w:p w:rsidR="002A40D1" w:rsidRDefault="00710EFD">
      <w:r>
        <w:t>&lt;ESMA_QUESTION_DP_BMR_80&gt;</w:t>
      </w:r>
    </w:p>
    <w:p w:rsidR="002A40D1" w:rsidRDefault="002A40D1"/>
    <w:p w:rsidR="002A40D1" w:rsidRDefault="00710EFD">
      <w:pPr>
        <w:pStyle w:val="Questionstyle"/>
      </w:pPr>
      <w:r>
        <w:t>Do you think that the fields identified for the template are sufficient for the competent autho</w:t>
      </w:r>
      <w:r>
        <w:t>r</w:t>
      </w:r>
      <w:r>
        <w:t>ity and the stakeholders to form an opinion on the representativeness, reliability and integrity of a benchmark, notwithstanding the non-application of some material requirements? Could you suggest additional fields?</w:t>
      </w:r>
    </w:p>
    <w:p w:rsidR="002A40D1" w:rsidRDefault="00710EFD">
      <w:r>
        <w:t>&lt;ESMA_QUESTION_DP_BMR_81&gt;</w:t>
      </w:r>
    </w:p>
    <w:p w:rsidR="002A40D1" w:rsidRDefault="00710EFD">
      <w:pPr>
        <w:jc w:val="both"/>
        <w:rPr>
          <w:rFonts w:cs="Arial"/>
          <w:szCs w:val="20"/>
        </w:rPr>
      </w:pPr>
      <w:permStart w:id="1557422088" w:edGrp="everyone"/>
      <w:r>
        <w:rPr>
          <w:rFonts w:cs="Arial"/>
          <w:szCs w:val="20"/>
        </w:rPr>
        <w:t xml:space="preserve">CME Group is of the opinion that the proposed template provides the national competent authorities with sufficient information for them to form an opinion on the representativeness, reliability and integrity of a benchmark. </w:t>
      </w:r>
    </w:p>
    <w:permEnd w:id="1557422088"/>
    <w:p w:rsidR="002A40D1" w:rsidRDefault="00710EFD">
      <w:r>
        <w:t>&lt;ESMA_QUESTION_DP_BMR_81&gt;</w:t>
      </w:r>
    </w:p>
    <w:p w:rsidR="002A40D1" w:rsidRDefault="002A40D1"/>
    <w:p w:rsidR="002A40D1" w:rsidRDefault="00710EFD">
      <w:pPr>
        <w:pStyle w:val="Questionstyle"/>
      </w:pPr>
      <w:r>
        <w:t>Do you agree with the suggested minimum aspects for defining the market or economic reality measured by the benchmark?</w:t>
      </w:r>
    </w:p>
    <w:p w:rsidR="002A40D1" w:rsidRDefault="00710EFD">
      <w:r>
        <w:t>&lt;ESMA_QUESTION_DP_BMR_82&gt;</w:t>
      </w:r>
    </w:p>
    <w:p w:rsidR="002A40D1" w:rsidRDefault="00710EFD">
      <w:pPr>
        <w:jc w:val="both"/>
        <w:rPr>
          <w:rFonts w:cs="Arial"/>
          <w:szCs w:val="20"/>
        </w:rPr>
      </w:pPr>
      <w:permStart w:id="686388966" w:edGrp="everyone"/>
      <w:r>
        <w:rPr>
          <w:rFonts w:cs="Arial"/>
          <w:szCs w:val="20"/>
        </w:rPr>
        <w:t>CME Group would like to refer ESMA to our comments under Question 75 on some of the challenges with measuring the value of financial instruments, financial contracts and investment funds referencing a benchmark. These same problems are also likely to arise when measuring market access, market partic</w:t>
      </w:r>
      <w:r>
        <w:rPr>
          <w:rFonts w:cs="Arial"/>
          <w:szCs w:val="20"/>
        </w:rPr>
        <w:t>i</w:t>
      </w:r>
      <w:r>
        <w:rPr>
          <w:rFonts w:cs="Arial"/>
          <w:szCs w:val="20"/>
        </w:rPr>
        <w:t>pation and the size of market as proposed by ESMA.</w:t>
      </w:r>
    </w:p>
    <w:permEnd w:id="686388966"/>
    <w:p w:rsidR="002A40D1" w:rsidRDefault="00710EFD">
      <w:r>
        <w:t>&lt;ESMA_QUESTION_DP_BMR_82&gt;</w:t>
      </w:r>
    </w:p>
    <w:p w:rsidR="002A40D1" w:rsidRDefault="002A40D1"/>
    <w:p w:rsidR="002A40D1" w:rsidRDefault="00710EFD">
      <w:pPr>
        <w:pStyle w:val="Questionstyle"/>
      </w:pPr>
      <w:r>
        <w:t>Do you think the circumstances under which a benchmark determination may become unreli</w:t>
      </w:r>
      <w:r>
        <w:t>a</w:t>
      </w:r>
      <w:r>
        <w:t>ble can be sufficiently described by the suggested aspects?</w:t>
      </w:r>
    </w:p>
    <w:p w:rsidR="002A40D1" w:rsidRDefault="00710EFD">
      <w:r>
        <w:t>&lt;ESMA_QUESTION_DP_BMR_83&gt;</w:t>
      </w:r>
    </w:p>
    <w:p w:rsidR="002A40D1" w:rsidRDefault="00710EFD">
      <w:pPr>
        <w:jc w:val="both"/>
        <w:rPr>
          <w:rFonts w:cs="Arial"/>
          <w:szCs w:val="20"/>
        </w:rPr>
      </w:pPr>
      <w:permStart w:id="1454520939" w:edGrp="everyone"/>
      <w:r>
        <w:rPr>
          <w:rFonts w:cs="Arial"/>
          <w:szCs w:val="20"/>
        </w:rPr>
        <w:t>No comment.</w:t>
      </w:r>
    </w:p>
    <w:permEnd w:id="1454520939"/>
    <w:p w:rsidR="002A40D1" w:rsidRDefault="00710EFD">
      <w:r>
        <w:t>&lt;ESMA_QUESTION_DP_BMR_83&gt;</w:t>
      </w:r>
    </w:p>
    <w:p w:rsidR="002A40D1" w:rsidRDefault="002A40D1"/>
    <w:p w:rsidR="002A40D1" w:rsidRDefault="00710EFD">
      <w:pPr>
        <w:pStyle w:val="Questionstyle"/>
      </w:pPr>
      <w:r>
        <w:rPr>
          <w:bCs/>
        </w:rPr>
        <w:t>Do you agree with the minimum information on the exercise of discretion to be included in the benchmark statement?</w:t>
      </w:r>
    </w:p>
    <w:p w:rsidR="002A40D1" w:rsidRDefault="00710EFD">
      <w:r>
        <w:t>&lt;ESMA_QUESTION_DP_BMR_84&gt;</w:t>
      </w:r>
    </w:p>
    <w:p w:rsidR="002A40D1" w:rsidRDefault="00710EFD">
      <w:pPr>
        <w:jc w:val="both"/>
        <w:rPr>
          <w:rFonts w:cs="Arial"/>
          <w:szCs w:val="20"/>
        </w:rPr>
      </w:pPr>
      <w:permStart w:id="27213317" w:edGrp="everyone"/>
      <w:r>
        <w:rPr>
          <w:rFonts w:cs="Arial"/>
          <w:szCs w:val="20"/>
        </w:rPr>
        <w:t>No comment.</w:t>
      </w:r>
    </w:p>
    <w:permEnd w:id="27213317"/>
    <w:p w:rsidR="002A40D1" w:rsidRDefault="00710EFD">
      <w:r>
        <w:t>&lt;ESMA_QUESTION_DP_BMR_84&gt;</w:t>
      </w:r>
    </w:p>
    <w:p w:rsidR="002A40D1" w:rsidRDefault="002A40D1"/>
    <w:p w:rsidR="002A40D1" w:rsidRDefault="00710EFD">
      <w:pPr>
        <w:pStyle w:val="Questionstyle"/>
        <w:rPr>
          <w:bCs/>
        </w:rPr>
      </w:pPr>
      <w:r>
        <w:rPr>
          <w:bCs/>
        </w:rPr>
        <w:t>Are there any further precise minimum contents for a benchmark statement that should apply to each benchmark beyond those stated in Art. 15(2) points (a) to (g) BMR?</w:t>
      </w:r>
    </w:p>
    <w:p w:rsidR="002A40D1" w:rsidRDefault="00710EFD">
      <w:r>
        <w:t>&lt;ESMA_QUESTION_DP_BMR_85&gt;</w:t>
      </w:r>
    </w:p>
    <w:p w:rsidR="002A40D1" w:rsidRDefault="00710EFD">
      <w:pPr>
        <w:jc w:val="both"/>
        <w:rPr>
          <w:rFonts w:cs="Arial"/>
          <w:szCs w:val="20"/>
        </w:rPr>
      </w:pPr>
      <w:permStart w:id="1568957558" w:edGrp="everyone"/>
      <w:r>
        <w:rPr>
          <w:rFonts w:cs="Arial"/>
          <w:szCs w:val="20"/>
        </w:rPr>
        <w:lastRenderedPageBreak/>
        <w:t>CME Group is of the opinion that no further precise minimum content requirements should apply to each benchmark beyond those listed in the BMR.</w:t>
      </w:r>
    </w:p>
    <w:permEnd w:id="1568957558"/>
    <w:p w:rsidR="002A40D1" w:rsidRDefault="00710EFD">
      <w:r>
        <w:t>&lt;ESMA_QUESTION_DP_BMR_85&gt;</w:t>
      </w:r>
    </w:p>
    <w:p w:rsidR="002A40D1" w:rsidRDefault="002A40D1"/>
    <w:p w:rsidR="002A40D1" w:rsidRDefault="00710EFD">
      <w:pPr>
        <w:pStyle w:val="Questionstyle"/>
        <w:rPr>
          <w:bCs/>
        </w:rPr>
      </w:pPr>
      <w:r>
        <w:rPr>
          <w:bCs/>
        </w:rPr>
        <w:t>Do you agree that a concise description of the additional requirements including references, if any, would be sufficient for the information purposes of the benchmark statement for interest rate benchmarks?</w:t>
      </w:r>
    </w:p>
    <w:p w:rsidR="002A40D1" w:rsidRDefault="00710EFD">
      <w:r>
        <w:t>&lt;ESMA_QUESTION_DP_BMR_86&gt;</w:t>
      </w:r>
    </w:p>
    <w:p w:rsidR="002A40D1" w:rsidRDefault="00710EFD">
      <w:pPr>
        <w:jc w:val="both"/>
        <w:rPr>
          <w:rFonts w:cs="Arial"/>
          <w:szCs w:val="20"/>
        </w:rPr>
      </w:pPr>
      <w:permStart w:id="11035757" w:edGrp="everyone"/>
      <w:r>
        <w:rPr>
          <w:rFonts w:cs="Arial"/>
          <w:szCs w:val="20"/>
        </w:rPr>
        <w:t>No comment.</w:t>
      </w:r>
    </w:p>
    <w:permEnd w:id="11035757"/>
    <w:p w:rsidR="002A40D1" w:rsidRDefault="00710EFD">
      <w:r>
        <w:t>&lt;ESMA_QUESTION_DP_BMR_86&gt;</w:t>
      </w:r>
    </w:p>
    <w:p w:rsidR="002A40D1" w:rsidRDefault="002A40D1"/>
    <w:p w:rsidR="002A40D1" w:rsidRDefault="00710EFD">
      <w:pPr>
        <w:pStyle w:val="Questionstyle"/>
      </w:pPr>
      <w:r>
        <w:t>Do you agree that the statement for commodity benchmarks should be delimited as d</w:t>
      </w:r>
      <w:r>
        <w:t>e</w:t>
      </w:r>
      <w:r>
        <w:t>scribed? Otherwise, what other information would be essential in your opinion?</w:t>
      </w:r>
    </w:p>
    <w:p w:rsidR="002A40D1" w:rsidRDefault="00710EFD">
      <w:r>
        <w:t>&lt;ESMA_QUESTION_DP_BMR_87&gt;</w:t>
      </w:r>
    </w:p>
    <w:p w:rsidR="002A40D1" w:rsidRDefault="00710EFD">
      <w:pPr>
        <w:jc w:val="both"/>
        <w:rPr>
          <w:rFonts w:cs="Arial"/>
          <w:szCs w:val="20"/>
        </w:rPr>
      </w:pPr>
      <w:permStart w:id="838551687" w:edGrp="everyone"/>
      <w:r>
        <w:rPr>
          <w:rFonts w:cs="Arial"/>
          <w:szCs w:val="20"/>
        </w:rPr>
        <w:t>No comment.</w:t>
      </w:r>
    </w:p>
    <w:permEnd w:id="838551687"/>
    <w:p w:rsidR="002A40D1" w:rsidRDefault="00710EFD">
      <w:r>
        <w:t>&lt;ESMA_QUESTION_DP_BMR_87&gt;</w:t>
      </w:r>
    </w:p>
    <w:p w:rsidR="002A40D1" w:rsidRDefault="002A40D1"/>
    <w:p w:rsidR="002A40D1" w:rsidRDefault="00710EFD">
      <w:pPr>
        <w:pStyle w:val="Questionstyle"/>
        <w:rPr>
          <w:bCs/>
        </w:rPr>
      </w:pPr>
      <w:r>
        <w:rPr>
          <w:bCs/>
        </w:rPr>
        <w:t>Do you agree with ESMA's approach not to include further material requirements for the content of benchmark statements regarding regulated-data benchmarks?</w:t>
      </w:r>
    </w:p>
    <w:p w:rsidR="002A40D1" w:rsidRDefault="00710EFD">
      <w:r>
        <w:t>&lt;ESMA_QUESTION_DP_BMR_88&gt;</w:t>
      </w:r>
    </w:p>
    <w:p w:rsidR="002A40D1" w:rsidRDefault="00710EFD">
      <w:pPr>
        <w:jc w:val="both"/>
        <w:rPr>
          <w:rFonts w:cs="Arial"/>
          <w:szCs w:val="20"/>
        </w:rPr>
      </w:pPr>
      <w:permStart w:id="743841224" w:edGrp="everyone"/>
      <w:r>
        <w:rPr>
          <w:rFonts w:cs="Arial"/>
          <w:szCs w:val="20"/>
        </w:rPr>
        <w:t xml:space="preserve">CME Group broadly agrees with ESMA’s proposal. </w:t>
      </w:r>
    </w:p>
    <w:permEnd w:id="743841224"/>
    <w:p w:rsidR="002A40D1" w:rsidRDefault="00710EFD">
      <w:r>
        <w:t>&lt;ESMA_QUESTION_DP_BMR_88&gt;</w:t>
      </w:r>
    </w:p>
    <w:p w:rsidR="002A40D1" w:rsidRDefault="002A40D1"/>
    <w:p w:rsidR="002A40D1" w:rsidRDefault="00710EFD">
      <w:pPr>
        <w:pStyle w:val="Questionstyle"/>
        <w:rPr>
          <w:bCs/>
        </w:rPr>
      </w:pPr>
      <w:r>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2A40D1" w:rsidRDefault="00710EFD">
      <w:r>
        <w:t>&lt;ESMA_QUESTION_DP_BMR_89&gt;</w:t>
      </w:r>
    </w:p>
    <w:p w:rsidR="002A40D1" w:rsidRDefault="00710EFD">
      <w:pPr>
        <w:jc w:val="both"/>
        <w:rPr>
          <w:rFonts w:cs="Arial"/>
          <w:szCs w:val="20"/>
        </w:rPr>
      </w:pPr>
      <w:permStart w:id="64687531" w:edGrp="everyone"/>
      <w:r>
        <w:rPr>
          <w:rFonts w:cs="Arial"/>
          <w:szCs w:val="20"/>
        </w:rPr>
        <w:t>No comment.</w:t>
      </w:r>
    </w:p>
    <w:permEnd w:id="64687531"/>
    <w:p w:rsidR="002A40D1" w:rsidRDefault="00710EFD">
      <w:r>
        <w:t>&lt;ESMA_QUESTION_DP_BMR_89&gt;</w:t>
      </w:r>
    </w:p>
    <w:p w:rsidR="002A40D1" w:rsidRDefault="002A40D1"/>
    <w:p w:rsidR="002A40D1" w:rsidRDefault="00710EFD">
      <w:pPr>
        <w:pStyle w:val="Questionstyle"/>
      </w:pPr>
      <w:r>
        <w:t>Do you agree with the suggested additional requirements for significant benchmarks? Which of the three options proposed you prefer, and why?</w:t>
      </w:r>
    </w:p>
    <w:p w:rsidR="002A40D1" w:rsidRDefault="00710EFD">
      <w:r>
        <w:t>&lt;ESMA_QUESTION_DP_BMR_90&gt;</w:t>
      </w:r>
    </w:p>
    <w:p w:rsidR="002A40D1" w:rsidRDefault="00710EFD">
      <w:pPr>
        <w:jc w:val="both"/>
        <w:rPr>
          <w:rFonts w:cs="Arial"/>
          <w:szCs w:val="20"/>
        </w:rPr>
      </w:pPr>
      <w:permStart w:id="1798116775" w:edGrp="everyone"/>
      <w:r>
        <w:rPr>
          <w:rFonts w:cs="Arial"/>
          <w:szCs w:val="20"/>
        </w:rPr>
        <w:t>No comment.</w:t>
      </w:r>
    </w:p>
    <w:permEnd w:id="1798116775"/>
    <w:p w:rsidR="002A40D1" w:rsidRDefault="00710EFD">
      <w:r>
        <w:t>&lt;ESMA_QUESTION_DP_BMR_90&gt;</w:t>
      </w:r>
    </w:p>
    <w:p w:rsidR="002A40D1" w:rsidRDefault="002A40D1"/>
    <w:p w:rsidR="002A40D1" w:rsidRDefault="00710EFD">
      <w:pPr>
        <w:pStyle w:val="Questionstyle"/>
      </w:pPr>
      <w:r>
        <w:t>Do you agree with the suggested additional requirements for non-significant benchmarks? If not, please explain why and indicate what alternative or additional information you consider appr</w:t>
      </w:r>
      <w:r>
        <w:t>o</w:t>
      </w:r>
      <w:r>
        <w:t xml:space="preserve">priate in case a benchmark is non-significant.  </w:t>
      </w:r>
    </w:p>
    <w:p w:rsidR="002A40D1" w:rsidRDefault="00710EFD">
      <w:r>
        <w:t>&lt;ESMA_QUESTION_DP_BMR_91&gt;</w:t>
      </w:r>
    </w:p>
    <w:p w:rsidR="002A40D1" w:rsidRDefault="00710EFD">
      <w:pPr>
        <w:jc w:val="both"/>
        <w:rPr>
          <w:rFonts w:cs="Arial"/>
          <w:szCs w:val="20"/>
        </w:rPr>
      </w:pPr>
      <w:permStart w:id="442660982" w:edGrp="everyone"/>
      <w:r>
        <w:rPr>
          <w:rFonts w:cs="Arial"/>
          <w:szCs w:val="20"/>
        </w:rPr>
        <w:t>No comment.</w:t>
      </w:r>
    </w:p>
    <w:permEnd w:id="442660982"/>
    <w:p w:rsidR="002A40D1" w:rsidRDefault="00710EFD">
      <w:r>
        <w:t>&lt;ESMA_QUESTION_DP_BMR_91&gt;</w:t>
      </w:r>
    </w:p>
    <w:p w:rsidR="002A40D1" w:rsidRDefault="002A40D1"/>
    <w:p w:rsidR="002A40D1" w:rsidRDefault="00710EFD">
      <w:pPr>
        <w:pStyle w:val="Questionstyle"/>
      </w:pPr>
      <w:r>
        <w:t>Are there any further contents for a benchmark statement that should apply to the various classes of benchmarks identified in this chapter?</w:t>
      </w:r>
    </w:p>
    <w:p w:rsidR="002A40D1" w:rsidRDefault="00710EFD">
      <w:r>
        <w:lastRenderedPageBreak/>
        <w:t>&lt;ESMA_QUESTION_DP_BMR_92&gt;</w:t>
      </w:r>
    </w:p>
    <w:p w:rsidR="002A40D1" w:rsidRDefault="00710EFD">
      <w:pPr>
        <w:jc w:val="both"/>
        <w:rPr>
          <w:rFonts w:cs="Arial"/>
          <w:szCs w:val="20"/>
        </w:rPr>
      </w:pPr>
      <w:permStart w:id="1960335718" w:edGrp="everyone"/>
      <w:r>
        <w:rPr>
          <w:rFonts w:cs="Arial"/>
          <w:szCs w:val="20"/>
        </w:rPr>
        <w:t>No comment.</w:t>
      </w:r>
    </w:p>
    <w:permEnd w:id="1960335718"/>
    <w:p w:rsidR="002A40D1" w:rsidRDefault="00710EFD">
      <w:r>
        <w:t>&lt;ESMA_QUESTION_DP_BMR_92&gt;</w:t>
      </w:r>
    </w:p>
    <w:p w:rsidR="002A40D1" w:rsidRDefault="002A40D1"/>
    <w:p w:rsidR="002A40D1" w:rsidRDefault="00710EFD">
      <w:pPr>
        <w:pStyle w:val="Questionstyle"/>
      </w:pPr>
      <w:r>
        <w:rPr>
          <w:rFonts w:eastAsia="Times New Roman"/>
        </w:rPr>
        <w:t xml:space="preserve">Do you </w:t>
      </w:r>
      <w:r>
        <w:t>agree with the approach outlined above regarding information of a general nature and financial information? Do you see any particular cases, such as certain types of providers, for which these requirements need to be adapted?</w:t>
      </w:r>
    </w:p>
    <w:p w:rsidR="002A40D1" w:rsidRDefault="00710EFD">
      <w:r>
        <w:t>&lt;ESMA_QUESTION_DP_BMR_93&gt;</w:t>
      </w:r>
    </w:p>
    <w:p w:rsidR="002A40D1" w:rsidRDefault="00710EFD">
      <w:permStart w:id="1289310301" w:edGrp="everyone"/>
      <w:r>
        <w:rPr>
          <w:rFonts w:cs="Arial"/>
          <w:szCs w:val="20"/>
        </w:rPr>
        <w:t xml:space="preserve">CME Group agrees with ESMA’s proposals with regards to information of a general nature and financial information that benchmark administrators will need to provide upon authorisation. These are standard minimum requirements that entities seeking authorisation need to comply with. </w:t>
      </w:r>
      <w:permEnd w:id="1289310301"/>
      <w:r>
        <w:t>&lt;E</w:t>
      </w:r>
      <w:r>
        <w:t>S</w:t>
      </w:r>
      <w:r>
        <w:t>MA_QUESTION_DP_BMR_93&gt;</w:t>
      </w:r>
    </w:p>
    <w:p w:rsidR="002A40D1" w:rsidRDefault="002A40D1"/>
    <w:p w:rsidR="002A40D1" w:rsidRDefault="00710EFD">
      <w:pPr>
        <w:pStyle w:val="Questionstyle"/>
      </w:pPr>
      <w:r>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2A40D1" w:rsidRDefault="00710EFD">
      <w:r>
        <w:t>&lt;ESMA_QUESTION_DP_BMR_94&gt;</w:t>
      </w:r>
    </w:p>
    <w:p w:rsidR="002A40D1" w:rsidRDefault="00710EFD">
      <w:pPr>
        <w:jc w:val="both"/>
        <w:rPr>
          <w:rFonts w:cs="Arial"/>
          <w:szCs w:val="20"/>
        </w:rPr>
      </w:pPr>
      <w:permStart w:id="433092516" w:edGrp="everyone"/>
      <w:r>
        <w:rPr>
          <w:rFonts w:cs="Arial"/>
          <w:szCs w:val="20"/>
        </w:rPr>
        <w:t>CME Group broadly agrees with ESMA’s proposals with regards to information describing organisational structure, conflicts of interest, internal control structure, oversight and accountability. A requirement to describe organisational structure and corporate governance is a standard element of an authorisation process. We also believe it is reasonable to outline in the authorisation process the administrator’s policies and mechanisms to manage conflicts of interests. With regards to proposals under point (e), we agree with ESMA’s suggestions to the extent they transpose the requirements that administrators will have to comply with under the BMR. One potential point of concern that we would like to highlight is the requir</w:t>
      </w:r>
      <w:r>
        <w:rPr>
          <w:rFonts w:cs="Arial"/>
          <w:szCs w:val="20"/>
        </w:rPr>
        <w:t>e</w:t>
      </w:r>
      <w:r>
        <w:rPr>
          <w:rFonts w:cs="Arial"/>
          <w:szCs w:val="20"/>
        </w:rPr>
        <w:t xml:space="preserve">ment under point (e) to provide a description of measures to verify the contributor’s compliance with the code of conduct. We understand that this requirement is part of the Level 1 </w:t>
      </w:r>
      <w:proofErr w:type="gramStart"/>
      <w:r>
        <w:rPr>
          <w:rFonts w:cs="Arial"/>
          <w:szCs w:val="20"/>
        </w:rPr>
        <w:t>text,</w:t>
      </w:r>
      <w:proofErr w:type="gramEnd"/>
      <w:r>
        <w:rPr>
          <w:rFonts w:cs="Arial"/>
          <w:szCs w:val="20"/>
        </w:rPr>
        <w:t xml:space="preserve"> however, we are mindful that benchmark administrators are not regulators and have limited direct control over contributors which are independent legal entities.  </w:t>
      </w:r>
    </w:p>
    <w:permEnd w:id="433092516"/>
    <w:p w:rsidR="002A40D1" w:rsidRDefault="00710EFD">
      <w:r>
        <w:t>&lt;ESMA_QUESTION_DP_BMR_94&gt;</w:t>
      </w:r>
    </w:p>
    <w:p w:rsidR="002A40D1" w:rsidRDefault="002A40D1"/>
    <w:p w:rsidR="002A40D1" w:rsidRDefault="00710EFD">
      <w:pPr>
        <w:pStyle w:val="Questionstyle"/>
      </w:pPr>
      <w:r>
        <w:t>Do you agree with the proposals outlined for the above points? Do you see any areas requiring particular attention or adaptation?</w:t>
      </w:r>
    </w:p>
    <w:p w:rsidR="002A40D1" w:rsidRDefault="00710EFD">
      <w:r>
        <w:t>&lt;ESMA_QUESTION_DP_BMR_95&gt;</w:t>
      </w:r>
    </w:p>
    <w:p w:rsidR="002A40D1" w:rsidRDefault="00710EFD">
      <w:pPr>
        <w:jc w:val="both"/>
        <w:rPr>
          <w:rFonts w:cs="Arial"/>
          <w:szCs w:val="20"/>
        </w:rPr>
      </w:pPr>
      <w:permStart w:id="88933285" w:edGrp="everyone"/>
      <w:r>
        <w:rPr>
          <w:rFonts w:cs="Arial"/>
          <w:szCs w:val="20"/>
        </w:rPr>
        <w:t>CME Group notes that neither the Level 1 BMR text, nor the ESMA DP provide a clear explanation whet</w:t>
      </w:r>
      <w:r>
        <w:rPr>
          <w:rFonts w:cs="Arial"/>
          <w:szCs w:val="20"/>
        </w:rPr>
        <w:t>h</w:t>
      </w:r>
      <w:r>
        <w:rPr>
          <w:rFonts w:cs="Arial"/>
          <w:szCs w:val="20"/>
        </w:rPr>
        <w:t xml:space="preserve">er authorisation requirements will be applicable on a benchmark-by-benchmark basis, per family of benchmarks, or as a one-off procedure. For administrators that provide or seek to provide multiple benchmarks these are all very valid considerations and we would seek further ESMA guidance on this. Points (a)-(e) of the proposed authorisation requirements can be fairly generic and provided on a one-off basis. However, points (f)-(h) can be unique to each given benchmark. One solution to consider would be the establishment of a similar mechanism that exists under EMIR with regards to the extension of CCP authorisation, whereby an authorised CCP needs to apply for approval to extend the scope of products it is authorised to clear, but this is done under a more streamlined and faster procedure than the initial authorisation process. </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With regards to specific elements of ESMA’s proposal presented in para 296 of the DP, we note the similar points of concern as discussed under Questions 75 and 82. Benchmark administrators are in no position to provide reliable data to evaluate the amount of financial instruments and contracts referencing each benchmark. </w:t>
      </w:r>
    </w:p>
    <w:p w:rsidR="002A40D1" w:rsidRDefault="002A40D1">
      <w:pPr>
        <w:jc w:val="both"/>
        <w:rPr>
          <w:rFonts w:cs="Arial"/>
          <w:szCs w:val="20"/>
        </w:rPr>
      </w:pPr>
    </w:p>
    <w:p w:rsidR="002A40D1" w:rsidRDefault="00710EFD">
      <w:r>
        <w:rPr>
          <w:rFonts w:cs="Arial"/>
          <w:szCs w:val="20"/>
        </w:rPr>
        <w:lastRenderedPageBreak/>
        <w:t>Regarding point (g), which pertains to input data and methodology, we would like to reiterate the abov</w:t>
      </w:r>
      <w:r>
        <w:rPr>
          <w:rFonts w:cs="Arial"/>
          <w:szCs w:val="20"/>
        </w:rPr>
        <w:t>e</w:t>
      </w:r>
      <w:r>
        <w:rPr>
          <w:rFonts w:cs="Arial"/>
          <w:szCs w:val="20"/>
        </w:rPr>
        <w:t>mentioned point that this type of information will vary from one benchmark to another .</w:t>
      </w:r>
      <w:permEnd w:id="88933285"/>
      <w:r>
        <w:t>&lt;ESMA_QUESTION_DP_BMR_95&gt;</w:t>
      </w:r>
    </w:p>
    <w:p w:rsidR="002A40D1" w:rsidRDefault="002A40D1"/>
    <w:p w:rsidR="002A40D1" w:rsidRDefault="00710EFD">
      <w:pPr>
        <w:pStyle w:val="Questionstyle"/>
      </w:pPr>
      <w:r>
        <w:t>Can you suggest other specific situations for which it is important to identify the information elements to be provided in the authorisation application?</w:t>
      </w:r>
    </w:p>
    <w:p w:rsidR="002A40D1" w:rsidRDefault="00710EFD">
      <w:r>
        <w:t>&lt;ESMA_QUESTION_DP_BMR_96&gt;</w:t>
      </w:r>
    </w:p>
    <w:p w:rsidR="002A40D1" w:rsidRDefault="00710EFD">
      <w:pPr>
        <w:jc w:val="both"/>
        <w:rPr>
          <w:rFonts w:cs="Arial"/>
          <w:szCs w:val="20"/>
        </w:rPr>
      </w:pPr>
      <w:permStart w:id="1931877220" w:edGrp="everyone"/>
      <w:r>
        <w:rPr>
          <w:rFonts w:cs="Arial"/>
          <w:szCs w:val="20"/>
        </w:rPr>
        <w:t xml:space="preserve">CME Group has no additional comments on point (h). </w:t>
      </w:r>
    </w:p>
    <w:permEnd w:id="1931877220"/>
    <w:p w:rsidR="002A40D1" w:rsidRDefault="00710EFD">
      <w:r>
        <w:t>&lt;ESMA_QUESTION_DP_BMR_96&gt;</w:t>
      </w:r>
    </w:p>
    <w:p w:rsidR="002A40D1" w:rsidRDefault="002A40D1"/>
    <w:p w:rsidR="002A40D1" w:rsidRDefault="00710EFD">
      <w:pPr>
        <w:pStyle w:val="Questionstyle"/>
      </w:pPr>
      <w:r>
        <w:t xml:space="preserve">Do you agree with the proposed approach towards registration? How should the information requirements for registration deviate from the requirements for authorisation? </w:t>
      </w:r>
    </w:p>
    <w:p w:rsidR="002A40D1" w:rsidRDefault="00710EFD">
      <w:r>
        <w:t>&lt;ESMA_QUESTION_DP_BMR_97&gt;</w:t>
      </w:r>
    </w:p>
    <w:p w:rsidR="002A40D1" w:rsidRDefault="00710EFD">
      <w:pPr>
        <w:jc w:val="both"/>
        <w:rPr>
          <w:rFonts w:cs="Arial"/>
          <w:szCs w:val="20"/>
        </w:rPr>
      </w:pPr>
      <w:permStart w:id="838158902" w:edGrp="everyone"/>
      <w:r>
        <w:rPr>
          <w:rFonts w:cs="Arial"/>
          <w:szCs w:val="20"/>
        </w:rPr>
        <w:t xml:space="preserve">CME Group is of the opinion that in order for the registration process to be a meaningfully less extensive assessment than authorisation, the requirements as proposed by ESMA would have to be significantly scaled down. For supervised entities seeking registration this process should be limited to the basic presentation of a benchmark, as most of the </w:t>
      </w:r>
      <w:proofErr w:type="gramStart"/>
      <w:r>
        <w:rPr>
          <w:rFonts w:cs="Arial"/>
          <w:szCs w:val="20"/>
        </w:rPr>
        <w:t>information  will</w:t>
      </w:r>
      <w:proofErr w:type="gramEnd"/>
      <w:r>
        <w:rPr>
          <w:rFonts w:cs="Arial"/>
          <w:szCs w:val="20"/>
        </w:rPr>
        <w:t xml:space="preserve"> already be in the possession of the national competent authority. It should be clarified that, given the entity applying for registration is already autho</w:t>
      </w:r>
      <w:r>
        <w:rPr>
          <w:rFonts w:cs="Arial"/>
          <w:szCs w:val="20"/>
        </w:rPr>
        <w:t>r</w:t>
      </w:r>
      <w:r>
        <w:rPr>
          <w:rFonts w:cs="Arial"/>
          <w:szCs w:val="20"/>
        </w:rPr>
        <w:t>ised and to avoid duplication, any information required to be provided should only be required to the extent it is relevant to the activity of being a benchmark provider and differs from what is already in the posse</w:t>
      </w:r>
      <w:r>
        <w:rPr>
          <w:rFonts w:cs="Arial"/>
          <w:szCs w:val="20"/>
        </w:rPr>
        <w:t>s</w:t>
      </w:r>
      <w:r>
        <w:rPr>
          <w:rFonts w:cs="Arial"/>
          <w:szCs w:val="20"/>
        </w:rPr>
        <w:t>sion of the relevant national competent authority.</w:t>
      </w:r>
    </w:p>
    <w:permEnd w:id="838158902"/>
    <w:p w:rsidR="002A40D1" w:rsidRDefault="00710EFD">
      <w:r>
        <w:t>&lt;ESMA_QUESTION_DP_BMR_97&gt;</w:t>
      </w:r>
    </w:p>
    <w:p w:rsidR="002A40D1" w:rsidRDefault="002A40D1"/>
    <w:p w:rsidR="002A40D1" w:rsidRDefault="00710EFD">
      <w:pPr>
        <w:pStyle w:val="Questionstyle"/>
      </w:pPr>
      <w:r>
        <w:t>Do you believe there are any specific types of supervised entities which would require special treatment within the registration regime? If yes, which ones and why?</w:t>
      </w:r>
    </w:p>
    <w:p w:rsidR="002A40D1" w:rsidRDefault="00710EFD">
      <w:r>
        <w:t>&lt;ESMA_QUESTION_DP_BMR_98&gt;</w:t>
      </w:r>
    </w:p>
    <w:p w:rsidR="002A40D1" w:rsidRDefault="00710EFD">
      <w:pPr>
        <w:jc w:val="both"/>
        <w:rPr>
          <w:rFonts w:cs="Arial"/>
          <w:szCs w:val="20"/>
        </w:rPr>
      </w:pPr>
      <w:permStart w:id="1590708254" w:edGrp="everyone"/>
      <w:r>
        <w:rPr>
          <w:rFonts w:cs="Arial"/>
          <w:szCs w:val="20"/>
        </w:rPr>
        <w:t>No comment.</w:t>
      </w:r>
    </w:p>
    <w:permEnd w:id="1590708254"/>
    <w:p w:rsidR="002A40D1" w:rsidRDefault="00710EFD">
      <w:r>
        <w:t>&lt;ESMA_QUESTION_DP_BMR_98&gt;</w:t>
      </w:r>
    </w:p>
    <w:p w:rsidR="002A40D1" w:rsidRDefault="002A40D1"/>
    <w:p w:rsidR="002A40D1" w:rsidRDefault="00710EFD">
      <w:pPr>
        <w:pStyle w:val="Questionstyle"/>
      </w:pPr>
      <w:r>
        <w:t>Do you have any suggestions on which information should be included in the application for the recognition of a third country administrator?</w:t>
      </w:r>
    </w:p>
    <w:p w:rsidR="002A40D1" w:rsidRDefault="00710EFD">
      <w:r>
        <w:t>&lt;ESMA_QUESTION_DP_BMR_99&gt;</w:t>
      </w:r>
    </w:p>
    <w:p w:rsidR="002A40D1" w:rsidRDefault="00710EFD">
      <w:pPr>
        <w:jc w:val="both"/>
        <w:rPr>
          <w:rFonts w:cs="Arial"/>
          <w:szCs w:val="20"/>
        </w:rPr>
      </w:pPr>
      <w:permStart w:id="194710118" w:edGrp="everyone"/>
      <w:r>
        <w:rPr>
          <w:rFonts w:cs="Arial"/>
          <w:szCs w:val="20"/>
        </w:rPr>
        <w:t>CME Group would like to raise to ESMA’s attention several concerns considering the section of the DP dealing with third country provisions. The Level 1 text of the BMR allows for the recognition procedure to take place when the third country administrator demonstrates compliance with the IOSCO Principles when such compliance is “</w:t>
      </w:r>
      <w:r>
        <w:rPr>
          <w:rFonts w:cs="Arial"/>
          <w:i/>
          <w:szCs w:val="20"/>
        </w:rPr>
        <w:t>equivalent to compliance with the requirements established in this Regulation</w:t>
      </w:r>
      <w:r>
        <w:rPr>
          <w:rFonts w:cs="Arial"/>
          <w:szCs w:val="20"/>
        </w:rPr>
        <w:t>.” It is therefore a viable route that we expect many third country administrators will consider when deciding whether to apply for the recognition in the EU. We note, however, that ESMA’s proposals lack any refe</w:t>
      </w:r>
      <w:r>
        <w:rPr>
          <w:rFonts w:cs="Arial"/>
          <w:szCs w:val="20"/>
        </w:rPr>
        <w:t>r</w:t>
      </w:r>
      <w:r>
        <w:rPr>
          <w:rFonts w:cs="Arial"/>
          <w:szCs w:val="20"/>
        </w:rPr>
        <w:t>ence to the practical elements of applying for the recognition on the basis of IOSCO compliance. We understand in accordance with Article 21a(2) of the BMR that a third country administrator should present an assessment by an independent external auditor, or, when an administrator is subject to supervision, a certificate provided by a competent authority of its home country. Provision of IOSCO compliance stat</w:t>
      </w:r>
      <w:r>
        <w:rPr>
          <w:rFonts w:cs="Arial"/>
          <w:szCs w:val="20"/>
        </w:rPr>
        <w:t>e</w:t>
      </w:r>
      <w:r>
        <w:rPr>
          <w:rFonts w:cs="Arial"/>
          <w:szCs w:val="20"/>
        </w:rPr>
        <w:t>ments is an alternative route of applying for a recognition and should be clearly identified as such by ESMA in its draft RTS setting out the information that needs to be provided in the course of the recognition procedure.</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In addition, we note that the Level 1 text of the BMR recognises that not all third country administrators will be subject to supervision in their home countries. Article </w:t>
      </w:r>
      <w:proofErr w:type="gramStart"/>
      <w:r>
        <w:rPr>
          <w:rFonts w:cs="Arial"/>
          <w:szCs w:val="20"/>
        </w:rPr>
        <w:t>21a(</w:t>
      </w:r>
      <w:proofErr w:type="gramEnd"/>
      <w:r>
        <w:rPr>
          <w:rFonts w:cs="Arial"/>
          <w:szCs w:val="20"/>
        </w:rPr>
        <w:t xml:space="preserve">5) of the BMR states that the information about the competent authority responsible for the supervision of a benchmark administrator in a home </w:t>
      </w:r>
      <w:r>
        <w:rPr>
          <w:rFonts w:cs="Arial"/>
          <w:szCs w:val="20"/>
        </w:rPr>
        <w:lastRenderedPageBreak/>
        <w:t>country should only be provided “</w:t>
      </w:r>
      <w:r>
        <w:rPr>
          <w:rFonts w:cs="Arial"/>
          <w:i/>
          <w:szCs w:val="20"/>
        </w:rPr>
        <w:t>where applicable</w:t>
      </w:r>
      <w:r>
        <w:rPr>
          <w:rFonts w:cs="Arial"/>
          <w:szCs w:val="20"/>
        </w:rPr>
        <w:t xml:space="preserve">”. We encourage ESMA to reflect this provision in its draft RTS. </w:t>
      </w:r>
    </w:p>
    <w:permEnd w:id="194710118"/>
    <w:p w:rsidR="002A40D1" w:rsidRDefault="00710EFD">
      <w:r>
        <w:t>&lt;ESMA_QUESTION_DP_BMR_99&gt;</w:t>
      </w:r>
    </w:p>
    <w:p w:rsidR="002A40D1" w:rsidRDefault="002A40D1"/>
    <w:p w:rsidR="002A40D1" w:rsidRDefault="00710EFD">
      <w:pPr>
        <w:pStyle w:val="Questionstyle"/>
      </w:pPr>
      <w:r>
        <w:t>Do you agree with the general approach proposed by ESMA for the presentation of the info</w:t>
      </w:r>
      <w:r>
        <w:t>r</w:t>
      </w:r>
      <w:r>
        <w:t xml:space="preserve">mation required in Article 21a(6) of the BMR? </w:t>
      </w:r>
    </w:p>
    <w:p w:rsidR="002A40D1" w:rsidRDefault="00710EFD">
      <w:r>
        <w:t>&lt;ESMA_QUESTION_DP_BMR_100&gt;</w:t>
      </w:r>
    </w:p>
    <w:p w:rsidR="002A40D1" w:rsidRDefault="00710EFD">
      <w:pPr>
        <w:jc w:val="both"/>
        <w:rPr>
          <w:rFonts w:cs="Arial"/>
          <w:szCs w:val="20"/>
        </w:rPr>
      </w:pPr>
      <w:permStart w:id="612329609" w:edGrp="everyone"/>
      <w:r>
        <w:rPr>
          <w:rFonts w:cs="Arial"/>
          <w:szCs w:val="20"/>
        </w:rPr>
        <w:t xml:space="preserve">CME Group broadly agrees with ESMA’s proposal. </w:t>
      </w:r>
    </w:p>
    <w:permEnd w:id="612329609"/>
    <w:p w:rsidR="002A40D1" w:rsidRDefault="00710EFD">
      <w:r>
        <w:t>&lt;ESMA_QUESTION_DP_BMR_100&gt;</w:t>
      </w:r>
    </w:p>
    <w:p w:rsidR="002A40D1" w:rsidRDefault="002A40D1"/>
    <w:p w:rsidR="002A40D1" w:rsidRDefault="00710EFD">
      <w:pPr>
        <w:pStyle w:val="Questionstyle"/>
      </w:pPr>
      <w:r>
        <w:t>For each of the three above mentioned elements, please provide your views on what should be the measures to determine the conditions whether there is an ‘objective reason’ for the endors</w:t>
      </w:r>
      <w:r>
        <w:t>e</w:t>
      </w:r>
      <w:r>
        <w:t xml:space="preserve">ment of a third country benchmark. </w:t>
      </w:r>
    </w:p>
    <w:p w:rsidR="002A40D1" w:rsidRDefault="00710EFD">
      <w:r>
        <w:t>&lt;ESMA_QUESTION_DP_BMR_101&gt;</w:t>
      </w:r>
    </w:p>
    <w:p w:rsidR="002A40D1" w:rsidRDefault="00710EFD">
      <w:pPr>
        <w:jc w:val="both"/>
        <w:rPr>
          <w:rFonts w:cs="Arial"/>
          <w:szCs w:val="20"/>
        </w:rPr>
      </w:pPr>
      <w:permStart w:id="313612500" w:edGrp="everyone"/>
      <w:r>
        <w:rPr>
          <w:rFonts w:cs="Arial"/>
          <w:szCs w:val="20"/>
        </w:rPr>
        <w:t>CME Group is of the opinion that the sole prevailing factor why the third country benchmark should be “endorsed” is the fact that it is being or may be used in the EU in financial instruments, financial contracts or to measure the performance of investment funds. We note Level 1 text requires assessments of factors such as “economic reality” or “the material availability of input data”, leaving not much room for manoeuvre at Level 2. We strongly suggest, however, that ESMA should avoid an overly prescriptive approach, such as specifying thresholds and instead focus on elaborating a non-exhaustive check-list of relevant factors.</w:t>
      </w:r>
    </w:p>
    <w:p w:rsidR="002A40D1" w:rsidRDefault="002A40D1">
      <w:pPr>
        <w:jc w:val="both"/>
        <w:rPr>
          <w:rFonts w:cs="Arial"/>
          <w:szCs w:val="20"/>
        </w:rPr>
      </w:pPr>
    </w:p>
    <w:p w:rsidR="002A40D1" w:rsidRDefault="00710EFD">
      <w:pPr>
        <w:jc w:val="both"/>
        <w:rPr>
          <w:rFonts w:cs="Arial"/>
          <w:szCs w:val="20"/>
        </w:rPr>
      </w:pPr>
      <w:r>
        <w:rPr>
          <w:rFonts w:cs="Arial"/>
          <w:szCs w:val="20"/>
        </w:rPr>
        <w:t>On the need for geographic proximity, we note that while in some cases geographic proximity may be one objective reason why a benchmark should be provided from a third country and endorsed in the EU, a lack of geographic proximity between the administrator and contributors should not preclude a benchmark from being endorsed under Article 21b. Some benchmarks take data from contributors around the world and therefore the fact that the administrator may not be close to either some of its contributors or the economic reality which the benchmark seeks to measure is inevitable and not problematic.</w:t>
      </w:r>
    </w:p>
    <w:permEnd w:id="313612500"/>
    <w:p w:rsidR="002A40D1" w:rsidRDefault="00710EFD">
      <w:r>
        <w:t>&lt;ESMA_QUESTION_DP_BMR_101&gt;</w:t>
      </w:r>
    </w:p>
    <w:p w:rsidR="002A40D1" w:rsidRDefault="002A40D1"/>
    <w:p w:rsidR="002A40D1" w:rsidRDefault="00710EFD">
      <w:pPr>
        <w:pStyle w:val="Questionstyle"/>
      </w:pPr>
      <w:r>
        <w:t xml:space="preserve">Do you consider that there are any other elements that could be taken into consideration to substantiate the ‘objective reason’ for the provision and endorsement for use in the Union of a third country benchmark or family of benchmarks? </w:t>
      </w:r>
    </w:p>
    <w:p w:rsidR="002A40D1" w:rsidRDefault="00710EFD">
      <w:r>
        <w:t>&lt;ESMA_QUESTION_DP_BMR_102&gt;</w:t>
      </w:r>
    </w:p>
    <w:p w:rsidR="002A40D1" w:rsidRDefault="00710EFD">
      <w:pPr>
        <w:jc w:val="both"/>
        <w:rPr>
          <w:rFonts w:cs="Arial"/>
          <w:szCs w:val="20"/>
        </w:rPr>
      </w:pPr>
      <w:permStart w:id="1811305656" w:edGrp="everyone"/>
      <w:r>
        <w:rPr>
          <w:rFonts w:cs="Arial"/>
          <w:szCs w:val="20"/>
        </w:rPr>
        <w:t>No comment.</w:t>
      </w:r>
    </w:p>
    <w:permEnd w:id="1811305656"/>
    <w:p w:rsidR="002A40D1" w:rsidRDefault="00710EFD">
      <w:r>
        <w:t>&lt;ESMA_QUESTION_DP_BMR_102&gt;</w:t>
      </w:r>
    </w:p>
    <w:p w:rsidR="002A40D1" w:rsidRDefault="002A40D1"/>
    <w:p w:rsidR="002A40D1" w:rsidRDefault="00710EFD">
      <w:pPr>
        <w:pStyle w:val="Questionstyle"/>
      </w:pPr>
      <w:r>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2A40D1" w:rsidRDefault="00710EFD">
      <w:r>
        <w:t>&lt;ESMA_QUESTION_DP_BMR_103&gt;</w:t>
      </w:r>
    </w:p>
    <w:p w:rsidR="002A40D1" w:rsidRDefault="00710EFD">
      <w:pPr>
        <w:jc w:val="both"/>
        <w:rPr>
          <w:rFonts w:cs="Arial"/>
          <w:szCs w:val="20"/>
        </w:rPr>
      </w:pPr>
      <w:permStart w:id="2051546573" w:edGrp="everyone"/>
      <w:r>
        <w:rPr>
          <w:rFonts w:cs="Arial"/>
          <w:szCs w:val="20"/>
        </w:rPr>
        <w:t>CME Group broadly agrees with ESMA’s proposal but notes that, in relation to paragraph 338, an adjus</w:t>
      </w:r>
      <w:r>
        <w:rPr>
          <w:rFonts w:cs="Arial"/>
          <w:szCs w:val="20"/>
        </w:rPr>
        <w:t>t</w:t>
      </w:r>
      <w:r>
        <w:rPr>
          <w:rFonts w:cs="Arial"/>
          <w:szCs w:val="20"/>
        </w:rPr>
        <w:t xml:space="preserve">ment to a benchmark that resulted in even a small difference in values could have a large impact on the users of that benchmark depending on the </w:t>
      </w:r>
      <w:proofErr w:type="gramStart"/>
      <w:r>
        <w:rPr>
          <w:rFonts w:cs="Arial"/>
          <w:szCs w:val="20"/>
        </w:rPr>
        <w:t>terms  and</w:t>
      </w:r>
      <w:proofErr w:type="gramEnd"/>
      <w:r>
        <w:rPr>
          <w:rFonts w:cs="Arial"/>
          <w:szCs w:val="20"/>
        </w:rPr>
        <w:t xml:space="preserve"> prevalence of the contract or instrument referencing the benchmark. The effect of an adjustment should also therefore take into account the effect on the users of the benchmark not just the magnitude of the change in the values of the benchmark.</w:t>
      </w:r>
    </w:p>
    <w:permEnd w:id="2051546573"/>
    <w:p w:rsidR="002A40D1" w:rsidRDefault="00710EFD">
      <w:r>
        <w:t>&lt;ESMA_QUESTION_DP_BMR_103&gt;</w:t>
      </w:r>
    </w:p>
    <w:p w:rsidR="002A40D1" w:rsidRDefault="002A40D1"/>
    <w:p w:rsidR="002A40D1" w:rsidRDefault="00710EFD">
      <w:pPr>
        <w:pStyle w:val="Questionstyle"/>
      </w:pPr>
      <w:r>
        <w:lastRenderedPageBreak/>
        <w:t>Which other circumstances could cause the consequences mentioned in Article 39(3) in case existing benchmarks are due to be adapted to the Regulation or to be ceased?</w:t>
      </w:r>
    </w:p>
    <w:p w:rsidR="002A40D1" w:rsidRDefault="00710EFD">
      <w:r>
        <w:t>&lt;ESMA_QUESTION_DP_BMR_104&gt;</w:t>
      </w:r>
    </w:p>
    <w:p w:rsidR="002A40D1" w:rsidRDefault="00710EFD">
      <w:pPr>
        <w:jc w:val="both"/>
        <w:rPr>
          <w:rFonts w:cs="Arial"/>
          <w:szCs w:val="20"/>
        </w:rPr>
      </w:pPr>
      <w:permStart w:id="2072273896" w:edGrp="everyone"/>
      <w:r>
        <w:rPr>
          <w:rFonts w:cs="Arial"/>
          <w:szCs w:val="20"/>
        </w:rPr>
        <w:t>No comment.</w:t>
      </w:r>
    </w:p>
    <w:permEnd w:id="2072273896"/>
    <w:p w:rsidR="002A40D1" w:rsidRDefault="00710EFD">
      <w:r>
        <w:t>&lt;ESMA_QUESTION_DP_BMR_104&gt;</w:t>
      </w:r>
    </w:p>
    <w:p w:rsidR="002A40D1" w:rsidRDefault="002A40D1"/>
    <w:p w:rsidR="002A40D1" w:rsidRDefault="00710EFD">
      <w:pPr>
        <w:pStyle w:val="Questionstyle"/>
      </w:pPr>
      <w:r>
        <w:t>Do you agree with the proposed definition of “force majeure event”? If not, please explain the reasons and propose an alternative.</w:t>
      </w:r>
    </w:p>
    <w:p w:rsidR="002A40D1" w:rsidRDefault="00710EFD">
      <w:r>
        <w:t>&lt;ESMA_QUESTION_DP_BMR_105&gt;</w:t>
      </w:r>
    </w:p>
    <w:p w:rsidR="002A40D1" w:rsidRDefault="00710EFD">
      <w:pPr>
        <w:jc w:val="both"/>
        <w:rPr>
          <w:rFonts w:cs="Arial"/>
          <w:szCs w:val="20"/>
        </w:rPr>
      </w:pPr>
      <w:permStart w:id="2061187175" w:edGrp="everyone"/>
      <w:r>
        <w:rPr>
          <w:rFonts w:cs="Arial"/>
          <w:szCs w:val="20"/>
        </w:rPr>
        <w:t>CME Group broadly agrees with ESMA’s proposal but notes that any definition of “force majeure event” should be clearly confined as being for the purposes of Article 39(1) of the BMR to avoid any potential conflict or confusion with force majeure concepts defined for the purposes of specific contracts or in n</w:t>
      </w:r>
      <w:r>
        <w:rPr>
          <w:rFonts w:cs="Arial"/>
          <w:szCs w:val="20"/>
        </w:rPr>
        <w:t>a</w:t>
      </w:r>
      <w:r>
        <w:rPr>
          <w:rFonts w:cs="Arial"/>
          <w:szCs w:val="20"/>
        </w:rPr>
        <w:t>tional law.</w:t>
      </w:r>
    </w:p>
    <w:p w:rsidR="002A40D1" w:rsidRDefault="002A40D1">
      <w:pPr>
        <w:jc w:val="both"/>
        <w:rPr>
          <w:rFonts w:cs="Arial"/>
          <w:szCs w:val="20"/>
        </w:rPr>
      </w:pPr>
    </w:p>
    <w:p w:rsidR="002A40D1" w:rsidRDefault="00710EFD">
      <w:pPr>
        <w:jc w:val="both"/>
        <w:rPr>
          <w:rFonts w:cs="Arial"/>
          <w:szCs w:val="20"/>
        </w:rPr>
      </w:pPr>
      <w:r>
        <w:rPr>
          <w:rFonts w:cs="Arial"/>
          <w:szCs w:val="20"/>
        </w:rPr>
        <w:t xml:space="preserve">To ensure uniform interpretation of the BMR, CME Group also suggests that ESMA clarify the meaning of “frustration” for the purposes of Article 39(1) and how (if at all) it differs from “force majeure event”. </w:t>
      </w:r>
    </w:p>
    <w:permEnd w:id="2061187175"/>
    <w:p w:rsidR="002A40D1" w:rsidRDefault="00710EFD">
      <w:r>
        <w:t>&lt;ESMA_QUESTION_DP_BMR_105&gt;</w:t>
      </w:r>
    </w:p>
    <w:p w:rsidR="002A40D1" w:rsidRDefault="002A40D1"/>
    <w:p w:rsidR="002A40D1" w:rsidRDefault="00710EFD">
      <w:pPr>
        <w:pStyle w:val="Questionstyle"/>
      </w:pPr>
      <w:r>
        <w:t>Are the two envisaged options (with respect to the term until which a non-compliant benc</w:t>
      </w:r>
      <w:r>
        <w:t>h</w:t>
      </w:r>
      <w:r>
        <w:t xml:space="preserve">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2A40D1" w:rsidRDefault="00710EFD">
      <w:r>
        <w:t>&lt;ESMA_QUESTION_DP_BMR_106&gt;</w:t>
      </w:r>
    </w:p>
    <w:p w:rsidR="002A40D1" w:rsidRDefault="00710EFD">
      <w:pPr>
        <w:jc w:val="both"/>
        <w:rPr>
          <w:rFonts w:cs="Arial"/>
          <w:szCs w:val="20"/>
        </w:rPr>
      </w:pPr>
      <w:permStart w:id="1907452180" w:edGrp="everyone"/>
      <w:r>
        <w:rPr>
          <w:rFonts w:cs="Arial"/>
          <w:szCs w:val="20"/>
        </w:rPr>
        <w:t>CME Group sees a number of practical issues with the options presented by ESMA and considers that a more workable solution would be to allow indefinite use of non-compliant benchmarks in those financial instruments and financial contracts that existed at the date of application.</w:t>
      </w:r>
    </w:p>
    <w:p w:rsidR="002A40D1" w:rsidRDefault="002A40D1">
      <w:pPr>
        <w:jc w:val="both"/>
        <w:rPr>
          <w:rFonts w:cs="Arial"/>
          <w:szCs w:val="20"/>
        </w:rPr>
      </w:pPr>
    </w:p>
    <w:p w:rsidR="002A40D1" w:rsidRDefault="00710EFD">
      <w:pPr>
        <w:jc w:val="both"/>
        <w:rPr>
          <w:rFonts w:cs="Arial"/>
          <w:szCs w:val="20"/>
        </w:rPr>
      </w:pPr>
      <w:r>
        <w:rPr>
          <w:rFonts w:cs="Arial"/>
          <w:szCs w:val="20"/>
        </w:rPr>
        <w:t>The one practical difficulty would be in calculating the fixed time limit or quantitative limit for each benc</w:t>
      </w:r>
      <w:r>
        <w:rPr>
          <w:rFonts w:cs="Arial"/>
          <w:szCs w:val="20"/>
        </w:rPr>
        <w:t>h</w:t>
      </w:r>
      <w:r>
        <w:rPr>
          <w:rFonts w:cs="Arial"/>
          <w:szCs w:val="20"/>
        </w:rPr>
        <w:t>mark as this would require data on all financial instruments and financial contracts referencing the benc</w:t>
      </w:r>
      <w:r>
        <w:rPr>
          <w:rFonts w:cs="Arial"/>
          <w:szCs w:val="20"/>
        </w:rPr>
        <w:t>h</w:t>
      </w:r>
      <w:r>
        <w:rPr>
          <w:rFonts w:cs="Arial"/>
          <w:szCs w:val="20"/>
        </w:rPr>
        <w:t>mark. The amount of effort required from benchmark administrators, users and competent authorities to collect and evaluate this data seems disproportionate considering that the data will be used set a thres</w:t>
      </w:r>
      <w:r>
        <w:rPr>
          <w:rFonts w:cs="Arial"/>
          <w:szCs w:val="20"/>
        </w:rPr>
        <w:t>h</w:t>
      </w:r>
      <w:r>
        <w:rPr>
          <w:rFonts w:cs="Arial"/>
          <w:szCs w:val="20"/>
        </w:rPr>
        <w:t xml:space="preserve">old so as to have a limited impact on market participants in any event. </w:t>
      </w:r>
    </w:p>
    <w:p w:rsidR="002A40D1" w:rsidRDefault="002A40D1">
      <w:pPr>
        <w:jc w:val="both"/>
        <w:rPr>
          <w:rFonts w:cs="Arial"/>
          <w:szCs w:val="20"/>
        </w:rPr>
      </w:pPr>
    </w:p>
    <w:p w:rsidR="002A40D1" w:rsidRDefault="00710EFD">
      <w:pPr>
        <w:jc w:val="both"/>
        <w:rPr>
          <w:rFonts w:cs="Arial"/>
          <w:szCs w:val="20"/>
        </w:rPr>
      </w:pPr>
      <w:r>
        <w:rPr>
          <w:rFonts w:cs="Arial"/>
          <w:szCs w:val="20"/>
        </w:rPr>
        <w:t>A further practical difficulty is that for the financial instruments and financial contracts remaining in exis</w:t>
      </w:r>
      <w:r>
        <w:rPr>
          <w:rFonts w:cs="Arial"/>
          <w:szCs w:val="20"/>
        </w:rPr>
        <w:t>t</w:t>
      </w:r>
      <w:r>
        <w:rPr>
          <w:rFonts w:cs="Arial"/>
          <w:szCs w:val="20"/>
        </w:rPr>
        <w:t>ence after the time limit has elapsed or quantitative thresholds have been passed may suffer a force majeure event, frustration or otherwise breach of terms. Given that the market participants exposed are not at fault, it is unfair and disproportionate to make them suffer such consequences which can easily be avoided by not using fixed time limits or quantitative thresholds. Even though the total volume of financial instruments and/or financial contracts referencing a benchmark may have reduced significantly from the time the benchmark was declared non-compliant, the impact on the end users still using the benchmark of no longer being able to use is no less.</w:t>
      </w:r>
    </w:p>
    <w:p w:rsidR="002A40D1" w:rsidRDefault="002A40D1">
      <w:pPr>
        <w:jc w:val="both"/>
        <w:rPr>
          <w:rFonts w:cs="Arial"/>
          <w:szCs w:val="20"/>
        </w:rPr>
      </w:pPr>
    </w:p>
    <w:p w:rsidR="002A40D1" w:rsidRDefault="00710EFD">
      <w:pPr>
        <w:jc w:val="both"/>
        <w:rPr>
          <w:rFonts w:cs="Arial"/>
          <w:szCs w:val="20"/>
        </w:rPr>
      </w:pPr>
      <w:r>
        <w:rPr>
          <w:rFonts w:cs="Arial"/>
          <w:szCs w:val="20"/>
        </w:rPr>
        <w:t>A more practical solution of allowing the indefinite use of non-compliant benchmarks in those financial instruments and financial contracts that existed at the date of application would avoid both of the issues identified above.</w:t>
      </w:r>
    </w:p>
    <w:permEnd w:id="1907452180"/>
    <w:p w:rsidR="002A40D1" w:rsidRDefault="00710EFD">
      <w:r>
        <w:t>&lt;ESMA_QUESTION_DP_BMR_106&gt;</w:t>
      </w:r>
    </w:p>
    <w:p w:rsidR="002A40D1" w:rsidRDefault="002A40D1"/>
    <w:p w:rsidR="002A40D1" w:rsidRDefault="00710EFD">
      <w:pPr>
        <w:pStyle w:val="Questionstyle"/>
      </w:pPr>
      <w:r>
        <w:t>Which thresholds would be appropriate to foresee and how might a time limit be fixed? Please detail the reasons behind any suggestion.</w:t>
      </w:r>
    </w:p>
    <w:p w:rsidR="002A40D1" w:rsidRDefault="00710EFD">
      <w:r>
        <w:t>&lt;ESMA_QUESTION_DP_BMR_107&gt;</w:t>
      </w:r>
    </w:p>
    <w:p w:rsidR="002A40D1" w:rsidRDefault="00710EFD">
      <w:pPr>
        <w:jc w:val="both"/>
        <w:rPr>
          <w:rFonts w:cs="Arial"/>
          <w:szCs w:val="20"/>
        </w:rPr>
      </w:pPr>
      <w:permStart w:id="728978131" w:edGrp="everyone"/>
      <w:r>
        <w:rPr>
          <w:rFonts w:cs="Arial"/>
          <w:szCs w:val="20"/>
        </w:rPr>
        <w:lastRenderedPageBreak/>
        <w:t>No comment.</w:t>
      </w:r>
    </w:p>
    <w:permEnd w:id="728978131"/>
    <w:p w:rsidR="002A40D1" w:rsidRDefault="00710EFD">
      <w:r>
        <w:t>&lt;ESMA_QUESTION_DP_BMR_107&gt;</w:t>
      </w:r>
    </w:p>
    <w:p w:rsidR="002A40D1" w:rsidRDefault="002A40D1"/>
    <w:p w:rsidR="002A40D1" w:rsidRDefault="00710EFD">
      <w:pPr>
        <w:pStyle w:val="Questionstyle"/>
      </w:pPr>
      <w:r>
        <w:t>Is the envisaged identification process of non-compliant benchmarks adequate? Do you have other suggestions?</w:t>
      </w:r>
    </w:p>
    <w:p w:rsidR="002A40D1" w:rsidRDefault="00710EFD">
      <w:r>
        <w:t>&lt;ESMA_QUESTION_DP_BMR_108&gt;</w:t>
      </w:r>
    </w:p>
    <w:p w:rsidR="002A40D1" w:rsidRDefault="00710EFD">
      <w:pPr>
        <w:jc w:val="both"/>
        <w:rPr>
          <w:rFonts w:cs="Arial"/>
          <w:szCs w:val="20"/>
        </w:rPr>
      </w:pPr>
      <w:permStart w:id="1717709034" w:edGrp="everyone"/>
      <w:r>
        <w:rPr>
          <w:rFonts w:cs="Arial"/>
          <w:szCs w:val="20"/>
        </w:rPr>
        <w:t>No comment.</w:t>
      </w:r>
    </w:p>
    <w:permEnd w:id="1717709034"/>
    <w:p w:rsidR="002A40D1" w:rsidRDefault="00710EFD">
      <w:r>
        <w:t>&lt;ESMA_QUESTION_DP_BMR_108&gt;</w:t>
      </w:r>
    </w:p>
    <w:p w:rsidR="002A40D1" w:rsidRDefault="002A40D1"/>
    <w:p w:rsidR="002A40D1" w:rsidRDefault="00710EFD">
      <w:pPr>
        <w:pStyle w:val="Questionstyle"/>
      </w:pPr>
      <w:r>
        <w:t>Is the envisaged procedure enabling the competent authority to perform the assessment required by Article 39(3) correct in your view? Please advise what shall be considered in addition.</w:t>
      </w:r>
    </w:p>
    <w:p w:rsidR="002A40D1" w:rsidRDefault="00710EFD">
      <w:r>
        <w:t>&lt;ESMA_QUESTION_DP_BMR_109&gt;</w:t>
      </w:r>
    </w:p>
    <w:p w:rsidR="002A40D1" w:rsidRDefault="00710EFD">
      <w:pPr>
        <w:jc w:val="both"/>
        <w:rPr>
          <w:rFonts w:cs="Arial"/>
          <w:szCs w:val="20"/>
        </w:rPr>
      </w:pPr>
      <w:permStart w:id="40242846" w:edGrp="everyone"/>
      <w:r>
        <w:rPr>
          <w:rFonts w:cs="Arial"/>
          <w:szCs w:val="20"/>
        </w:rPr>
        <w:t>No comment.</w:t>
      </w:r>
    </w:p>
    <w:permEnd w:id="40242846"/>
    <w:p w:rsidR="002A40D1" w:rsidRDefault="00710EFD">
      <w:r>
        <w:t>&lt;ESMA_QUESTION_DP_BMR_109&gt;</w:t>
      </w:r>
    </w:p>
    <w:p w:rsidR="002A40D1" w:rsidRDefault="002A40D1"/>
    <w:p w:rsidR="002A40D1" w:rsidRDefault="00710EFD">
      <w:pPr>
        <w:pStyle w:val="Questionstyle"/>
      </w:pPr>
      <w:r>
        <w:t>Which information it would be opportune to receive by benchmark providers on the one side and benchmark users that are supervised entities on the other side?</w:t>
      </w:r>
    </w:p>
    <w:p w:rsidR="002A40D1" w:rsidRDefault="00710EFD">
      <w:r>
        <w:t>&lt;ESMA_QUESTION_DP_BMR_110&gt;</w:t>
      </w:r>
    </w:p>
    <w:p w:rsidR="002A40D1" w:rsidRDefault="00710EFD">
      <w:pPr>
        <w:jc w:val="both"/>
        <w:rPr>
          <w:rFonts w:cs="Arial"/>
          <w:szCs w:val="20"/>
        </w:rPr>
      </w:pPr>
      <w:permStart w:id="534526640" w:edGrp="everyone"/>
      <w:r>
        <w:rPr>
          <w:rFonts w:cs="Arial"/>
          <w:szCs w:val="20"/>
        </w:rPr>
        <w:t>No comment.</w:t>
      </w:r>
    </w:p>
    <w:permEnd w:id="534526640"/>
    <w:p w:rsidR="002A40D1" w:rsidRDefault="00710EFD">
      <w:r>
        <w:t>&lt;ESMA_QUESTION_DP_BMR_110&gt;</w:t>
      </w:r>
    </w:p>
    <w:p w:rsidR="002A40D1" w:rsidRDefault="002A40D1"/>
    <w:p w:rsidR="002A40D1" w:rsidRDefault="00710EFD">
      <w:pPr>
        <w:pStyle w:val="Questionstyle"/>
      </w:pPr>
      <w:r>
        <w:t xml:space="preserve">Do you agree that the different users of a benchmark that are supervised entities should liaise directly with the competent authority of the administrator and not with the respective competent authorities (if different)? </w:t>
      </w:r>
    </w:p>
    <w:p w:rsidR="002A40D1" w:rsidRDefault="00710EFD">
      <w:r>
        <w:t>&lt;ESMA_QUESTION_DP_BMR_111&gt;</w:t>
      </w:r>
    </w:p>
    <w:p w:rsidR="002A40D1" w:rsidRDefault="00710EFD">
      <w:pPr>
        <w:jc w:val="both"/>
        <w:rPr>
          <w:rFonts w:cs="Arial"/>
          <w:szCs w:val="20"/>
        </w:rPr>
      </w:pPr>
      <w:permStart w:id="1060336622" w:edGrp="everyone"/>
      <w:r>
        <w:rPr>
          <w:rFonts w:cs="Arial"/>
          <w:szCs w:val="20"/>
        </w:rPr>
        <w:t>No comment.</w:t>
      </w:r>
    </w:p>
    <w:permEnd w:id="1060336622"/>
    <w:p w:rsidR="002A40D1" w:rsidRDefault="00710EFD">
      <w:r>
        <w:t>&lt;ESMA_QUESTION_DP_BMR_111&gt;</w:t>
      </w:r>
    </w:p>
    <w:p w:rsidR="002A40D1" w:rsidRDefault="002A40D1"/>
    <w:p w:rsidR="002A40D1" w:rsidRDefault="00710EFD">
      <w:pPr>
        <w:pStyle w:val="Questionstyle"/>
      </w:pPr>
      <w:r>
        <w:t>Would it be possible for relevant benchmark providers/users that are supervised entities to provide to the competent authority an estimate of the number and value of financial instr</w:t>
      </w:r>
      <w:r>
        <w:t>u</w:t>
      </w:r>
      <w:r>
        <w:t>ments/contracts referencing to a non-compliant benchmark being affected by the cess</w:t>
      </w:r>
      <w:r>
        <w:t>a</w:t>
      </w:r>
      <w:r>
        <w:t>tion/adaptation of such benchmark?</w:t>
      </w:r>
    </w:p>
    <w:p w:rsidR="002A40D1" w:rsidRDefault="00710EFD">
      <w:r>
        <w:t>&lt;ESMA_QUESTION_DP_BMR_112&gt;</w:t>
      </w:r>
    </w:p>
    <w:p w:rsidR="002A40D1" w:rsidRDefault="00710EFD">
      <w:pPr>
        <w:jc w:val="both"/>
        <w:rPr>
          <w:rFonts w:cs="Arial"/>
          <w:szCs w:val="20"/>
        </w:rPr>
      </w:pPr>
      <w:permStart w:id="693850014" w:edGrp="everyone"/>
      <w:r>
        <w:rPr>
          <w:rFonts w:cs="Arial"/>
          <w:szCs w:val="20"/>
        </w:rPr>
        <w:t>No comment.</w:t>
      </w:r>
    </w:p>
    <w:permEnd w:id="693850014"/>
    <w:p w:rsidR="002A40D1" w:rsidRDefault="00710EFD">
      <w:r>
        <w:t>&lt;ESMA_QUESTION_DP_BMR_112&gt;</w:t>
      </w:r>
    </w:p>
    <w:p w:rsidR="002A40D1" w:rsidRDefault="002A40D1"/>
    <w:p w:rsidR="002A40D1" w:rsidRDefault="00710EFD">
      <w:pPr>
        <w:pStyle w:val="Questionstyle"/>
      </w:pPr>
      <w:r>
        <w:t>Would it be possible to evaluate how many out of these financial contracts or financial instr</w:t>
      </w:r>
      <w:r>
        <w:t>u</w:t>
      </w:r>
      <w:r>
        <w:t>ments are affected in a manner that the cessation/adaptation of the non-compliant benchmark would result in a force majeure event or frustration of contracts?</w:t>
      </w:r>
    </w:p>
    <w:p w:rsidR="002A40D1" w:rsidRDefault="00710EFD">
      <w:r>
        <w:t>&lt;ESMA_QUESTION_DP_BMR_113&gt;</w:t>
      </w:r>
    </w:p>
    <w:p w:rsidR="002A40D1" w:rsidRDefault="00710EFD">
      <w:pPr>
        <w:jc w:val="both"/>
        <w:rPr>
          <w:rFonts w:cs="Arial"/>
          <w:szCs w:val="20"/>
        </w:rPr>
      </w:pPr>
      <w:permStart w:id="1708999326" w:edGrp="everyone"/>
      <w:r>
        <w:rPr>
          <w:rFonts w:cs="Arial"/>
          <w:szCs w:val="20"/>
        </w:rPr>
        <w:t>No comment.</w:t>
      </w:r>
    </w:p>
    <w:permEnd w:id="1708999326"/>
    <w:p w:rsidR="002A40D1" w:rsidRDefault="00710EFD">
      <w:r>
        <w:t>&lt;ESMA_QUESTION_DP_BMR_113&gt;</w:t>
      </w:r>
    </w:p>
    <w:p w:rsidR="002A40D1" w:rsidRDefault="002A40D1"/>
    <w:p w:rsidR="002A40D1" w:rsidRDefault="002A40D1">
      <w:pPr>
        <w:pStyle w:val="QuestionsFORM"/>
        <w:numPr>
          <w:ilvl w:val="0"/>
          <w:numId w:val="0"/>
        </w:numPr>
        <w:rPr>
          <w:lang w:val="fr-FR"/>
        </w:rPr>
      </w:pPr>
    </w:p>
    <w:sectPr w:rsidR="002A40D1">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0B" w:rsidRDefault="000A7C0B">
      <w:r>
        <w:separator/>
      </w:r>
    </w:p>
    <w:p w:rsidR="000A7C0B" w:rsidRDefault="000A7C0B"/>
  </w:endnote>
  <w:endnote w:type="continuationSeparator" w:id="0">
    <w:p w:rsidR="000A7C0B" w:rsidRDefault="000A7C0B">
      <w:r>
        <w:continuationSeparator/>
      </w:r>
    </w:p>
    <w:p w:rsidR="000A7C0B" w:rsidRDefault="000A7C0B"/>
  </w:endnote>
  <w:endnote w:type="continuationNotice" w:id="1">
    <w:p w:rsidR="000A7C0B" w:rsidRDefault="000A7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621D4">
      <w:trPr>
        <w:trHeight w:val="284"/>
      </w:trPr>
      <w:tc>
        <w:tcPr>
          <w:tcW w:w="8460" w:type="dxa"/>
        </w:tcPr>
        <w:p w:rsidR="008621D4" w:rsidRDefault="008621D4">
          <w:pPr>
            <w:pStyle w:val="00Footer"/>
            <w:rPr>
              <w:lang w:val="fr-FR"/>
            </w:rPr>
          </w:pPr>
        </w:p>
      </w:tc>
      <w:tc>
        <w:tcPr>
          <w:tcW w:w="952" w:type="dxa"/>
        </w:tcPr>
        <w:p w:rsidR="008621D4" w:rsidRDefault="008621D4">
          <w:pPr>
            <w:pStyle w:val="00aPagenumber"/>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sidR="002F3163">
            <w:rPr>
              <w:rFonts w:cs="Arial"/>
              <w:noProof/>
              <w:sz w:val="22"/>
              <w:szCs w:val="22"/>
            </w:rPr>
            <w:t>4</w:t>
          </w:r>
          <w:r>
            <w:rPr>
              <w:rFonts w:cs="Arial"/>
              <w:noProof/>
              <w:sz w:val="22"/>
              <w:szCs w:val="22"/>
            </w:rPr>
            <w:fldChar w:fldCharType="end"/>
          </w:r>
        </w:p>
      </w:tc>
    </w:tr>
  </w:tbl>
  <w:p w:rsidR="008621D4" w:rsidRDefault="008621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D4" w:rsidRDefault="00862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0B" w:rsidRDefault="000A7C0B">
      <w:r>
        <w:separator/>
      </w:r>
    </w:p>
    <w:p w:rsidR="000A7C0B" w:rsidRDefault="000A7C0B"/>
  </w:footnote>
  <w:footnote w:type="continuationSeparator" w:id="0">
    <w:p w:rsidR="000A7C0B" w:rsidRDefault="000A7C0B">
      <w:r>
        <w:continuationSeparator/>
      </w:r>
    </w:p>
    <w:p w:rsidR="000A7C0B" w:rsidRDefault="000A7C0B"/>
  </w:footnote>
  <w:footnote w:type="continuationNotice" w:id="1">
    <w:p w:rsidR="000A7C0B" w:rsidRDefault="000A7C0B"/>
  </w:footnote>
  <w:footnote w:id="2">
    <w:p w:rsidR="008621D4" w:rsidRDefault="008621D4">
      <w:pPr>
        <w:pStyle w:val="FootnoteText"/>
        <w:spacing w:after="120" w:line="240" w:lineRule="auto"/>
        <w:jc w:val="both"/>
        <w:rPr>
          <w:rFonts w:cs="Arial"/>
          <w:sz w:val="18"/>
          <w:szCs w:val="18"/>
        </w:rPr>
      </w:pPr>
      <w:r>
        <w:rPr>
          <w:rStyle w:val="FootnoteReference"/>
          <w:rFonts w:cs="Arial"/>
          <w:sz w:val="18"/>
          <w:szCs w:val="18"/>
        </w:rPr>
        <w:footnoteRef/>
      </w:r>
      <w:r>
        <w:rPr>
          <w:rFonts w:cs="Arial"/>
          <w:sz w:val="18"/>
          <w:szCs w:val="18"/>
        </w:rPr>
        <w:t xml:space="preserve">In the US, CME Group’s exchanges are regulated under the Commodity Exchange Act as Designated Contract Markets (“DCMs”) and are regulated by the U.S. Commodity Futures Trading Commission (“CFTC”). In the EU, CME Europe Ltd. is authorised by the U.K. Financial Conduct Authority (“FCA”) as a Recognised Investment Exchange, which corresponds to the status of a regulated market under Directive 2004/39/EC (MiFID). </w:t>
      </w:r>
    </w:p>
  </w:footnote>
  <w:footnote w:id="3">
    <w:p w:rsidR="008621D4" w:rsidRDefault="008621D4">
      <w:pPr>
        <w:pStyle w:val="FootnoteText"/>
        <w:spacing w:after="120" w:line="240" w:lineRule="auto"/>
        <w:rPr>
          <w:rFonts w:cs="Arial"/>
        </w:rPr>
      </w:pPr>
      <w:r>
        <w:rPr>
          <w:rStyle w:val="FootnoteReference"/>
          <w:rFonts w:cs="Arial"/>
          <w:sz w:val="18"/>
        </w:rPr>
        <w:footnoteRef/>
      </w:r>
      <w:r>
        <w:rPr>
          <w:rFonts w:cs="Arial"/>
          <w:sz w:val="18"/>
        </w:rPr>
        <w:t xml:space="preserve"> See for example Article 40(1</w:t>
      </w:r>
      <w:proofErr w:type="gramStart"/>
      <w:r>
        <w:rPr>
          <w:rFonts w:cs="Arial"/>
          <w:sz w:val="18"/>
        </w:rPr>
        <w:t>)&amp;</w:t>
      </w:r>
      <w:proofErr w:type="gramEnd"/>
      <w:r>
        <w:rPr>
          <w:rFonts w:cs="Arial"/>
          <w:sz w:val="18"/>
        </w:rPr>
        <w:t>(2) MiFID and Article 37(1)(d) of Commission Regulation (EC) No 1287/2006.</w:t>
      </w:r>
    </w:p>
  </w:footnote>
  <w:footnote w:id="4">
    <w:p w:rsidR="008621D4" w:rsidRDefault="008621D4">
      <w:pPr>
        <w:pStyle w:val="FootnoteText"/>
        <w:spacing w:after="120" w:line="240" w:lineRule="auto"/>
      </w:pPr>
      <w:r>
        <w:rPr>
          <w:rStyle w:val="FootnoteReference"/>
          <w:rFonts w:cs="Arial"/>
          <w:sz w:val="18"/>
          <w:szCs w:val="18"/>
        </w:rPr>
        <w:footnoteRef/>
      </w:r>
      <w:r>
        <w:rPr>
          <w:rFonts w:cs="Arial"/>
          <w:sz w:val="18"/>
          <w:szCs w:val="18"/>
        </w:rPr>
        <w:t xml:space="preserve"> We note that the UK government has considered this issue during the implementation process of the Fair and Effective Market Review’s (FEMR) recommendations on bringing additional benchmarks into UK regulatory scope (25.09.2014, </w:t>
      </w:r>
      <w:hyperlink r:id="rId1" w:history="1">
        <w:r>
          <w:rPr>
            <w:rStyle w:val="Hyperlink"/>
            <w:rFonts w:cs="Arial"/>
            <w:sz w:val="18"/>
            <w:szCs w:val="18"/>
          </w:rPr>
          <w:t>link</w:t>
        </w:r>
      </w:hyperlink>
      <w:r>
        <w:rPr>
          <w:rFonts w:cs="Arial"/>
          <w:sz w:val="18"/>
          <w:szCs w:val="18"/>
        </w:rPr>
        <w:t>). The FEMR consultation paper clearly notes that prices of exchange-traded futures contracts are already regulated and covered by other forms of market abuse legislation, and as such do not meet the criteria for inclusion as (UK) regulated benchmarks (paragraph 34 of the FEMR paper). In addition, we note that the UK gover</w:t>
      </w:r>
      <w:r>
        <w:rPr>
          <w:rFonts w:cs="Arial"/>
          <w:sz w:val="18"/>
          <w:szCs w:val="18"/>
        </w:rPr>
        <w:t>n</w:t>
      </w:r>
      <w:r>
        <w:rPr>
          <w:rFonts w:cs="Arial"/>
          <w:sz w:val="18"/>
          <w:szCs w:val="18"/>
        </w:rPr>
        <w:t xml:space="preserve">ment has decided to include within the scope of the national legislation ICE Brent Index (and not ICE Brent futures contract, as initially suggested). </w:t>
      </w:r>
    </w:p>
  </w:footnote>
  <w:footnote w:id="5">
    <w:p w:rsidR="008621D4" w:rsidRDefault="008621D4">
      <w:pPr>
        <w:pStyle w:val="FootnoteText"/>
        <w:spacing w:after="60" w:line="240" w:lineRule="auto"/>
        <w:rPr>
          <w:rFonts w:cs="Arial"/>
          <w:sz w:val="18"/>
          <w:szCs w:val="18"/>
        </w:rPr>
      </w:pPr>
      <w:r>
        <w:rPr>
          <w:rStyle w:val="FootnoteReference"/>
          <w:rFonts w:cs="Arial"/>
          <w:sz w:val="18"/>
          <w:szCs w:val="18"/>
        </w:rPr>
        <w:footnoteRef/>
      </w:r>
      <w:r>
        <w:rPr>
          <w:rFonts w:cs="Arial"/>
          <w:sz w:val="18"/>
          <w:szCs w:val="18"/>
        </w:rPr>
        <w:t xml:space="preserve"> The BMR includes a number of provisions that would create serious regulatory conflicts should the publication of DSPs / FSPs be considered a benchmark activity. For example, the BMR contains a requirement that the provision of a benchmark must be operationally separated from any part of the administrator’s business. There is a potential conflict if the operation of providing settlement prices as a benchmark administrator would have to be separated from the operation of providing settlement prices as a market operator of a regulated exchange.</w:t>
      </w:r>
    </w:p>
    <w:p w:rsidR="008621D4" w:rsidRDefault="008621D4">
      <w:pPr>
        <w:pStyle w:val="FootnoteText"/>
        <w:spacing w:after="60" w:line="240" w:lineRule="auto"/>
        <w:rPr>
          <w:rFonts w:cs="Arial"/>
          <w:sz w:val="18"/>
          <w:szCs w:val="18"/>
        </w:rPr>
      </w:pPr>
    </w:p>
  </w:footnote>
  <w:footnote w:id="6">
    <w:p w:rsidR="008621D4" w:rsidRDefault="008621D4">
      <w:pPr>
        <w:pStyle w:val="FootnoteText"/>
        <w:spacing w:after="60" w:line="240" w:lineRule="auto"/>
        <w:rPr>
          <w:rFonts w:cs="Arial"/>
          <w:sz w:val="18"/>
          <w:szCs w:val="18"/>
        </w:rPr>
      </w:pPr>
      <w:r>
        <w:rPr>
          <w:rStyle w:val="FootnoteReference"/>
          <w:rFonts w:cs="Arial"/>
          <w:sz w:val="18"/>
          <w:szCs w:val="18"/>
        </w:rPr>
        <w:footnoteRef/>
      </w:r>
      <w:r>
        <w:rPr>
          <w:rFonts w:cs="Arial"/>
          <w:sz w:val="18"/>
          <w:szCs w:val="18"/>
        </w:rPr>
        <w:t xml:space="preserve"> “</w:t>
      </w:r>
      <w:r>
        <w:rPr>
          <w:rFonts w:cs="Arial"/>
          <w:i/>
          <w:sz w:val="18"/>
          <w:szCs w:val="18"/>
        </w:rPr>
        <w:t>The prices of single financial securities (e.g., equity securities underlying stock options or futures) are not consi</w:t>
      </w:r>
      <w:r>
        <w:rPr>
          <w:rFonts w:cs="Arial"/>
          <w:i/>
          <w:sz w:val="18"/>
          <w:szCs w:val="18"/>
        </w:rPr>
        <w:t>d</w:t>
      </w:r>
      <w:r>
        <w:rPr>
          <w:rFonts w:cs="Arial"/>
          <w:i/>
          <w:sz w:val="18"/>
          <w:szCs w:val="18"/>
        </w:rPr>
        <w:t>ered Benchmarks for the purposes of these Principles</w:t>
      </w:r>
      <w:r>
        <w:rPr>
          <w:rFonts w:cs="Arial"/>
          <w:sz w:val="18"/>
          <w:szCs w:val="18"/>
        </w:rPr>
        <w:t xml:space="preserve">” (page 4 of the IOSCO Principles for Financial Benchmarks, July 2013, </w:t>
      </w:r>
      <w:hyperlink r:id="rId2" w:history="1">
        <w:r>
          <w:rPr>
            <w:rStyle w:val="Hyperlink"/>
            <w:rFonts w:cs="Arial"/>
            <w:sz w:val="18"/>
            <w:szCs w:val="18"/>
          </w:rPr>
          <w:t>link</w:t>
        </w:r>
      </w:hyperlink>
      <w:r>
        <w:rPr>
          <w:rFonts w:cs="Arial"/>
          <w:sz w:val="18"/>
          <w:szCs w:val="18"/>
        </w:rPr>
        <w:t xml:space="preserve">).  </w:t>
      </w:r>
    </w:p>
  </w:footnote>
  <w:footnote w:id="7">
    <w:p w:rsidR="008621D4" w:rsidRDefault="008621D4">
      <w:pPr>
        <w:pStyle w:val="FootnoteText"/>
        <w:rPr>
          <w:rFonts w:cs="Arial"/>
        </w:rPr>
      </w:pPr>
      <w:r>
        <w:rPr>
          <w:rStyle w:val="FootnoteReference"/>
          <w:rFonts w:cs="Arial"/>
          <w:sz w:val="18"/>
        </w:rPr>
        <w:footnoteRef/>
      </w:r>
      <w:r>
        <w:rPr>
          <w:rFonts w:cs="Arial"/>
          <w:sz w:val="18"/>
        </w:rPr>
        <w:t xml:space="preserve"> Terms of Reference of the LBMA Silver Price Oversight Committee are available at the following link: http://financial.thomsonreuters.com/content/dam/openweb/documents/pdf/financial/terms-of-reference-of-the-lbma-silver-price-committee.pdf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D4" w:rsidRDefault="008621D4">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D4" w:rsidRDefault="008621D4">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D4" w:rsidRDefault="008621D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621D4">
      <w:trPr>
        <w:trHeight w:val="284"/>
      </w:trPr>
      <w:tc>
        <w:tcPr>
          <w:tcW w:w="8460" w:type="dxa"/>
        </w:tcPr>
        <w:p w:rsidR="008621D4" w:rsidRDefault="008621D4">
          <w:pPr>
            <w:pStyle w:val="00Footer"/>
            <w:rPr>
              <w:lang w:val="fr-FR"/>
            </w:rPr>
          </w:pPr>
        </w:p>
      </w:tc>
      <w:tc>
        <w:tcPr>
          <w:tcW w:w="952" w:type="dxa"/>
        </w:tcPr>
        <w:p w:rsidR="008621D4" w:rsidRDefault="008621D4">
          <w:pPr>
            <w:pStyle w:val="00aPagenumber"/>
            <w:rPr>
              <w:lang w:val="fr-FR"/>
            </w:rPr>
          </w:pPr>
        </w:p>
      </w:tc>
    </w:tr>
  </w:tbl>
  <w:p w:rsidR="008621D4" w:rsidRDefault="008621D4">
    <w:pPr>
      <w:rPr>
        <w:lang w:val="fr-FR"/>
      </w:rPr>
    </w:pPr>
  </w:p>
  <w:p w:rsidR="008621D4" w:rsidRDefault="008621D4">
    <w:pPr>
      <w:pStyle w:val="Header"/>
      <w:rPr>
        <w:lang w:val="fr-FR"/>
      </w:rPr>
    </w:pPr>
  </w:p>
  <w:p w:rsidR="008621D4" w:rsidRDefault="008621D4">
    <w:pPr>
      <w:pStyle w:val="Header"/>
      <w:tabs>
        <w:tab w:val="clear" w:pos="4536"/>
        <w:tab w:val="clear" w:pos="9072"/>
        <w:tab w:val="left" w:pos="8227"/>
      </w:tabs>
      <w:rPr>
        <w:lang w:val="fr-FR"/>
      </w:rPr>
    </w:pPr>
  </w:p>
  <w:p w:rsidR="008621D4" w:rsidRDefault="008621D4">
    <w:pPr>
      <w:pStyle w:val="Header"/>
      <w:tabs>
        <w:tab w:val="clear" w:pos="4536"/>
        <w:tab w:val="clear" w:pos="9072"/>
        <w:tab w:val="left" w:pos="8227"/>
      </w:tabs>
      <w:rPr>
        <w:lang w:val="fr-FR"/>
      </w:rPr>
    </w:pPr>
  </w:p>
  <w:p w:rsidR="008621D4" w:rsidRDefault="008621D4">
    <w:pPr>
      <w:pStyle w:val="Header"/>
      <w:rPr>
        <w:lang w:val="fr-FR"/>
      </w:rPr>
    </w:pPr>
  </w:p>
  <w:p w:rsidR="008621D4" w:rsidRDefault="008621D4">
    <w:pPr>
      <w:pStyle w:val="Header"/>
      <w:rPr>
        <w:lang w:val="fr-FR"/>
      </w:rPr>
    </w:pPr>
  </w:p>
  <w:p w:rsidR="008621D4" w:rsidRDefault="008621D4">
    <w:pPr>
      <w:pStyle w:val="Header"/>
      <w:rPr>
        <w:lang w:val="fr-FR"/>
      </w:rPr>
    </w:pPr>
  </w:p>
  <w:p w:rsidR="008621D4" w:rsidRDefault="008621D4">
    <w:pPr>
      <w:pStyle w:val="Header"/>
      <w:rPr>
        <w:lang w:val="fr-FR"/>
      </w:rPr>
    </w:pPr>
  </w:p>
  <w:p w:rsidR="008621D4" w:rsidRDefault="008621D4">
    <w:pPr>
      <w:pStyle w:val="Header"/>
      <w:rPr>
        <w:highlight w:val="yellow"/>
        <w:lang w:val="fr-FR"/>
      </w:rPr>
    </w:pPr>
  </w:p>
  <w:p w:rsidR="008621D4" w:rsidRDefault="008621D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426A3"/>
    <w:multiLevelType w:val="hybridMultilevel"/>
    <w:tmpl w:val="239C5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0"/>
  </w:num>
  <w:num w:numId="25">
    <w:abstractNumId w:val="29"/>
  </w:num>
  <w:num w:numId="26">
    <w:abstractNumId w:val="20"/>
  </w:num>
  <w:num w:numId="27">
    <w:abstractNumId w:val="34"/>
  </w:num>
  <w:num w:numId="28">
    <w:abstractNumId w:val="40"/>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6"/>
  </w:num>
  <w:num w:numId="36">
    <w:abstractNumId w:val="35"/>
  </w:num>
  <w:num w:numId="37">
    <w:abstractNumId w:val="12"/>
  </w:num>
  <w:num w:numId="38">
    <w:abstractNumId w:val="3"/>
  </w:num>
  <w:num w:numId="39">
    <w:abstractNumId w:val="38"/>
  </w:num>
  <w:num w:numId="4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Full" w:cryptAlgorithmClass="hash" w:cryptAlgorithmType="typeAny" w:cryptAlgorithmSid="4" w:cryptSpinCount="100000" w:hash="d4hXHTwV+8tzQ+64uFVbj4nB/CE=" w:salt="uAGLBiGOJ16iFctlZPqyx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D1"/>
    <w:rsid w:val="000A7C0B"/>
    <w:rsid w:val="001C2A6A"/>
    <w:rsid w:val="00281C8A"/>
    <w:rsid w:val="002A40D1"/>
    <w:rsid w:val="002F3163"/>
    <w:rsid w:val="00710EFD"/>
    <w:rsid w:val="00857A1E"/>
    <w:rsid w:val="008621D4"/>
    <w:rsid w:val="00927377"/>
    <w:rsid w:val="00D847A8"/>
    <w:rsid w:val="00E4105C"/>
    <w:rsid w:val="00E90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eastAsia="de-DE"/>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pPr>
      <w:keepNext/>
      <w:keepLines/>
      <w:spacing w:before="200" w:after="120"/>
      <w:outlineLvl w:val="1"/>
    </w:pPr>
    <w:rPr>
      <w:b/>
      <w:bCs/>
      <w:szCs w:val="26"/>
    </w:rPr>
  </w:style>
  <w:style w:type="paragraph" w:styleId="Heading3">
    <w:name w:val="heading 3"/>
    <w:basedOn w:val="Normal"/>
    <w:next w:val="Normal"/>
    <w:link w:val="Heading3Char2"/>
    <w:qFormat/>
    <w:pPr>
      <w:keepNext/>
      <w:keepLines/>
      <w:spacing w:before="200"/>
      <w:outlineLvl w:val="2"/>
    </w:pPr>
    <w:rPr>
      <w:rFonts w:ascii="Cambria" w:hAnsi="Cambria"/>
      <w:b/>
      <w:bCs/>
      <w:color w:val="4F81BD"/>
    </w:rPr>
  </w:style>
  <w:style w:type="paragraph" w:styleId="Heading4">
    <w:name w:val="heading 4"/>
    <w:basedOn w:val="Normal"/>
    <w:next w:val="Normal"/>
    <w:link w:val="Heading4Char1"/>
    <w:qFormat/>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pPr>
      <w:keepNext/>
      <w:keepLines/>
      <w:numPr>
        <w:numId w:val="13"/>
      </w:numPr>
      <w:spacing w:before="200"/>
      <w:jc w:val="both"/>
      <w:outlineLvl w:val="4"/>
    </w:pPr>
    <w:rPr>
      <w:b/>
    </w:rPr>
  </w:style>
  <w:style w:type="paragraph" w:styleId="Heading6">
    <w:name w:val="heading 6"/>
    <w:basedOn w:val="Normal"/>
    <w:next w:val="Normal"/>
    <w:link w:val="Heading6Char"/>
    <w:qFormat/>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pPr>
      <w:spacing w:line="200" w:lineRule="exact"/>
    </w:pPr>
    <w:rPr>
      <w:color w:val="2D4190"/>
      <w:sz w:val="16"/>
    </w:rPr>
  </w:style>
  <w:style w:type="paragraph" w:customStyle="1" w:styleId="05aTitle">
    <w:name w:val="05a_Title"/>
    <w:basedOn w:val="Normal"/>
    <w:pPr>
      <w:spacing w:line="340" w:lineRule="exact"/>
    </w:pPr>
    <w:rPr>
      <w:b/>
      <w:color w:val="000000"/>
      <w:sz w:val="28"/>
    </w:rPr>
  </w:style>
  <w:style w:type="paragraph" w:customStyle="1" w:styleId="02Date">
    <w:name w:val="02_Date"/>
    <w:basedOn w:val="Normal"/>
    <w:pPr>
      <w:spacing w:line="220" w:lineRule="exact"/>
    </w:pPr>
    <w:rPr>
      <w:sz w:val="17"/>
    </w:rPr>
  </w:style>
  <w:style w:type="paragraph" w:customStyle="1" w:styleId="00aPagenumber">
    <w:name w:val="00a_Page number"/>
    <w:basedOn w:val="00Footer"/>
    <w:pPr>
      <w:spacing w:line="280" w:lineRule="atLeast"/>
      <w:jc w:val="right"/>
    </w:pPr>
    <w:rPr>
      <w:color w:val="000000"/>
      <w:sz w:val="20"/>
    </w:rPr>
  </w:style>
  <w:style w:type="paragraph" w:customStyle="1" w:styleId="04BodyText">
    <w:name w:val="04_Body Text"/>
    <w:basedOn w:val="Normal"/>
    <w:link w:val="04BodyTextChar"/>
    <w:pPr>
      <w:spacing w:after="250" w:line="276" w:lineRule="auto"/>
      <w:jc w:val="both"/>
    </w:pPr>
  </w:style>
  <w:style w:type="paragraph" w:customStyle="1" w:styleId="05HeadlinenoIndex">
    <w:name w:val="05_Headline no Index"/>
    <w:basedOn w:val="04BodyText"/>
    <w:pPr>
      <w:spacing w:line="300" w:lineRule="exact"/>
    </w:pPr>
    <w:rPr>
      <w:b/>
      <w:sz w:val="24"/>
    </w:rPr>
  </w:style>
  <w:style w:type="paragraph" w:customStyle="1" w:styleId="05cHeadline1">
    <w:name w:val="05c_Headline 1"/>
    <w:basedOn w:val="05HeadlinenoIndex"/>
    <w:next w:val="04BodyTex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pPr>
      <w:tabs>
        <w:tab w:val="num" w:pos="851"/>
      </w:tabs>
      <w:ind w:left="851" w:hanging="284"/>
    </w:pPr>
  </w:style>
  <w:style w:type="character" w:styleId="PageNumber">
    <w:name w:val="page number"/>
    <w:basedOn w:val="DefaultParagraphFont"/>
  </w:style>
  <w:style w:type="paragraph" w:customStyle="1" w:styleId="00bDBInfo">
    <w:name w:val="00b_DB_Info"/>
    <w:basedOn w:val="00aPagenumber"/>
    <w:rPr>
      <w:color w:val="FFFFFF"/>
    </w:rPr>
  </w:style>
  <w:style w:type="paragraph" w:customStyle="1" w:styleId="01aDBTitle">
    <w:name w:val="01a_DB_Title"/>
    <w:basedOn w:val="05aTitle"/>
    <w:pPr>
      <w:spacing w:line="400" w:lineRule="exact"/>
      <w:jc w:val="right"/>
    </w:pPr>
    <w:rPr>
      <w:color w:val="2D4190"/>
      <w:sz w:val="40"/>
    </w:rPr>
  </w:style>
  <w:style w:type="paragraph" w:customStyle="1" w:styleId="01bDBSubtitle">
    <w:name w:val="01b_DB_Subtitle"/>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pPr>
      <w:tabs>
        <w:tab w:val="left" w:pos="510"/>
        <w:tab w:val="right" w:leader="underscore" w:pos="9412"/>
      </w:tabs>
      <w:spacing w:line="250" w:lineRule="exact"/>
    </w:pPr>
  </w:style>
  <w:style w:type="paragraph" w:customStyle="1" w:styleId="04fBodytextblue">
    <w:name w:val="04f_Body text blue"/>
    <w:basedOn w:val="04BodyText"/>
    <w:pPr>
      <w:pBdr>
        <w:bottom w:val="single" w:sz="4" w:space="12" w:color="283583"/>
      </w:pBdr>
    </w:pPr>
    <w:rPr>
      <w:color w:val="2D4190"/>
    </w:rPr>
  </w:style>
  <w:style w:type="character" w:styleId="Hyperlink">
    <w:name w:val="Hyperlink"/>
    <w:uiPriority w:val="99"/>
    <w:rPr>
      <w:color w:val="0000FF"/>
      <w:u w:val="single"/>
    </w:rPr>
  </w:style>
  <w:style w:type="paragraph" w:customStyle="1" w:styleId="04bList">
    <w:name w:val="04b_List"/>
    <w:basedOn w:val="04BodyText"/>
    <w:uiPriority w:val="99"/>
    <w:pPr>
      <w:numPr>
        <w:numId w:val="3"/>
      </w:numPr>
    </w:pPr>
  </w:style>
  <w:style w:type="paragraph" w:customStyle="1" w:styleId="04eBodytextleft">
    <w:name w:val="04e_Body text left"/>
    <w:basedOn w:val="04BodyText"/>
    <w:pPr>
      <w:spacing w:after="0"/>
      <w:jc w:val="left"/>
    </w:pPr>
  </w:style>
  <w:style w:type="paragraph" w:customStyle="1" w:styleId="05eHeadline2">
    <w:name w:val="05e_Headline 2"/>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Pr>
      <w:vertAlign w:val="superscript"/>
    </w:rPr>
  </w:style>
  <w:style w:type="paragraph" w:styleId="TOC2">
    <w:name w:val="toc 2"/>
    <w:basedOn w:val="Normal"/>
    <w:next w:val="Normal"/>
    <w:autoRedefine/>
    <w:uiPriority w:val="39"/>
    <w:qFormat/>
    <w:pPr>
      <w:spacing w:after="100"/>
      <w:ind w:left="220"/>
    </w:pPr>
  </w:style>
  <w:style w:type="paragraph" w:customStyle="1" w:styleId="05bHeadline1black">
    <w:name w:val="05b_Headline 1 black"/>
    <w:basedOn w:val="05dHeadline1blue"/>
    <w:pPr>
      <w:pBdr>
        <w:top w:val="none" w:sz="0" w:space="0" w:color="auto"/>
      </w:pBdr>
    </w:pPr>
    <w:rPr>
      <w:color w:val="000000"/>
    </w:rPr>
  </w:style>
  <w:style w:type="paragraph" w:customStyle="1" w:styleId="03Headbold">
    <w:name w:val="03_Head_bold"/>
    <w:basedOn w:val="04BodyText"/>
    <w:pPr>
      <w:tabs>
        <w:tab w:val="left" w:pos="414"/>
        <w:tab w:val="left" w:pos="454"/>
      </w:tabs>
      <w:spacing w:after="0" w:line="240" w:lineRule="auto"/>
    </w:pPr>
    <w:rPr>
      <w:b/>
    </w:rPr>
  </w:style>
  <w:style w:type="paragraph" w:customStyle="1" w:styleId="03aHead">
    <w:name w:val="03a_Head"/>
    <w:basedOn w:val="03Headbold"/>
    <w:rPr>
      <w:b w:val="0"/>
    </w:rPr>
  </w:style>
  <w:style w:type="paragraph" w:customStyle="1" w:styleId="04dBodyTextbold">
    <w:name w:val="04d_Body Text bold"/>
    <w:basedOn w:val="04BodyText"/>
    <w:pPr>
      <w:tabs>
        <w:tab w:val="left" w:pos="414"/>
      </w:tabs>
    </w:pPr>
    <w:rPr>
      <w:b/>
    </w:rPr>
  </w:style>
  <w:style w:type="paragraph" w:customStyle="1" w:styleId="06InfoTitle">
    <w:name w:val="06_Info_Title"/>
    <w:basedOn w:val="Normal"/>
    <w:link w:val="06InfoTitleZchn"/>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pPr>
      <w:spacing w:line="300" w:lineRule="exact"/>
    </w:pPr>
    <w:rPr>
      <w:b/>
      <w:sz w:val="24"/>
    </w:rPr>
  </w:style>
  <w:style w:type="paragraph" w:customStyle="1" w:styleId="05aHeadline2">
    <w:name w:val="05a_Headline 2"/>
    <w:basedOn w:val="05Headline1"/>
    <w:next w:val="04BodyTex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pPr>
      <w:pBdr>
        <w:bottom w:val="single" w:sz="4" w:space="12" w:color="283583"/>
      </w:pBdr>
    </w:pPr>
    <w:rPr>
      <w:color w:val="2D4190"/>
    </w:rPr>
  </w:style>
  <w:style w:type="paragraph" w:customStyle="1" w:styleId="04cBodytextleft">
    <w:name w:val="04c_Body text left"/>
    <w:basedOn w:val="04BodyText"/>
    <w:pPr>
      <w:spacing w:after="0"/>
      <w:jc w:val="left"/>
    </w:pPr>
  </w:style>
  <w:style w:type="paragraph" w:customStyle="1" w:styleId="Style04RunningTextBold">
    <w:name w:val="Style 04_Running Text + Bold"/>
    <w:basedOn w:val="04BodyText"/>
    <w:pPr>
      <w:keepNext/>
    </w:pPr>
    <w:rPr>
      <w:b/>
      <w:bCs/>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pPr>
      <w:ind w:left="720"/>
      <w:contextualSpacing/>
    </w:p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Pr>
      <w:rFonts w:ascii="Georgia" w:hAnsi="Georgia"/>
      <w:sz w:val="16"/>
      <w:lang w:eastAsia="de-DE"/>
    </w:rPr>
  </w:style>
  <w:style w:type="paragraph" w:customStyle="1" w:styleId="DPpara">
    <w:name w:val="DP para"/>
    <w:basedOn w:val="04aNumeration"/>
    <w:link w:val="DPparaChar"/>
    <w:pPr>
      <w:numPr>
        <w:numId w:val="6"/>
      </w:numPr>
    </w:pPr>
    <w:rPr>
      <w:szCs w:val="20"/>
    </w:rPr>
  </w:style>
  <w:style w:type="character" w:customStyle="1" w:styleId="DPparaChar">
    <w:name w:val="DP para Char"/>
    <w:link w:val="DPpara"/>
    <w:locked/>
    <w:rPr>
      <w:rFonts w:ascii="Arial" w:hAnsi="Arial"/>
      <w:lang w:val="fr-FR" w:eastAsia="de-DE"/>
    </w:rPr>
  </w:style>
  <w:style w:type="character" w:customStyle="1" w:styleId="CommentTextChar1">
    <w:name w:val="Comment Text Char1"/>
    <w:rPr>
      <w:rFonts w:ascii="Georgia" w:hAnsi="Georgia"/>
      <w:lang w:eastAsia="de-DE"/>
    </w:rPr>
  </w:style>
  <w:style w:type="character" w:customStyle="1" w:styleId="FootnoteTextChar1">
    <w:name w:val="Footnote Text Char1"/>
    <w:aliases w:val="Char3 Char1, Char3 Char1"/>
    <w:locked/>
    <w:rPr>
      <w:rFonts w:ascii="Georgia" w:hAnsi="Georgia"/>
      <w:sz w:val="16"/>
      <w:lang w:eastAsia="de-DE"/>
    </w:rPr>
  </w:style>
  <w:style w:type="paragraph" w:customStyle="1" w:styleId="Default">
    <w:name w:val="Defaul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style>
  <w:style w:type="paragraph" w:customStyle="1" w:styleId="ManualNumPar1">
    <w:name w:val="Manual NumPar 1"/>
    <w:basedOn w:val="Normal"/>
    <w:next w:val="Normal"/>
    <w:link w:val="ManualNumPar1Char"/>
    <w:uiPriority w:val="99"/>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Arial" w:hAnsi="Arial" w:cs="Arial"/>
      <w:b/>
      <w:bCs/>
      <w:kern w:val="32"/>
      <w:sz w:val="24"/>
      <w:szCs w:val="32"/>
      <w:lang w:eastAsia="de-DE"/>
    </w:rPr>
  </w:style>
  <w:style w:type="character" w:customStyle="1" w:styleId="Heading2Char">
    <w:name w:val="Heading 2 Char"/>
    <w:rPr>
      <w:rFonts w:ascii="Georgia" w:hAnsi="Georgia" w:cs="Arial"/>
      <w:bCs/>
      <w:i/>
      <w:kern w:val="32"/>
      <w:szCs w:val="32"/>
      <w:lang w:eastAsia="de-DE"/>
    </w:rPr>
  </w:style>
  <w:style w:type="character" w:styleId="Emphasis">
    <w:name w:val="Emphasis"/>
    <w:uiPriority w:val="20"/>
    <w:qFormat/>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39"/>
    <w:qFormat/>
    <w:pPr>
      <w:spacing w:after="100"/>
      <w:ind w:left="440"/>
    </w:pPr>
  </w:style>
  <w:style w:type="character" w:customStyle="1" w:styleId="SprechblasentextZeichen">
    <w:name w:val="Sprechblasentext Zeichen"/>
    <w:uiPriority w:val="99"/>
    <w:semiHidden/>
    <w:rPr>
      <w:rFonts w:ascii="Lucida Grande" w:hAnsi="Lucida Grande"/>
      <w:sz w:val="18"/>
      <w:szCs w:val="18"/>
    </w:rPr>
  </w:style>
  <w:style w:type="paragraph" w:customStyle="1" w:styleId="CM3">
    <w:name w:val="CM3"/>
    <w:basedOn w:val="Normal"/>
    <w:next w:val="Normal"/>
    <w:uiPriority w:val="99"/>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pPr>
      <w:spacing w:after="100" w:line="276" w:lineRule="auto"/>
      <w:ind w:left="1760"/>
    </w:pPr>
    <w:rPr>
      <w:rFonts w:ascii="Calibri" w:hAnsi="Calibri"/>
      <w:szCs w:val="22"/>
      <w:lang w:eastAsia="en-GB"/>
    </w:rPr>
  </w:style>
  <w:style w:type="character" w:customStyle="1" w:styleId="DeltaViewInsertion">
    <w:name w:val="DeltaView Insertion"/>
    <w:uiPriority w:val="99"/>
    <w:rPr>
      <w:b/>
      <w:bCs/>
      <w:color w:val="FFFFFF"/>
      <w:spacing w:val="0"/>
      <w:u w:val="single"/>
    </w:rPr>
  </w:style>
  <w:style w:type="paragraph" w:styleId="Caption">
    <w:name w:val="caption"/>
    <w:basedOn w:val="Normal"/>
    <w:next w:val="Normal"/>
    <w:unhideWhenUsed/>
    <w:qFormat/>
    <w:pPr>
      <w:spacing w:after="200"/>
    </w:pPr>
    <w:rPr>
      <w:b/>
      <w:bCs/>
      <w:sz w:val="18"/>
      <w:szCs w:val="18"/>
    </w:rPr>
  </w:style>
  <w:style w:type="character" w:customStyle="1" w:styleId="Heading5Char">
    <w:name w:val="Heading 5 Char"/>
    <w:uiPriority w:val="9"/>
    <w:rPr>
      <w:rFonts w:ascii="Georgia" w:eastAsia="Times New Roman" w:hAnsi="Georgia" w:cs="Times New Roman"/>
      <w:b/>
      <w:szCs w:val="24"/>
      <w:lang w:eastAsia="de-DE"/>
    </w:rPr>
  </w:style>
  <w:style w:type="paragraph" w:styleId="NormalWeb">
    <w:name w:val="Normal (Web)"/>
    <w:basedOn w:val="Normal"/>
    <w:pPr>
      <w:spacing w:before="100" w:beforeAutospacing="1" w:after="100" w:afterAutospacing="1"/>
    </w:pPr>
    <w:rPr>
      <w:rFonts w:ascii="Times New Roman" w:hAnsi="Times New Roman"/>
      <w:sz w:val="24"/>
      <w:lang w:val="fr-FR" w:eastAsia="fr-FR"/>
    </w:rPr>
  </w:style>
  <w:style w:type="character" w:customStyle="1" w:styleId="Heading5Char1">
    <w:name w:val="Heading 5 Char1"/>
    <w:rPr>
      <w:rFonts w:ascii="Georgia" w:hAnsi="Georgia"/>
      <w:b/>
      <w:bCs/>
      <w:iCs/>
      <w:szCs w:val="26"/>
      <w:lang w:eastAsia="de-DE"/>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nhideWhenUsed/>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qFormat/>
    <w:pPr>
      <w:spacing w:after="200" w:line="276" w:lineRule="atLeast"/>
      <w:ind w:left="720"/>
    </w:pPr>
    <w:rPr>
      <w:rFonts w:ascii="Calibri" w:hAnsi="Calibri" w:cs="Calibri"/>
      <w:szCs w:val="20"/>
      <w:lang w:val="el-GR" w:eastAsia="en-US"/>
    </w:rPr>
  </w:style>
  <w:style w:type="character" w:customStyle="1" w:styleId="Heading5Char2">
    <w:name w:val="Heading 5 Char2"/>
    <w:rPr>
      <w:rFonts w:ascii="Georgia" w:eastAsia="Times New Roman" w:hAnsi="Georgia" w:cs="Times New Roman"/>
      <w:b/>
      <w:szCs w:val="24"/>
      <w:lang w:eastAsia="de-DE"/>
    </w:rPr>
  </w:style>
  <w:style w:type="character" w:styleId="Strong">
    <w:name w:val="Strong"/>
    <w:aliases w:val="Bolded"/>
    <w:qFormat/>
    <w:rPr>
      <w:b/>
      <w:bCs/>
    </w:rPr>
  </w:style>
  <w:style w:type="character" w:customStyle="1" w:styleId="Strong1">
    <w:name w:val="Strong1"/>
    <w:qFormat/>
    <w:rPr>
      <w:b/>
      <w:bCs/>
    </w:rPr>
  </w:style>
  <w:style w:type="character" w:customStyle="1" w:styleId="Strong2">
    <w:name w:val="Strong2"/>
    <w:qFormat/>
    <w:rPr>
      <w:b/>
      <w:bCs/>
    </w:rPr>
  </w:style>
  <w:style w:type="character" w:customStyle="1" w:styleId="Heading5Char3">
    <w:name w:val="Heading 5 Char3"/>
    <w:rPr>
      <w:rFonts w:ascii="Georgia" w:eastAsia="Times New Roman" w:hAnsi="Georgia" w:cs="Times New Roman"/>
      <w:b/>
      <w:szCs w:val="24"/>
      <w:lang w:eastAsia="de-DE"/>
    </w:rPr>
  </w:style>
  <w:style w:type="character" w:customStyle="1" w:styleId="Heading5Char4">
    <w:name w:val="Heading 5 Char4"/>
    <w:rPr>
      <w:rFonts w:ascii="Georgia" w:eastAsia="Times New Roman" w:hAnsi="Georgia" w:cs="Times New Roman"/>
      <w:b/>
      <w:szCs w:val="24"/>
      <w:lang w:eastAsia="de-DE"/>
    </w:rPr>
  </w:style>
  <w:style w:type="character" w:customStyle="1" w:styleId="Heading2Char1">
    <w:name w:val="Heading 2 Char1"/>
    <w:rPr>
      <w:rFonts w:ascii="Georgia" w:eastAsia="Times New Roman" w:hAnsi="Georgia" w:cs="Times New Roman"/>
      <w:b/>
      <w:bCs/>
      <w:sz w:val="22"/>
      <w:szCs w:val="26"/>
      <w:lang w:eastAsia="de-DE"/>
    </w:rPr>
  </w:style>
  <w:style w:type="character" w:customStyle="1" w:styleId="Heading3Char">
    <w:name w:val="Heading 3 Char"/>
    <w:rPr>
      <w:rFonts w:ascii="Georgia" w:eastAsia="Times New Roman" w:hAnsi="Georgia" w:cs="Times New Roman"/>
      <w:b/>
      <w:sz w:val="22"/>
      <w:szCs w:val="26"/>
      <w:lang w:eastAsia="de-DE"/>
    </w:rPr>
  </w:style>
  <w:style w:type="character" w:customStyle="1" w:styleId="Heading5Char5">
    <w:name w:val="Heading 5 Char5"/>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qFormat/>
    <w:rPr>
      <w:b/>
      <w:bCs/>
    </w:rPr>
  </w:style>
  <w:style w:type="character" w:customStyle="1" w:styleId="Heading5Char6">
    <w:name w:val="Heading 5 Char6"/>
    <w:rPr>
      <w:rFonts w:ascii="Georgia" w:eastAsia="Times New Roman" w:hAnsi="Georgia" w:cs="Times New Roman"/>
      <w:b/>
      <w:szCs w:val="24"/>
      <w:lang w:eastAsia="de-DE"/>
    </w:rPr>
  </w:style>
  <w:style w:type="character" w:customStyle="1" w:styleId="Heading4Char">
    <w:name w:val="Heading 4 Char"/>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99"/>
    <w:rPr>
      <w:rFonts w:cs="Times New Roman"/>
      <w:i/>
      <w:i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rPr>
      <w:rFonts w:ascii="Georgia" w:eastAsia="Times New Roman" w:hAnsi="Georgia" w:cs="Times New Roman"/>
      <w:b/>
      <w:szCs w:val="24"/>
      <w:lang w:eastAsia="de-DE"/>
    </w:rPr>
  </w:style>
  <w:style w:type="character" w:customStyle="1" w:styleId="Heading5Char8">
    <w:name w:val="Heading 5 Char8"/>
    <w:aliases w:val="Questions Char1"/>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nhideWhenUsed/>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pPr>
      <w:tabs>
        <w:tab w:val="num" w:pos="360"/>
      </w:tabs>
      <w:spacing w:after="250" w:line="276" w:lineRule="auto"/>
      <w:jc w:val="both"/>
    </w:pPr>
    <w:rPr>
      <w:rFonts w:eastAsia="Calibri"/>
      <w:szCs w:val="20"/>
      <w:lang w:eastAsia="en-GB"/>
    </w:rPr>
  </w:style>
  <w:style w:type="paragraph" w:customStyle="1" w:styleId="Tiret1">
    <w:name w:val="Tiret 1"/>
    <w:basedOn w:val="Normal"/>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qFormat/>
    <w:pPr>
      <w:ind w:left="708"/>
      <w:contextualSpacing w:val="0"/>
      <w:jc w:val="both"/>
    </w:pPr>
    <w:rPr>
      <w:b/>
      <w:szCs w:val="20"/>
      <w:u w:val="single"/>
    </w:rPr>
  </w:style>
  <w:style w:type="paragraph" w:customStyle="1" w:styleId="Bullet">
    <w:name w:val="Bullet"/>
    <w:basedOn w:val="Normal"/>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Pr>
      <w:vertAlign w:val="superscript"/>
    </w:rPr>
  </w:style>
  <w:style w:type="character" w:styleId="PlaceholderText">
    <w:name w:val="Placeholder Text"/>
    <w:uiPriority w:val="99"/>
    <w:semiHidden/>
    <w:rPr>
      <w:color w:val="808080"/>
    </w:rPr>
  </w:style>
  <w:style w:type="character" w:customStyle="1" w:styleId="apple-converted-space">
    <w:name w:val="apple-converted-space"/>
  </w:style>
  <w:style w:type="table" w:customStyle="1" w:styleId="TableGrid1">
    <w:name w:val="Table Grid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AutoCorrect">
    <w:name w:val="AutoCorrect"/>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style>
  <w:style w:type="paragraph" w:customStyle="1" w:styleId="aStyle">
    <w:name w:val="a) Style"/>
    <w:basedOn w:val="Normal"/>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Pr>
      <w:rFonts w:ascii="Georgia" w:eastAsia="Times New Roman" w:hAnsi="Georgia" w:cs="Times New Roman"/>
      <w:b/>
      <w:szCs w:val="24"/>
      <w:lang w:eastAsia="de-DE"/>
    </w:rPr>
  </w:style>
  <w:style w:type="character" w:customStyle="1" w:styleId="Heading5Char10">
    <w:name w:val="Heading 5 Char10"/>
    <w:aliases w:val="Questions Char3"/>
    <w:rPr>
      <w:rFonts w:ascii="Georgia" w:eastAsia="Times New Roman" w:hAnsi="Georgia" w:cs="Times New Roman"/>
      <w:b/>
      <w:szCs w:val="24"/>
      <w:lang w:eastAsia="de-DE"/>
    </w:rPr>
  </w:style>
  <w:style w:type="character" w:customStyle="1" w:styleId="Heading5Char11">
    <w:name w:val="Heading 5 Char11"/>
    <w:aliases w:val="Questions Char4"/>
    <w:rPr>
      <w:rFonts w:ascii="Georgia" w:eastAsia="Times New Roman" w:hAnsi="Georgia" w:cs="Times New Roman"/>
      <w:b/>
      <w:szCs w:val="24"/>
      <w:lang w:eastAsia="de-DE"/>
    </w:rPr>
  </w:style>
  <w:style w:type="character" w:customStyle="1" w:styleId="Heading3Char1">
    <w:name w:val="Heading 3 Char1"/>
    <w:rPr>
      <w:rFonts w:ascii="Georgia" w:eastAsia="Times New Roman" w:hAnsi="Georgia" w:cs="Times New Roman"/>
      <w:b/>
      <w:sz w:val="22"/>
      <w:szCs w:val="26"/>
      <w:lang w:eastAsia="de-DE"/>
    </w:rPr>
  </w:style>
  <w:style w:type="character" w:customStyle="1" w:styleId="Heading5Char12">
    <w:name w:val="Heading 5 Char12"/>
    <w:aliases w:val="Questions Char5"/>
    <w:rPr>
      <w:rFonts w:ascii="Georgia" w:eastAsia="Times New Roman" w:hAnsi="Georgia" w:cs="Times New Roman"/>
      <w:b/>
      <w:szCs w:val="24"/>
      <w:lang w:eastAsia="de-DE"/>
    </w:rPr>
  </w:style>
  <w:style w:type="character" w:customStyle="1" w:styleId="Heading5Char13">
    <w:name w:val="Heading 5 Char13"/>
    <w:aliases w:val="Questions Char6"/>
    <w:rPr>
      <w:rFonts w:ascii="Georgia" w:eastAsia="Times New Roman" w:hAnsi="Georgia" w:cs="Times New Roman"/>
      <w:b/>
      <w:szCs w:val="24"/>
      <w:lang w:eastAsia="de-DE"/>
    </w:rPr>
  </w:style>
  <w:style w:type="character" w:customStyle="1" w:styleId="Strong4">
    <w:name w:val="Strong4"/>
    <w:uiPriority w:val="22"/>
    <w:qFormat/>
    <w:rPr>
      <w:b/>
      <w:bCs/>
    </w:rPr>
  </w:style>
  <w:style w:type="character" w:customStyle="1" w:styleId="Heading5Char14">
    <w:name w:val="Heading 5 Char14"/>
    <w:aliases w:val="Questions Char7"/>
    <w:link w:val="Heading5"/>
    <w:rPr>
      <w:rFonts w:ascii="Arial" w:hAnsi="Arial"/>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61"/>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Pr>
      <w:rFonts w:ascii="Tahoma" w:hAnsi="Tahoma" w:cs="Tahoma"/>
      <w:sz w:val="16"/>
      <w:szCs w:val="16"/>
      <w:lang w:val="en-GB" w:eastAsia="en-GB"/>
    </w:rPr>
  </w:style>
  <w:style w:type="character" w:customStyle="1" w:styleId="31TextobasenotadeprensaCNMVCar">
    <w:name w:val="3.1. Texto base nota de prensa CNMV Car"/>
    <w:rPr>
      <w:rFonts w:ascii="Celeste" w:hAnsi="Celeste" w:cs="Times New Roman"/>
      <w:sz w:val="22"/>
      <w:lang w:val="es-ES" w:eastAsia="es-ES" w:bidi="ar-SA"/>
    </w:rPr>
  </w:style>
  <w:style w:type="paragraph" w:customStyle="1" w:styleId="01Title">
    <w:name w:val="01_Title"/>
    <w:basedOn w:val="Normal"/>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pPr>
      <w:spacing w:after="250" w:line="276" w:lineRule="auto"/>
      <w:ind w:left="397" w:hanging="397"/>
      <w:jc w:val="both"/>
    </w:pPr>
    <w:rPr>
      <w:lang w:val="x-none"/>
    </w:rPr>
  </w:style>
  <w:style w:type="paragraph" w:customStyle="1" w:styleId="04bListing">
    <w:name w:val="04b_Listing"/>
    <w:basedOn w:val="04RunningText"/>
    <w:pPr>
      <w:tabs>
        <w:tab w:val="num" w:pos="568"/>
      </w:tabs>
      <w:ind w:left="568" w:hanging="284"/>
    </w:pPr>
  </w:style>
  <w:style w:type="paragraph" w:customStyle="1" w:styleId="04cRunningtextleft">
    <w:name w:val="04c_Running text left"/>
    <w:basedOn w:val="04RunningText"/>
    <w:pPr>
      <w:spacing w:after="0"/>
      <w:jc w:val="left"/>
    </w:pPr>
  </w:style>
  <w:style w:type="paragraph" w:customStyle="1" w:styleId="05bHeadline3">
    <w:name w:val="05b_Headline 3"/>
    <w:basedOn w:val="Heading2"/>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Pr>
      <w:rFonts w:ascii="Courier New" w:hAnsi="Courier New" w:cs="Courier New"/>
    </w:rPr>
  </w:style>
  <w:style w:type="paragraph" w:customStyle="1" w:styleId="TOCHeading1">
    <w:name w:val="TOC Heading1"/>
    <w:basedOn w:val="Heading1"/>
    <w:next w:val="Normal"/>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pPr>
      <w:spacing w:line="260" w:lineRule="atLeast"/>
      <w:ind w:left="720"/>
      <w:contextualSpacing/>
    </w:pPr>
    <w:rPr>
      <w:rFonts w:ascii="Verdana" w:hAnsi="Verdana"/>
      <w:kern w:val="10"/>
      <w:szCs w:val="20"/>
      <w:lang w:val="de-DE"/>
    </w:rPr>
  </w:style>
  <w:style w:type="paragraph" w:customStyle="1" w:styleId="Listenabsatz2">
    <w:name w:val="Listenabsatz2"/>
    <w:basedOn w:val="Normal"/>
    <w:pPr>
      <w:spacing w:line="260" w:lineRule="atLeast"/>
      <w:ind w:left="720"/>
      <w:contextualSpacing/>
    </w:pPr>
    <w:rPr>
      <w:rFonts w:ascii="Verdana" w:hAnsi="Verdana"/>
      <w:kern w:val="10"/>
      <w:szCs w:val="20"/>
      <w:lang w:val="de-DE"/>
    </w:rPr>
  </w:style>
  <w:style w:type="paragraph" w:customStyle="1" w:styleId="Considrant">
    <w:name w:val="Considérant"/>
    <w:basedOn w:val="Normal"/>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pPr>
      <w:ind w:left="720"/>
      <w:contextualSpacing/>
    </w:pPr>
    <w:rPr>
      <w:rFonts w:ascii="Cambria" w:hAnsi="Cambria"/>
      <w:sz w:val="24"/>
      <w:lang w:val="en-US" w:eastAsia="en-US"/>
    </w:rPr>
  </w:style>
  <w:style w:type="character" w:customStyle="1" w:styleId="CommentTextChar2">
    <w:name w:val="Comment Text Char2"/>
    <w:semiHidden/>
    <w:locked/>
    <w:rPr>
      <w:rFonts w:ascii="Arial" w:hAnsi="Arial" w:cs="Times New Roman"/>
      <w:lang w:val="en-GB" w:eastAsia="en-GB" w:bidi="ar-SA"/>
    </w:rPr>
  </w:style>
  <w:style w:type="character" w:customStyle="1" w:styleId="subparatext">
    <w:name w:val="subparatext"/>
    <w:rPr>
      <w:rFonts w:cs="Times New Roman"/>
    </w:rPr>
  </w:style>
  <w:style w:type="paragraph" w:customStyle="1" w:styleId="Normal12Hanging">
    <w:name w:val="Normal12Hanging"/>
    <w:basedOn w:val="Normal"/>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Pr>
      <w:szCs w:val="20"/>
    </w:rPr>
  </w:style>
  <w:style w:type="paragraph" w:customStyle="1" w:styleId="Sbuchead">
    <w:name w:val="Sbuchead"/>
    <w:basedOn w:val="Normal"/>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pPr>
      <w:spacing w:before="480" w:after="120"/>
      <w:jc w:val="both"/>
    </w:pPr>
    <w:rPr>
      <w:rFonts w:ascii="Times New Roman" w:hAnsi="Times New Roman"/>
      <w:sz w:val="24"/>
      <w:lang w:eastAsia="en-US"/>
    </w:rPr>
  </w:style>
  <w:style w:type="paragraph" w:customStyle="1" w:styleId="Fait">
    <w:name w:val="Fait à"/>
    <w:basedOn w:val="Normal"/>
    <w:next w:val="Institutionquisigne"/>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pPr>
      <w:spacing w:before="360"/>
      <w:jc w:val="center"/>
    </w:pPr>
    <w:rPr>
      <w:rFonts w:ascii="Times New Roman" w:hAnsi="Times New Roman"/>
      <w:b/>
      <w:sz w:val="24"/>
      <w:lang w:eastAsia="en-US"/>
    </w:rPr>
  </w:style>
  <w:style w:type="paragraph" w:customStyle="1" w:styleId="HeaderLandscape">
    <w:name w:val="HeaderLandscape"/>
    <w:basedOn w:val="Normal"/>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pPr>
      <w:spacing w:before="120" w:after="120"/>
      <w:ind w:left="850"/>
      <w:jc w:val="both"/>
    </w:pPr>
    <w:rPr>
      <w:rFonts w:ascii="Times New Roman" w:hAnsi="Times New Roman"/>
      <w:sz w:val="24"/>
      <w:lang w:eastAsia="en-US"/>
    </w:rPr>
  </w:style>
  <w:style w:type="paragraph" w:customStyle="1" w:styleId="Text2">
    <w:name w:val="Text 2"/>
    <w:basedOn w:val="Normal"/>
    <w:pPr>
      <w:spacing w:before="120" w:after="120"/>
      <w:ind w:left="1417"/>
      <w:jc w:val="both"/>
    </w:pPr>
    <w:rPr>
      <w:rFonts w:ascii="Times New Roman" w:hAnsi="Times New Roman"/>
      <w:sz w:val="24"/>
      <w:lang w:eastAsia="en-US"/>
    </w:rPr>
  </w:style>
  <w:style w:type="paragraph" w:customStyle="1" w:styleId="Text3">
    <w:name w:val="Text 3"/>
    <w:basedOn w:val="Normal"/>
    <w:pPr>
      <w:spacing w:before="120" w:after="120"/>
      <w:ind w:left="1984"/>
      <w:jc w:val="both"/>
    </w:pPr>
    <w:rPr>
      <w:rFonts w:ascii="Times New Roman" w:hAnsi="Times New Roman"/>
      <w:sz w:val="24"/>
      <w:lang w:eastAsia="en-US"/>
    </w:rPr>
  </w:style>
  <w:style w:type="paragraph" w:customStyle="1" w:styleId="Text4">
    <w:name w:val="Text 4"/>
    <w:basedOn w:val="Normal"/>
    <w:pPr>
      <w:spacing w:before="120" w:after="120"/>
      <w:ind w:left="2551"/>
      <w:jc w:val="both"/>
    </w:pPr>
    <w:rPr>
      <w:rFonts w:ascii="Times New Roman" w:hAnsi="Times New Roman"/>
      <w:sz w:val="24"/>
      <w:lang w:eastAsia="en-US"/>
    </w:rPr>
  </w:style>
  <w:style w:type="paragraph" w:customStyle="1" w:styleId="NormalCentered">
    <w:name w:val="Normal Centered"/>
    <w:basedOn w:val="Normal"/>
    <w:pPr>
      <w:spacing w:before="120" w:after="120"/>
      <w:jc w:val="center"/>
    </w:pPr>
    <w:rPr>
      <w:rFonts w:ascii="Times New Roman" w:hAnsi="Times New Roman"/>
      <w:sz w:val="24"/>
      <w:lang w:eastAsia="en-US"/>
    </w:rPr>
  </w:style>
  <w:style w:type="paragraph" w:customStyle="1" w:styleId="NormalLeft">
    <w:name w:val="Normal Left"/>
    <w:basedOn w:val="Normal"/>
    <w:pPr>
      <w:spacing w:before="120" w:after="120"/>
    </w:pPr>
    <w:rPr>
      <w:rFonts w:ascii="Times New Roman" w:hAnsi="Times New Roman"/>
      <w:sz w:val="24"/>
      <w:lang w:eastAsia="en-US"/>
    </w:rPr>
  </w:style>
  <w:style w:type="paragraph" w:customStyle="1" w:styleId="NormalRight">
    <w:name w:val="Normal Right"/>
    <w:basedOn w:val="Normal"/>
    <w:pPr>
      <w:spacing w:before="120" w:after="120"/>
      <w:jc w:val="right"/>
    </w:pPr>
    <w:rPr>
      <w:rFonts w:ascii="Times New Roman" w:hAnsi="Times New Roman"/>
      <w:sz w:val="24"/>
      <w:lang w:eastAsia="en-US"/>
    </w:rPr>
  </w:style>
  <w:style w:type="paragraph" w:customStyle="1" w:styleId="QuotedText">
    <w:name w:val="Quoted Text"/>
    <w:basedOn w:val="Normal"/>
    <w:pPr>
      <w:spacing w:before="120" w:after="120"/>
      <w:ind w:left="1417"/>
      <w:jc w:val="both"/>
    </w:pPr>
    <w:rPr>
      <w:rFonts w:ascii="Times New Roman" w:hAnsi="Times New Roman"/>
      <w:sz w:val="24"/>
      <w:lang w:eastAsia="en-US"/>
    </w:rPr>
  </w:style>
  <w:style w:type="paragraph" w:customStyle="1" w:styleId="Point0">
    <w:name w:val="Point 0"/>
    <w:basedOn w:val="Normal"/>
    <w:pPr>
      <w:spacing w:before="120" w:after="120"/>
      <w:ind w:left="850" w:hanging="850"/>
      <w:jc w:val="both"/>
    </w:pPr>
    <w:rPr>
      <w:rFonts w:ascii="Times New Roman" w:hAnsi="Times New Roman"/>
      <w:sz w:val="24"/>
      <w:lang w:eastAsia="en-US"/>
    </w:rPr>
  </w:style>
  <w:style w:type="paragraph" w:customStyle="1" w:styleId="Point1">
    <w:name w:val="Point 1"/>
    <w:basedOn w:val="Normal"/>
    <w:pPr>
      <w:spacing w:before="120" w:after="120"/>
      <w:ind w:left="1417" w:hanging="567"/>
      <w:jc w:val="both"/>
    </w:pPr>
    <w:rPr>
      <w:rFonts w:ascii="Times New Roman" w:hAnsi="Times New Roman"/>
      <w:sz w:val="24"/>
      <w:lang w:eastAsia="en-US"/>
    </w:rPr>
  </w:style>
  <w:style w:type="paragraph" w:customStyle="1" w:styleId="Point2">
    <w:name w:val="Point 2"/>
    <w:basedOn w:val="Normal"/>
    <w:pPr>
      <w:spacing w:before="120" w:after="120"/>
      <w:ind w:left="1984" w:hanging="567"/>
      <w:jc w:val="both"/>
    </w:pPr>
    <w:rPr>
      <w:rFonts w:ascii="Times New Roman" w:hAnsi="Times New Roman"/>
      <w:sz w:val="24"/>
      <w:lang w:eastAsia="en-US"/>
    </w:rPr>
  </w:style>
  <w:style w:type="paragraph" w:customStyle="1" w:styleId="Point3">
    <w:name w:val="Point 3"/>
    <w:basedOn w:val="Normal"/>
    <w:pPr>
      <w:spacing w:before="120" w:after="120"/>
      <w:ind w:left="2551" w:hanging="567"/>
      <w:jc w:val="both"/>
    </w:pPr>
    <w:rPr>
      <w:rFonts w:ascii="Times New Roman" w:hAnsi="Times New Roman"/>
      <w:sz w:val="24"/>
      <w:lang w:eastAsia="en-US"/>
    </w:rPr>
  </w:style>
  <w:style w:type="paragraph" w:customStyle="1" w:styleId="Point4">
    <w:name w:val="Point 4"/>
    <w:basedOn w:val="Normal"/>
    <w:pPr>
      <w:spacing w:before="120" w:after="120"/>
      <w:ind w:left="3118" w:hanging="567"/>
      <w:jc w:val="both"/>
    </w:pPr>
    <w:rPr>
      <w:rFonts w:ascii="Times New Roman" w:hAnsi="Times New Roman"/>
      <w:sz w:val="24"/>
      <w:lang w:eastAsia="en-US"/>
    </w:rPr>
  </w:style>
  <w:style w:type="paragraph" w:customStyle="1" w:styleId="Tiret0">
    <w:name w:val="Tiret 0"/>
    <w:basedOn w:val="Point0"/>
    <w:pPr>
      <w:numPr>
        <w:numId w:val="18"/>
      </w:numPr>
    </w:pPr>
  </w:style>
  <w:style w:type="paragraph" w:customStyle="1" w:styleId="Tiret2">
    <w:name w:val="Tiret 2"/>
    <w:basedOn w:val="Point2"/>
    <w:pPr>
      <w:tabs>
        <w:tab w:val="num" w:pos="1984"/>
      </w:tabs>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pPr>
      <w:spacing w:before="120" w:after="120"/>
      <w:jc w:val="center"/>
    </w:pPr>
    <w:rPr>
      <w:rFonts w:ascii="Times New Roman" w:hAnsi="Times New Roman"/>
      <w:b/>
      <w:sz w:val="24"/>
      <w:lang w:eastAsia="en-US"/>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pPr>
      <w:numPr>
        <w:numId w:val="22"/>
      </w:numPr>
      <w:spacing w:before="120" w:after="120"/>
      <w:jc w:val="both"/>
    </w:pPr>
    <w:rPr>
      <w:rFonts w:ascii="Times New Roman" w:hAnsi="Times New Roman"/>
      <w:sz w:val="24"/>
      <w:lang w:eastAsia="en-US"/>
    </w:rPr>
  </w:style>
  <w:style w:type="paragraph" w:customStyle="1" w:styleId="Bullet1">
    <w:name w:val="Bullet 1"/>
    <w:basedOn w:val="Normal"/>
    <w:pPr>
      <w:numPr>
        <w:numId w:val="23"/>
      </w:numPr>
      <w:spacing w:before="120" w:after="120"/>
      <w:jc w:val="both"/>
    </w:pPr>
    <w:rPr>
      <w:rFonts w:ascii="Times New Roman" w:hAnsi="Times New Roman"/>
      <w:sz w:val="24"/>
      <w:lang w:eastAsia="en-US"/>
    </w:rPr>
  </w:style>
  <w:style w:type="paragraph" w:customStyle="1" w:styleId="Bullet2">
    <w:name w:val="Bullet 2"/>
    <w:basedOn w:val="Normal"/>
    <w:pPr>
      <w:numPr>
        <w:numId w:val="24"/>
      </w:numPr>
      <w:spacing w:before="120" w:after="120"/>
      <w:jc w:val="both"/>
    </w:pPr>
    <w:rPr>
      <w:rFonts w:ascii="Times New Roman" w:hAnsi="Times New Roman"/>
      <w:sz w:val="24"/>
      <w:lang w:eastAsia="en-US"/>
    </w:rPr>
  </w:style>
  <w:style w:type="paragraph" w:customStyle="1" w:styleId="Bullet3">
    <w:name w:val="Bullet 3"/>
    <w:basedOn w:val="Normal"/>
    <w:pPr>
      <w:numPr>
        <w:numId w:val="25"/>
      </w:numPr>
      <w:spacing w:before="120" w:after="120"/>
      <w:jc w:val="both"/>
    </w:pPr>
    <w:rPr>
      <w:rFonts w:ascii="Times New Roman" w:hAnsi="Times New Roman"/>
      <w:sz w:val="24"/>
      <w:lang w:eastAsia="en-US"/>
    </w:rPr>
  </w:style>
  <w:style w:type="paragraph" w:customStyle="1" w:styleId="Bullet4">
    <w:name w:val="Bullet 4"/>
    <w:basedOn w:val="Normal"/>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pPr>
      <w:spacing w:after="240"/>
    </w:pPr>
    <w:rPr>
      <w:rFonts w:ascii="Times New Roman" w:hAnsi="Times New Roman"/>
      <w:sz w:val="24"/>
      <w:lang w:eastAsia="en-US"/>
    </w:rPr>
  </w:style>
  <w:style w:type="paragraph" w:customStyle="1" w:styleId="Datedadoption">
    <w:name w:val="Date d'adoption"/>
    <w:basedOn w:val="Normal"/>
    <w:next w:val="Titreobjet"/>
    <w:pPr>
      <w:spacing w:before="360"/>
      <w:jc w:val="center"/>
    </w:pPr>
    <w:rPr>
      <w:rFonts w:ascii="Times New Roman" w:hAnsi="Times New Roman"/>
      <w:b/>
      <w:sz w:val="24"/>
      <w:lang w:eastAsia="en-US"/>
    </w:rPr>
  </w:style>
  <w:style w:type="paragraph" w:customStyle="1" w:styleId="Emission">
    <w:name w:val="Emission"/>
    <w:basedOn w:val="Normal"/>
    <w:next w:val="Rfrenceinstitutionnelle"/>
    <w:pPr>
      <w:ind w:left="5103"/>
    </w:pPr>
    <w:rPr>
      <w:rFonts w:ascii="Times New Roman" w:hAnsi="Times New Roman"/>
      <w:sz w:val="24"/>
      <w:lang w:eastAsia="en-US"/>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pPr>
      <w:keepNext/>
      <w:spacing w:before="600" w:after="120"/>
      <w:jc w:val="both"/>
    </w:pPr>
    <w:rPr>
      <w:rFonts w:ascii="Times New Roman" w:hAnsi="Times New Roman"/>
      <w:sz w:val="24"/>
      <w:lang w:eastAsia="en-US"/>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Pr>
      <w:rFonts w:cs="Arial"/>
      <w:sz w:val="24"/>
      <w:lang w:eastAsia="en-US"/>
    </w:rPr>
  </w:style>
  <w:style w:type="paragraph" w:customStyle="1" w:styleId="Rfrenceinstitutionnelle">
    <w:name w:val="Référence institutionnelle"/>
    <w:basedOn w:val="Normal"/>
    <w:next w:val="Confidentiali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pPr>
      <w:ind w:left="5103"/>
    </w:pPr>
    <w:rPr>
      <w:rFonts w:ascii="Times New Roman" w:hAnsi="Times New Roman"/>
      <w:sz w:val="24"/>
      <w:lang w:eastAsia="en-US"/>
    </w:rPr>
  </w:style>
  <w:style w:type="paragraph" w:customStyle="1" w:styleId="Rfrenceinterne">
    <w:name w:val="Référence interne"/>
    <w:basedOn w:val="Normal"/>
    <w:next w:val="Rfrenceinterinstitutionnelle"/>
    <w:pPr>
      <w:ind w:left="5103"/>
    </w:pPr>
    <w:rPr>
      <w:rFonts w:ascii="Times New Roman" w:hAnsi="Times New Roman"/>
      <w:sz w:val="24"/>
      <w:lang w:eastAsia="en-US"/>
    </w:rPr>
  </w:style>
  <w:style w:type="paragraph" w:customStyle="1" w:styleId="Sous-titreobjet">
    <w:name w:val="Sous-titre objet"/>
    <w:basedOn w:val="Normal"/>
    <w:pPr>
      <w:jc w:val="center"/>
    </w:pPr>
    <w:rPr>
      <w:rFonts w:ascii="Times New Roman" w:hAnsi="Times New Roman"/>
      <w:b/>
      <w:sz w:val="24"/>
      <w:lang w:eastAsia="en-US"/>
    </w:rPr>
  </w:style>
  <w:style w:type="paragraph" w:customStyle="1" w:styleId="Statut">
    <w:name w:val="Statut"/>
    <w:basedOn w:val="Normal"/>
    <w:next w:val="Typedudocument"/>
    <w:pPr>
      <w:spacing w:before="360"/>
      <w:jc w:val="center"/>
    </w:pPr>
    <w:rPr>
      <w:rFonts w:ascii="Times New Roman" w:hAnsi="Times New Roman"/>
      <w:sz w:val="24"/>
      <w:lang w:eastAsia="en-US"/>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pPr>
      <w:spacing w:before="120" w:after="120"/>
      <w:jc w:val="both"/>
    </w:pPr>
    <w:rPr>
      <w:rFonts w:ascii="Times New Roman" w:hAnsi="Times New Roman"/>
      <w:sz w:val="24"/>
      <w:lang w:eastAsia="en-US"/>
    </w:rPr>
  </w:style>
  <w:style w:type="paragraph" w:customStyle="1" w:styleId="Supertitre">
    <w:name w:val="Supertitre"/>
    <w:basedOn w:val="Normal"/>
    <w:next w:val="Normal"/>
    <w:pPr>
      <w:spacing w:after="600"/>
      <w:jc w:val="center"/>
    </w:pPr>
    <w:rPr>
      <w:rFonts w:ascii="Times New Roman" w:hAnsi="Times New Roman"/>
      <w:b/>
      <w:sz w:val="24"/>
      <w:lang w:eastAsia="en-US"/>
    </w:rPr>
  </w:style>
  <w:style w:type="paragraph" w:customStyle="1" w:styleId="Languesfaisantfoi">
    <w:name w:val="Langues faisant foi"/>
    <w:basedOn w:val="Normal"/>
    <w:next w:val="Normal"/>
    <w:pPr>
      <w:spacing w:before="360"/>
      <w:jc w:val="center"/>
    </w:pPr>
    <w:rPr>
      <w:rFonts w:ascii="Times New Roman" w:hAnsi="Times New Roman"/>
      <w:sz w:val="24"/>
      <w:lang w:eastAsia="en-US"/>
    </w:rPr>
  </w:style>
  <w:style w:type="paragraph" w:customStyle="1" w:styleId="Rfrencecroise">
    <w:name w:val="Référence croisée"/>
    <w:basedOn w:val="Normal"/>
    <w:pPr>
      <w:jc w:val="center"/>
    </w:pPr>
    <w:rPr>
      <w:rFonts w:ascii="Times New Roman" w:hAnsi="Times New Roman"/>
      <w:sz w:val="24"/>
      <w:lang w:eastAsia="en-US"/>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rPr>
      <w:rFonts w:ascii="Times New Roman" w:hAnsi="Times New Roman"/>
      <w:sz w:val="24"/>
      <w:lang w:eastAsia="en-US"/>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lang w:eastAsia="en-US"/>
    </w:rPr>
  </w:style>
  <w:style w:type="paragraph" w:styleId="ListNumber2">
    <w:name w:val="List Number 2"/>
    <w:basedOn w:val="Normal"/>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pPr>
      <w:spacing w:before="120" w:after="120"/>
      <w:jc w:val="both"/>
    </w:pPr>
    <w:rPr>
      <w:rFonts w:ascii="Times New Roman" w:hAnsi="Times New Roman"/>
      <w:sz w:val="24"/>
      <w:lang w:eastAsia="en-US"/>
    </w:rPr>
  </w:style>
  <w:style w:type="character" w:customStyle="1" w:styleId="CommentTextChar3">
    <w:name w:val="Comment Text Char3"/>
    <w:locked/>
    <w:rPr>
      <w:rFonts w:ascii="Arial" w:hAnsi="Arial" w:cs="Times New Roman"/>
      <w:lang w:val="en-GB" w:eastAsia="en-GB" w:bidi="ar-SA"/>
    </w:rPr>
  </w:style>
  <w:style w:type="paragraph" w:customStyle="1" w:styleId="Paragrafoelenco3">
    <w:name w:val="Paragrafo elenco3"/>
    <w:basedOn w:val="Normal"/>
    <w:pPr>
      <w:ind w:left="720"/>
      <w:contextualSpacing/>
    </w:pPr>
    <w:rPr>
      <w:rFonts w:ascii="Cambria" w:hAnsi="Cambria"/>
      <w:sz w:val="24"/>
      <w:lang w:val="en-US" w:eastAsia="en-US"/>
    </w:rPr>
  </w:style>
  <w:style w:type="paragraph" w:customStyle="1" w:styleId="Listeavsnitt1">
    <w:name w:val="Listeavsnitt1"/>
    <w:basedOn w:val="Normal"/>
    <w:pPr>
      <w:spacing w:line="252" w:lineRule="auto"/>
      <w:ind w:left="720"/>
      <w:contextualSpacing/>
    </w:pPr>
    <w:rPr>
      <w:rFonts w:ascii="Times New Roman" w:hAnsi="Times New Roman"/>
      <w:sz w:val="24"/>
      <w:lang w:val="nb-NO" w:eastAsia="en-US"/>
    </w:rPr>
  </w:style>
  <w:style w:type="character" w:customStyle="1" w:styleId="PlainTextChar1">
    <w:name w:val="Plain Text Char1"/>
    <w:rPr>
      <w:rFonts w:ascii="Consolas" w:hAnsi="Consolas" w:cs="Consolas"/>
      <w:sz w:val="21"/>
      <w:szCs w:val="21"/>
      <w:lang w:eastAsia="de-DE"/>
    </w:rPr>
  </w:style>
  <w:style w:type="character" w:customStyle="1" w:styleId="CharChar1">
    <w:name w:val="Char Char1"/>
    <w:semiHidden/>
    <w:locked/>
    <w:rPr>
      <w:rFonts w:ascii="Arial" w:hAnsi="Arial"/>
      <w:lang w:val="en-GB" w:eastAsia="en-GB" w:bidi="ar-SA"/>
    </w:rPr>
  </w:style>
  <w:style w:type="character" w:customStyle="1" w:styleId="CharChar">
    <w:name w:val="Char Char"/>
    <w:semiHidden/>
    <w:locked/>
    <w:rPr>
      <w:rFonts w:ascii="Arial" w:hAnsi="Arial"/>
      <w:lang w:val="en-GB" w:eastAsia="en-GB" w:bidi="ar-SA"/>
    </w:rPr>
  </w:style>
  <w:style w:type="character" w:customStyle="1" w:styleId="CharChar2">
    <w:name w:val="Char Char2"/>
    <w:semiHidden/>
    <w:locked/>
    <w:rPr>
      <w:rFonts w:ascii="Arial" w:hAnsi="Arial"/>
      <w:lang w:val="en-GB" w:eastAsia="en-GB" w:bidi="ar-SA"/>
    </w:rPr>
  </w:style>
  <w:style w:type="character" w:customStyle="1" w:styleId="CharChar4">
    <w:name w:val="Char Char4"/>
    <w:semiHidden/>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rPr>
      <w:b/>
      <w:strike/>
      <w:color w:val="FFFFFF"/>
      <w:spacing w:val="0"/>
    </w:rPr>
  </w:style>
  <w:style w:type="paragraph" w:customStyle="1" w:styleId="Listenabsatz3">
    <w:name w:val="Listenabsatz3"/>
    <w:basedOn w:val="Normal"/>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pPr>
      <w:ind w:left="720"/>
      <w:contextualSpacing/>
    </w:pPr>
    <w:rPr>
      <w:rFonts w:ascii="Cambria" w:hAnsi="Cambria"/>
      <w:sz w:val="24"/>
      <w:lang w:val="en-US" w:eastAsia="en-US"/>
    </w:rPr>
  </w:style>
  <w:style w:type="paragraph" w:customStyle="1" w:styleId="ListParagraph2">
    <w:name w:val="List Paragraph2"/>
    <w:basedOn w:val="Normal"/>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99"/>
    <w:pPr>
      <w:spacing w:after="240"/>
      <w:jc w:val="center"/>
    </w:pPr>
    <w:rPr>
      <w:rFonts w:ascii="Times New Roman" w:hAnsi="Times New Roman"/>
      <w:sz w:val="24"/>
      <w:szCs w:val="20"/>
      <w:lang w:val="fr-FR" w:eastAsia="en-GB"/>
    </w:rPr>
  </w:style>
  <w:style w:type="paragraph" w:customStyle="1" w:styleId="TableContents">
    <w:name w:val="Table Contents"/>
    <w:basedOn w:val="Normal"/>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pPr>
      <w:ind w:left="720"/>
      <w:contextualSpacing/>
    </w:pPr>
    <w:rPr>
      <w:rFonts w:ascii="Times New Roman" w:hAnsi="Times New Roman"/>
      <w:sz w:val="24"/>
      <w:lang w:eastAsia="en-GB"/>
    </w:rPr>
  </w:style>
  <w:style w:type="paragraph" w:customStyle="1" w:styleId="Listenabsatz4">
    <w:name w:val="Listenabsatz4"/>
    <w:basedOn w:val="Normal"/>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pPr>
      <w:pBdr>
        <w:bottom w:val="single" w:sz="4" w:space="12" w:color="000000"/>
      </w:pBdr>
      <w:tabs>
        <w:tab w:val="left" w:pos="454"/>
      </w:tabs>
    </w:pPr>
    <w:rPr>
      <w:color w:val="000000"/>
      <w:lang w:val="x-none"/>
    </w:rPr>
  </w:style>
  <w:style w:type="paragraph" w:customStyle="1" w:styleId="Annex">
    <w:name w:val="Annex"/>
    <w:basedOn w:val="04aNumeration"/>
    <w:link w:val="AnnexChar"/>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99"/>
    <w:rPr>
      <w:rFonts w:ascii="EUAlbertina" w:hAnsi="EUAlbertina" w:cs="Times New Roman"/>
      <w:color w:val="auto"/>
      <w:lang w:val="de-DE" w:eastAsia="de-DE"/>
    </w:rPr>
  </w:style>
  <w:style w:type="paragraph" w:customStyle="1" w:styleId="aStyle1">
    <w:name w:val="a. Style1"/>
    <w:basedOn w:val="Normal"/>
    <w:link w:val="aStyle1Char"/>
    <w:qFormat/>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Arial" w:hAnsi="Arial"/>
      <w:lang w:val="x-none" w:eastAsia="x-none"/>
    </w:rPr>
  </w:style>
  <w:style w:type="paragraph" w:styleId="Title">
    <w:name w:val="Title"/>
    <w:basedOn w:val="Normal"/>
    <w:next w:val="Normal"/>
    <w:link w:val="TitleChar"/>
    <w:uiPriority w:val="10"/>
    <w:qFormat/>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Pr>
      <w:b/>
      <w:i w:val="0"/>
      <w:iCs/>
      <w:sz w:val="20"/>
    </w:rPr>
  </w:style>
  <w:style w:type="paragraph" w:customStyle="1" w:styleId="NEW-Paragraph-Level1">
    <w:name w:val="NEW-Paragraph-Level1"/>
    <w:basedOn w:val="Normal"/>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Arial" w:hAnsi="Arial"/>
      <w:lang w:eastAsia="de-DE"/>
    </w:rPr>
  </w:style>
  <w:style w:type="character" w:customStyle="1" w:styleId="NEW-Paragraph-level3Char">
    <w:name w:val="NEW-Paragraph-level3 Char"/>
    <w:link w:val="NEW-Paragraph-level3"/>
    <w:rPr>
      <w:rFonts w:ascii="Arial" w:hAnsi="Arial"/>
      <w:lang w:eastAsia="de-DE"/>
    </w:rPr>
  </w:style>
  <w:style w:type="paragraph" w:customStyle="1" w:styleId="NEW-Level0">
    <w:name w:val="NEW-Level0"/>
    <w:basedOn w:val="Normal"/>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qFormat/>
    <w:pPr>
      <w:spacing w:before="120" w:after="120"/>
      <w:ind w:left="425" w:hanging="425"/>
    </w:pPr>
  </w:style>
  <w:style w:type="paragraph" w:customStyle="1" w:styleId="aNEW-Level1">
    <w:name w:val="aNEW-Level1"/>
    <w:basedOn w:val="NEW-Level1"/>
    <w:link w:val="aNEW-Level1Char"/>
    <w:qFormat/>
    <w:pPr>
      <w:spacing w:before="120" w:after="120"/>
      <w:ind w:left="431" w:hanging="431"/>
    </w:pPr>
  </w:style>
  <w:style w:type="character" w:customStyle="1" w:styleId="aNEW-Level0Char">
    <w:name w:val="aNEW-Level0 Char"/>
    <w:link w:val="aNEW-Level0"/>
    <w:rPr>
      <w:rFonts w:ascii="Arial" w:hAnsi="Arial" w:cs="Arial"/>
      <w:b/>
      <w:bCs/>
      <w:kern w:val="32"/>
      <w:sz w:val="28"/>
      <w:szCs w:val="28"/>
      <w:lang w:eastAsia="de-DE"/>
    </w:rPr>
  </w:style>
  <w:style w:type="character" w:customStyle="1" w:styleId="aNEW-Level1Char">
    <w:name w:val="aNEW-Level1 Char"/>
    <w:link w:val="aNEW-Level1"/>
    <w:rPr>
      <w:rFonts w:ascii="Arial" w:hAnsi="Arial" w:cs="Arial"/>
      <w:b/>
      <w:bCs/>
      <w:kern w:val="32"/>
      <w:sz w:val="24"/>
      <w:szCs w:val="32"/>
      <w:lang w:eastAsia="de-DE"/>
    </w:rPr>
  </w:style>
  <w:style w:type="paragraph" w:customStyle="1" w:styleId="aNEW-Level2">
    <w:name w:val="aNEW-Level2"/>
    <w:basedOn w:val="NEW-Level2"/>
    <w:link w:val="aNEW-Level2Char"/>
    <w:qFormat/>
  </w:style>
  <w:style w:type="paragraph" w:customStyle="1" w:styleId="aNEW-Level4">
    <w:name w:val="aNEW-Level4"/>
    <w:basedOn w:val="Normal"/>
    <w:link w:val="aNEW-Level4Char"/>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Arial" w:eastAsia="Calibri" w:hAnsi="Arial"/>
      <w:b/>
      <w:bCs/>
      <w:kern w:val="28"/>
      <w:szCs w:val="32"/>
      <w:lang w:eastAsia="en-US"/>
    </w:rPr>
  </w:style>
  <w:style w:type="character" w:customStyle="1" w:styleId="aNEW-ParagraphChar">
    <w:name w:val="aNEW-Paragraph Char"/>
    <w:link w:val="aNEW-Paragraph"/>
    <w:rPr>
      <w:rFonts w:ascii="Arial" w:eastAsia="Calibri" w:hAnsi="Arial"/>
      <w:lang w:eastAsia="de-DE"/>
    </w:rPr>
  </w:style>
  <w:style w:type="paragraph" w:customStyle="1" w:styleId="aNew-Level33">
    <w:name w:val="aNew-Level33"/>
    <w:basedOn w:val="Normal"/>
    <w:link w:val="aNew-Level33Char"/>
    <w:qFormat/>
    <w:pPr>
      <w:spacing w:after="250" w:line="276" w:lineRule="auto"/>
      <w:ind w:left="426" w:hanging="426"/>
      <w:jc w:val="both"/>
    </w:pPr>
    <w:rPr>
      <w:b/>
    </w:rPr>
  </w:style>
  <w:style w:type="paragraph" w:customStyle="1" w:styleId="aNew-BoxTitle">
    <w:name w:val="aNew-BoxTitle"/>
    <w:basedOn w:val="04aNumbering"/>
    <w:link w:val="aNew-BoxTitleChar"/>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pPr>
      <w:ind w:left="851" w:hanging="425"/>
    </w:pPr>
  </w:style>
  <w:style w:type="paragraph" w:customStyle="1" w:styleId="aNEW-Paragraph-level3">
    <w:name w:val="aNEW-Paragraph-level3"/>
    <w:basedOn w:val="NEW-Paragraph-level3"/>
    <w:link w:val="aNEW-Paragraph-level3Char"/>
    <w:qFormat/>
    <w:pPr>
      <w:ind w:left="1276" w:hanging="426"/>
    </w:pPr>
  </w:style>
  <w:style w:type="character" w:customStyle="1" w:styleId="aNEW-Paragraph-level2Char">
    <w:name w:val="aNEW-Paragraph-level2 Char"/>
    <w:link w:val="aNEW-Paragraph-level2"/>
    <w:rPr>
      <w:rFonts w:ascii="Arial" w:hAnsi="Arial"/>
      <w:lang w:eastAsia="de-DE"/>
    </w:rPr>
  </w:style>
  <w:style w:type="character" w:customStyle="1" w:styleId="aNEW-Paragraph-level3Char">
    <w:name w:val="aNEW-Paragraph-level3 Char"/>
    <w:link w:val="aNEW-Paragraph-level3"/>
    <w:rPr>
      <w:rFonts w:ascii="Arial" w:hAnsi="Arial"/>
      <w:lang w:eastAsia="de-DE"/>
    </w:rPr>
  </w:style>
  <w:style w:type="paragraph" w:customStyle="1" w:styleId="aNew-Level5">
    <w:name w:val="aNew-Level5"/>
    <w:basedOn w:val="Normal"/>
    <w:link w:val="aNew-Level5Char"/>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Normal"/>
    <w:link w:val="Questions-ESMAChar"/>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Normal"/>
    <w:link w:val="CPQuestionsChar"/>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eEmphasis">
    <w:name w:val="Intense Emphasis"/>
    <w:basedOn w:val="DefaultParagraphFont"/>
    <w:uiPriority w:val="21"/>
    <w:qFormat/>
    <w:rPr>
      <w:b/>
      <w:bCs/>
      <w:i/>
      <w:iCs/>
    </w:rPr>
  </w:style>
  <w:style w:type="character" w:customStyle="1" w:styleId="CPTitle1Char">
    <w:name w:val="CP_Title1 Char"/>
    <w:basedOn w:val="DefaultParagraphFont"/>
    <w:link w:val="CPTitle1"/>
    <w:locked/>
    <w:rPr>
      <w:rFonts w:asciiTheme="majorHAnsi" w:eastAsiaTheme="majorEastAsia" w:hAnsiTheme="majorHAnsi" w:cstheme="majorHAnsi"/>
      <w:b/>
      <w:sz w:val="32"/>
      <w:szCs w:val="32"/>
    </w:rPr>
  </w:style>
  <w:style w:type="paragraph" w:customStyle="1" w:styleId="CPTitle1">
    <w:name w:val="CP_Title1"/>
    <w:basedOn w:val="Heading1"/>
    <w:link w:val="CPTitle1Char"/>
    <w:qFormat/>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Pr>
      <w:rFonts w:asciiTheme="minorHAnsi" w:eastAsia="Calibri" w:hAnsiTheme="minorHAnsi" w:cstheme="minorBidi"/>
      <w:b/>
      <w:sz w:val="22"/>
      <w:lang w:eastAsia="en-US"/>
    </w:rPr>
  </w:style>
  <w:style w:type="paragraph" w:customStyle="1" w:styleId="FORM2">
    <w:name w:val="FORM2"/>
    <w:basedOn w:val="QuestionsFORM"/>
    <w:link w:val="FORM2Char"/>
    <w:qFormat/>
    <w:pPr>
      <w:numPr>
        <w:numId w:val="0"/>
      </w:numPr>
      <w:spacing w:after="120"/>
      <w:ind w:left="284"/>
    </w:pPr>
  </w:style>
  <w:style w:type="character" w:customStyle="1" w:styleId="FORM2Char">
    <w:name w:val="FORM2 Char"/>
    <w:basedOn w:val="QuestionsFORMChar"/>
    <w:link w:val="FORM2"/>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eastAsia="de-DE"/>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pPr>
      <w:keepNext/>
      <w:keepLines/>
      <w:spacing w:before="200" w:after="120"/>
      <w:outlineLvl w:val="1"/>
    </w:pPr>
    <w:rPr>
      <w:b/>
      <w:bCs/>
      <w:szCs w:val="26"/>
    </w:rPr>
  </w:style>
  <w:style w:type="paragraph" w:styleId="Heading3">
    <w:name w:val="heading 3"/>
    <w:basedOn w:val="Normal"/>
    <w:next w:val="Normal"/>
    <w:link w:val="Heading3Char2"/>
    <w:qFormat/>
    <w:pPr>
      <w:keepNext/>
      <w:keepLines/>
      <w:spacing w:before="200"/>
      <w:outlineLvl w:val="2"/>
    </w:pPr>
    <w:rPr>
      <w:rFonts w:ascii="Cambria" w:hAnsi="Cambria"/>
      <w:b/>
      <w:bCs/>
      <w:color w:val="4F81BD"/>
    </w:rPr>
  </w:style>
  <w:style w:type="paragraph" w:styleId="Heading4">
    <w:name w:val="heading 4"/>
    <w:basedOn w:val="Normal"/>
    <w:next w:val="Normal"/>
    <w:link w:val="Heading4Char1"/>
    <w:qFormat/>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pPr>
      <w:keepNext/>
      <w:keepLines/>
      <w:numPr>
        <w:numId w:val="13"/>
      </w:numPr>
      <w:spacing w:before="200"/>
      <w:jc w:val="both"/>
      <w:outlineLvl w:val="4"/>
    </w:pPr>
    <w:rPr>
      <w:b/>
    </w:rPr>
  </w:style>
  <w:style w:type="paragraph" w:styleId="Heading6">
    <w:name w:val="heading 6"/>
    <w:basedOn w:val="Normal"/>
    <w:next w:val="Normal"/>
    <w:link w:val="Heading6Char"/>
    <w:qFormat/>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pPr>
      <w:spacing w:line="200" w:lineRule="exact"/>
    </w:pPr>
    <w:rPr>
      <w:color w:val="2D4190"/>
      <w:sz w:val="16"/>
    </w:rPr>
  </w:style>
  <w:style w:type="paragraph" w:customStyle="1" w:styleId="05aTitle">
    <w:name w:val="05a_Title"/>
    <w:basedOn w:val="Normal"/>
    <w:pPr>
      <w:spacing w:line="340" w:lineRule="exact"/>
    </w:pPr>
    <w:rPr>
      <w:b/>
      <w:color w:val="000000"/>
      <w:sz w:val="28"/>
    </w:rPr>
  </w:style>
  <w:style w:type="paragraph" w:customStyle="1" w:styleId="02Date">
    <w:name w:val="02_Date"/>
    <w:basedOn w:val="Normal"/>
    <w:pPr>
      <w:spacing w:line="220" w:lineRule="exact"/>
    </w:pPr>
    <w:rPr>
      <w:sz w:val="17"/>
    </w:rPr>
  </w:style>
  <w:style w:type="paragraph" w:customStyle="1" w:styleId="00aPagenumber">
    <w:name w:val="00a_Page number"/>
    <w:basedOn w:val="00Footer"/>
    <w:pPr>
      <w:spacing w:line="280" w:lineRule="atLeast"/>
      <w:jc w:val="right"/>
    </w:pPr>
    <w:rPr>
      <w:color w:val="000000"/>
      <w:sz w:val="20"/>
    </w:rPr>
  </w:style>
  <w:style w:type="paragraph" w:customStyle="1" w:styleId="04BodyText">
    <w:name w:val="04_Body Text"/>
    <w:basedOn w:val="Normal"/>
    <w:link w:val="04BodyTextChar"/>
    <w:pPr>
      <w:spacing w:after="250" w:line="276" w:lineRule="auto"/>
      <w:jc w:val="both"/>
    </w:pPr>
  </w:style>
  <w:style w:type="paragraph" w:customStyle="1" w:styleId="05HeadlinenoIndex">
    <w:name w:val="05_Headline no Index"/>
    <w:basedOn w:val="04BodyText"/>
    <w:pPr>
      <w:spacing w:line="300" w:lineRule="exact"/>
    </w:pPr>
    <w:rPr>
      <w:b/>
      <w:sz w:val="24"/>
    </w:rPr>
  </w:style>
  <w:style w:type="paragraph" w:customStyle="1" w:styleId="05cHeadline1">
    <w:name w:val="05c_Headline 1"/>
    <w:basedOn w:val="05HeadlinenoIndex"/>
    <w:next w:val="04BodyTex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pPr>
      <w:tabs>
        <w:tab w:val="num" w:pos="851"/>
      </w:tabs>
      <w:ind w:left="851" w:hanging="284"/>
    </w:pPr>
  </w:style>
  <w:style w:type="character" w:styleId="PageNumber">
    <w:name w:val="page number"/>
    <w:basedOn w:val="DefaultParagraphFont"/>
  </w:style>
  <w:style w:type="paragraph" w:customStyle="1" w:styleId="00bDBInfo">
    <w:name w:val="00b_DB_Info"/>
    <w:basedOn w:val="00aPagenumber"/>
    <w:rPr>
      <w:color w:val="FFFFFF"/>
    </w:rPr>
  </w:style>
  <w:style w:type="paragraph" w:customStyle="1" w:styleId="01aDBTitle">
    <w:name w:val="01a_DB_Title"/>
    <w:basedOn w:val="05aTitle"/>
    <w:pPr>
      <w:spacing w:line="400" w:lineRule="exact"/>
      <w:jc w:val="right"/>
    </w:pPr>
    <w:rPr>
      <w:color w:val="2D4190"/>
      <w:sz w:val="40"/>
    </w:rPr>
  </w:style>
  <w:style w:type="paragraph" w:customStyle="1" w:styleId="01bDBSubtitle">
    <w:name w:val="01b_DB_Subtitle"/>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pPr>
      <w:tabs>
        <w:tab w:val="left" w:pos="510"/>
        <w:tab w:val="right" w:leader="underscore" w:pos="9412"/>
      </w:tabs>
      <w:spacing w:line="250" w:lineRule="exact"/>
    </w:pPr>
  </w:style>
  <w:style w:type="paragraph" w:customStyle="1" w:styleId="04fBodytextblue">
    <w:name w:val="04f_Body text blue"/>
    <w:basedOn w:val="04BodyText"/>
    <w:pPr>
      <w:pBdr>
        <w:bottom w:val="single" w:sz="4" w:space="12" w:color="283583"/>
      </w:pBdr>
    </w:pPr>
    <w:rPr>
      <w:color w:val="2D4190"/>
    </w:rPr>
  </w:style>
  <w:style w:type="character" w:styleId="Hyperlink">
    <w:name w:val="Hyperlink"/>
    <w:uiPriority w:val="99"/>
    <w:rPr>
      <w:color w:val="0000FF"/>
      <w:u w:val="single"/>
    </w:rPr>
  </w:style>
  <w:style w:type="paragraph" w:customStyle="1" w:styleId="04bList">
    <w:name w:val="04b_List"/>
    <w:basedOn w:val="04BodyText"/>
    <w:uiPriority w:val="99"/>
    <w:pPr>
      <w:numPr>
        <w:numId w:val="3"/>
      </w:numPr>
    </w:pPr>
  </w:style>
  <w:style w:type="paragraph" w:customStyle="1" w:styleId="04eBodytextleft">
    <w:name w:val="04e_Body text left"/>
    <w:basedOn w:val="04BodyText"/>
    <w:pPr>
      <w:spacing w:after="0"/>
      <w:jc w:val="left"/>
    </w:pPr>
  </w:style>
  <w:style w:type="paragraph" w:customStyle="1" w:styleId="05eHeadline2">
    <w:name w:val="05e_Headline 2"/>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Pr>
      <w:vertAlign w:val="superscript"/>
    </w:rPr>
  </w:style>
  <w:style w:type="paragraph" w:styleId="TOC2">
    <w:name w:val="toc 2"/>
    <w:basedOn w:val="Normal"/>
    <w:next w:val="Normal"/>
    <w:autoRedefine/>
    <w:uiPriority w:val="39"/>
    <w:qFormat/>
    <w:pPr>
      <w:spacing w:after="100"/>
      <w:ind w:left="220"/>
    </w:pPr>
  </w:style>
  <w:style w:type="paragraph" w:customStyle="1" w:styleId="05bHeadline1black">
    <w:name w:val="05b_Headline 1 black"/>
    <w:basedOn w:val="05dHeadline1blue"/>
    <w:pPr>
      <w:pBdr>
        <w:top w:val="none" w:sz="0" w:space="0" w:color="auto"/>
      </w:pBdr>
    </w:pPr>
    <w:rPr>
      <w:color w:val="000000"/>
    </w:rPr>
  </w:style>
  <w:style w:type="paragraph" w:customStyle="1" w:styleId="03Headbold">
    <w:name w:val="03_Head_bold"/>
    <w:basedOn w:val="04BodyText"/>
    <w:pPr>
      <w:tabs>
        <w:tab w:val="left" w:pos="414"/>
        <w:tab w:val="left" w:pos="454"/>
      </w:tabs>
      <w:spacing w:after="0" w:line="240" w:lineRule="auto"/>
    </w:pPr>
    <w:rPr>
      <w:b/>
    </w:rPr>
  </w:style>
  <w:style w:type="paragraph" w:customStyle="1" w:styleId="03aHead">
    <w:name w:val="03a_Head"/>
    <w:basedOn w:val="03Headbold"/>
    <w:rPr>
      <w:b w:val="0"/>
    </w:rPr>
  </w:style>
  <w:style w:type="paragraph" w:customStyle="1" w:styleId="04dBodyTextbold">
    <w:name w:val="04d_Body Text bold"/>
    <w:basedOn w:val="04BodyText"/>
    <w:pPr>
      <w:tabs>
        <w:tab w:val="left" w:pos="414"/>
      </w:tabs>
    </w:pPr>
    <w:rPr>
      <w:b/>
    </w:rPr>
  </w:style>
  <w:style w:type="paragraph" w:customStyle="1" w:styleId="06InfoTitle">
    <w:name w:val="06_Info_Title"/>
    <w:basedOn w:val="Normal"/>
    <w:link w:val="06InfoTitleZchn"/>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pPr>
      <w:spacing w:line="300" w:lineRule="exact"/>
    </w:pPr>
    <w:rPr>
      <w:b/>
      <w:sz w:val="24"/>
    </w:rPr>
  </w:style>
  <w:style w:type="paragraph" w:customStyle="1" w:styleId="05aHeadline2">
    <w:name w:val="05a_Headline 2"/>
    <w:basedOn w:val="05Headline1"/>
    <w:next w:val="04BodyTex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pPr>
      <w:pBdr>
        <w:bottom w:val="single" w:sz="4" w:space="12" w:color="283583"/>
      </w:pBdr>
    </w:pPr>
    <w:rPr>
      <w:color w:val="2D4190"/>
    </w:rPr>
  </w:style>
  <w:style w:type="paragraph" w:customStyle="1" w:styleId="04cBodytextleft">
    <w:name w:val="04c_Body text left"/>
    <w:basedOn w:val="04BodyText"/>
    <w:pPr>
      <w:spacing w:after="0"/>
      <w:jc w:val="left"/>
    </w:pPr>
  </w:style>
  <w:style w:type="paragraph" w:customStyle="1" w:styleId="Style04RunningTextBold">
    <w:name w:val="Style 04_Running Text + Bold"/>
    <w:basedOn w:val="04BodyText"/>
    <w:pPr>
      <w:keepNext/>
    </w:pPr>
    <w:rPr>
      <w:b/>
      <w:bCs/>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pPr>
      <w:ind w:left="720"/>
      <w:contextualSpacing/>
    </w:p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Pr>
      <w:rFonts w:ascii="Georgia" w:hAnsi="Georgia"/>
      <w:sz w:val="16"/>
      <w:lang w:eastAsia="de-DE"/>
    </w:rPr>
  </w:style>
  <w:style w:type="paragraph" w:customStyle="1" w:styleId="DPpara">
    <w:name w:val="DP para"/>
    <w:basedOn w:val="04aNumeration"/>
    <w:link w:val="DPparaChar"/>
    <w:pPr>
      <w:numPr>
        <w:numId w:val="6"/>
      </w:numPr>
    </w:pPr>
    <w:rPr>
      <w:szCs w:val="20"/>
    </w:rPr>
  </w:style>
  <w:style w:type="character" w:customStyle="1" w:styleId="DPparaChar">
    <w:name w:val="DP para Char"/>
    <w:link w:val="DPpara"/>
    <w:locked/>
    <w:rPr>
      <w:rFonts w:ascii="Arial" w:hAnsi="Arial"/>
      <w:lang w:val="fr-FR" w:eastAsia="de-DE"/>
    </w:rPr>
  </w:style>
  <w:style w:type="character" w:customStyle="1" w:styleId="CommentTextChar1">
    <w:name w:val="Comment Text Char1"/>
    <w:rPr>
      <w:rFonts w:ascii="Georgia" w:hAnsi="Georgia"/>
      <w:lang w:eastAsia="de-DE"/>
    </w:rPr>
  </w:style>
  <w:style w:type="character" w:customStyle="1" w:styleId="FootnoteTextChar1">
    <w:name w:val="Footnote Text Char1"/>
    <w:aliases w:val="Char3 Char1, Char3 Char1"/>
    <w:locked/>
    <w:rPr>
      <w:rFonts w:ascii="Georgia" w:hAnsi="Georgia"/>
      <w:sz w:val="16"/>
      <w:lang w:eastAsia="de-DE"/>
    </w:rPr>
  </w:style>
  <w:style w:type="paragraph" w:customStyle="1" w:styleId="Default">
    <w:name w:val="Defaul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style>
  <w:style w:type="paragraph" w:customStyle="1" w:styleId="ManualNumPar1">
    <w:name w:val="Manual NumPar 1"/>
    <w:basedOn w:val="Normal"/>
    <w:next w:val="Normal"/>
    <w:link w:val="ManualNumPar1Char"/>
    <w:uiPriority w:val="99"/>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Arial" w:hAnsi="Arial" w:cs="Arial"/>
      <w:b/>
      <w:bCs/>
      <w:kern w:val="32"/>
      <w:sz w:val="24"/>
      <w:szCs w:val="32"/>
      <w:lang w:eastAsia="de-DE"/>
    </w:rPr>
  </w:style>
  <w:style w:type="character" w:customStyle="1" w:styleId="Heading2Char">
    <w:name w:val="Heading 2 Char"/>
    <w:rPr>
      <w:rFonts w:ascii="Georgia" w:hAnsi="Georgia" w:cs="Arial"/>
      <w:bCs/>
      <w:i/>
      <w:kern w:val="32"/>
      <w:szCs w:val="32"/>
      <w:lang w:eastAsia="de-DE"/>
    </w:rPr>
  </w:style>
  <w:style w:type="character" w:styleId="Emphasis">
    <w:name w:val="Emphasis"/>
    <w:uiPriority w:val="20"/>
    <w:qFormat/>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39"/>
    <w:qFormat/>
    <w:pPr>
      <w:spacing w:after="100"/>
      <w:ind w:left="440"/>
    </w:pPr>
  </w:style>
  <w:style w:type="character" w:customStyle="1" w:styleId="SprechblasentextZeichen">
    <w:name w:val="Sprechblasentext Zeichen"/>
    <w:uiPriority w:val="99"/>
    <w:semiHidden/>
    <w:rPr>
      <w:rFonts w:ascii="Lucida Grande" w:hAnsi="Lucida Grande"/>
      <w:sz w:val="18"/>
      <w:szCs w:val="18"/>
    </w:rPr>
  </w:style>
  <w:style w:type="paragraph" w:customStyle="1" w:styleId="CM3">
    <w:name w:val="CM3"/>
    <w:basedOn w:val="Normal"/>
    <w:next w:val="Normal"/>
    <w:uiPriority w:val="99"/>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pPr>
      <w:spacing w:after="100" w:line="276" w:lineRule="auto"/>
      <w:ind w:left="1760"/>
    </w:pPr>
    <w:rPr>
      <w:rFonts w:ascii="Calibri" w:hAnsi="Calibri"/>
      <w:szCs w:val="22"/>
      <w:lang w:eastAsia="en-GB"/>
    </w:rPr>
  </w:style>
  <w:style w:type="character" w:customStyle="1" w:styleId="DeltaViewInsertion">
    <w:name w:val="DeltaView Insertion"/>
    <w:uiPriority w:val="99"/>
    <w:rPr>
      <w:b/>
      <w:bCs/>
      <w:color w:val="FFFFFF"/>
      <w:spacing w:val="0"/>
      <w:u w:val="single"/>
    </w:rPr>
  </w:style>
  <w:style w:type="paragraph" w:styleId="Caption">
    <w:name w:val="caption"/>
    <w:basedOn w:val="Normal"/>
    <w:next w:val="Normal"/>
    <w:unhideWhenUsed/>
    <w:qFormat/>
    <w:pPr>
      <w:spacing w:after="200"/>
    </w:pPr>
    <w:rPr>
      <w:b/>
      <w:bCs/>
      <w:sz w:val="18"/>
      <w:szCs w:val="18"/>
    </w:rPr>
  </w:style>
  <w:style w:type="character" w:customStyle="1" w:styleId="Heading5Char">
    <w:name w:val="Heading 5 Char"/>
    <w:uiPriority w:val="9"/>
    <w:rPr>
      <w:rFonts w:ascii="Georgia" w:eastAsia="Times New Roman" w:hAnsi="Georgia" w:cs="Times New Roman"/>
      <w:b/>
      <w:szCs w:val="24"/>
      <w:lang w:eastAsia="de-DE"/>
    </w:rPr>
  </w:style>
  <w:style w:type="paragraph" w:styleId="NormalWeb">
    <w:name w:val="Normal (Web)"/>
    <w:basedOn w:val="Normal"/>
    <w:pPr>
      <w:spacing w:before="100" w:beforeAutospacing="1" w:after="100" w:afterAutospacing="1"/>
    </w:pPr>
    <w:rPr>
      <w:rFonts w:ascii="Times New Roman" w:hAnsi="Times New Roman"/>
      <w:sz w:val="24"/>
      <w:lang w:val="fr-FR" w:eastAsia="fr-FR"/>
    </w:rPr>
  </w:style>
  <w:style w:type="character" w:customStyle="1" w:styleId="Heading5Char1">
    <w:name w:val="Heading 5 Char1"/>
    <w:rPr>
      <w:rFonts w:ascii="Georgia" w:hAnsi="Georgia"/>
      <w:b/>
      <w:bCs/>
      <w:iCs/>
      <w:szCs w:val="26"/>
      <w:lang w:eastAsia="de-DE"/>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nhideWhenUsed/>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qFormat/>
    <w:pPr>
      <w:spacing w:after="200" w:line="276" w:lineRule="atLeast"/>
      <w:ind w:left="720"/>
    </w:pPr>
    <w:rPr>
      <w:rFonts w:ascii="Calibri" w:hAnsi="Calibri" w:cs="Calibri"/>
      <w:szCs w:val="20"/>
      <w:lang w:val="el-GR" w:eastAsia="en-US"/>
    </w:rPr>
  </w:style>
  <w:style w:type="character" w:customStyle="1" w:styleId="Heading5Char2">
    <w:name w:val="Heading 5 Char2"/>
    <w:rPr>
      <w:rFonts w:ascii="Georgia" w:eastAsia="Times New Roman" w:hAnsi="Georgia" w:cs="Times New Roman"/>
      <w:b/>
      <w:szCs w:val="24"/>
      <w:lang w:eastAsia="de-DE"/>
    </w:rPr>
  </w:style>
  <w:style w:type="character" w:styleId="Strong">
    <w:name w:val="Strong"/>
    <w:aliases w:val="Bolded"/>
    <w:qFormat/>
    <w:rPr>
      <w:b/>
      <w:bCs/>
    </w:rPr>
  </w:style>
  <w:style w:type="character" w:customStyle="1" w:styleId="Strong1">
    <w:name w:val="Strong1"/>
    <w:qFormat/>
    <w:rPr>
      <w:b/>
      <w:bCs/>
    </w:rPr>
  </w:style>
  <w:style w:type="character" w:customStyle="1" w:styleId="Strong2">
    <w:name w:val="Strong2"/>
    <w:qFormat/>
    <w:rPr>
      <w:b/>
      <w:bCs/>
    </w:rPr>
  </w:style>
  <w:style w:type="character" w:customStyle="1" w:styleId="Heading5Char3">
    <w:name w:val="Heading 5 Char3"/>
    <w:rPr>
      <w:rFonts w:ascii="Georgia" w:eastAsia="Times New Roman" w:hAnsi="Georgia" w:cs="Times New Roman"/>
      <w:b/>
      <w:szCs w:val="24"/>
      <w:lang w:eastAsia="de-DE"/>
    </w:rPr>
  </w:style>
  <w:style w:type="character" w:customStyle="1" w:styleId="Heading5Char4">
    <w:name w:val="Heading 5 Char4"/>
    <w:rPr>
      <w:rFonts w:ascii="Georgia" w:eastAsia="Times New Roman" w:hAnsi="Georgia" w:cs="Times New Roman"/>
      <w:b/>
      <w:szCs w:val="24"/>
      <w:lang w:eastAsia="de-DE"/>
    </w:rPr>
  </w:style>
  <w:style w:type="character" w:customStyle="1" w:styleId="Heading2Char1">
    <w:name w:val="Heading 2 Char1"/>
    <w:rPr>
      <w:rFonts w:ascii="Georgia" w:eastAsia="Times New Roman" w:hAnsi="Georgia" w:cs="Times New Roman"/>
      <w:b/>
      <w:bCs/>
      <w:sz w:val="22"/>
      <w:szCs w:val="26"/>
      <w:lang w:eastAsia="de-DE"/>
    </w:rPr>
  </w:style>
  <w:style w:type="character" w:customStyle="1" w:styleId="Heading3Char">
    <w:name w:val="Heading 3 Char"/>
    <w:rPr>
      <w:rFonts w:ascii="Georgia" w:eastAsia="Times New Roman" w:hAnsi="Georgia" w:cs="Times New Roman"/>
      <w:b/>
      <w:sz w:val="22"/>
      <w:szCs w:val="26"/>
      <w:lang w:eastAsia="de-DE"/>
    </w:rPr>
  </w:style>
  <w:style w:type="character" w:customStyle="1" w:styleId="Heading5Char5">
    <w:name w:val="Heading 5 Char5"/>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qFormat/>
    <w:rPr>
      <w:b/>
      <w:bCs/>
    </w:rPr>
  </w:style>
  <w:style w:type="character" w:customStyle="1" w:styleId="Heading5Char6">
    <w:name w:val="Heading 5 Char6"/>
    <w:rPr>
      <w:rFonts w:ascii="Georgia" w:eastAsia="Times New Roman" w:hAnsi="Georgia" w:cs="Times New Roman"/>
      <w:b/>
      <w:szCs w:val="24"/>
      <w:lang w:eastAsia="de-DE"/>
    </w:rPr>
  </w:style>
  <w:style w:type="character" w:customStyle="1" w:styleId="Heading4Char">
    <w:name w:val="Heading 4 Char"/>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99"/>
    <w:rPr>
      <w:rFonts w:cs="Times New Roman"/>
      <w:i/>
      <w:i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rPr>
      <w:rFonts w:ascii="Georgia" w:eastAsia="Times New Roman" w:hAnsi="Georgia" w:cs="Times New Roman"/>
      <w:b/>
      <w:szCs w:val="24"/>
      <w:lang w:eastAsia="de-DE"/>
    </w:rPr>
  </w:style>
  <w:style w:type="character" w:customStyle="1" w:styleId="Heading5Char8">
    <w:name w:val="Heading 5 Char8"/>
    <w:aliases w:val="Questions Char1"/>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nhideWhenUsed/>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pPr>
      <w:tabs>
        <w:tab w:val="num" w:pos="360"/>
      </w:tabs>
      <w:spacing w:after="250" w:line="276" w:lineRule="auto"/>
      <w:jc w:val="both"/>
    </w:pPr>
    <w:rPr>
      <w:rFonts w:eastAsia="Calibri"/>
      <w:szCs w:val="20"/>
      <w:lang w:eastAsia="en-GB"/>
    </w:rPr>
  </w:style>
  <w:style w:type="paragraph" w:customStyle="1" w:styleId="Tiret1">
    <w:name w:val="Tiret 1"/>
    <w:basedOn w:val="Normal"/>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qFormat/>
    <w:pPr>
      <w:ind w:left="708"/>
      <w:contextualSpacing w:val="0"/>
      <w:jc w:val="both"/>
    </w:pPr>
    <w:rPr>
      <w:b/>
      <w:szCs w:val="20"/>
      <w:u w:val="single"/>
    </w:rPr>
  </w:style>
  <w:style w:type="paragraph" w:customStyle="1" w:styleId="Bullet">
    <w:name w:val="Bullet"/>
    <w:basedOn w:val="Normal"/>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Pr>
      <w:vertAlign w:val="superscript"/>
    </w:rPr>
  </w:style>
  <w:style w:type="character" w:styleId="PlaceholderText">
    <w:name w:val="Placeholder Text"/>
    <w:uiPriority w:val="99"/>
    <w:semiHidden/>
    <w:rPr>
      <w:color w:val="808080"/>
    </w:rPr>
  </w:style>
  <w:style w:type="character" w:customStyle="1" w:styleId="apple-converted-space">
    <w:name w:val="apple-converted-space"/>
  </w:style>
  <w:style w:type="table" w:customStyle="1" w:styleId="TableGrid1">
    <w:name w:val="Table Grid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AutoCorrect">
    <w:name w:val="AutoCorrect"/>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style>
  <w:style w:type="paragraph" w:customStyle="1" w:styleId="aStyle">
    <w:name w:val="a) Style"/>
    <w:basedOn w:val="Normal"/>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Pr>
      <w:rFonts w:ascii="Georgia" w:eastAsia="Times New Roman" w:hAnsi="Georgia" w:cs="Times New Roman"/>
      <w:b/>
      <w:szCs w:val="24"/>
      <w:lang w:eastAsia="de-DE"/>
    </w:rPr>
  </w:style>
  <w:style w:type="character" w:customStyle="1" w:styleId="Heading5Char10">
    <w:name w:val="Heading 5 Char10"/>
    <w:aliases w:val="Questions Char3"/>
    <w:rPr>
      <w:rFonts w:ascii="Georgia" w:eastAsia="Times New Roman" w:hAnsi="Georgia" w:cs="Times New Roman"/>
      <w:b/>
      <w:szCs w:val="24"/>
      <w:lang w:eastAsia="de-DE"/>
    </w:rPr>
  </w:style>
  <w:style w:type="character" w:customStyle="1" w:styleId="Heading5Char11">
    <w:name w:val="Heading 5 Char11"/>
    <w:aliases w:val="Questions Char4"/>
    <w:rPr>
      <w:rFonts w:ascii="Georgia" w:eastAsia="Times New Roman" w:hAnsi="Georgia" w:cs="Times New Roman"/>
      <w:b/>
      <w:szCs w:val="24"/>
      <w:lang w:eastAsia="de-DE"/>
    </w:rPr>
  </w:style>
  <w:style w:type="character" w:customStyle="1" w:styleId="Heading3Char1">
    <w:name w:val="Heading 3 Char1"/>
    <w:rPr>
      <w:rFonts w:ascii="Georgia" w:eastAsia="Times New Roman" w:hAnsi="Georgia" w:cs="Times New Roman"/>
      <w:b/>
      <w:sz w:val="22"/>
      <w:szCs w:val="26"/>
      <w:lang w:eastAsia="de-DE"/>
    </w:rPr>
  </w:style>
  <w:style w:type="character" w:customStyle="1" w:styleId="Heading5Char12">
    <w:name w:val="Heading 5 Char12"/>
    <w:aliases w:val="Questions Char5"/>
    <w:rPr>
      <w:rFonts w:ascii="Georgia" w:eastAsia="Times New Roman" w:hAnsi="Georgia" w:cs="Times New Roman"/>
      <w:b/>
      <w:szCs w:val="24"/>
      <w:lang w:eastAsia="de-DE"/>
    </w:rPr>
  </w:style>
  <w:style w:type="character" w:customStyle="1" w:styleId="Heading5Char13">
    <w:name w:val="Heading 5 Char13"/>
    <w:aliases w:val="Questions Char6"/>
    <w:rPr>
      <w:rFonts w:ascii="Georgia" w:eastAsia="Times New Roman" w:hAnsi="Georgia" w:cs="Times New Roman"/>
      <w:b/>
      <w:szCs w:val="24"/>
      <w:lang w:eastAsia="de-DE"/>
    </w:rPr>
  </w:style>
  <w:style w:type="character" w:customStyle="1" w:styleId="Strong4">
    <w:name w:val="Strong4"/>
    <w:uiPriority w:val="22"/>
    <w:qFormat/>
    <w:rPr>
      <w:b/>
      <w:bCs/>
    </w:rPr>
  </w:style>
  <w:style w:type="character" w:customStyle="1" w:styleId="Heading5Char14">
    <w:name w:val="Heading 5 Char14"/>
    <w:aliases w:val="Questions Char7"/>
    <w:link w:val="Heading5"/>
    <w:rPr>
      <w:rFonts w:ascii="Arial" w:hAnsi="Arial"/>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61"/>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Pr>
      <w:rFonts w:ascii="Tahoma" w:hAnsi="Tahoma" w:cs="Tahoma"/>
      <w:sz w:val="16"/>
      <w:szCs w:val="16"/>
      <w:lang w:val="en-GB" w:eastAsia="en-GB"/>
    </w:rPr>
  </w:style>
  <w:style w:type="character" w:customStyle="1" w:styleId="31TextobasenotadeprensaCNMVCar">
    <w:name w:val="3.1. Texto base nota de prensa CNMV Car"/>
    <w:rPr>
      <w:rFonts w:ascii="Celeste" w:hAnsi="Celeste" w:cs="Times New Roman"/>
      <w:sz w:val="22"/>
      <w:lang w:val="es-ES" w:eastAsia="es-ES" w:bidi="ar-SA"/>
    </w:rPr>
  </w:style>
  <w:style w:type="paragraph" w:customStyle="1" w:styleId="01Title">
    <w:name w:val="01_Title"/>
    <w:basedOn w:val="Normal"/>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pPr>
      <w:spacing w:after="250" w:line="276" w:lineRule="auto"/>
      <w:ind w:left="397" w:hanging="397"/>
      <w:jc w:val="both"/>
    </w:pPr>
    <w:rPr>
      <w:lang w:val="x-none"/>
    </w:rPr>
  </w:style>
  <w:style w:type="paragraph" w:customStyle="1" w:styleId="04bListing">
    <w:name w:val="04b_Listing"/>
    <w:basedOn w:val="04RunningText"/>
    <w:pPr>
      <w:tabs>
        <w:tab w:val="num" w:pos="568"/>
      </w:tabs>
      <w:ind w:left="568" w:hanging="284"/>
    </w:pPr>
  </w:style>
  <w:style w:type="paragraph" w:customStyle="1" w:styleId="04cRunningtextleft">
    <w:name w:val="04c_Running text left"/>
    <w:basedOn w:val="04RunningText"/>
    <w:pPr>
      <w:spacing w:after="0"/>
      <w:jc w:val="left"/>
    </w:pPr>
  </w:style>
  <w:style w:type="paragraph" w:customStyle="1" w:styleId="05bHeadline3">
    <w:name w:val="05b_Headline 3"/>
    <w:basedOn w:val="Heading2"/>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Pr>
      <w:rFonts w:ascii="Courier New" w:hAnsi="Courier New" w:cs="Courier New"/>
    </w:rPr>
  </w:style>
  <w:style w:type="paragraph" w:customStyle="1" w:styleId="TOCHeading1">
    <w:name w:val="TOC Heading1"/>
    <w:basedOn w:val="Heading1"/>
    <w:next w:val="Normal"/>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pPr>
      <w:spacing w:line="260" w:lineRule="atLeast"/>
      <w:ind w:left="720"/>
      <w:contextualSpacing/>
    </w:pPr>
    <w:rPr>
      <w:rFonts w:ascii="Verdana" w:hAnsi="Verdana"/>
      <w:kern w:val="10"/>
      <w:szCs w:val="20"/>
      <w:lang w:val="de-DE"/>
    </w:rPr>
  </w:style>
  <w:style w:type="paragraph" w:customStyle="1" w:styleId="Listenabsatz2">
    <w:name w:val="Listenabsatz2"/>
    <w:basedOn w:val="Normal"/>
    <w:pPr>
      <w:spacing w:line="260" w:lineRule="atLeast"/>
      <w:ind w:left="720"/>
      <w:contextualSpacing/>
    </w:pPr>
    <w:rPr>
      <w:rFonts w:ascii="Verdana" w:hAnsi="Verdana"/>
      <w:kern w:val="10"/>
      <w:szCs w:val="20"/>
      <w:lang w:val="de-DE"/>
    </w:rPr>
  </w:style>
  <w:style w:type="paragraph" w:customStyle="1" w:styleId="Considrant">
    <w:name w:val="Considérant"/>
    <w:basedOn w:val="Normal"/>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pPr>
      <w:ind w:left="720"/>
      <w:contextualSpacing/>
    </w:pPr>
    <w:rPr>
      <w:rFonts w:ascii="Cambria" w:hAnsi="Cambria"/>
      <w:sz w:val="24"/>
      <w:lang w:val="en-US" w:eastAsia="en-US"/>
    </w:rPr>
  </w:style>
  <w:style w:type="character" w:customStyle="1" w:styleId="CommentTextChar2">
    <w:name w:val="Comment Text Char2"/>
    <w:semiHidden/>
    <w:locked/>
    <w:rPr>
      <w:rFonts w:ascii="Arial" w:hAnsi="Arial" w:cs="Times New Roman"/>
      <w:lang w:val="en-GB" w:eastAsia="en-GB" w:bidi="ar-SA"/>
    </w:rPr>
  </w:style>
  <w:style w:type="character" w:customStyle="1" w:styleId="subparatext">
    <w:name w:val="subparatext"/>
    <w:rPr>
      <w:rFonts w:cs="Times New Roman"/>
    </w:rPr>
  </w:style>
  <w:style w:type="paragraph" w:customStyle="1" w:styleId="Normal12Hanging">
    <w:name w:val="Normal12Hanging"/>
    <w:basedOn w:val="Normal"/>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Pr>
      <w:szCs w:val="20"/>
    </w:rPr>
  </w:style>
  <w:style w:type="paragraph" w:customStyle="1" w:styleId="Sbuchead">
    <w:name w:val="Sbuchead"/>
    <w:basedOn w:val="Normal"/>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pPr>
      <w:spacing w:before="480" w:after="120"/>
      <w:jc w:val="both"/>
    </w:pPr>
    <w:rPr>
      <w:rFonts w:ascii="Times New Roman" w:hAnsi="Times New Roman"/>
      <w:sz w:val="24"/>
      <w:lang w:eastAsia="en-US"/>
    </w:rPr>
  </w:style>
  <w:style w:type="paragraph" w:customStyle="1" w:styleId="Fait">
    <w:name w:val="Fait à"/>
    <w:basedOn w:val="Normal"/>
    <w:next w:val="Institutionquisigne"/>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pPr>
      <w:spacing w:before="360"/>
      <w:jc w:val="center"/>
    </w:pPr>
    <w:rPr>
      <w:rFonts w:ascii="Times New Roman" w:hAnsi="Times New Roman"/>
      <w:b/>
      <w:sz w:val="24"/>
      <w:lang w:eastAsia="en-US"/>
    </w:rPr>
  </w:style>
  <w:style w:type="paragraph" w:customStyle="1" w:styleId="HeaderLandscape">
    <w:name w:val="HeaderLandscape"/>
    <w:basedOn w:val="Normal"/>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pPr>
      <w:spacing w:before="120" w:after="120"/>
      <w:ind w:left="850"/>
      <w:jc w:val="both"/>
    </w:pPr>
    <w:rPr>
      <w:rFonts w:ascii="Times New Roman" w:hAnsi="Times New Roman"/>
      <w:sz w:val="24"/>
      <w:lang w:eastAsia="en-US"/>
    </w:rPr>
  </w:style>
  <w:style w:type="paragraph" w:customStyle="1" w:styleId="Text2">
    <w:name w:val="Text 2"/>
    <w:basedOn w:val="Normal"/>
    <w:pPr>
      <w:spacing w:before="120" w:after="120"/>
      <w:ind w:left="1417"/>
      <w:jc w:val="both"/>
    </w:pPr>
    <w:rPr>
      <w:rFonts w:ascii="Times New Roman" w:hAnsi="Times New Roman"/>
      <w:sz w:val="24"/>
      <w:lang w:eastAsia="en-US"/>
    </w:rPr>
  </w:style>
  <w:style w:type="paragraph" w:customStyle="1" w:styleId="Text3">
    <w:name w:val="Text 3"/>
    <w:basedOn w:val="Normal"/>
    <w:pPr>
      <w:spacing w:before="120" w:after="120"/>
      <w:ind w:left="1984"/>
      <w:jc w:val="both"/>
    </w:pPr>
    <w:rPr>
      <w:rFonts w:ascii="Times New Roman" w:hAnsi="Times New Roman"/>
      <w:sz w:val="24"/>
      <w:lang w:eastAsia="en-US"/>
    </w:rPr>
  </w:style>
  <w:style w:type="paragraph" w:customStyle="1" w:styleId="Text4">
    <w:name w:val="Text 4"/>
    <w:basedOn w:val="Normal"/>
    <w:pPr>
      <w:spacing w:before="120" w:after="120"/>
      <w:ind w:left="2551"/>
      <w:jc w:val="both"/>
    </w:pPr>
    <w:rPr>
      <w:rFonts w:ascii="Times New Roman" w:hAnsi="Times New Roman"/>
      <w:sz w:val="24"/>
      <w:lang w:eastAsia="en-US"/>
    </w:rPr>
  </w:style>
  <w:style w:type="paragraph" w:customStyle="1" w:styleId="NormalCentered">
    <w:name w:val="Normal Centered"/>
    <w:basedOn w:val="Normal"/>
    <w:pPr>
      <w:spacing w:before="120" w:after="120"/>
      <w:jc w:val="center"/>
    </w:pPr>
    <w:rPr>
      <w:rFonts w:ascii="Times New Roman" w:hAnsi="Times New Roman"/>
      <w:sz w:val="24"/>
      <w:lang w:eastAsia="en-US"/>
    </w:rPr>
  </w:style>
  <w:style w:type="paragraph" w:customStyle="1" w:styleId="NormalLeft">
    <w:name w:val="Normal Left"/>
    <w:basedOn w:val="Normal"/>
    <w:pPr>
      <w:spacing w:before="120" w:after="120"/>
    </w:pPr>
    <w:rPr>
      <w:rFonts w:ascii="Times New Roman" w:hAnsi="Times New Roman"/>
      <w:sz w:val="24"/>
      <w:lang w:eastAsia="en-US"/>
    </w:rPr>
  </w:style>
  <w:style w:type="paragraph" w:customStyle="1" w:styleId="NormalRight">
    <w:name w:val="Normal Right"/>
    <w:basedOn w:val="Normal"/>
    <w:pPr>
      <w:spacing w:before="120" w:after="120"/>
      <w:jc w:val="right"/>
    </w:pPr>
    <w:rPr>
      <w:rFonts w:ascii="Times New Roman" w:hAnsi="Times New Roman"/>
      <w:sz w:val="24"/>
      <w:lang w:eastAsia="en-US"/>
    </w:rPr>
  </w:style>
  <w:style w:type="paragraph" w:customStyle="1" w:styleId="QuotedText">
    <w:name w:val="Quoted Text"/>
    <w:basedOn w:val="Normal"/>
    <w:pPr>
      <w:spacing w:before="120" w:after="120"/>
      <w:ind w:left="1417"/>
      <w:jc w:val="both"/>
    </w:pPr>
    <w:rPr>
      <w:rFonts w:ascii="Times New Roman" w:hAnsi="Times New Roman"/>
      <w:sz w:val="24"/>
      <w:lang w:eastAsia="en-US"/>
    </w:rPr>
  </w:style>
  <w:style w:type="paragraph" w:customStyle="1" w:styleId="Point0">
    <w:name w:val="Point 0"/>
    <w:basedOn w:val="Normal"/>
    <w:pPr>
      <w:spacing w:before="120" w:after="120"/>
      <w:ind w:left="850" w:hanging="850"/>
      <w:jc w:val="both"/>
    </w:pPr>
    <w:rPr>
      <w:rFonts w:ascii="Times New Roman" w:hAnsi="Times New Roman"/>
      <w:sz w:val="24"/>
      <w:lang w:eastAsia="en-US"/>
    </w:rPr>
  </w:style>
  <w:style w:type="paragraph" w:customStyle="1" w:styleId="Point1">
    <w:name w:val="Point 1"/>
    <w:basedOn w:val="Normal"/>
    <w:pPr>
      <w:spacing w:before="120" w:after="120"/>
      <w:ind w:left="1417" w:hanging="567"/>
      <w:jc w:val="both"/>
    </w:pPr>
    <w:rPr>
      <w:rFonts w:ascii="Times New Roman" w:hAnsi="Times New Roman"/>
      <w:sz w:val="24"/>
      <w:lang w:eastAsia="en-US"/>
    </w:rPr>
  </w:style>
  <w:style w:type="paragraph" w:customStyle="1" w:styleId="Point2">
    <w:name w:val="Point 2"/>
    <w:basedOn w:val="Normal"/>
    <w:pPr>
      <w:spacing w:before="120" w:after="120"/>
      <w:ind w:left="1984" w:hanging="567"/>
      <w:jc w:val="both"/>
    </w:pPr>
    <w:rPr>
      <w:rFonts w:ascii="Times New Roman" w:hAnsi="Times New Roman"/>
      <w:sz w:val="24"/>
      <w:lang w:eastAsia="en-US"/>
    </w:rPr>
  </w:style>
  <w:style w:type="paragraph" w:customStyle="1" w:styleId="Point3">
    <w:name w:val="Point 3"/>
    <w:basedOn w:val="Normal"/>
    <w:pPr>
      <w:spacing w:before="120" w:after="120"/>
      <w:ind w:left="2551" w:hanging="567"/>
      <w:jc w:val="both"/>
    </w:pPr>
    <w:rPr>
      <w:rFonts w:ascii="Times New Roman" w:hAnsi="Times New Roman"/>
      <w:sz w:val="24"/>
      <w:lang w:eastAsia="en-US"/>
    </w:rPr>
  </w:style>
  <w:style w:type="paragraph" w:customStyle="1" w:styleId="Point4">
    <w:name w:val="Point 4"/>
    <w:basedOn w:val="Normal"/>
    <w:pPr>
      <w:spacing w:before="120" w:after="120"/>
      <w:ind w:left="3118" w:hanging="567"/>
      <w:jc w:val="both"/>
    </w:pPr>
    <w:rPr>
      <w:rFonts w:ascii="Times New Roman" w:hAnsi="Times New Roman"/>
      <w:sz w:val="24"/>
      <w:lang w:eastAsia="en-US"/>
    </w:rPr>
  </w:style>
  <w:style w:type="paragraph" w:customStyle="1" w:styleId="Tiret0">
    <w:name w:val="Tiret 0"/>
    <w:basedOn w:val="Point0"/>
    <w:pPr>
      <w:numPr>
        <w:numId w:val="18"/>
      </w:numPr>
    </w:pPr>
  </w:style>
  <w:style w:type="paragraph" w:customStyle="1" w:styleId="Tiret2">
    <w:name w:val="Tiret 2"/>
    <w:basedOn w:val="Point2"/>
    <w:pPr>
      <w:tabs>
        <w:tab w:val="num" w:pos="1984"/>
      </w:tabs>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pPr>
      <w:spacing w:before="120" w:after="120"/>
      <w:jc w:val="center"/>
    </w:pPr>
    <w:rPr>
      <w:rFonts w:ascii="Times New Roman" w:hAnsi="Times New Roman"/>
      <w:b/>
      <w:sz w:val="24"/>
      <w:lang w:eastAsia="en-US"/>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pPr>
      <w:numPr>
        <w:numId w:val="22"/>
      </w:numPr>
      <w:spacing w:before="120" w:after="120"/>
      <w:jc w:val="both"/>
    </w:pPr>
    <w:rPr>
      <w:rFonts w:ascii="Times New Roman" w:hAnsi="Times New Roman"/>
      <w:sz w:val="24"/>
      <w:lang w:eastAsia="en-US"/>
    </w:rPr>
  </w:style>
  <w:style w:type="paragraph" w:customStyle="1" w:styleId="Bullet1">
    <w:name w:val="Bullet 1"/>
    <w:basedOn w:val="Normal"/>
    <w:pPr>
      <w:numPr>
        <w:numId w:val="23"/>
      </w:numPr>
      <w:spacing w:before="120" w:after="120"/>
      <w:jc w:val="both"/>
    </w:pPr>
    <w:rPr>
      <w:rFonts w:ascii="Times New Roman" w:hAnsi="Times New Roman"/>
      <w:sz w:val="24"/>
      <w:lang w:eastAsia="en-US"/>
    </w:rPr>
  </w:style>
  <w:style w:type="paragraph" w:customStyle="1" w:styleId="Bullet2">
    <w:name w:val="Bullet 2"/>
    <w:basedOn w:val="Normal"/>
    <w:pPr>
      <w:numPr>
        <w:numId w:val="24"/>
      </w:numPr>
      <w:spacing w:before="120" w:after="120"/>
      <w:jc w:val="both"/>
    </w:pPr>
    <w:rPr>
      <w:rFonts w:ascii="Times New Roman" w:hAnsi="Times New Roman"/>
      <w:sz w:val="24"/>
      <w:lang w:eastAsia="en-US"/>
    </w:rPr>
  </w:style>
  <w:style w:type="paragraph" w:customStyle="1" w:styleId="Bullet3">
    <w:name w:val="Bullet 3"/>
    <w:basedOn w:val="Normal"/>
    <w:pPr>
      <w:numPr>
        <w:numId w:val="25"/>
      </w:numPr>
      <w:spacing w:before="120" w:after="120"/>
      <w:jc w:val="both"/>
    </w:pPr>
    <w:rPr>
      <w:rFonts w:ascii="Times New Roman" w:hAnsi="Times New Roman"/>
      <w:sz w:val="24"/>
      <w:lang w:eastAsia="en-US"/>
    </w:rPr>
  </w:style>
  <w:style w:type="paragraph" w:customStyle="1" w:styleId="Bullet4">
    <w:name w:val="Bullet 4"/>
    <w:basedOn w:val="Normal"/>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pPr>
      <w:spacing w:after="240"/>
    </w:pPr>
    <w:rPr>
      <w:rFonts w:ascii="Times New Roman" w:hAnsi="Times New Roman"/>
      <w:sz w:val="24"/>
      <w:lang w:eastAsia="en-US"/>
    </w:rPr>
  </w:style>
  <w:style w:type="paragraph" w:customStyle="1" w:styleId="Datedadoption">
    <w:name w:val="Date d'adoption"/>
    <w:basedOn w:val="Normal"/>
    <w:next w:val="Titreobjet"/>
    <w:pPr>
      <w:spacing w:before="360"/>
      <w:jc w:val="center"/>
    </w:pPr>
    <w:rPr>
      <w:rFonts w:ascii="Times New Roman" w:hAnsi="Times New Roman"/>
      <w:b/>
      <w:sz w:val="24"/>
      <w:lang w:eastAsia="en-US"/>
    </w:rPr>
  </w:style>
  <w:style w:type="paragraph" w:customStyle="1" w:styleId="Emission">
    <w:name w:val="Emission"/>
    <w:basedOn w:val="Normal"/>
    <w:next w:val="Rfrenceinstitutionnelle"/>
    <w:pPr>
      <w:ind w:left="5103"/>
    </w:pPr>
    <w:rPr>
      <w:rFonts w:ascii="Times New Roman" w:hAnsi="Times New Roman"/>
      <w:sz w:val="24"/>
      <w:lang w:eastAsia="en-US"/>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pPr>
      <w:keepNext/>
      <w:spacing w:before="600" w:after="120"/>
      <w:jc w:val="both"/>
    </w:pPr>
    <w:rPr>
      <w:rFonts w:ascii="Times New Roman" w:hAnsi="Times New Roman"/>
      <w:sz w:val="24"/>
      <w:lang w:eastAsia="en-US"/>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Pr>
      <w:rFonts w:cs="Arial"/>
      <w:sz w:val="24"/>
      <w:lang w:eastAsia="en-US"/>
    </w:rPr>
  </w:style>
  <w:style w:type="paragraph" w:customStyle="1" w:styleId="Rfrenceinstitutionnelle">
    <w:name w:val="Référence institutionnelle"/>
    <w:basedOn w:val="Normal"/>
    <w:next w:val="Confidentiali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pPr>
      <w:ind w:left="5103"/>
    </w:pPr>
    <w:rPr>
      <w:rFonts w:ascii="Times New Roman" w:hAnsi="Times New Roman"/>
      <w:sz w:val="24"/>
      <w:lang w:eastAsia="en-US"/>
    </w:rPr>
  </w:style>
  <w:style w:type="paragraph" w:customStyle="1" w:styleId="Rfrenceinterne">
    <w:name w:val="Référence interne"/>
    <w:basedOn w:val="Normal"/>
    <w:next w:val="Rfrenceinterinstitutionnelle"/>
    <w:pPr>
      <w:ind w:left="5103"/>
    </w:pPr>
    <w:rPr>
      <w:rFonts w:ascii="Times New Roman" w:hAnsi="Times New Roman"/>
      <w:sz w:val="24"/>
      <w:lang w:eastAsia="en-US"/>
    </w:rPr>
  </w:style>
  <w:style w:type="paragraph" w:customStyle="1" w:styleId="Sous-titreobjet">
    <w:name w:val="Sous-titre objet"/>
    <w:basedOn w:val="Normal"/>
    <w:pPr>
      <w:jc w:val="center"/>
    </w:pPr>
    <w:rPr>
      <w:rFonts w:ascii="Times New Roman" w:hAnsi="Times New Roman"/>
      <w:b/>
      <w:sz w:val="24"/>
      <w:lang w:eastAsia="en-US"/>
    </w:rPr>
  </w:style>
  <w:style w:type="paragraph" w:customStyle="1" w:styleId="Statut">
    <w:name w:val="Statut"/>
    <w:basedOn w:val="Normal"/>
    <w:next w:val="Typedudocument"/>
    <w:pPr>
      <w:spacing w:before="360"/>
      <w:jc w:val="center"/>
    </w:pPr>
    <w:rPr>
      <w:rFonts w:ascii="Times New Roman" w:hAnsi="Times New Roman"/>
      <w:sz w:val="24"/>
      <w:lang w:eastAsia="en-US"/>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pPr>
      <w:spacing w:before="120" w:after="120"/>
      <w:jc w:val="both"/>
    </w:pPr>
    <w:rPr>
      <w:rFonts w:ascii="Times New Roman" w:hAnsi="Times New Roman"/>
      <w:sz w:val="24"/>
      <w:lang w:eastAsia="en-US"/>
    </w:rPr>
  </w:style>
  <w:style w:type="paragraph" w:customStyle="1" w:styleId="Supertitre">
    <w:name w:val="Supertitre"/>
    <w:basedOn w:val="Normal"/>
    <w:next w:val="Normal"/>
    <w:pPr>
      <w:spacing w:after="600"/>
      <w:jc w:val="center"/>
    </w:pPr>
    <w:rPr>
      <w:rFonts w:ascii="Times New Roman" w:hAnsi="Times New Roman"/>
      <w:b/>
      <w:sz w:val="24"/>
      <w:lang w:eastAsia="en-US"/>
    </w:rPr>
  </w:style>
  <w:style w:type="paragraph" w:customStyle="1" w:styleId="Languesfaisantfoi">
    <w:name w:val="Langues faisant foi"/>
    <w:basedOn w:val="Normal"/>
    <w:next w:val="Normal"/>
    <w:pPr>
      <w:spacing w:before="360"/>
      <w:jc w:val="center"/>
    </w:pPr>
    <w:rPr>
      <w:rFonts w:ascii="Times New Roman" w:hAnsi="Times New Roman"/>
      <w:sz w:val="24"/>
      <w:lang w:eastAsia="en-US"/>
    </w:rPr>
  </w:style>
  <w:style w:type="paragraph" w:customStyle="1" w:styleId="Rfrencecroise">
    <w:name w:val="Référence croisée"/>
    <w:basedOn w:val="Normal"/>
    <w:pPr>
      <w:jc w:val="center"/>
    </w:pPr>
    <w:rPr>
      <w:rFonts w:ascii="Times New Roman" w:hAnsi="Times New Roman"/>
      <w:sz w:val="24"/>
      <w:lang w:eastAsia="en-US"/>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ind w:left="5103"/>
    </w:pPr>
    <w:rPr>
      <w:rFonts w:ascii="Times New Roman" w:hAnsi="Times New Roman"/>
      <w:sz w:val="24"/>
      <w:lang w:eastAsia="en-US"/>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lang w:eastAsia="en-US"/>
    </w:rPr>
  </w:style>
  <w:style w:type="paragraph" w:styleId="ListNumber2">
    <w:name w:val="List Number 2"/>
    <w:basedOn w:val="Normal"/>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pPr>
      <w:spacing w:before="120" w:after="120"/>
      <w:jc w:val="both"/>
    </w:pPr>
    <w:rPr>
      <w:rFonts w:ascii="Times New Roman" w:hAnsi="Times New Roman"/>
      <w:sz w:val="24"/>
      <w:lang w:eastAsia="en-US"/>
    </w:rPr>
  </w:style>
  <w:style w:type="character" w:customStyle="1" w:styleId="CommentTextChar3">
    <w:name w:val="Comment Text Char3"/>
    <w:locked/>
    <w:rPr>
      <w:rFonts w:ascii="Arial" w:hAnsi="Arial" w:cs="Times New Roman"/>
      <w:lang w:val="en-GB" w:eastAsia="en-GB" w:bidi="ar-SA"/>
    </w:rPr>
  </w:style>
  <w:style w:type="paragraph" w:customStyle="1" w:styleId="Paragrafoelenco3">
    <w:name w:val="Paragrafo elenco3"/>
    <w:basedOn w:val="Normal"/>
    <w:pPr>
      <w:ind w:left="720"/>
      <w:contextualSpacing/>
    </w:pPr>
    <w:rPr>
      <w:rFonts w:ascii="Cambria" w:hAnsi="Cambria"/>
      <w:sz w:val="24"/>
      <w:lang w:val="en-US" w:eastAsia="en-US"/>
    </w:rPr>
  </w:style>
  <w:style w:type="paragraph" w:customStyle="1" w:styleId="Listeavsnitt1">
    <w:name w:val="Listeavsnitt1"/>
    <w:basedOn w:val="Normal"/>
    <w:pPr>
      <w:spacing w:line="252" w:lineRule="auto"/>
      <w:ind w:left="720"/>
      <w:contextualSpacing/>
    </w:pPr>
    <w:rPr>
      <w:rFonts w:ascii="Times New Roman" w:hAnsi="Times New Roman"/>
      <w:sz w:val="24"/>
      <w:lang w:val="nb-NO" w:eastAsia="en-US"/>
    </w:rPr>
  </w:style>
  <w:style w:type="character" w:customStyle="1" w:styleId="PlainTextChar1">
    <w:name w:val="Plain Text Char1"/>
    <w:rPr>
      <w:rFonts w:ascii="Consolas" w:hAnsi="Consolas" w:cs="Consolas"/>
      <w:sz w:val="21"/>
      <w:szCs w:val="21"/>
      <w:lang w:eastAsia="de-DE"/>
    </w:rPr>
  </w:style>
  <w:style w:type="character" w:customStyle="1" w:styleId="CharChar1">
    <w:name w:val="Char Char1"/>
    <w:semiHidden/>
    <w:locked/>
    <w:rPr>
      <w:rFonts w:ascii="Arial" w:hAnsi="Arial"/>
      <w:lang w:val="en-GB" w:eastAsia="en-GB" w:bidi="ar-SA"/>
    </w:rPr>
  </w:style>
  <w:style w:type="character" w:customStyle="1" w:styleId="CharChar">
    <w:name w:val="Char Char"/>
    <w:semiHidden/>
    <w:locked/>
    <w:rPr>
      <w:rFonts w:ascii="Arial" w:hAnsi="Arial"/>
      <w:lang w:val="en-GB" w:eastAsia="en-GB" w:bidi="ar-SA"/>
    </w:rPr>
  </w:style>
  <w:style w:type="character" w:customStyle="1" w:styleId="CharChar2">
    <w:name w:val="Char Char2"/>
    <w:semiHidden/>
    <w:locked/>
    <w:rPr>
      <w:rFonts w:ascii="Arial" w:hAnsi="Arial"/>
      <w:lang w:val="en-GB" w:eastAsia="en-GB" w:bidi="ar-SA"/>
    </w:rPr>
  </w:style>
  <w:style w:type="character" w:customStyle="1" w:styleId="CharChar4">
    <w:name w:val="Char Char4"/>
    <w:semiHidden/>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rPr>
      <w:b/>
      <w:strike/>
      <w:color w:val="FFFFFF"/>
      <w:spacing w:val="0"/>
    </w:rPr>
  </w:style>
  <w:style w:type="paragraph" w:customStyle="1" w:styleId="Listenabsatz3">
    <w:name w:val="Listenabsatz3"/>
    <w:basedOn w:val="Normal"/>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pPr>
      <w:ind w:left="720"/>
      <w:contextualSpacing/>
    </w:pPr>
    <w:rPr>
      <w:rFonts w:ascii="Cambria" w:hAnsi="Cambria"/>
      <w:sz w:val="24"/>
      <w:lang w:val="en-US" w:eastAsia="en-US"/>
    </w:rPr>
  </w:style>
  <w:style w:type="paragraph" w:customStyle="1" w:styleId="ListParagraph2">
    <w:name w:val="List Paragraph2"/>
    <w:basedOn w:val="Normal"/>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99"/>
    <w:pPr>
      <w:spacing w:after="240"/>
      <w:jc w:val="center"/>
    </w:pPr>
    <w:rPr>
      <w:rFonts w:ascii="Times New Roman" w:hAnsi="Times New Roman"/>
      <w:sz w:val="24"/>
      <w:szCs w:val="20"/>
      <w:lang w:val="fr-FR" w:eastAsia="en-GB"/>
    </w:rPr>
  </w:style>
  <w:style w:type="paragraph" w:customStyle="1" w:styleId="TableContents">
    <w:name w:val="Table Contents"/>
    <w:basedOn w:val="Normal"/>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pPr>
      <w:ind w:left="720"/>
      <w:contextualSpacing/>
    </w:pPr>
    <w:rPr>
      <w:rFonts w:ascii="Times New Roman" w:hAnsi="Times New Roman"/>
      <w:sz w:val="24"/>
      <w:lang w:eastAsia="en-GB"/>
    </w:rPr>
  </w:style>
  <w:style w:type="paragraph" w:customStyle="1" w:styleId="Listenabsatz4">
    <w:name w:val="Listenabsatz4"/>
    <w:basedOn w:val="Normal"/>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pPr>
      <w:pBdr>
        <w:bottom w:val="single" w:sz="4" w:space="12" w:color="000000"/>
      </w:pBdr>
      <w:tabs>
        <w:tab w:val="left" w:pos="454"/>
      </w:tabs>
    </w:pPr>
    <w:rPr>
      <w:color w:val="000000"/>
      <w:lang w:val="x-none"/>
    </w:rPr>
  </w:style>
  <w:style w:type="paragraph" w:customStyle="1" w:styleId="Annex">
    <w:name w:val="Annex"/>
    <w:basedOn w:val="04aNumeration"/>
    <w:link w:val="AnnexChar"/>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99"/>
    <w:rPr>
      <w:rFonts w:ascii="EUAlbertina" w:hAnsi="EUAlbertina" w:cs="Times New Roman"/>
      <w:color w:val="auto"/>
      <w:lang w:val="de-DE" w:eastAsia="de-DE"/>
    </w:rPr>
  </w:style>
  <w:style w:type="paragraph" w:customStyle="1" w:styleId="aStyle1">
    <w:name w:val="a. Style1"/>
    <w:basedOn w:val="Normal"/>
    <w:link w:val="aStyle1Char"/>
    <w:qFormat/>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Arial" w:hAnsi="Arial"/>
      <w:lang w:val="x-none" w:eastAsia="x-none"/>
    </w:rPr>
  </w:style>
  <w:style w:type="paragraph" w:styleId="Title">
    <w:name w:val="Title"/>
    <w:basedOn w:val="Normal"/>
    <w:next w:val="Normal"/>
    <w:link w:val="TitleChar"/>
    <w:uiPriority w:val="10"/>
    <w:qFormat/>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Pr>
      <w:b/>
      <w:i w:val="0"/>
      <w:iCs/>
      <w:sz w:val="20"/>
    </w:rPr>
  </w:style>
  <w:style w:type="paragraph" w:customStyle="1" w:styleId="NEW-Paragraph-Level1">
    <w:name w:val="NEW-Paragraph-Level1"/>
    <w:basedOn w:val="Normal"/>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Arial" w:hAnsi="Arial"/>
      <w:lang w:eastAsia="de-DE"/>
    </w:rPr>
  </w:style>
  <w:style w:type="character" w:customStyle="1" w:styleId="NEW-Paragraph-level3Char">
    <w:name w:val="NEW-Paragraph-level3 Char"/>
    <w:link w:val="NEW-Paragraph-level3"/>
    <w:rPr>
      <w:rFonts w:ascii="Arial" w:hAnsi="Arial"/>
      <w:lang w:eastAsia="de-DE"/>
    </w:rPr>
  </w:style>
  <w:style w:type="paragraph" w:customStyle="1" w:styleId="NEW-Level0">
    <w:name w:val="NEW-Level0"/>
    <w:basedOn w:val="Normal"/>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qFormat/>
    <w:pPr>
      <w:spacing w:before="120" w:after="120"/>
      <w:ind w:left="425" w:hanging="425"/>
    </w:pPr>
  </w:style>
  <w:style w:type="paragraph" w:customStyle="1" w:styleId="aNEW-Level1">
    <w:name w:val="aNEW-Level1"/>
    <w:basedOn w:val="NEW-Level1"/>
    <w:link w:val="aNEW-Level1Char"/>
    <w:qFormat/>
    <w:pPr>
      <w:spacing w:before="120" w:after="120"/>
      <w:ind w:left="431" w:hanging="431"/>
    </w:pPr>
  </w:style>
  <w:style w:type="character" w:customStyle="1" w:styleId="aNEW-Level0Char">
    <w:name w:val="aNEW-Level0 Char"/>
    <w:link w:val="aNEW-Level0"/>
    <w:rPr>
      <w:rFonts w:ascii="Arial" w:hAnsi="Arial" w:cs="Arial"/>
      <w:b/>
      <w:bCs/>
      <w:kern w:val="32"/>
      <w:sz w:val="28"/>
      <w:szCs w:val="28"/>
      <w:lang w:eastAsia="de-DE"/>
    </w:rPr>
  </w:style>
  <w:style w:type="character" w:customStyle="1" w:styleId="aNEW-Level1Char">
    <w:name w:val="aNEW-Level1 Char"/>
    <w:link w:val="aNEW-Level1"/>
    <w:rPr>
      <w:rFonts w:ascii="Arial" w:hAnsi="Arial" w:cs="Arial"/>
      <w:b/>
      <w:bCs/>
      <w:kern w:val="32"/>
      <w:sz w:val="24"/>
      <w:szCs w:val="32"/>
      <w:lang w:eastAsia="de-DE"/>
    </w:rPr>
  </w:style>
  <w:style w:type="paragraph" w:customStyle="1" w:styleId="aNEW-Level2">
    <w:name w:val="aNEW-Level2"/>
    <w:basedOn w:val="NEW-Level2"/>
    <w:link w:val="aNEW-Level2Char"/>
    <w:qFormat/>
  </w:style>
  <w:style w:type="paragraph" w:customStyle="1" w:styleId="aNEW-Level4">
    <w:name w:val="aNEW-Level4"/>
    <w:basedOn w:val="Normal"/>
    <w:link w:val="aNEW-Level4Char"/>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Arial" w:eastAsia="Calibri" w:hAnsi="Arial"/>
      <w:b/>
      <w:bCs/>
      <w:kern w:val="28"/>
      <w:szCs w:val="32"/>
      <w:lang w:eastAsia="en-US"/>
    </w:rPr>
  </w:style>
  <w:style w:type="character" w:customStyle="1" w:styleId="aNEW-ParagraphChar">
    <w:name w:val="aNEW-Paragraph Char"/>
    <w:link w:val="aNEW-Paragraph"/>
    <w:rPr>
      <w:rFonts w:ascii="Arial" w:eastAsia="Calibri" w:hAnsi="Arial"/>
      <w:lang w:eastAsia="de-DE"/>
    </w:rPr>
  </w:style>
  <w:style w:type="paragraph" w:customStyle="1" w:styleId="aNew-Level33">
    <w:name w:val="aNew-Level33"/>
    <w:basedOn w:val="Normal"/>
    <w:link w:val="aNew-Level33Char"/>
    <w:qFormat/>
    <w:pPr>
      <w:spacing w:after="250" w:line="276" w:lineRule="auto"/>
      <w:ind w:left="426" w:hanging="426"/>
      <w:jc w:val="both"/>
    </w:pPr>
    <w:rPr>
      <w:b/>
    </w:rPr>
  </w:style>
  <w:style w:type="paragraph" w:customStyle="1" w:styleId="aNew-BoxTitle">
    <w:name w:val="aNew-BoxTitle"/>
    <w:basedOn w:val="04aNumbering"/>
    <w:link w:val="aNew-BoxTitleChar"/>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pPr>
      <w:ind w:left="851" w:hanging="425"/>
    </w:pPr>
  </w:style>
  <w:style w:type="paragraph" w:customStyle="1" w:styleId="aNEW-Paragraph-level3">
    <w:name w:val="aNEW-Paragraph-level3"/>
    <w:basedOn w:val="NEW-Paragraph-level3"/>
    <w:link w:val="aNEW-Paragraph-level3Char"/>
    <w:qFormat/>
    <w:pPr>
      <w:ind w:left="1276" w:hanging="426"/>
    </w:pPr>
  </w:style>
  <w:style w:type="character" w:customStyle="1" w:styleId="aNEW-Paragraph-level2Char">
    <w:name w:val="aNEW-Paragraph-level2 Char"/>
    <w:link w:val="aNEW-Paragraph-level2"/>
    <w:rPr>
      <w:rFonts w:ascii="Arial" w:hAnsi="Arial"/>
      <w:lang w:eastAsia="de-DE"/>
    </w:rPr>
  </w:style>
  <w:style w:type="character" w:customStyle="1" w:styleId="aNEW-Paragraph-level3Char">
    <w:name w:val="aNEW-Paragraph-level3 Char"/>
    <w:link w:val="aNEW-Paragraph-level3"/>
    <w:rPr>
      <w:rFonts w:ascii="Arial" w:hAnsi="Arial"/>
      <w:lang w:eastAsia="de-DE"/>
    </w:rPr>
  </w:style>
  <w:style w:type="paragraph" w:customStyle="1" w:styleId="aNew-Level5">
    <w:name w:val="aNew-Level5"/>
    <w:basedOn w:val="Normal"/>
    <w:link w:val="aNew-Level5Char"/>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Normal"/>
    <w:link w:val="Questions-ESMAChar"/>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Normal"/>
    <w:link w:val="CPQuestionsChar"/>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eEmphasis">
    <w:name w:val="Intense Emphasis"/>
    <w:basedOn w:val="DefaultParagraphFont"/>
    <w:uiPriority w:val="21"/>
    <w:qFormat/>
    <w:rPr>
      <w:b/>
      <w:bCs/>
      <w:i/>
      <w:iCs/>
    </w:rPr>
  </w:style>
  <w:style w:type="character" w:customStyle="1" w:styleId="CPTitle1Char">
    <w:name w:val="CP_Title1 Char"/>
    <w:basedOn w:val="DefaultParagraphFont"/>
    <w:link w:val="CPTitle1"/>
    <w:locked/>
    <w:rPr>
      <w:rFonts w:asciiTheme="majorHAnsi" w:eastAsiaTheme="majorEastAsia" w:hAnsiTheme="majorHAnsi" w:cstheme="majorHAnsi"/>
      <w:b/>
      <w:sz w:val="32"/>
      <w:szCs w:val="32"/>
    </w:rPr>
  </w:style>
  <w:style w:type="paragraph" w:customStyle="1" w:styleId="CPTitle1">
    <w:name w:val="CP_Title1"/>
    <w:basedOn w:val="Heading1"/>
    <w:link w:val="CPTitle1Char"/>
    <w:qFormat/>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Pr>
      <w:rFonts w:asciiTheme="minorHAnsi" w:eastAsia="Calibri" w:hAnsiTheme="minorHAnsi" w:cstheme="minorBidi"/>
      <w:b/>
      <w:sz w:val="22"/>
      <w:lang w:eastAsia="en-US"/>
    </w:rPr>
  </w:style>
  <w:style w:type="paragraph" w:customStyle="1" w:styleId="FORM2">
    <w:name w:val="FORM2"/>
    <w:basedOn w:val="QuestionsFORM"/>
    <w:link w:val="FORM2Char"/>
    <w:qFormat/>
    <w:pPr>
      <w:numPr>
        <w:numId w:val="0"/>
      </w:numPr>
      <w:spacing w:after="120"/>
      <w:ind w:left="284"/>
    </w:pPr>
  </w:style>
  <w:style w:type="character" w:customStyle="1" w:styleId="FORM2Char">
    <w:name w:val="FORM2 Char"/>
    <w:basedOn w:val="QuestionsFORMChar"/>
    <w:link w:val="FORM2"/>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osco.org/library/pubdocs/pdf/IOSCOPD415.pdf" TargetMode="External"/><Relationship Id="rId1" Type="http://schemas.openxmlformats.org/officeDocument/2006/relationships/hyperlink" Target="https://www.gov.uk/government/uploads/system/uploads/attachment_data/file/354859/FEMR_Recommendations_on_additional_financial_benchmarks_to_be_brought_into_UK_regulatory_scope_log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7535-8C3D-4C97-BE5E-7C70F8A81A6B}">
  <ds:schemaRefs>
    <ds:schemaRef ds:uri="http://schemas.openxmlformats.org/officeDocument/2006/bibliography"/>
  </ds:schemaRefs>
</ds:datastoreItem>
</file>

<file path=customXml/itemProps2.xml><?xml version="1.0" encoding="utf-8"?>
<ds:datastoreItem xmlns:ds="http://schemas.openxmlformats.org/officeDocument/2006/customXml" ds:itemID="{6DF0ADF8-F274-4D43-ACF3-F8088E20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11412</Words>
  <Characters>65055</Characters>
  <Application>Microsoft Office Word</Application>
  <DocSecurity>8</DocSecurity>
  <Lines>542</Lines>
  <Paragraphs>152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76315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Sedzik, Anna</cp:lastModifiedBy>
  <cp:revision>5</cp:revision>
  <cp:lastPrinted>2015-02-18T11:01:00Z</cp:lastPrinted>
  <dcterms:created xsi:type="dcterms:W3CDTF">2016-03-31T17:08:00Z</dcterms:created>
  <dcterms:modified xsi:type="dcterms:W3CDTF">2016-03-31T17:47:00Z</dcterms:modified>
</cp:coreProperties>
</file>