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bookmarkStart w:id="1" w:name="_GoBack"/>
      <w:bookmarkEnd w:id="1"/>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re1"/>
        <w:numPr>
          <w:ilvl w:val="0"/>
          <w:numId w:val="0"/>
        </w:numPr>
        <w:ind w:left="431" w:hanging="431"/>
      </w:pPr>
      <w:r>
        <w:lastRenderedPageBreak/>
        <w:t>Introduction</w:t>
      </w:r>
    </w:p>
    <w:p w:rsidR="00D34282" w:rsidRPr="001D47A5" w:rsidRDefault="00D34282" w:rsidP="00D34282">
      <w:pPr>
        <w:rPr>
          <w:rStyle w:val="Emphaseintense"/>
        </w:rPr>
      </w:pPr>
      <w:r w:rsidRPr="001D47A5">
        <w:rPr>
          <w:rStyle w:val="Emphaseintense"/>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D05E31" w:rsidRPr="008B51AF" w:rsidRDefault="00D05E31" w:rsidP="00D05E31">
      <w:pPr>
        <w:spacing w:line="240" w:lineRule="exact"/>
        <w:rPr>
          <w:lang w:val="en-US"/>
        </w:rPr>
      </w:pPr>
      <w:permStart w:id="0" w:edGrp="everyone"/>
      <w:r w:rsidRPr="00D05E31">
        <w:rPr>
          <w:lang w:val="en-US"/>
        </w:rPr>
        <w:t xml:space="preserve"> </w:t>
      </w:r>
      <w:r w:rsidRPr="008B51AF">
        <w:rPr>
          <w:lang w:val="en-US"/>
        </w:rPr>
        <w:t xml:space="preserve">Association </w:t>
      </w:r>
      <w:proofErr w:type="spellStart"/>
      <w:r w:rsidRPr="008B51AF">
        <w:rPr>
          <w:lang w:val="en-US"/>
        </w:rPr>
        <w:t>française</w:t>
      </w:r>
      <w:proofErr w:type="spellEnd"/>
      <w:r w:rsidRPr="008B51AF">
        <w:rPr>
          <w:lang w:val="en-US"/>
        </w:rPr>
        <w:t xml:space="preserve"> des </w:t>
      </w:r>
      <w:proofErr w:type="spellStart"/>
      <w:r w:rsidRPr="008B51AF">
        <w:rPr>
          <w:lang w:val="en-US"/>
        </w:rPr>
        <w:t>marchés</w:t>
      </w:r>
      <w:proofErr w:type="spellEnd"/>
      <w:r w:rsidRPr="008B51AF">
        <w:rPr>
          <w:lang w:val="en-US"/>
        </w:rPr>
        <w:t xml:space="preserve"> financiers (AMAFI) is the trade </w:t>
      </w:r>
      <w:proofErr w:type="spellStart"/>
      <w:r w:rsidRPr="008B51AF">
        <w:rPr>
          <w:lang w:val="en-US"/>
        </w:rPr>
        <w:t>organisation</w:t>
      </w:r>
      <w:proofErr w:type="spellEnd"/>
      <w:r w:rsidRPr="008B51AF">
        <w:rPr>
          <w:lang w:val="en-US"/>
        </w:rPr>
        <w:t xml:space="preserve">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 has more than 120 members operating for their own account or for clients in different segments, particularly </w:t>
      </w:r>
      <w:proofErr w:type="spellStart"/>
      <w:r w:rsidRPr="008B51AF">
        <w:rPr>
          <w:lang w:val="en-US"/>
        </w:rPr>
        <w:t>organised</w:t>
      </w:r>
      <w:proofErr w:type="spellEnd"/>
      <w:r w:rsidRPr="008B51AF">
        <w:rPr>
          <w:lang w:val="en-US"/>
        </w:rPr>
        <w:t xml:space="preserve"> and over-the-counter markets for equities, fixed-income products and derivatives. Nearly one-third of its members are subsidia</w:t>
      </w:r>
      <w:r w:rsidRPr="008B51AF">
        <w:rPr>
          <w:lang w:val="en-US"/>
        </w:rPr>
        <w:t>r</w:t>
      </w:r>
      <w:r w:rsidRPr="008B51AF">
        <w:rPr>
          <w:lang w:val="en-US"/>
        </w:rPr>
        <w:t>ies or branches of non-French institutions.</w:t>
      </w:r>
    </w:p>
    <w:p w:rsidR="00D05E31" w:rsidRPr="008B51AF" w:rsidRDefault="00D05E31" w:rsidP="00D05E31">
      <w:pPr>
        <w:spacing w:line="240" w:lineRule="exact"/>
        <w:rPr>
          <w:lang w:val="en-US"/>
        </w:rPr>
      </w:pPr>
    </w:p>
    <w:p w:rsidR="00D05E31" w:rsidRPr="008B51AF" w:rsidRDefault="00D05E31" w:rsidP="00D05E31">
      <w:pPr>
        <w:spacing w:line="240" w:lineRule="exact"/>
        <w:rPr>
          <w:lang w:val="en-US"/>
        </w:rPr>
      </w:pPr>
      <w:r w:rsidRPr="008B51AF">
        <w:rPr>
          <w:lang w:val="en-US"/>
        </w:rPr>
        <w:t>AMAFI has been following closely the Benchmarks Regulation</w:t>
      </w:r>
      <w:r>
        <w:rPr>
          <w:lang w:val="en-US"/>
        </w:rPr>
        <w:t xml:space="preserve"> particularly concerning the non-significant benchmarks</w:t>
      </w:r>
      <w:r w:rsidRPr="008B51AF">
        <w:rPr>
          <w:lang w:val="en-US"/>
        </w:rPr>
        <w:t xml:space="preserve"> and welcomes the opportunity to answer ESMA’s discussion paper on Benchmarks Regul</w:t>
      </w:r>
      <w:r w:rsidRPr="008B51AF">
        <w:rPr>
          <w:lang w:val="en-US"/>
        </w:rPr>
        <w:t>a</w:t>
      </w:r>
      <w:r w:rsidRPr="008B51AF">
        <w:rPr>
          <w:lang w:val="en-US"/>
        </w:rPr>
        <w:t>tion (DP).</w:t>
      </w:r>
    </w:p>
    <w:p w:rsidR="00D05E31" w:rsidRPr="00470790" w:rsidRDefault="00D05E31" w:rsidP="00D05E31">
      <w:pPr>
        <w:spacing w:line="240" w:lineRule="exact"/>
        <w:rPr>
          <w:lang w:val="en-US"/>
        </w:rPr>
      </w:pPr>
    </w:p>
    <w:p w:rsidR="00D05E31" w:rsidRDefault="00D05E31" w:rsidP="00D05E31">
      <w:pPr>
        <w:spacing w:line="240" w:lineRule="exact"/>
        <w:rPr>
          <w:lang w:val="en-US"/>
        </w:rPr>
      </w:pPr>
      <w:r>
        <w:rPr>
          <w:lang w:val="en-US"/>
        </w:rPr>
        <w:t xml:space="preserve">AMAFI considers that it is essential </w:t>
      </w:r>
      <w:r w:rsidRPr="001634FE">
        <w:rPr>
          <w:rFonts w:eastAsia="Calibri"/>
          <w:lang w:val="en-US"/>
        </w:rPr>
        <w:t>to ensure that constraints</w:t>
      </w:r>
      <w:r>
        <w:rPr>
          <w:lang w:val="en-US"/>
        </w:rPr>
        <w:t xml:space="preserve"> on non-significant benchmarks </w:t>
      </w:r>
      <w:r w:rsidRPr="001634FE">
        <w:rPr>
          <w:rFonts w:eastAsia="Calibri"/>
          <w:lang w:val="en-US"/>
        </w:rPr>
        <w:t>are propo</w:t>
      </w:r>
      <w:r w:rsidRPr="001634FE">
        <w:rPr>
          <w:rFonts w:eastAsia="Calibri"/>
          <w:lang w:val="en-US"/>
        </w:rPr>
        <w:t>r</w:t>
      </w:r>
      <w:r w:rsidRPr="001634FE">
        <w:rPr>
          <w:rFonts w:eastAsia="Calibri"/>
          <w:lang w:val="en-US"/>
        </w:rPr>
        <w:t xml:space="preserve">tionate and not unnecessarily too </w:t>
      </w:r>
      <w:r w:rsidRPr="008D3CC9">
        <w:rPr>
          <w:lang w:val="en-US"/>
        </w:rPr>
        <w:t>cumbersome</w:t>
      </w:r>
      <w:r>
        <w:rPr>
          <w:lang w:val="en-US"/>
        </w:rPr>
        <w:t>. Indeed, too many constraints on non-significant benc</w:t>
      </w:r>
      <w:r>
        <w:rPr>
          <w:lang w:val="en-US"/>
        </w:rPr>
        <w:t>h</w:t>
      </w:r>
      <w:r>
        <w:rPr>
          <w:lang w:val="en-US"/>
        </w:rPr>
        <w:t>marks could affect European investment firms’ service offering and could profit to non-European inves</w:t>
      </w:r>
      <w:r>
        <w:rPr>
          <w:lang w:val="en-US"/>
        </w:rPr>
        <w:t>t</w:t>
      </w:r>
      <w:r>
        <w:rPr>
          <w:lang w:val="en-US"/>
        </w:rPr>
        <w:t>ment firms.</w:t>
      </w:r>
    </w:p>
    <w:p w:rsidR="00197084" w:rsidRPr="008B51AF" w:rsidRDefault="00197084" w:rsidP="00D05E31">
      <w:pPr>
        <w:spacing w:line="240" w:lineRule="exact"/>
        <w:rPr>
          <w:lang w:val="en-US"/>
        </w:rPr>
      </w:pPr>
    </w:p>
    <w:p w:rsidR="00D05E31" w:rsidRPr="008B51AF" w:rsidRDefault="00D05E31" w:rsidP="00D05E31">
      <w:pPr>
        <w:spacing w:line="240" w:lineRule="exact"/>
        <w:rPr>
          <w:lang w:val="en-US"/>
        </w:rPr>
      </w:pPr>
      <w:r w:rsidRPr="008B51AF">
        <w:rPr>
          <w:lang w:val="en-US"/>
        </w:rPr>
        <w:t>The implementation of monitoring measures is difficult and it’s going to take a long time. In order to be ready at time, the final draft of the Benchmarks regulation should be published as soon as possible</w:t>
      </w:r>
      <w:r>
        <w:rPr>
          <w:lang w:val="en-US"/>
        </w:rPr>
        <w:t>.</w:t>
      </w:r>
      <w:r w:rsidRPr="008B51AF">
        <w:rPr>
          <w:lang w:val="en-US"/>
        </w:rPr>
        <w:t xml:space="preserve"> </w:t>
      </w:r>
    </w:p>
    <w:p w:rsidR="00D34282" w:rsidRPr="00D05E31" w:rsidRDefault="00D34282" w:rsidP="00D34282">
      <w:pPr>
        <w:rPr>
          <w:lang w:val="en-US"/>
        </w:rPr>
      </w:pPr>
    </w:p>
    <w:permEnd w:id="0"/>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D05E31" w:rsidRPr="00FC15B0" w:rsidRDefault="00D05E31" w:rsidP="00D05E31">
      <w:pPr>
        <w:spacing w:line="240" w:lineRule="exact"/>
        <w:rPr>
          <w:lang w:val="en-US"/>
        </w:rPr>
      </w:pPr>
      <w:permStart w:id="1" w:edGrp="everyone"/>
      <w:r w:rsidRPr="00FC15B0">
        <w:rPr>
          <w:lang w:val="en-US"/>
        </w:rPr>
        <w:t xml:space="preserve">AMAFI would be in favor of a clear definition of “made available to public” with some consistency with other existing regulation like Prospectus Directive. </w:t>
      </w:r>
    </w:p>
    <w:p w:rsidR="00D05E31" w:rsidRDefault="00D05E31" w:rsidP="009A2624">
      <w:pPr>
        <w:rPr>
          <w:lang w:val="en-US"/>
        </w:rPr>
      </w:pPr>
      <w:r w:rsidRPr="00FC15B0">
        <w:rPr>
          <w:lang w:val="en-US"/>
        </w:rPr>
        <w:t>If the index is available without any restriction on the website of the producer of the index or in any mass media / well known financial provider, the information is deemed to be public</w:t>
      </w:r>
      <w:r w:rsidR="00197084">
        <w:rPr>
          <w:lang w:val="en-US"/>
        </w:rPr>
        <w:t>.</w:t>
      </w:r>
    </w:p>
    <w:permEnd w:id="1"/>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9A2624" w:rsidRDefault="00D05E31" w:rsidP="009A2624">
      <w:permStart w:id="2" w:edGrp="everyone"/>
      <w:r>
        <w:rPr>
          <w:lang w:val="en-US"/>
        </w:rPr>
        <w:t>AMAFI</w:t>
      </w:r>
      <w:r w:rsidRPr="00B43255">
        <w:rPr>
          <w:lang w:val="en-US"/>
        </w:rPr>
        <w:t xml:space="preserve"> propose</w:t>
      </w:r>
      <w:r>
        <w:rPr>
          <w:lang w:val="en-US"/>
        </w:rPr>
        <w:t>s</w:t>
      </w:r>
      <w:r w:rsidRPr="00B43255">
        <w:rPr>
          <w:lang w:val="en-US"/>
        </w:rPr>
        <w:t xml:space="preserve"> that “publication” of a benchmark would mean the disclosure by an administrator, either through print or electronically, in a freely available and unrestricted manner</w:t>
      </w:r>
      <w:r w:rsidR="00197084">
        <w:rPr>
          <w:lang w:val="en-US"/>
        </w:rPr>
        <w:t>.</w:t>
      </w:r>
      <w:r>
        <w:t xml:space="preserve"> </w:t>
      </w:r>
      <w:permEnd w:id="2"/>
      <w:r w:rsidR="009A2624">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D05E31" w:rsidP="009A2624">
      <w:permStart w:id="3" w:edGrp="everyone"/>
      <w:r w:rsidRPr="00B43255">
        <w:rPr>
          <w:lang w:val="en-US"/>
        </w:rPr>
        <w:t xml:space="preserve">The only point we would like to </w:t>
      </w:r>
      <w:proofErr w:type="spellStart"/>
      <w:r w:rsidRPr="00B43255">
        <w:rPr>
          <w:lang w:val="en-US"/>
        </w:rPr>
        <w:t>emphasise</w:t>
      </w:r>
      <w:proofErr w:type="spellEnd"/>
      <w:r w:rsidRPr="00B43255">
        <w:rPr>
          <w:lang w:val="en-US"/>
        </w:rPr>
        <w:t xml:space="preserve"> is that the responsibility regarding the dissemination should be restricted to the dissemination for which the administrator has a direct control.</w:t>
      </w:r>
    </w:p>
    <w:permEnd w:id="3"/>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D05E31" w:rsidP="009A2624">
      <w:permStart w:id="4" w:edGrp="everyone"/>
      <w:r w:rsidRPr="001634FE">
        <w:rPr>
          <w:lang w:val="en-US"/>
        </w:rPr>
        <w:t xml:space="preserve">We </w:t>
      </w:r>
      <w:r>
        <w:rPr>
          <w:lang w:val="en-US"/>
        </w:rPr>
        <w:t xml:space="preserve">strongly </w:t>
      </w:r>
      <w:r w:rsidRPr="001634FE">
        <w:rPr>
          <w:lang w:val="en-US"/>
        </w:rPr>
        <w:t xml:space="preserve">support aligning definitions to comparable standards as in </w:t>
      </w:r>
      <w:proofErr w:type="spellStart"/>
      <w:r w:rsidRPr="001634FE">
        <w:rPr>
          <w:lang w:val="en-US"/>
        </w:rPr>
        <w:t>MiFID</w:t>
      </w:r>
      <w:proofErr w:type="spellEnd"/>
      <w:r w:rsidRPr="001634FE">
        <w:rPr>
          <w:lang w:val="en-US"/>
        </w:rPr>
        <w:t xml:space="preserve"> II</w:t>
      </w:r>
      <w:r>
        <w:t xml:space="preserve"> </w:t>
      </w:r>
    </w:p>
    <w:permEnd w:id="4"/>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5" w:edGrp="everyone"/>
      <w:r>
        <w:t>TYPE YOUR TEXT HERE</w:t>
      </w:r>
    </w:p>
    <w:permEnd w:id="5"/>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D05E31" w:rsidP="009A2624">
      <w:permStart w:id="6" w:edGrp="everyone"/>
      <w:r w:rsidRPr="00B43255">
        <w:rPr>
          <w:lang w:val="en-US"/>
        </w:rPr>
        <w:t>The principle of proportionality should be reinforced in the way the administrators can implement all a</w:t>
      </w:r>
      <w:r w:rsidRPr="00B43255">
        <w:rPr>
          <w:lang w:val="en-US"/>
        </w:rPr>
        <w:t>p</w:t>
      </w:r>
      <w:r w:rsidRPr="00B43255">
        <w:rPr>
          <w:lang w:val="en-US"/>
        </w:rPr>
        <w:t xml:space="preserve">propriate arrangements. In particular where control organization – under the supervision of compliance or </w:t>
      </w:r>
      <w:r w:rsidRPr="00B43255">
        <w:rPr>
          <w:lang w:val="en-US"/>
        </w:rPr>
        <w:lastRenderedPageBreak/>
        <w:t xml:space="preserve">independent risk management - is strong enough for the concerned risk, it should be able to replace formal dedicated committees and </w:t>
      </w:r>
      <w:r>
        <w:rPr>
          <w:lang w:val="en-US"/>
        </w:rPr>
        <w:t xml:space="preserve">to </w:t>
      </w:r>
      <w:r w:rsidRPr="00B43255">
        <w:rPr>
          <w:lang w:val="en-US"/>
        </w:rPr>
        <w:t>use existing governance bodies</w:t>
      </w:r>
    </w:p>
    <w:permEnd w:id="6"/>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9A2624" w:rsidRDefault="009A2624" w:rsidP="009A2624">
      <w:permStart w:id="7" w:edGrp="everyone"/>
      <w:r>
        <w:t>TYPE YOUR TEXT HERE</w:t>
      </w:r>
    </w:p>
    <w:permEnd w:id="7"/>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D05E31" w:rsidRPr="00B43255" w:rsidRDefault="00D05E31" w:rsidP="00D05E31">
      <w:pPr>
        <w:spacing w:line="240" w:lineRule="exact"/>
        <w:rPr>
          <w:lang w:val="en-US"/>
        </w:rPr>
      </w:pPr>
      <w:permStart w:id="8" w:edGrp="everyone"/>
      <w:r>
        <w:rPr>
          <w:lang w:val="en-US"/>
        </w:rPr>
        <w:t xml:space="preserve">As far as we are aware, most of the investment firms </w:t>
      </w:r>
      <w:r w:rsidRPr="00B43255">
        <w:rPr>
          <w:lang w:val="en-US"/>
        </w:rPr>
        <w:t xml:space="preserve">have pre existing committee in accordance the IOSCO principles </w:t>
      </w:r>
    </w:p>
    <w:permEnd w:id="8"/>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9A2624" w:rsidRDefault="00D05E31" w:rsidP="009A2624">
      <w:permStart w:id="9" w:edGrp="everyone"/>
      <w:r w:rsidRPr="006B6FA2">
        <w:rPr>
          <w:lang w:val="en-US"/>
        </w:rPr>
        <w:t>AMAFI considers that an administrator could establish one oversight function for all the benchmarks it provides.</w:t>
      </w:r>
      <w:r>
        <w:rPr>
          <w:lang w:val="en-US"/>
        </w:rPr>
        <w:t xml:space="preserve"> </w:t>
      </w:r>
      <w:r w:rsidRPr="006B6FA2">
        <w:rPr>
          <w:lang w:val="en-US"/>
        </w:rPr>
        <w:t>It is not possible for administrators to have different oversight functions by type of benchmarks, methodologies or users. Rather than to have multiple oversight functions, we should have one oversight function which shall adjust its monitoring system for each different benchmarks, users, methodologies</w:t>
      </w:r>
    </w:p>
    <w:permEnd w:id="9"/>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Default="00D05E31" w:rsidP="009A2624">
      <w:permStart w:id="10" w:edGrp="everyone"/>
      <w:r>
        <w:t>NA</w:t>
      </w:r>
    </w:p>
    <w:permEnd w:id="10"/>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D05E31" w:rsidP="009A2624">
      <w:permStart w:id="11" w:edGrp="everyone"/>
      <w:r>
        <w:t>NA</w:t>
      </w:r>
    </w:p>
    <w:permEnd w:id="11"/>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lastRenderedPageBreak/>
        <w:t xml:space="preserve">In which cases would you agree that contributors should be prevented from participating in oversight committees? </w:t>
      </w:r>
    </w:p>
    <w:p w:rsidR="009A2624" w:rsidRDefault="009A2624" w:rsidP="009A2624">
      <w:r>
        <w:t>&lt;ESMA_QUESTION_DP_BMR_12&gt;</w:t>
      </w:r>
    </w:p>
    <w:p w:rsidR="00D05E31" w:rsidRPr="006B6FA2" w:rsidRDefault="00D05E31" w:rsidP="00D05E31">
      <w:pPr>
        <w:spacing w:line="240" w:lineRule="exact"/>
        <w:rPr>
          <w:lang w:val="en-US"/>
        </w:rPr>
      </w:pPr>
      <w:permStart w:id="12" w:edGrp="everyone"/>
      <w:r w:rsidRPr="006B6FA2">
        <w:rPr>
          <w:lang w:val="en-US"/>
        </w:rPr>
        <w:t xml:space="preserve">AMAFI considers that contributors shall not participate in oversight committees except if they are directly interested in the functioning of the indices; </w:t>
      </w:r>
      <w:r>
        <w:rPr>
          <w:lang w:val="en-US"/>
        </w:rPr>
        <w:t>e.g. a contributor providing direct contribution to the administr</w:t>
      </w:r>
      <w:r>
        <w:rPr>
          <w:lang w:val="en-US"/>
        </w:rPr>
        <w:t>a</w:t>
      </w:r>
      <w:r>
        <w:rPr>
          <w:lang w:val="en-US"/>
        </w:rPr>
        <w:t>tor (</w:t>
      </w:r>
      <w:proofErr w:type="spellStart"/>
      <w:r>
        <w:rPr>
          <w:lang w:val="en-US"/>
        </w:rPr>
        <w:t>euribor</w:t>
      </w:r>
      <w:proofErr w:type="spellEnd"/>
      <w:r>
        <w:rPr>
          <w:lang w:val="en-US"/>
        </w:rPr>
        <w:t>/</w:t>
      </w:r>
      <w:proofErr w:type="spellStart"/>
      <w:r>
        <w:rPr>
          <w:lang w:val="en-US"/>
        </w:rPr>
        <w:t>libor</w:t>
      </w:r>
      <w:proofErr w:type="spellEnd"/>
      <w:r>
        <w:rPr>
          <w:lang w:val="en-US"/>
        </w:rPr>
        <w:t xml:space="preserve"> contribution).</w:t>
      </w:r>
    </w:p>
    <w:permEnd w:id="12"/>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w:t>
      </w:r>
      <w:r w:rsidRPr="007F44BF">
        <w:t>o</w:t>
      </w:r>
      <w:r w:rsidRPr="007F44BF">
        <w:t>vided? Please describe the nature, and where possible provide estimates, of these costs.</w:t>
      </w:r>
    </w:p>
    <w:p w:rsidR="009A2624" w:rsidRDefault="009A2624" w:rsidP="009A2624">
      <w:r>
        <w:t>&lt;ESMA_QUESTION_DP_BMR_13&gt;</w:t>
      </w:r>
    </w:p>
    <w:p w:rsidR="00D05E31" w:rsidRPr="003F19EF" w:rsidRDefault="00D05E31" w:rsidP="00D05E31">
      <w:pPr>
        <w:spacing w:line="240" w:lineRule="exact"/>
        <w:rPr>
          <w:lang w:val="en-US"/>
        </w:rPr>
      </w:pPr>
      <w:permStart w:id="13" w:edGrp="everyone"/>
      <w:r w:rsidRPr="003F19EF">
        <w:rPr>
          <w:lang w:val="en-US"/>
        </w:rPr>
        <w:t>The implementation of a new regulation automatically generates additional economic costs for the bus</w:t>
      </w:r>
      <w:r w:rsidRPr="003F19EF">
        <w:rPr>
          <w:lang w:val="en-US"/>
        </w:rPr>
        <w:t>i</w:t>
      </w:r>
      <w:r w:rsidRPr="003F19EF">
        <w:rPr>
          <w:lang w:val="en-US"/>
        </w:rPr>
        <w:t xml:space="preserve">ness. In general, these costs are incurred by the clients at some point in the future. </w:t>
      </w:r>
    </w:p>
    <w:p w:rsidR="00D05E31" w:rsidRPr="003F19EF" w:rsidRDefault="00D05E31" w:rsidP="00D05E31">
      <w:pPr>
        <w:spacing w:line="240" w:lineRule="exact"/>
        <w:rPr>
          <w:lang w:val="en-US"/>
        </w:rPr>
      </w:pPr>
    </w:p>
    <w:p w:rsidR="00D05E31" w:rsidRPr="003F19EF" w:rsidRDefault="00D05E31" w:rsidP="00D05E31">
      <w:pPr>
        <w:spacing w:line="240" w:lineRule="exact"/>
        <w:rPr>
          <w:lang w:val="en-US"/>
        </w:rPr>
      </w:pPr>
      <w:r w:rsidRPr="003F19EF">
        <w:rPr>
          <w:lang w:val="en-US"/>
        </w:rPr>
        <w:t>It also involves spending time to implement new cumbersome measures. However, this cost is difficult to quantify. This is why the regulation must remain proportionate to the risk it intends to cover</w:t>
      </w:r>
      <w:r>
        <w:rPr>
          <w:lang w:val="en-US"/>
        </w:rPr>
        <w:t>.</w:t>
      </w:r>
    </w:p>
    <w:permEnd w:id="13"/>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D05E31" w:rsidP="009A2624">
      <w:permStart w:id="14" w:edGrp="everyone"/>
      <w:r>
        <w:t>AMAFI agrees</w:t>
      </w:r>
    </w:p>
    <w:permEnd w:id="14"/>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D05E31" w:rsidP="009A2624">
      <w:permStart w:id="15" w:edGrp="everyone"/>
      <w:r>
        <w:t>AMAFI agrees</w:t>
      </w:r>
    </w:p>
    <w:permEnd w:id="15"/>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9A2624" w:rsidRDefault="009A2624" w:rsidP="009A2624">
      <w:permStart w:id="16" w:edGrp="everyone"/>
      <w:r>
        <w:t>TYPE YOUR TEXT HERE</w:t>
      </w:r>
    </w:p>
    <w:permEnd w:id="16"/>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Default="009A2624" w:rsidP="009A2624">
      <w:permStart w:id="17" w:edGrp="everyone"/>
      <w:r>
        <w:t>TYPE YOUR TEXT HERE</w:t>
      </w:r>
    </w:p>
    <w:permEnd w:id="17"/>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lastRenderedPageBreak/>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18" w:edGrp="everyone"/>
      <w:r>
        <w:t>TYPE YOUR TEXT HERE</w:t>
      </w:r>
    </w:p>
    <w:permEnd w:id="18"/>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9A2624" w:rsidRPr="008F15BD" w:rsidRDefault="008F15BD" w:rsidP="008F15BD">
      <w:pPr>
        <w:spacing w:line="240" w:lineRule="exact"/>
        <w:rPr>
          <w:lang w:val="en-US"/>
        </w:rPr>
      </w:pPr>
      <w:permStart w:id="19" w:edGrp="everyone"/>
      <w:r>
        <w:rPr>
          <w:lang w:val="en-US"/>
        </w:rPr>
        <w:t>We do</w:t>
      </w:r>
      <w:r w:rsidRPr="003F19EF">
        <w:rPr>
          <w:lang w:val="en-US"/>
        </w:rPr>
        <w:t xml:space="preserve"> not understand why we will have to keep record of “substantial exposures of individual traders or trading desks to benchmark related instruments, as well as changes therein”. Such information </w:t>
      </w:r>
      <w:proofErr w:type="gramStart"/>
      <w:r w:rsidRPr="003F19EF">
        <w:rPr>
          <w:lang w:val="en-US"/>
        </w:rPr>
        <w:t>are</w:t>
      </w:r>
      <w:proofErr w:type="gramEnd"/>
      <w:r w:rsidRPr="003F19EF">
        <w:rPr>
          <w:lang w:val="en-US"/>
        </w:rPr>
        <w:t xml:space="preserve"> not requested in the level one text and we do not understand the link with the verification of input data…</w:t>
      </w:r>
    </w:p>
    <w:permEnd w:id="19"/>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9A2624" w:rsidRDefault="009A2624" w:rsidP="009A2624">
      <w:permStart w:id="20" w:edGrp="everyone"/>
      <w:r>
        <w:t>TYPE YOUR TEXT HERE</w:t>
      </w:r>
    </w:p>
    <w:permEnd w:id="20"/>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8F15BD" w:rsidP="009A2624">
      <w:permStart w:id="21" w:edGrp="everyone"/>
      <w:r>
        <w:t>AMAFI agrees</w:t>
      </w:r>
    </w:p>
    <w:permEnd w:id="21"/>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9A2624" w:rsidP="009A2624">
      <w:permStart w:id="22" w:edGrp="everyone"/>
      <w:r>
        <w:t>TYPE YOUR TEXT HERE</w:t>
      </w:r>
    </w:p>
    <w:permEnd w:id="22"/>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8F15BD" w:rsidRPr="00915EDC" w:rsidRDefault="008F15BD" w:rsidP="008F15BD">
      <w:pPr>
        <w:spacing w:line="240" w:lineRule="exact"/>
        <w:rPr>
          <w:lang w:val="en-US"/>
        </w:rPr>
      </w:pPr>
      <w:permStart w:id="23" w:edGrp="everyone"/>
      <w:r>
        <w:rPr>
          <w:lang w:val="en-US"/>
        </w:rPr>
        <w:t>AMAFI</w:t>
      </w:r>
      <w:r w:rsidRPr="00EF79FD">
        <w:rPr>
          <w:lang w:val="en-US"/>
        </w:rPr>
        <w:t xml:space="preserve"> rather consider</w:t>
      </w:r>
      <w:r>
        <w:rPr>
          <w:lang w:val="en-US"/>
        </w:rPr>
        <w:t>s</w:t>
      </w:r>
      <w:r w:rsidRPr="00EF79FD">
        <w:rPr>
          <w:lang w:val="en-US"/>
        </w:rPr>
        <w:t xml:space="preserve"> it optional that the administrator maintains records of the analyses performed, as long as it stands ready to provide timely to the regulator a satisfactory explanation of such analyses.</w:t>
      </w:r>
    </w:p>
    <w:permEnd w:id="23"/>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9A2624" w:rsidRDefault="009A2624" w:rsidP="009A2624">
      <w:permStart w:id="24" w:edGrp="everyone"/>
      <w:r>
        <w:lastRenderedPageBreak/>
        <w:t>TYPE YOUR TEXT HERE</w:t>
      </w:r>
    </w:p>
    <w:permEnd w:id="24"/>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25" w:edGrp="everyone"/>
      <w:r>
        <w:t>TYPE YOUR TEXT HERE</w:t>
      </w:r>
    </w:p>
    <w:permEnd w:id="25"/>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9A2624" w:rsidRPr="008F15BD" w:rsidRDefault="008F15BD" w:rsidP="008F15BD">
      <w:pPr>
        <w:spacing w:line="240" w:lineRule="exact"/>
        <w:rPr>
          <w:lang w:val="en-US"/>
        </w:rPr>
      </w:pPr>
      <w:permStart w:id="26" w:edGrp="everyone"/>
      <w:r w:rsidRPr="00BF5DCC">
        <w:rPr>
          <w:lang w:val="en-US"/>
        </w:rPr>
        <w:t>Training should be adequate to be able to perform relevant duties and implement processes. No further guidance needed.</w:t>
      </w:r>
    </w:p>
    <w:permEnd w:id="26"/>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9A2624" w:rsidRDefault="008F15BD" w:rsidP="009A2624">
      <w:permStart w:id="27" w:edGrp="everyone"/>
      <w:r>
        <w:t>AMAFI agrees</w:t>
      </w:r>
    </w:p>
    <w:permEnd w:id="27"/>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28" w:edGrp="everyone"/>
      <w:r>
        <w:t>TYPE YOUR TEXT HERE</w:t>
      </w:r>
    </w:p>
    <w:permEnd w:id="28"/>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8F15BD" w:rsidRDefault="008F15BD" w:rsidP="008F15BD">
      <w:pPr>
        <w:spacing w:line="240" w:lineRule="exact"/>
        <w:rPr>
          <w:lang w:val="en-US"/>
        </w:rPr>
      </w:pPr>
      <w:permStart w:id="29" w:edGrp="everyone"/>
      <w:r w:rsidRPr="00BF5DCC">
        <w:rPr>
          <w:lang w:val="en-US"/>
        </w:rPr>
        <w:t>AMAFI considers that the conflict of interest policy should follow existing requirements and be enhanced if necessary to address specific conflicts related to benchmarks.  However, to avoid duplicates and ensure that information remains centralized, there should not be a separate conflict of interest policy dedicated to benchmarks.</w:t>
      </w:r>
      <w:r>
        <w:rPr>
          <w:lang w:val="en-US"/>
        </w:rPr>
        <w:t xml:space="preserve"> Indeed, when the firms are already subject to conflict of interest policy under other regul</w:t>
      </w:r>
      <w:r>
        <w:rPr>
          <w:lang w:val="en-US"/>
        </w:rPr>
        <w:t>a</w:t>
      </w:r>
      <w:r>
        <w:rPr>
          <w:lang w:val="en-US"/>
        </w:rPr>
        <w:t xml:space="preserve">tions, conflicts related to benchmarks shall fall under general policy of conflict of interest. </w:t>
      </w:r>
    </w:p>
    <w:permEnd w:id="29"/>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8F15BD" w:rsidRPr="00197084" w:rsidRDefault="008F15BD" w:rsidP="008F15BD">
      <w:pPr>
        <w:spacing w:line="240" w:lineRule="exact"/>
        <w:rPr>
          <w:lang w:val="en-US"/>
        </w:rPr>
      </w:pPr>
      <w:permStart w:id="30" w:edGrp="everyone"/>
      <w:r w:rsidRPr="00197084">
        <w:rPr>
          <w:lang w:val="en-US"/>
        </w:rPr>
        <w:t>AMAFI agrees only if such measures are suggested and not imposed.</w:t>
      </w:r>
    </w:p>
    <w:permEnd w:id="30"/>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lastRenderedPageBreak/>
        <w:t xml:space="preserve">Do you agree to the list of criteria that can justify differentiation? If not, please specify why you disagree. </w:t>
      </w:r>
    </w:p>
    <w:p w:rsidR="009A2624" w:rsidRDefault="009A2624" w:rsidP="009A2624">
      <w:r>
        <w:t>&lt;ESMA_QUESTION_DP_BMR_31&gt;</w:t>
      </w:r>
    </w:p>
    <w:p w:rsidR="009A2624" w:rsidRDefault="009A2624" w:rsidP="009A2624">
      <w:permStart w:id="31" w:edGrp="everyone"/>
      <w:r>
        <w:t>TYPE YOUR TEXT HERE</w:t>
      </w:r>
    </w:p>
    <w:permEnd w:id="31"/>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9A2624" w:rsidP="009A2624">
      <w:permStart w:id="32" w:edGrp="everyone"/>
      <w:r>
        <w:t>TYPE YOUR TEXT HERE</w:t>
      </w:r>
    </w:p>
    <w:permEnd w:id="32"/>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9A2624" w:rsidRDefault="009A2624" w:rsidP="009A2624">
      <w:permStart w:id="33" w:edGrp="everyone"/>
      <w:r>
        <w:t>TYPE YOUR TEXT HERE</w:t>
      </w:r>
    </w:p>
    <w:permEnd w:id="33"/>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9A2624" w:rsidRDefault="008F15BD" w:rsidP="008F15BD">
      <w:pPr>
        <w:spacing w:line="240" w:lineRule="exact"/>
      </w:pPr>
      <w:permStart w:id="34" w:edGrp="everyone"/>
      <w:r w:rsidRPr="00BF5DCC">
        <w:rPr>
          <w:lang w:val="en-US"/>
        </w:rPr>
        <w:t>While we agree that the list of elements is generally relevant, we think that only the methodology of benchmarks based on contributions should entail the minimum quantity and quality of input data and describe the verification procedures on input data.  For other indices, such verification procedures on input data are part of an overall review process, per the IOSCO principles, and not relevant to each index methodology.</w:t>
      </w:r>
    </w:p>
    <w:permEnd w:id="34"/>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8F15BD" w:rsidP="009A2624">
      <w:permStart w:id="35" w:edGrp="everyone"/>
      <w:r w:rsidRPr="00BF5DCC">
        <w:rPr>
          <w:lang w:val="en-US"/>
        </w:rPr>
        <w:t>Discretion should be left to the administrator to meet its overarching duty for transparency.</w:t>
      </w:r>
    </w:p>
    <w:permEnd w:id="35"/>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8F15BD" w:rsidRDefault="008F15BD" w:rsidP="008F15BD">
      <w:pPr>
        <w:spacing w:line="240" w:lineRule="exact"/>
        <w:rPr>
          <w:rFonts w:ascii="Segoe UI" w:hAnsi="Segoe UI" w:cs="Segoe UI"/>
          <w:sz w:val="21"/>
          <w:szCs w:val="21"/>
          <w:lang w:val="en-US"/>
        </w:rPr>
      </w:pPr>
      <w:permStart w:id="36" w:edGrp="everyone"/>
      <w:r w:rsidRPr="00470790">
        <w:rPr>
          <w:lang w:val="en-US"/>
        </w:rPr>
        <w:t>AMAFI does not agree.</w:t>
      </w:r>
      <w:r>
        <w:rPr>
          <w:color w:val="FF0000"/>
          <w:lang w:val="en-US"/>
        </w:rPr>
        <w:t xml:space="preserve"> </w:t>
      </w:r>
      <w:r w:rsidRPr="001634FE">
        <w:rPr>
          <w:lang w:val="en-US"/>
        </w:rPr>
        <w:t>For proprietary indices such key elements must only be disclosed to clients but in any case not to the general public. In the methodology there are intellectual properties and those metho</w:t>
      </w:r>
      <w:r w:rsidRPr="001634FE">
        <w:rPr>
          <w:lang w:val="en-US"/>
        </w:rPr>
        <w:t>d</w:t>
      </w:r>
      <w:r w:rsidRPr="001634FE">
        <w:rPr>
          <w:lang w:val="en-US"/>
        </w:rPr>
        <w:t>ologies cannot be disseminated to everyone.</w:t>
      </w:r>
      <w:r w:rsidRPr="003A7154">
        <w:rPr>
          <w:rFonts w:ascii="Segoe UI" w:hAnsi="Segoe UI" w:cs="Segoe UI"/>
          <w:sz w:val="21"/>
          <w:szCs w:val="21"/>
          <w:lang w:val="en-US"/>
        </w:rPr>
        <w:t xml:space="preserve"> </w:t>
      </w:r>
      <w:r>
        <w:rPr>
          <w:rFonts w:ascii="Segoe UI" w:hAnsi="Segoe UI" w:cs="Segoe UI"/>
          <w:sz w:val="21"/>
          <w:szCs w:val="21"/>
          <w:lang w:val="en-US"/>
        </w:rPr>
        <w:t>It is very important to consider that making available important parts of methodologies to the general public for proprietary indices would create an inte</w:t>
      </w:r>
      <w:r>
        <w:rPr>
          <w:rFonts w:ascii="Segoe UI" w:hAnsi="Segoe UI" w:cs="Segoe UI"/>
          <w:sz w:val="21"/>
          <w:szCs w:val="21"/>
          <w:lang w:val="en-US"/>
        </w:rPr>
        <w:t>l</w:t>
      </w:r>
      <w:r>
        <w:rPr>
          <w:rFonts w:ascii="Segoe UI" w:hAnsi="Segoe UI" w:cs="Segoe UI"/>
          <w:sz w:val="21"/>
          <w:szCs w:val="21"/>
          <w:lang w:val="en-US"/>
        </w:rPr>
        <w:t>lectual property leak and a competitive disadvantage for European based administrator compared to others.</w:t>
      </w:r>
    </w:p>
    <w:permEnd w:id="36"/>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lastRenderedPageBreak/>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8F15BD" w:rsidRPr="003A7154" w:rsidRDefault="008F15BD" w:rsidP="008F15BD">
      <w:pPr>
        <w:spacing w:line="240" w:lineRule="exact"/>
        <w:rPr>
          <w:lang w:val="en-US"/>
        </w:rPr>
      </w:pPr>
      <w:permStart w:id="37" w:edGrp="everyone"/>
      <w:r w:rsidRPr="003A7154">
        <w:rPr>
          <w:lang w:val="en-US"/>
        </w:rPr>
        <w:t>We consider that the information to be made public should be limited to the existence of a review process and its general characteristics and we do not consider it necessary to make public the names and titles of individuals involved in the review process.</w:t>
      </w:r>
    </w:p>
    <w:permEnd w:id="37"/>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A2624" w:rsidRDefault="008F15BD" w:rsidP="009A2624">
      <w:permStart w:id="38" w:edGrp="everyone"/>
      <w:r w:rsidRPr="003A7154">
        <w:rPr>
          <w:lang w:val="en-US"/>
        </w:rPr>
        <w:t>We consider that the information to be made public should be limited to the existence of a procedure to address material changes in benchmark methodology, and its general characteristics. In addition, the relevant stakeholders should be interpreted as the index licensee and not the general public</w:t>
      </w:r>
    </w:p>
    <w:permEnd w:id="38"/>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Default="008F15BD" w:rsidP="009A2624">
      <w:permStart w:id="39" w:edGrp="everyone"/>
      <w:r>
        <w:t>AMAFI does not agree</w:t>
      </w:r>
    </w:p>
    <w:permEnd w:id="39"/>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8F15BD" w:rsidRPr="003A7154" w:rsidRDefault="008F15BD" w:rsidP="008F15BD">
      <w:pPr>
        <w:spacing w:line="240" w:lineRule="exact"/>
        <w:rPr>
          <w:lang w:val="en-US"/>
        </w:rPr>
      </w:pPr>
      <w:permStart w:id="40" w:edGrp="everyone"/>
      <w:r w:rsidRPr="003A7154">
        <w:rPr>
          <w:lang w:val="en-US"/>
        </w:rPr>
        <w:t>As per above, the methodologies of benchmarks that are not based on contribution of input data should not have to entail the minimum quantity and quality of input data or to describe the verification procedures on input data.</w:t>
      </w:r>
    </w:p>
    <w:permEnd w:id="40"/>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8F15BD" w:rsidRPr="003A7154" w:rsidRDefault="008F15BD" w:rsidP="008F15BD">
      <w:pPr>
        <w:spacing w:line="240" w:lineRule="exact"/>
        <w:rPr>
          <w:lang w:val="en-US"/>
        </w:rPr>
      </w:pPr>
      <w:permStart w:id="41" w:edGrp="everyone"/>
      <w:r w:rsidRPr="003A7154">
        <w:rPr>
          <w:lang w:val="en-US"/>
        </w:rPr>
        <w:t xml:space="preserve">As per above, we consider that, regardless of benchmark type, the information to be made public should be limited to the existence of a review process and its general characteristics. </w:t>
      </w:r>
    </w:p>
    <w:permEnd w:id="41"/>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Default="009A2624" w:rsidP="009A2624">
      <w:permStart w:id="42" w:edGrp="everyone"/>
      <w:r>
        <w:lastRenderedPageBreak/>
        <w:t>TYPE YOUR TEXT HERE</w:t>
      </w:r>
    </w:p>
    <w:permEnd w:id="42"/>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43" w:edGrp="everyone"/>
      <w:r>
        <w:t>TYPE YOUR TEXT HERE</w:t>
      </w:r>
    </w:p>
    <w:permEnd w:id="43"/>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44" w:edGrp="everyone"/>
      <w:r>
        <w:t>TYPE YOUR TEXT HERE</w:t>
      </w:r>
    </w:p>
    <w:permEnd w:id="44"/>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45" w:edGrp="everyone"/>
      <w:r>
        <w:t>TYPE YOUR TEXT HERE</w:t>
      </w:r>
    </w:p>
    <w:permEnd w:id="45"/>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46" w:edGrp="everyone"/>
      <w:r>
        <w:t>TYPE YOUR TEXT HERE</w:t>
      </w:r>
    </w:p>
    <w:permEnd w:id="46"/>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Default="009A2624" w:rsidP="009A2624">
      <w:permStart w:id="47" w:edGrp="everyone"/>
      <w:r>
        <w:t>TYPE YOUR TEXT HERE</w:t>
      </w:r>
    </w:p>
    <w:permEnd w:id="47"/>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48" w:edGrp="everyone"/>
      <w:r>
        <w:t>TYPE YOUR TEXT HERE</w:t>
      </w:r>
    </w:p>
    <w:permEnd w:id="48"/>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lastRenderedPageBreak/>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49" w:edGrp="everyone"/>
      <w:r>
        <w:t>TYPE YOUR TEXT HERE</w:t>
      </w:r>
    </w:p>
    <w:permEnd w:id="49"/>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50" w:edGrp="everyone"/>
      <w:r>
        <w:t>TYPE YOUR TEXT HERE</w:t>
      </w:r>
    </w:p>
    <w:permEnd w:id="50"/>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9A2624" w:rsidP="009A2624">
      <w:permStart w:id="51" w:edGrp="everyone"/>
      <w:r>
        <w:t>TYPE YOUR TEXT HERE</w:t>
      </w:r>
    </w:p>
    <w:permEnd w:id="51"/>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52" w:edGrp="everyone"/>
      <w:r>
        <w:t>TYPE YOUR TEXT HERE</w:t>
      </w:r>
    </w:p>
    <w:permEnd w:id="52"/>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53" w:edGrp="everyone"/>
      <w:r>
        <w:t>TYPE YOUR TEXT HERE</w:t>
      </w:r>
    </w:p>
    <w:permEnd w:id="53"/>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9A2624" w:rsidP="009A2624">
      <w:permStart w:id="54" w:edGrp="everyone"/>
      <w:r>
        <w:t>TYPE YOUR TEXT HERE</w:t>
      </w:r>
    </w:p>
    <w:permEnd w:id="54"/>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55" w:edGrp="everyone"/>
      <w:r>
        <w:t>TYPE YOUR TEXT HERE</w:t>
      </w:r>
    </w:p>
    <w:permEnd w:id="55"/>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lastRenderedPageBreak/>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56" w:edGrp="everyone"/>
      <w:r>
        <w:t>TYPE YOUR TEXT HERE</w:t>
      </w:r>
    </w:p>
    <w:permEnd w:id="56"/>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57" w:edGrp="everyone"/>
      <w:r>
        <w:t>TYPE YOUR TEXT HERE</w:t>
      </w:r>
    </w:p>
    <w:permEnd w:id="57"/>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9A2624" w:rsidRDefault="009A2624" w:rsidP="009A2624">
      <w:permStart w:id="58" w:edGrp="everyone"/>
      <w:r>
        <w:t>TYPE YOUR TEXT HERE</w:t>
      </w:r>
    </w:p>
    <w:permEnd w:id="58"/>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59" w:edGrp="everyone"/>
      <w:r>
        <w:t>TYPE YOUR TEXT HERE</w:t>
      </w:r>
    </w:p>
    <w:permEnd w:id="59"/>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9A2624" w:rsidRDefault="009A2624" w:rsidP="009A2624">
      <w:permStart w:id="60" w:edGrp="everyone"/>
      <w:r>
        <w:t>TYPE YOUR TEXT HERE</w:t>
      </w:r>
    </w:p>
    <w:permEnd w:id="60"/>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61" w:edGrp="everyone"/>
      <w:r>
        <w:t>TYPE YOUR TEXT HERE</w:t>
      </w:r>
    </w:p>
    <w:permEnd w:id="61"/>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62" w:edGrp="everyone"/>
      <w:r>
        <w:t>TYPE YOUR TEXT HERE</w:t>
      </w:r>
    </w:p>
    <w:permEnd w:id="62"/>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lastRenderedPageBreak/>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Default="009A2624" w:rsidP="009A2624">
      <w:permStart w:id="63" w:edGrp="everyone"/>
      <w:r>
        <w:t>TYPE YOUR TEXT HERE</w:t>
      </w:r>
    </w:p>
    <w:permEnd w:id="63"/>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64" w:edGrp="everyone"/>
      <w:r>
        <w:t>TYPE YOUR TEXT HERE</w:t>
      </w:r>
    </w:p>
    <w:permEnd w:id="64"/>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65" w:edGrp="everyone"/>
      <w:r>
        <w:t>TYPE YOUR TEXT HERE</w:t>
      </w:r>
    </w:p>
    <w:permEnd w:id="65"/>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66" w:edGrp="everyone"/>
      <w:r>
        <w:t>TYPE YOUR TEXT HERE</w:t>
      </w:r>
    </w:p>
    <w:permEnd w:id="66"/>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9A2624" w:rsidRDefault="009A2624" w:rsidP="009A2624">
      <w:permStart w:id="67" w:edGrp="everyone"/>
      <w:r>
        <w:t>TYPE YOUR TEXT HERE</w:t>
      </w:r>
    </w:p>
    <w:permEnd w:id="67"/>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68" w:edGrp="everyone"/>
      <w:r>
        <w:t>TYPE YOUR TEXT HERE</w:t>
      </w:r>
    </w:p>
    <w:permEnd w:id="68"/>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lastRenderedPageBreak/>
        <w:t>&lt;ESMA_QUESTION_DP_BMR_69&gt;</w:t>
      </w:r>
    </w:p>
    <w:p w:rsidR="009A2624" w:rsidRDefault="009A2624" w:rsidP="009A2624">
      <w:permStart w:id="69" w:edGrp="everyone"/>
      <w:r>
        <w:t>TYPE YOUR TEXT HERE</w:t>
      </w:r>
    </w:p>
    <w:permEnd w:id="69"/>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70" w:edGrp="everyone"/>
      <w:r>
        <w:t>TYPE YOUR TEXT HERE</w:t>
      </w:r>
    </w:p>
    <w:permEnd w:id="70"/>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71" w:edGrp="everyone"/>
      <w:r>
        <w:t>TYPE YOUR TEXT HERE</w:t>
      </w:r>
    </w:p>
    <w:permEnd w:id="71"/>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72" w:edGrp="everyone"/>
      <w:r>
        <w:t>TYPE YOUR TEXT HERE</w:t>
      </w:r>
    </w:p>
    <w:permEnd w:id="72"/>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73" w:edGrp="everyone"/>
      <w:r>
        <w:t>TYPE YOUR TEXT HERE</w:t>
      </w:r>
    </w:p>
    <w:permEnd w:id="73"/>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74" w:edGrp="everyone"/>
      <w:r>
        <w:t>TYPE YOUR TEXT HERE</w:t>
      </w:r>
    </w:p>
    <w:permEnd w:id="74"/>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75" w:edGrp="everyone"/>
      <w:r>
        <w:t>TYPE YOUR TEXT HERE</w:t>
      </w:r>
    </w:p>
    <w:permEnd w:id="75"/>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lastRenderedPageBreak/>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76" w:edGrp="everyone"/>
      <w:r>
        <w:t>TYPE YOUR TEXT HERE</w:t>
      </w:r>
    </w:p>
    <w:permEnd w:id="76"/>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77" w:edGrp="everyone"/>
      <w:r>
        <w:t>TYPE YOUR TEXT HERE</w:t>
      </w:r>
    </w:p>
    <w:permEnd w:id="77"/>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78" w:edGrp="everyone"/>
      <w:r>
        <w:t>TYPE YOUR TEXT HERE</w:t>
      </w:r>
    </w:p>
    <w:permEnd w:id="78"/>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79" w:edGrp="everyone"/>
      <w:r>
        <w:t>TYPE YOUR TEXT HERE</w:t>
      </w:r>
    </w:p>
    <w:permEnd w:id="79"/>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9A2624" w:rsidRDefault="009A2624" w:rsidP="009A2624">
      <w:permStart w:id="80" w:edGrp="everyone"/>
      <w:r>
        <w:t>TYPE YOUR TEXT HERE</w:t>
      </w:r>
    </w:p>
    <w:permEnd w:id="80"/>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lastRenderedPageBreak/>
        <w:t>&lt;ESMA_QUESTION_DP_BMR_81&gt;</w:t>
      </w:r>
    </w:p>
    <w:p w:rsidR="008F15BD" w:rsidRPr="00551A7F" w:rsidRDefault="008F15BD" w:rsidP="008F15BD">
      <w:pPr>
        <w:spacing w:line="240" w:lineRule="exact"/>
        <w:rPr>
          <w:lang w:val="en-US"/>
        </w:rPr>
      </w:pPr>
      <w:permStart w:id="81" w:edGrp="everyone"/>
      <w:r w:rsidRPr="003A7154">
        <w:rPr>
          <w:lang w:val="en-US"/>
        </w:rPr>
        <w:t>The identified fields seem to be sufficient, however we want to stress ESMA’s statement that the stat</w:t>
      </w:r>
      <w:r w:rsidRPr="003A7154">
        <w:rPr>
          <w:lang w:val="en-US"/>
        </w:rPr>
        <w:t>e</w:t>
      </w:r>
      <w:r w:rsidRPr="003A7154">
        <w:rPr>
          <w:lang w:val="en-US"/>
        </w:rPr>
        <w:t>ment can refer to a family of benchmarks (DP</w:t>
      </w:r>
      <w:r>
        <w:rPr>
          <w:lang w:val="en-US"/>
        </w:rPr>
        <w:t xml:space="preserve"> </w:t>
      </w:r>
      <w:r w:rsidRPr="003A7154">
        <w:rPr>
          <w:lang w:val="en-US"/>
        </w:rPr>
        <w:t>§</w:t>
      </w:r>
      <w:r>
        <w:rPr>
          <w:lang w:val="en-US"/>
        </w:rPr>
        <w:t xml:space="preserve"> </w:t>
      </w:r>
      <w:r w:rsidRPr="003A7154">
        <w:rPr>
          <w:lang w:val="en-US"/>
        </w:rPr>
        <w:t xml:space="preserve">258). </w:t>
      </w:r>
    </w:p>
    <w:permEnd w:id="81"/>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8F15BD" w:rsidRPr="003A7154" w:rsidRDefault="008F15BD" w:rsidP="008F15BD">
      <w:pPr>
        <w:spacing w:line="240" w:lineRule="exact"/>
        <w:rPr>
          <w:lang w:val="en-US"/>
        </w:rPr>
      </w:pPr>
      <w:permStart w:id="82" w:edGrp="everyone"/>
      <w:r w:rsidRPr="003A7154">
        <w:rPr>
          <w:lang w:val="en-US"/>
        </w:rPr>
        <w:t>We agree with the suggested description of the type of market.</w:t>
      </w:r>
      <w:r>
        <w:rPr>
          <w:lang w:val="en-US"/>
        </w:rPr>
        <w:t xml:space="preserve"> </w:t>
      </w:r>
      <w:r w:rsidRPr="003A7154">
        <w:rPr>
          <w:lang w:val="en-US"/>
        </w:rPr>
        <w:t xml:space="preserve">However, the description of the market access and of the market participants cannot be established in absolute terms.  Rather, the administrator should provide a description of the type of market (as detailed in the DP § 264) which is sufficient for stakeholders to assess the market access and the market participants at a given point in time, hence the circumstances under which the market or economic reality measured by the benchmark may become unreliable. </w:t>
      </w:r>
    </w:p>
    <w:permEnd w:id="82"/>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w:t>
      </w:r>
      <w:r w:rsidRPr="007F44BF">
        <w:t>i</w:t>
      </w:r>
      <w:r w:rsidRPr="007F44BF">
        <w:t>able can be sufficiently described by the suggested aspects?</w:t>
      </w:r>
    </w:p>
    <w:p w:rsidR="009A2624" w:rsidRDefault="009A2624" w:rsidP="009A2624">
      <w:r>
        <w:t>&lt;ESMA_QUESTION_DP_BMR_83&gt;</w:t>
      </w:r>
    </w:p>
    <w:p w:rsidR="009A2624" w:rsidRPr="008F15BD" w:rsidRDefault="008F15BD" w:rsidP="00197084">
      <w:pPr>
        <w:spacing w:line="240" w:lineRule="exact"/>
        <w:rPr>
          <w:lang w:val="en-US"/>
        </w:rPr>
      </w:pPr>
      <w:permStart w:id="83" w:edGrp="everyone"/>
      <w:r w:rsidRPr="003A7154">
        <w:rPr>
          <w:lang w:val="en-US"/>
        </w:rPr>
        <w:t xml:space="preserve">While aspects such as size and number of participants, or liquidity, are relevant to the above-mentioned review process, it is our understanding that </w:t>
      </w:r>
      <w:r>
        <w:rPr>
          <w:lang w:val="en-US"/>
        </w:rPr>
        <w:t xml:space="preserve">such aspects are not always relevant and therefore </w:t>
      </w:r>
      <w:r w:rsidRPr="003A7154">
        <w:rPr>
          <w:lang w:val="en-US"/>
        </w:rPr>
        <w:t xml:space="preserve">they do not have to be described in each benchmark’s methodology. </w:t>
      </w:r>
    </w:p>
    <w:permEnd w:id="83"/>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8F15BD" w:rsidP="009A2624">
      <w:permStart w:id="84" w:edGrp="everyone"/>
      <w:r>
        <w:rPr>
          <w:lang w:val="en-US"/>
        </w:rPr>
        <w:t>AMAFI</w:t>
      </w:r>
      <w:r w:rsidRPr="003A7154">
        <w:rPr>
          <w:lang w:val="en-US"/>
        </w:rPr>
        <w:t xml:space="preserve"> consider</w:t>
      </w:r>
      <w:r>
        <w:rPr>
          <w:lang w:val="en-US"/>
        </w:rPr>
        <w:t>s</w:t>
      </w:r>
      <w:r w:rsidRPr="003A7154">
        <w:rPr>
          <w:lang w:val="en-US"/>
        </w:rPr>
        <w:t xml:space="preserve"> that only the applicability element should be required.  It </w:t>
      </w:r>
      <w:r>
        <w:rPr>
          <w:lang w:val="en-US"/>
        </w:rPr>
        <w:t>should be</w:t>
      </w:r>
      <w:r w:rsidRPr="003A7154">
        <w:rPr>
          <w:lang w:val="en-US"/>
        </w:rPr>
        <w:t xml:space="preserve"> left to the discretion of the administrator to justify that the discretion is necessary, or to describe the body which evaluates the exercise of discretion.</w:t>
      </w:r>
    </w:p>
    <w:permEnd w:id="84"/>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8F15BD" w:rsidRPr="003A7154" w:rsidRDefault="008F15BD" w:rsidP="008F15BD">
      <w:pPr>
        <w:spacing w:line="240" w:lineRule="exact"/>
        <w:rPr>
          <w:lang w:val="en-US"/>
        </w:rPr>
      </w:pPr>
      <w:permStart w:id="85" w:edGrp="everyone"/>
      <w:r w:rsidRPr="003A7154">
        <w:rPr>
          <w:lang w:val="en-US"/>
        </w:rPr>
        <w:t>We do not see other minimum contents for the benchmark statement.  Rather we question the possibility to describe in absolute terms the minimum data needed to determine the benchmark, or the controls and rules that govern the exercise of discretion, if any.  Also, as per above, the disclosure of the existence of discretion should suffice, at least for administrators of non-significant benchmarks which are supervised entities: controls and rules that govern discretion are addressed in an administrator’s conflict of interest policy.</w:t>
      </w:r>
    </w:p>
    <w:permEnd w:id="85"/>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8F15BD" w:rsidRDefault="008F15BD" w:rsidP="009A2624">
      <w:pPr>
        <w:rPr>
          <w:lang w:val="en-US"/>
        </w:rPr>
      </w:pPr>
      <w:permStart w:id="86" w:edGrp="everyone"/>
      <w:r w:rsidRPr="003A7154">
        <w:rPr>
          <w:lang w:val="en-US"/>
        </w:rPr>
        <w:lastRenderedPageBreak/>
        <w:t>Such description should</w:t>
      </w:r>
      <w:r>
        <w:rPr>
          <w:lang w:val="en-US"/>
        </w:rPr>
        <w:t xml:space="preserve"> </w:t>
      </w:r>
      <w:r w:rsidRPr="003A7154">
        <w:rPr>
          <w:lang w:val="en-US"/>
        </w:rPr>
        <w:t>n</w:t>
      </w:r>
      <w:r>
        <w:rPr>
          <w:lang w:val="en-US"/>
        </w:rPr>
        <w:t>o</w:t>
      </w:r>
      <w:r w:rsidRPr="003A7154">
        <w:rPr>
          <w:lang w:val="en-US"/>
        </w:rPr>
        <w:t xml:space="preserve">t apply to Regulated Data benchmarks, </w:t>
      </w:r>
      <w:proofErr w:type="gramStart"/>
      <w:r w:rsidRPr="003A7154">
        <w:rPr>
          <w:lang w:val="en-US"/>
        </w:rPr>
        <w:t>nor</w:t>
      </w:r>
      <w:proofErr w:type="gramEnd"/>
      <w:r w:rsidRPr="003A7154">
        <w:rPr>
          <w:lang w:val="en-US"/>
        </w:rPr>
        <w:t xml:space="preserve"> to benchmarks using different inputs, amongst which an interest rate component which is in fact merely an existing regulated interest rate benchmark.  In fact such interest rate component should be viewed as a market data rather than an input data.</w:t>
      </w:r>
    </w:p>
    <w:permEnd w:id="86"/>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A2624" w:rsidRDefault="00C36380" w:rsidP="009A2624">
      <w:permStart w:id="87" w:edGrp="everyone"/>
      <w:r w:rsidRPr="003A7154">
        <w:rPr>
          <w:lang w:val="en-US"/>
        </w:rPr>
        <w:t>Such statement for commodity benchmark should not apply to non significant benchmarks</w:t>
      </w:r>
    </w:p>
    <w:permEnd w:id="87"/>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C36380" w:rsidRPr="00C04646" w:rsidRDefault="00C36380" w:rsidP="00C36380">
      <w:pPr>
        <w:spacing w:line="240" w:lineRule="exact"/>
        <w:rPr>
          <w:lang w:val="en-US"/>
        </w:rPr>
      </w:pPr>
      <w:permStart w:id="88" w:edGrp="everyone"/>
      <w:r w:rsidRPr="001634FE">
        <w:rPr>
          <w:lang w:val="en-US"/>
        </w:rPr>
        <w:t>AMAFI agrees and furthermore, as described above, in application of the proportionality principle, we would even differentiate further between different types of benchmarks, and exempt certain categories of benchmarks from the requirements previously described.</w:t>
      </w:r>
    </w:p>
    <w:permEnd w:id="88"/>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89" w:edGrp="everyone"/>
      <w:r>
        <w:t>TYPE YOUR TEXT HERE</w:t>
      </w:r>
    </w:p>
    <w:permEnd w:id="89"/>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90" w:edGrp="everyone"/>
      <w:r>
        <w:t>TYPE YOUR TEXT HERE</w:t>
      </w:r>
    </w:p>
    <w:permEnd w:id="90"/>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C36380" w:rsidRDefault="00C36380" w:rsidP="009A2624">
      <w:pPr>
        <w:rPr>
          <w:lang w:val="en-US"/>
        </w:rPr>
      </w:pPr>
      <w:permStart w:id="91" w:edGrp="everyone"/>
      <w:r w:rsidRPr="0007764C">
        <w:rPr>
          <w:lang w:val="en-US"/>
        </w:rPr>
        <w:t>We appreciate the flexibility for administrators of non-significant benchmarks not to apply certain requir</w:t>
      </w:r>
      <w:r w:rsidRPr="0007764C">
        <w:rPr>
          <w:lang w:val="en-US"/>
        </w:rPr>
        <w:t>e</w:t>
      </w:r>
      <w:r w:rsidRPr="0007764C">
        <w:rPr>
          <w:lang w:val="en-US"/>
        </w:rPr>
        <w:t>ments, and we suggest that administrators disclose in the benchmark statement the elements of info</w:t>
      </w:r>
      <w:r w:rsidRPr="0007764C">
        <w:rPr>
          <w:lang w:val="en-US"/>
        </w:rPr>
        <w:t>r</w:t>
      </w:r>
      <w:r w:rsidRPr="0007764C">
        <w:rPr>
          <w:lang w:val="en-US"/>
        </w:rPr>
        <w:t>mation described in option one</w:t>
      </w:r>
      <w:r>
        <w:rPr>
          <w:lang w:val="en-US"/>
        </w:rPr>
        <w:t>.</w:t>
      </w:r>
    </w:p>
    <w:permEnd w:id="91"/>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92" w:edGrp="everyone"/>
      <w:r>
        <w:t>TYPE YOUR TEXT HERE</w:t>
      </w:r>
    </w:p>
    <w:permEnd w:id="92"/>
    <w:p w:rsidR="009A2624" w:rsidRDefault="009A2624" w:rsidP="009A2624">
      <w:r>
        <w:lastRenderedPageBreak/>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9A2624" w:rsidRPr="00C36380" w:rsidRDefault="00C36380" w:rsidP="00C36380">
      <w:pPr>
        <w:spacing w:line="240" w:lineRule="exact"/>
        <w:rPr>
          <w:lang w:val="en-US"/>
        </w:rPr>
      </w:pPr>
      <w:permStart w:id="93" w:edGrp="everyone"/>
      <w:r w:rsidRPr="0007764C">
        <w:rPr>
          <w:lang w:val="en-US"/>
        </w:rPr>
        <w:t>We consider that much of the required information will be already well know by national competent autho</w:t>
      </w:r>
      <w:r w:rsidRPr="0007764C">
        <w:rPr>
          <w:lang w:val="en-US"/>
        </w:rPr>
        <w:t>r</w:t>
      </w:r>
      <w:r w:rsidRPr="0007764C">
        <w:rPr>
          <w:lang w:val="en-US"/>
        </w:rPr>
        <w:t>ities of Supervised Entities.  Hence the requirements need to be adapted for such entities.</w:t>
      </w:r>
    </w:p>
    <w:permEnd w:id="93"/>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94" w:edGrp="everyone"/>
      <w:r>
        <w:t>TYPE YOUR TEXT HERE</w:t>
      </w:r>
    </w:p>
    <w:permEnd w:id="94"/>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95" w:edGrp="everyone"/>
      <w:r>
        <w:t>TYPE YOUR TEXT HERE</w:t>
      </w:r>
    </w:p>
    <w:permEnd w:id="95"/>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96" w:edGrp="everyone"/>
      <w:r>
        <w:t>TYPE YOUR TEXT HERE</w:t>
      </w:r>
    </w:p>
    <w:permEnd w:id="96"/>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C36380" w:rsidRPr="0007764C" w:rsidRDefault="00C36380" w:rsidP="00C36380">
      <w:pPr>
        <w:spacing w:line="240" w:lineRule="exact"/>
        <w:rPr>
          <w:lang w:val="en-US"/>
        </w:rPr>
      </w:pPr>
      <w:permStart w:id="97" w:edGrp="everyone"/>
      <w:r w:rsidRPr="0007764C">
        <w:rPr>
          <w:lang w:val="en-US"/>
        </w:rPr>
        <w:t>We agree with the general approach and, as described in § 307 of the DP, we encourage ESMA to avoid any overlap between the information needed for authorization and that needed for registration.</w:t>
      </w:r>
    </w:p>
    <w:permEnd w:id="97"/>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98" w:edGrp="everyone"/>
      <w:r>
        <w:t>TYPE YOUR TEXT HERE</w:t>
      </w:r>
    </w:p>
    <w:permEnd w:id="98"/>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lastRenderedPageBreak/>
        <w:t>&lt;ESMA_QUESTION_DP_BMR_99&gt;</w:t>
      </w:r>
    </w:p>
    <w:p w:rsidR="009A2624" w:rsidRDefault="009A2624" w:rsidP="009A2624">
      <w:permStart w:id="99" w:edGrp="everyone"/>
      <w:r>
        <w:t>TYPE YOUR TEXT HERE</w:t>
      </w:r>
    </w:p>
    <w:permEnd w:id="99"/>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C36380" w:rsidRPr="0007764C" w:rsidRDefault="00C36380" w:rsidP="00C36380">
      <w:pPr>
        <w:spacing w:line="240" w:lineRule="exact"/>
        <w:rPr>
          <w:lang w:val="en-US"/>
        </w:rPr>
      </w:pPr>
      <w:permStart w:id="100" w:edGrp="everyone"/>
      <w:r w:rsidRPr="0007764C">
        <w:rPr>
          <w:lang w:val="en-US"/>
        </w:rPr>
        <w:t>ESMA should ensure that there is no disadvantaged competitive consequences for the EU financial indu</w:t>
      </w:r>
      <w:r w:rsidRPr="0007764C">
        <w:rPr>
          <w:lang w:val="en-US"/>
        </w:rPr>
        <w:t>s</w:t>
      </w:r>
      <w:r w:rsidRPr="0007764C">
        <w:rPr>
          <w:lang w:val="en-US"/>
        </w:rPr>
        <w:t>try compared to non EU competitors, possibility to use a non EU &amp; not approved benchmarks.</w:t>
      </w:r>
    </w:p>
    <w:permEnd w:id="100"/>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C36380" w:rsidP="009A2624">
      <w:permStart w:id="101" w:edGrp="everyone"/>
      <w:r w:rsidRPr="0007764C">
        <w:rPr>
          <w:lang w:val="en-US"/>
        </w:rPr>
        <w:t>ESMA should ensure that there is no disadvantaged competitive consequences for the EU financial indu</w:t>
      </w:r>
      <w:r w:rsidRPr="0007764C">
        <w:rPr>
          <w:lang w:val="en-US"/>
        </w:rPr>
        <w:t>s</w:t>
      </w:r>
      <w:r w:rsidRPr="0007764C">
        <w:rPr>
          <w:lang w:val="en-US"/>
        </w:rPr>
        <w:t>try compared to non EU competitors, possibility to use a non EU &amp; not approved benchmarks</w:t>
      </w:r>
      <w:r>
        <w:rPr>
          <w:lang w:val="en-US"/>
        </w:rPr>
        <w:t>.</w:t>
      </w:r>
    </w:p>
    <w:permEnd w:id="101"/>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C36380" w:rsidRPr="0007764C" w:rsidRDefault="00C36380" w:rsidP="00C36380">
      <w:pPr>
        <w:spacing w:line="240" w:lineRule="exact"/>
        <w:rPr>
          <w:lang w:val="en-US"/>
        </w:rPr>
      </w:pPr>
      <w:permStart w:id="102" w:edGrp="everyone"/>
      <w:r w:rsidRPr="0007764C">
        <w:rPr>
          <w:lang w:val="en-US"/>
        </w:rPr>
        <w:t>ESMA should ensure that there is no disadvantaged competitive consequences for the UE financial indu</w:t>
      </w:r>
      <w:r w:rsidRPr="0007764C">
        <w:rPr>
          <w:lang w:val="en-US"/>
        </w:rPr>
        <w:t>s</w:t>
      </w:r>
      <w:r w:rsidRPr="0007764C">
        <w:rPr>
          <w:lang w:val="en-US"/>
        </w:rPr>
        <w:t>try compared to non EU industries, possibility to use a non EU &amp; not approved benchmarks.</w:t>
      </w:r>
    </w:p>
    <w:permEnd w:id="102"/>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103" w:edGrp="everyone"/>
      <w:r>
        <w:t>TYPE YOUR TEXT HERE</w:t>
      </w:r>
    </w:p>
    <w:permEnd w:id="103"/>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04" w:edGrp="everyone"/>
      <w:r>
        <w:t>TYPE YOUR TEXT HERE</w:t>
      </w:r>
    </w:p>
    <w:permEnd w:id="104"/>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05" w:edGrp="everyone"/>
      <w:r>
        <w:t>TYPE YOUR TEXT HERE</w:t>
      </w:r>
    </w:p>
    <w:permEnd w:id="105"/>
    <w:p w:rsidR="009A2624" w:rsidRDefault="009A2624" w:rsidP="009A2624">
      <w:r>
        <w:lastRenderedPageBreak/>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06" w:edGrp="everyone"/>
      <w:r>
        <w:t>TYPE YOUR TEXT HERE</w:t>
      </w:r>
    </w:p>
    <w:permEnd w:id="106"/>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107" w:edGrp="everyone"/>
      <w:r>
        <w:t>TYPE YOUR TEXT HERE</w:t>
      </w:r>
    </w:p>
    <w:permEnd w:id="107"/>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108" w:edGrp="everyone"/>
      <w:r>
        <w:t>TYPE YOUR TEXT HERE</w:t>
      </w:r>
    </w:p>
    <w:permEnd w:id="108"/>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09" w:edGrp="everyone"/>
      <w:r>
        <w:t>TYPE YOUR TEXT HERE</w:t>
      </w:r>
    </w:p>
    <w:permEnd w:id="109"/>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10" w:edGrp="everyone"/>
      <w:r>
        <w:t>TYPE YOUR TEXT HERE</w:t>
      </w:r>
    </w:p>
    <w:permEnd w:id="110"/>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111" w:edGrp="everyone"/>
      <w:r>
        <w:t>TYPE YOUR TEXT HERE</w:t>
      </w:r>
    </w:p>
    <w:permEnd w:id="111"/>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lastRenderedPageBreak/>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A2624" w:rsidRDefault="009A2624" w:rsidP="009A2624">
      <w:permStart w:id="112" w:edGrp="everyone"/>
      <w:r>
        <w:t>TYPE YOUR TEXT HERE</w:t>
      </w:r>
    </w:p>
    <w:permEnd w:id="112"/>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113" w:edGrp="everyone"/>
      <w:r>
        <w:t>TYPE YOUR TEXT HERE</w:t>
      </w:r>
    </w:p>
    <w:permEnd w:id="113"/>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71" w:rsidRDefault="00DB5571">
      <w:r>
        <w:separator/>
      </w:r>
    </w:p>
    <w:p w:rsidR="00DB5571" w:rsidRDefault="00DB5571"/>
  </w:endnote>
  <w:endnote w:type="continuationSeparator" w:id="0">
    <w:p w:rsidR="00DB5571" w:rsidRDefault="00DB5571">
      <w:r>
        <w:continuationSeparator/>
      </w:r>
    </w:p>
    <w:p w:rsidR="00DB5571" w:rsidRDefault="00DB5571"/>
  </w:endnote>
  <w:endnote w:type="continuationNotice" w:id="1">
    <w:p w:rsidR="00DB5571" w:rsidRDefault="00DB55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D05E31" w:rsidRPr="00616B9B" w:rsidTr="00315E96">
      <w:trPr>
        <w:trHeight w:val="284"/>
      </w:trPr>
      <w:tc>
        <w:tcPr>
          <w:tcW w:w="8460" w:type="dxa"/>
        </w:tcPr>
        <w:p w:rsidR="00D05E31" w:rsidRPr="00315E96" w:rsidRDefault="00D05E31" w:rsidP="00315E96">
          <w:pPr>
            <w:pStyle w:val="00Footer"/>
            <w:rPr>
              <w:lang w:val="fr-FR"/>
            </w:rPr>
          </w:pPr>
        </w:p>
      </w:tc>
      <w:tc>
        <w:tcPr>
          <w:tcW w:w="952" w:type="dxa"/>
        </w:tcPr>
        <w:p w:rsidR="00D05E31" w:rsidRPr="00616B9B" w:rsidRDefault="00130F53" w:rsidP="002C5B2D">
          <w:pPr>
            <w:pStyle w:val="00aPagenumber"/>
            <w:rPr>
              <w:rFonts w:cs="Arial"/>
              <w:sz w:val="22"/>
              <w:szCs w:val="22"/>
            </w:rPr>
          </w:pPr>
          <w:r w:rsidRPr="00616B9B">
            <w:rPr>
              <w:rFonts w:cs="Arial"/>
              <w:sz w:val="22"/>
              <w:szCs w:val="22"/>
            </w:rPr>
            <w:fldChar w:fldCharType="begin"/>
          </w:r>
          <w:r w:rsidR="00D05E31" w:rsidRPr="00616B9B">
            <w:rPr>
              <w:rFonts w:cs="Arial"/>
              <w:sz w:val="22"/>
              <w:szCs w:val="22"/>
            </w:rPr>
            <w:instrText xml:space="preserve"> PAGE </w:instrText>
          </w:r>
          <w:r w:rsidRPr="00616B9B">
            <w:rPr>
              <w:rFonts w:cs="Arial"/>
              <w:sz w:val="22"/>
              <w:szCs w:val="22"/>
            </w:rPr>
            <w:fldChar w:fldCharType="separate"/>
          </w:r>
          <w:r w:rsidR="00245FDC">
            <w:rPr>
              <w:rFonts w:cs="Arial"/>
              <w:noProof/>
              <w:sz w:val="22"/>
              <w:szCs w:val="22"/>
            </w:rPr>
            <w:t>10</w:t>
          </w:r>
          <w:r w:rsidRPr="00616B9B">
            <w:rPr>
              <w:rFonts w:cs="Arial"/>
              <w:noProof/>
              <w:sz w:val="22"/>
              <w:szCs w:val="22"/>
            </w:rPr>
            <w:fldChar w:fldCharType="end"/>
          </w:r>
        </w:p>
      </w:tc>
    </w:tr>
  </w:tbl>
  <w:p w:rsidR="00D05E31" w:rsidRDefault="00D05E3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31" w:rsidRDefault="00D05E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71" w:rsidRDefault="00DB5571">
      <w:r>
        <w:separator/>
      </w:r>
    </w:p>
    <w:p w:rsidR="00DB5571" w:rsidRDefault="00DB5571"/>
  </w:footnote>
  <w:footnote w:type="continuationSeparator" w:id="0">
    <w:p w:rsidR="00DB5571" w:rsidRDefault="00DB5571">
      <w:r>
        <w:continuationSeparator/>
      </w:r>
    </w:p>
    <w:p w:rsidR="00DB5571" w:rsidRDefault="00DB5571"/>
  </w:footnote>
  <w:footnote w:type="continuationNotice" w:id="1">
    <w:p w:rsidR="00DB5571" w:rsidRDefault="00DB55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31" w:rsidRDefault="00D05E31">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561975"/>
                  </a:xfrm>
                  <a:prstGeom prst="rect">
                    <a:avLst/>
                  </a:prstGeom>
                  <a:noFill/>
                  <a:ln>
                    <a:noFill/>
                  </a:ln>
                </pic:spPr>
              </pic:pic>
            </a:graphicData>
          </a:graphic>
        </wp:anchor>
      </w:drawing>
    </w:r>
    <w:r w:rsidR="00130F53" w:rsidRPr="00130F53">
      <w:rPr>
        <w:noProof/>
        <w:lang w:eastAsia="en-GB"/>
      </w:rPr>
      <w:pict>
        <v:line id="Line 16" o:spid="_x0000_s2049"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31" w:rsidRDefault="00D05E31"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E31" w:rsidRDefault="00D05E3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D05E31" w:rsidRPr="002F4496" w:rsidTr="000C06C9">
      <w:trPr>
        <w:trHeight w:val="284"/>
      </w:trPr>
      <w:tc>
        <w:tcPr>
          <w:tcW w:w="8460" w:type="dxa"/>
        </w:tcPr>
        <w:p w:rsidR="00D05E31" w:rsidRPr="000C3B6D" w:rsidRDefault="00D05E31" w:rsidP="000C06C9">
          <w:pPr>
            <w:pStyle w:val="00Footer"/>
            <w:rPr>
              <w:lang w:val="fr-FR"/>
            </w:rPr>
          </w:pPr>
        </w:p>
      </w:tc>
      <w:tc>
        <w:tcPr>
          <w:tcW w:w="952" w:type="dxa"/>
        </w:tcPr>
        <w:p w:rsidR="00D05E31" w:rsidRPr="00146B34" w:rsidRDefault="00D05E31" w:rsidP="000C06C9">
          <w:pPr>
            <w:pStyle w:val="00aPagenumber"/>
            <w:rPr>
              <w:lang w:val="fr-FR"/>
            </w:rPr>
          </w:pPr>
        </w:p>
      </w:tc>
    </w:tr>
  </w:tbl>
  <w:p w:rsidR="00D05E31" w:rsidRPr="00DB46C3" w:rsidRDefault="00D05E31">
    <w:pPr>
      <w:rPr>
        <w:lang w:val="fr-FR"/>
      </w:rPr>
    </w:pPr>
  </w:p>
  <w:p w:rsidR="00D05E31" w:rsidRPr="002F4496" w:rsidRDefault="00D05E31">
    <w:pPr>
      <w:pStyle w:val="En-tte"/>
      <w:rPr>
        <w:lang w:val="fr-FR"/>
      </w:rPr>
    </w:pPr>
  </w:p>
  <w:p w:rsidR="00D05E31" w:rsidRPr="002F4496" w:rsidRDefault="00D05E31" w:rsidP="000C06C9">
    <w:pPr>
      <w:pStyle w:val="En-tte"/>
      <w:tabs>
        <w:tab w:val="clear" w:pos="4536"/>
        <w:tab w:val="clear" w:pos="9072"/>
        <w:tab w:val="left" w:pos="8227"/>
      </w:tabs>
      <w:rPr>
        <w:lang w:val="fr-FR"/>
      </w:rPr>
    </w:pPr>
  </w:p>
  <w:p w:rsidR="00D05E31" w:rsidRPr="002F4496" w:rsidRDefault="00D05E31" w:rsidP="000C06C9">
    <w:pPr>
      <w:pStyle w:val="En-tte"/>
      <w:tabs>
        <w:tab w:val="clear" w:pos="4536"/>
        <w:tab w:val="clear" w:pos="9072"/>
        <w:tab w:val="left" w:pos="8227"/>
      </w:tabs>
      <w:rPr>
        <w:lang w:val="fr-FR"/>
      </w:rPr>
    </w:pPr>
  </w:p>
  <w:p w:rsidR="00D05E31" w:rsidRPr="002F4496" w:rsidRDefault="00D05E31">
    <w:pPr>
      <w:pStyle w:val="En-tte"/>
      <w:rPr>
        <w:lang w:val="fr-FR"/>
      </w:rPr>
    </w:pPr>
  </w:p>
  <w:p w:rsidR="00D05E31" w:rsidRPr="002F4496" w:rsidRDefault="00D05E31">
    <w:pPr>
      <w:pStyle w:val="En-tte"/>
      <w:rPr>
        <w:lang w:val="fr-FR"/>
      </w:rPr>
    </w:pPr>
  </w:p>
  <w:p w:rsidR="00D05E31" w:rsidRPr="002F4496" w:rsidRDefault="00D05E31">
    <w:pPr>
      <w:pStyle w:val="En-tte"/>
      <w:rPr>
        <w:lang w:val="fr-FR"/>
      </w:rPr>
    </w:pPr>
  </w:p>
  <w:p w:rsidR="00D05E31" w:rsidRPr="002F4496" w:rsidRDefault="00D05E31">
    <w:pPr>
      <w:pStyle w:val="En-tte"/>
      <w:rPr>
        <w:lang w:val="fr-FR"/>
      </w:rPr>
    </w:pPr>
  </w:p>
  <w:p w:rsidR="00D05E31" w:rsidRPr="002F4496" w:rsidRDefault="00D05E31">
    <w:pPr>
      <w:pStyle w:val="En-tte"/>
      <w:rPr>
        <w:highlight w:val="yellow"/>
        <w:lang w:val="fr-FR"/>
      </w:rPr>
    </w:pPr>
  </w:p>
  <w:p w:rsidR="00D05E31" w:rsidRDefault="00130F53">
    <w:pPr>
      <w:pStyle w:val="En-tte"/>
    </w:pPr>
    <w:r w:rsidRPr="00130F53">
      <w:rPr>
        <w:noProof/>
        <w:lang w:eastAsia="en-GB"/>
      </w:rPr>
      <w:pict>
        <v:line id="Straight Connector 138" o:spid="_x0000_s2050"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05E31">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F01"/>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4098">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53"/>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7084"/>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45FDC"/>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0F3"/>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15BD"/>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69F0"/>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38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5E31"/>
    <w:rsid w:val="00D06163"/>
    <w:rsid w:val="00D07AFD"/>
    <w:rsid w:val="00D11749"/>
    <w:rsid w:val="00D12A7D"/>
    <w:rsid w:val="00D13AB0"/>
    <w:rsid w:val="00D1519E"/>
    <w:rsid w:val="00D152B7"/>
    <w:rsid w:val="00D165AA"/>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571"/>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849"/>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3E24"/>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99ED-587B-49AB-BD6C-088F76DF86B0}">
  <ds:schemaRefs>
    <ds:schemaRef ds:uri="http://schemas.openxmlformats.org/officeDocument/2006/bibliography"/>
  </ds:schemaRefs>
</ds:datastoreItem>
</file>

<file path=customXml/itemProps2.xml><?xml version="1.0" encoding="utf-8"?>
<ds:datastoreItem xmlns:ds="http://schemas.openxmlformats.org/officeDocument/2006/customXml" ds:itemID="{98A1545A-EF92-45E3-95DB-21554889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6730</Words>
  <Characters>37015</Characters>
  <Application>Microsoft Office Word</Application>
  <DocSecurity>8</DocSecurity>
  <Lines>308</Lines>
  <Paragraphs>87</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43658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Corinne Chassagne</cp:lastModifiedBy>
  <cp:revision>2</cp:revision>
  <cp:lastPrinted>2015-02-18T11:01:00Z</cp:lastPrinted>
  <dcterms:created xsi:type="dcterms:W3CDTF">2016-03-31T13:41:00Z</dcterms:created>
  <dcterms:modified xsi:type="dcterms:W3CDTF">2016-03-31T13:41:00Z</dcterms:modified>
</cp:coreProperties>
</file>