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386" w:type="dxa"/>
        <w:tblInd w:w="-647" w:type="dxa"/>
        <w:tblLayout w:type="fixed"/>
        <w:tblCellMar>
          <w:left w:w="0" w:type="dxa"/>
          <w:right w:w="0" w:type="dxa"/>
        </w:tblCellMar>
        <w:tblLook w:val="0000" w:firstRow="0" w:lastRow="0" w:firstColumn="0" w:lastColumn="0" w:noHBand="0" w:noVBand="0"/>
      </w:tblPr>
      <w:tblGrid>
        <w:gridCol w:w="8364"/>
        <w:gridCol w:w="22"/>
      </w:tblGrid>
      <w:tr w:rsidR="00894750" w:rsidRPr="00005F09" w:rsidTr="00866369">
        <w:trPr>
          <w:trHeight w:hRule="exact" w:val="1680"/>
        </w:trPr>
        <w:tc>
          <w:tcPr>
            <w:tcW w:w="8364" w:type="dxa"/>
          </w:tcPr>
          <w:p w:rsidR="00894750" w:rsidRPr="00005F09" w:rsidRDefault="00866369" w:rsidP="00866369">
            <w:pPr>
              <w:spacing w:line="216" w:lineRule="atLeast"/>
              <w:jc w:val="center"/>
              <w:rPr>
                <w:b/>
                <w:sz w:val="28"/>
                <w:szCs w:val="28"/>
                <w:lang w:val="en-US"/>
              </w:rPr>
            </w:pPr>
            <w:proofErr w:type="spellStart"/>
            <w:r w:rsidRPr="00005F09">
              <w:rPr>
                <w:b/>
                <w:sz w:val="28"/>
                <w:szCs w:val="28"/>
                <w:lang w:val="en-US"/>
              </w:rPr>
              <w:t>Amundi’s</w:t>
            </w:r>
            <w:proofErr w:type="spellEnd"/>
            <w:r w:rsidRPr="00005F09">
              <w:rPr>
                <w:b/>
                <w:sz w:val="28"/>
                <w:szCs w:val="28"/>
                <w:lang w:val="en-US"/>
              </w:rPr>
              <w:t xml:space="preserve"> response to ESMA’s Consultation Paper on</w:t>
            </w:r>
          </w:p>
          <w:p w:rsidR="00866369" w:rsidRPr="00005F09" w:rsidRDefault="00866369" w:rsidP="00866369">
            <w:pPr>
              <w:spacing w:line="216" w:lineRule="atLeast"/>
              <w:jc w:val="center"/>
              <w:rPr>
                <w:b/>
                <w:sz w:val="28"/>
                <w:szCs w:val="28"/>
                <w:lang w:val="en-US"/>
              </w:rPr>
            </w:pPr>
          </w:p>
          <w:p w:rsidR="00866369" w:rsidRPr="00005F09" w:rsidRDefault="00866369" w:rsidP="00866369">
            <w:pPr>
              <w:spacing w:line="216" w:lineRule="atLeast"/>
              <w:jc w:val="center"/>
              <w:rPr>
                <w:b/>
                <w:sz w:val="28"/>
                <w:szCs w:val="28"/>
                <w:lang w:val="en-US"/>
              </w:rPr>
            </w:pPr>
            <w:r w:rsidRPr="00005F09">
              <w:rPr>
                <w:b/>
                <w:sz w:val="28"/>
                <w:szCs w:val="28"/>
                <w:lang w:val="en-US"/>
              </w:rPr>
              <w:t>Draft Guidelines on the Market Abuse Regulation</w:t>
            </w:r>
          </w:p>
          <w:p w:rsidR="00866369" w:rsidRPr="00005F09" w:rsidRDefault="00866369" w:rsidP="00866369">
            <w:pPr>
              <w:spacing w:line="216" w:lineRule="atLeast"/>
              <w:jc w:val="center"/>
              <w:rPr>
                <w:b/>
                <w:sz w:val="28"/>
                <w:szCs w:val="28"/>
                <w:lang w:val="en-US"/>
              </w:rPr>
            </w:pPr>
          </w:p>
          <w:p w:rsidR="00866369" w:rsidRPr="00005F09" w:rsidRDefault="00866369" w:rsidP="00866369">
            <w:pPr>
              <w:spacing w:line="216" w:lineRule="atLeast"/>
              <w:jc w:val="center"/>
              <w:rPr>
                <w:sz w:val="24"/>
                <w:szCs w:val="24"/>
                <w:lang w:val="en-US"/>
              </w:rPr>
            </w:pPr>
            <w:r w:rsidRPr="00005F09">
              <w:rPr>
                <w:sz w:val="24"/>
                <w:szCs w:val="24"/>
                <w:lang w:val="en-US"/>
              </w:rPr>
              <w:t>(March 31</w:t>
            </w:r>
            <w:r w:rsidRPr="00005F09">
              <w:rPr>
                <w:sz w:val="24"/>
                <w:szCs w:val="24"/>
                <w:vertAlign w:val="superscript"/>
                <w:lang w:val="en-US"/>
              </w:rPr>
              <w:t>st</w:t>
            </w:r>
            <w:r w:rsidRPr="00005F09">
              <w:rPr>
                <w:sz w:val="24"/>
                <w:szCs w:val="24"/>
                <w:lang w:val="en-US"/>
              </w:rPr>
              <w:t>, 2016)</w:t>
            </w:r>
          </w:p>
        </w:tc>
        <w:tc>
          <w:tcPr>
            <w:tcW w:w="22" w:type="dxa"/>
          </w:tcPr>
          <w:p w:rsidR="00894750" w:rsidRPr="00005F09" w:rsidRDefault="00894750">
            <w:pPr>
              <w:spacing w:line="216" w:lineRule="atLeast"/>
              <w:rPr>
                <w:sz w:val="18"/>
                <w:lang w:val="en-US"/>
              </w:rPr>
            </w:pPr>
          </w:p>
        </w:tc>
      </w:tr>
      <w:tr w:rsidR="00894750" w:rsidRPr="00005F09" w:rsidTr="00866369">
        <w:trPr>
          <w:trHeight w:hRule="exact" w:val="200"/>
        </w:trPr>
        <w:tc>
          <w:tcPr>
            <w:tcW w:w="8386" w:type="dxa"/>
            <w:gridSpan w:val="2"/>
          </w:tcPr>
          <w:p w:rsidR="00894750" w:rsidRPr="00005F09" w:rsidRDefault="00894750">
            <w:pPr>
              <w:rPr>
                <w:lang w:val="en-US"/>
              </w:rPr>
            </w:pPr>
          </w:p>
        </w:tc>
      </w:tr>
      <w:tr w:rsidR="00894750" w:rsidRPr="00005F09" w:rsidTr="00866369">
        <w:trPr>
          <w:trHeight w:hRule="exact" w:val="216"/>
        </w:trPr>
        <w:tc>
          <w:tcPr>
            <w:tcW w:w="8386" w:type="dxa"/>
            <w:gridSpan w:val="2"/>
          </w:tcPr>
          <w:p w:rsidR="00894750" w:rsidRPr="00005F09" w:rsidRDefault="00894750">
            <w:pPr>
              <w:rPr>
                <w:lang w:val="en-US"/>
              </w:rPr>
            </w:pPr>
          </w:p>
        </w:tc>
      </w:tr>
    </w:tbl>
    <w:tbl>
      <w:tblPr>
        <w:tblW w:w="6237" w:type="dxa"/>
        <w:tblLayout w:type="fixed"/>
        <w:tblCellMar>
          <w:left w:w="0" w:type="dxa"/>
          <w:right w:w="0" w:type="dxa"/>
        </w:tblCellMar>
        <w:tblLook w:val="00A0" w:firstRow="1" w:lastRow="0" w:firstColumn="1" w:lastColumn="0" w:noHBand="0" w:noVBand="0"/>
      </w:tblPr>
      <w:tblGrid>
        <w:gridCol w:w="6237"/>
      </w:tblGrid>
      <w:tr w:rsidR="00894750" w:rsidRPr="00005F09">
        <w:trPr>
          <w:trHeight w:hRule="exact" w:val="1560"/>
        </w:trPr>
        <w:tc>
          <w:tcPr>
            <w:tcW w:w="6237" w:type="dxa"/>
            <w:vAlign w:val="bottom"/>
          </w:tcPr>
          <w:p w:rsidR="00894750" w:rsidRPr="00005F09" w:rsidRDefault="00894750" w:rsidP="00FE335B">
            <w:pPr>
              <w:pStyle w:val="Adressepieddepage"/>
              <w:framePr w:wrap="notBeside"/>
            </w:pPr>
            <w:r w:rsidRPr="00005F09">
              <w:fldChar w:fldCharType="begin">
                <w:ffData>
                  <w:name w:val="Texte33"/>
                  <w:enabled/>
                  <w:calcOnExit w:val="0"/>
                  <w:textInput>
                    <w:default w:val="Siège social : "/>
                  </w:textInput>
                </w:ffData>
              </w:fldChar>
            </w:r>
            <w:r w:rsidRPr="00005F09">
              <w:instrText xml:space="preserve"> FORMTEXT </w:instrText>
            </w:r>
            <w:r w:rsidRPr="00005F09">
              <w:fldChar w:fldCharType="separate"/>
            </w:r>
            <w:r w:rsidRPr="00005F09">
              <w:rPr>
                <w:noProof/>
              </w:rPr>
              <w:t xml:space="preserve">Siège social : </w:t>
            </w:r>
            <w:r w:rsidRPr="00005F09">
              <w:fldChar w:fldCharType="end"/>
            </w:r>
            <w:r w:rsidRPr="00005F09">
              <w:fldChar w:fldCharType="begin">
                <w:ffData>
                  <w:name w:val="Texte16"/>
                  <w:enabled/>
                  <w:calcOnExit w:val="0"/>
                  <w:textInput>
                    <w:default w:val="90, boulevard Pasteur"/>
                  </w:textInput>
                </w:ffData>
              </w:fldChar>
            </w:r>
            <w:r w:rsidRPr="00005F09">
              <w:instrText xml:space="preserve"> FORMTEXT </w:instrText>
            </w:r>
            <w:r w:rsidRPr="00005F09">
              <w:fldChar w:fldCharType="separate"/>
            </w:r>
            <w:r w:rsidRPr="00005F09">
              <w:rPr>
                <w:noProof/>
              </w:rPr>
              <w:t>90, boulevard Pasteur</w:t>
            </w:r>
            <w:r w:rsidRPr="00005F09">
              <w:fldChar w:fldCharType="end"/>
            </w:r>
            <w:r w:rsidR="00C32D2F" w:rsidRPr="00005F09">
              <w:t xml:space="preserve"> - </w:t>
            </w:r>
            <w:r w:rsidRPr="00005F09">
              <w:fldChar w:fldCharType="begin">
                <w:ffData>
                  <w:name w:val="Texte18"/>
                  <w:enabled/>
                  <w:calcOnExit w:val="0"/>
                  <w:textInput>
                    <w:default w:val="75015 Paris"/>
                  </w:textInput>
                </w:ffData>
              </w:fldChar>
            </w:r>
            <w:r w:rsidRPr="00005F09">
              <w:instrText xml:space="preserve"> FORMTEXT </w:instrText>
            </w:r>
            <w:r w:rsidRPr="00005F09">
              <w:fldChar w:fldCharType="separate"/>
            </w:r>
            <w:r w:rsidRPr="00005F09">
              <w:rPr>
                <w:noProof/>
              </w:rPr>
              <w:t>75015 Paris</w:t>
            </w:r>
            <w:r w:rsidRPr="00005F09">
              <w:fldChar w:fldCharType="end"/>
            </w:r>
            <w:r w:rsidRPr="00005F09">
              <w:fldChar w:fldCharType="begin">
                <w:ffData>
                  <w:name w:val="Texte19"/>
                  <w:enabled/>
                  <w:calcOnExit w:val="0"/>
                  <w:textInput>
                    <w:default w:val=" - "/>
                  </w:textInput>
                </w:ffData>
              </w:fldChar>
            </w:r>
            <w:r w:rsidRPr="00005F09">
              <w:instrText xml:space="preserve"> FORMTEXT </w:instrText>
            </w:r>
            <w:r w:rsidRPr="00005F09">
              <w:fldChar w:fldCharType="separate"/>
            </w:r>
            <w:r w:rsidRPr="00005F09">
              <w:rPr>
                <w:noProof/>
              </w:rPr>
              <w:t xml:space="preserve"> - </w:t>
            </w:r>
            <w:r w:rsidRPr="00005F09">
              <w:fldChar w:fldCharType="end"/>
            </w:r>
            <w:r w:rsidRPr="00005F09">
              <w:fldChar w:fldCharType="begin">
                <w:ffData>
                  <w:name w:val="Texte20"/>
                  <w:enabled/>
                  <w:calcOnExit w:val="0"/>
                  <w:textInput>
                    <w:default w:val="France"/>
                  </w:textInput>
                </w:ffData>
              </w:fldChar>
            </w:r>
            <w:r w:rsidRPr="00005F09">
              <w:instrText xml:space="preserve"> FORMTEXT </w:instrText>
            </w:r>
            <w:r w:rsidRPr="00005F09">
              <w:fldChar w:fldCharType="separate"/>
            </w:r>
            <w:r w:rsidRPr="00005F09">
              <w:rPr>
                <w:noProof/>
              </w:rPr>
              <w:t>France</w:t>
            </w:r>
            <w:r w:rsidRPr="00005F09">
              <w:fldChar w:fldCharType="end"/>
            </w:r>
          </w:p>
          <w:p w:rsidR="00894750" w:rsidRPr="00005F09" w:rsidRDefault="00894750" w:rsidP="00FE335B">
            <w:pPr>
              <w:pStyle w:val="Adressepieddepage"/>
              <w:framePr w:wrap="notBeside"/>
            </w:pPr>
            <w:r w:rsidRPr="00005F09">
              <w:fldChar w:fldCharType="begin">
                <w:ffData>
                  <w:name w:val="Texte34"/>
                  <w:enabled/>
                  <w:calcOnExit w:val="0"/>
                  <w:textInput>
                    <w:default w:val="Adresse postale : "/>
                  </w:textInput>
                </w:ffData>
              </w:fldChar>
            </w:r>
            <w:r w:rsidRPr="00005F09">
              <w:instrText xml:space="preserve"> FORMTEXT </w:instrText>
            </w:r>
            <w:r w:rsidRPr="00005F09">
              <w:fldChar w:fldCharType="separate"/>
            </w:r>
            <w:r w:rsidRPr="00005F09">
              <w:rPr>
                <w:noProof/>
              </w:rPr>
              <w:t xml:space="preserve">Adresse postale : </w:t>
            </w:r>
            <w:r w:rsidRPr="00005F09">
              <w:fldChar w:fldCharType="end"/>
            </w:r>
            <w:r w:rsidRPr="00005F09">
              <w:fldChar w:fldCharType="begin">
                <w:ffData>
                  <w:name w:val="Texte35"/>
                  <w:enabled/>
                  <w:calcOnExit w:val="0"/>
                  <w:textInput>
                    <w:default w:val="90, boulevard Pasteur"/>
                  </w:textInput>
                </w:ffData>
              </w:fldChar>
            </w:r>
            <w:r w:rsidRPr="00005F09">
              <w:instrText xml:space="preserve"> FORMTEXT </w:instrText>
            </w:r>
            <w:r w:rsidRPr="00005F09">
              <w:fldChar w:fldCharType="separate"/>
            </w:r>
            <w:r w:rsidRPr="00005F09">
              <w:rPr>
                <w:noProof/>
              </w:rPr>
              <w:t>90, boulevard Pasteur</w:t>
            </w:r>
            <w:r w:rsidRPr="00005F09">
              <w:fldChar w:fldCharType="end"/>
            </w:r>
            <w:r w:rsidR="00FE335B" w:rsidRPr="00005F09">
              <w:t xml:space="preserve"> - CS 21 564 </w:t>
            </w:r>
            <w:r w:rsidRPr="00005F09">
              <w:fldChar w:fldCharType="begin">
                <w:ffData>
                  <w:name w:val="Texte36"/>
                  <w:enabled/>
                  <w:calcOnExit w:val="0"/>
                  <w:textInput>
                    <w:default w:val=" - "/>
                  </w:textInput>
                </w:ffData>
              </w:fldChar>
            </w:r>
            <w:r w:rsidRPr="00005F09">
              <w:instrText xml:space="preserve"> FORMTEXT </w:instrText>
            </w:r>
            <w:r w:rsidRPr="00005F09">
              <w:fldChar w:fldCharType="separate"/>
            </w:r>
            <w:r w:rsidRPr="00005F09">
              <w:rPr>
                <w:noProof/>
              </w:rPr>
              <w:t xml:space="preserve"> - </w:t>
            </w:r>
            <w:r w:rsidRPr="00005F09">
              <w:fldChar w:fldCharType="end"/>
            </w:r>
            <w:r w:rsidRPr="00005F09">
              <w:fldChar w:fldCharType="begin">
                <w:ffData>
                  <w:name w:val="Texte37"/>
                  <w:enabled/>
                  <w:calcOnExit w:val="0"/>
                  <w:textInput>
                    <w:default w:val="75730 Paris Cedex 15"/>
                  </w:textInput>
                </w:ffData>
              </w:fldChar>
            </w:r>
            <w:bookmarkStart w:id="0" w:name="Texte37"/>
            <w:r w:rsidRPr="00005F09">
              <w:instrText xml:space="preserve"> FORMTEXT </w:instrText>
            </w:r>
            <w:r w:rsidRPr="00005F09">
              <w:fldChar w:fldCharType="separate"/>
            </w:r>
            <w:r w:rsidRPr="00005F09">
              <w:rPr>
                <w:noProof/>
              </w:rPr>
              <w:t>75730 Paris Cedex 15</w:t>
            </w:r>
            <w:r w:rsidRPr="00005F09">
              <w:fldChar w:fldCharType="end"/>
            </w:r>
            <w:bookmarkEnd w:id="0"/>
            <w:r w:rsidRPr="00005F09">
              <w:fldChar w:fldCharType="begin">
                <w:ffData>
                  <w:name w:val="Texte38"/>
                  <w:enabled/>
                  <w:calcOnExit w:val="0"/>
                  <w:textInput>
                    <w:default w:val=" - "/>
                  </w:textInput>
                </w:ffData>
              </w:fldChar>
            </w:r>
            <w:r w:rsidRPr="00005F09">
              <w:instrText xml:space="preserve"> FORMTEXT </w:instrText>
            </w:r>
            <w:r w:rsidRPr="00005F09">
              <w:fldChar w:fldCharType="separate"/>
            </w:r>
            <w:r w:rsidRPr="00005F09">
              <w:rPr>
                <w:noProof/>
              </w:rPr>
              <w:t xml:space="preserve"> - </w:t>
            </w:r>
            <w:r w:rsidRPr="00005F09">
              <w:fldChar w:fldCharType="end"/>
            </w:r>
            <w:r w:rsidRPr="00005F09">
              <w:fldChar w:fldCharType="begin">
                <w:ffData>
                  <w:name w:val="Texte39"/>
                  <w:enabled/>
                  <w:calcOnExit w:val="0"/>
                  <w:textInput>
                    <w:default w:val="France"/>
                  </w:textInput>
                </w:ffData>
              </w:fldChar>
            </w:r>
            <w:r w:rsidRPr="00005F09">
              <w:instrText xml:space="preserve"> FORMTEXT </w:instrText>
            </w:r>
            <w:r w:rsidRPr="00005F09">
              <w:fldChar w:fldCharType="separate"/>
            </w:r>
            <w:r w:rsidRPr="00005F09">
              <w:rPr>
                <w:noProof/>
              </w:rPr>
              <w:t>France</w:t>
            </w:r>
            <w:r w:rsidRPr="00005F09">
              <w:fldChar w:fldCharType="end"/>
            </w:r>
          </w:p>
          <w:p w:rsidR="00894750" w:rsidRPr="00005F09" w:rsidRDefault="00894750" w:rsidP="00894750">
            <w:pPr>
              <w:pStyle w:val="Adressepieddepage"/>
              <w:framePr w:wrap="notBeside"/>
            </w:pPr>
            <w:r w:rsidRPr="00005F09">
              <w:fldChar w:fldCharType="begin">
                <w:ffData>
                  <w:name w:val="Texte21"/>
                  <w:enabled/>
                  <w:calcOnExit w:val="0"/>
                  <w:textInput>
                    <w:default w:val="Tél. : "/>
                  </w:textInput>
                </w:ffData>
              </w:fldChar>
            </w:r>
            <w:bookmarkStart w:id="1" w:name="Texte21"/>
            <w:r w:rsidRPr="00005F09">
              <w:instrText xml:space="preserve"> FORMTEXT </w:instrText>
            </w:r>
            <w:r w:rsidRPr="00005F09">
              <w:fldChar w:fldCharType="separate"/>
            </w:r>
            <w:r w:rsidRPr="00005F09">
              <w:rPr>
                <w:noProof/>
              </w:rPr>
              <w:t xml:space="preserve">Tél. : </w:t>
            </w:r>
            <w:r w:rsidRPr="00005F09">
              <w:fldChar w:fldCharType="end"/>
            </w:r>
            <w:bookmarkStart w:id="2" w:name="Texte22"/>
            <w:bookmarkEnd w:id="1"/>
            <w:r w:rsidRPr="00005F09">
              <w:fldChar w:fldCharType="begin">
                <w:ffData>
                  <w:name w:val="Texte22"/>
                  <w:enabled/>
                  <w:calcOnExit w:val="0"/>
                  <w:textInput>
                    <w:default w:val="+33 (0)1 76 33 30 30"/>
                  </w:textInput>
                </w:ffData>
              </w:fldChar>
            </w:r>
            <w:r w:rsidRPr="00005F09">
              <w:instrText xml:space="preserve"> FORMTEXT </w:instrText>
            </w:r>
            <w:r w:rsidRPr="00005F09">
              <w:fldChar w:fldCharType="separate"/>
            </w:r>
            <w:r w:rsidRPr="00005F09">
              <w:rPr>
                <w:noProof/>
              </w:rPr>
              <w:t>+33 (0)1 76 33 30 30</w:t>
            </w:r>
            <w:r w:rsidRPr="00005F09">
              <w:fldChar w:fldCharType="end"/>
            </w:r>
            <w:bookmarkEnd w:id="2"/>
            <w:r w:rsidRPr="00005F09">
              <w:fldChar w:fldCharType="begin">
                <w:ffData>
                  <w:name w:val="Texte23"/>
                  <w:enabled/>
                  <w:calcOnExit w:val="0"/>
                  <w:textInput>
                    <w:default w:val=" - "/>
                  </w:textInput>
                </w:ffData>
              </w:fldChar>
            </w:r>
            <w:r w:rsidRPr="00005F09">
              <w:instrText xml:space="preserve"> FORMTEXT </w:instrText>
            </w:r>
            <w:r w:rsidRPr="00005F09">
              <w:fldChar w:fldCharType="separate"/>
            </w:r>
            <w:r w:rsidRPr="00005F09">
              <w:rPr>
                <w:noProof/>
              </w:rPr>
              <w:t xml:space="preserve"> - </w:t>
            </w:r>
            <w:r w:rsidRPr="00005F09">
              <w:fldChar w:fldCharType="end"/>
            </w:r>
            <w:r w:rsidRPr="00005F09">
              <w:fldChar w:fldCharType="begin">
                <w:ffData>
                  <w:name w:val="Texte24"/>
                  <w:enabled/>
                  <w:calcOnExit w:val="0"/>
                  <w:textInput>
                    <w:default w:val="amundi.com"/>
                  </w:textInput>
                </w:ffData>
              </w:fldChar>
            </w:r>
            <w:r w:rsidRPr="00005F09">
              <w:instrText xml:space="preserve"> FORMTEXT </w:instrText>
            </w:r>
            <w:r w:rsidRPr="00005F09">
              <w:fldChar w:fldCharType="separate"/>
            </w:r>
            <w:r w:rsidRPr="00005F09">
              <w:rPr>
                <w:noProof/>
              </w:rPr>
              <w:t>amundi.com</w:t>
            </w:r>
            <w:r w:rsidRPr="00005F09">
              <w:fldChar w:fldCharType="end"/>
            </w:r>
          </w:p>
          <w:p w:rsidR="00894750" w:rsidRPr="00005F09" w:rsidRDefault="00894750" w:rsidP="00894750">
            <w:pPr>
              <w:framePr w:w="6521" w:h="57" w:wrap="notBeside" w:vAnchor="page" w:hAnchor="page" w:x="681" w:y="14460" w:anchorLock="1"/>
              <w:spacing w:line="60" w:lineRule="exact"/>
              <w:rPr>
                <w:color w:val="00235D"/>
              </w:rPr>
            </w:pPr>
          </w:p>
          <w:p w:rsidR="00894750" w:rsidRPr="00005F09" w:rsidRDefault="00894750" w:rsidP="00894750">
            <w:pPr>
              <w:pStyle w:val="Capitaletrfrences"/>
              <w:framePr w:wrap="notBeside"/>
            </w:pPr>
            <w:r w:rsidRPr="00005F09">
              <w:fldChar w:fldCharType="begin">
                <w:ffData>
                  <w:name w:val="Texte25"/>
                  <w:enabled/>
                  <w:calcOnExit w:val="0"/>
                  <w:textInput>
                    <w:default w:val="Société Anonyme au capital de "/>
                  </w:textInput>
                </w:ffData>
              </w:fldChar>
            </w:r>
            <w:r w:rsidRPr="00005F09">
              <w:instrText xml:space="preserve"> FORMTEXT </w:instrText>
            </w:r>
            <w:r w:rsidRPr="00005F09">
              <w:fldChar w:fldCharType="separate"/>
            </w:r>
            <w:r w:rsidRPr="00005F09">
              <w:rPr>
                <w:noProof/>
              </w:rPr>
              <w:t xml:space="preserve">Société Anonyme au capital de </w:t>
            </w:r>
            <w:r w:rsidRPr="00005F09">
              <w:fldChar w:fldCharType="end"/>
            </w:r>
            <w:r w:rsidR="00D25334" w:rsidRPr="00005F09">
              <w:t>596 262 615</w:t>
            </w:r>
            <w:r w:rsidRPr="00005F09">
              <w:fldChar w:fldCharType="begin">
                <w:ffData>
                  <w:name w:val="Texte27"/>
                  <w:enabled/>
                  <w:calcOnExit w:val="0"/>
                  <w:textInput>
                    <w:default w:val=" euros"/>
                  </w:textInput>
                </w:ffData>
              </w:fldChar>
            </w:r>
            <w:r w:rsidRPr="00005F09">
              <w:instrText xml:space="preserve"> FORMTEXT </w:instrText>
            </w:r>
            <w:r w:rsidRPr="00005F09">
              <w:fldChar w:fldCharType="separate"/>
            </w:r>
            <w:r w:rsidRPr="00005F09">
              <w:rPr>
                <w:noProof/>
              </w:rPr>
              <w:t xml:space="preserve"> euros</w:t>
            </w:r>
            <w:r w:rsidRPr="00005F09">
              <w:fldChar w:fldCharType="end"/>
            </w:r>
            <w:r w:rsidRPr="00005F09">
              <w:fldChar w:fldCharType="begin">
                <w:ffData>
                  <w:name w:val="Texte40"/>
                  <w:enabled/>
                  <w:calcOnExit w:val="0"/>
                  <w:textInput>
                    <w:default w:val=" - "/>
                  </w:textInput>
                </w:ffData>
              </w:fldChar>
            </w:r>
            <w:r w:rsidRPr="00005F09">
              <w:instrText xml:space="preserve"> FORMTEXT </w:instrText>
            </w:r>
            <w:r w:rsidRPr="00005F09">
              <w:fldChar w:fldCharType="separate"/>
            </w:r>
            <w:r w:rsidRPr="00005F09">
              <w:rPr>
                <w:noProof/>
              </w:rPr>
              <w:t xml:space="preserve"> - </w:t>
            </w:r>
            <w:r w:rsidRPr="00005F09">
              <w:fldChar w:fldCharType="end"/>
            </w:r>
            <w:r w:rsidRPr="00005F09">
              <w:fldChar w:fldCharType="begin">
                <w:ffData>
                  <w:name w:val="Texte41"/>
                  <w:enabled/>
                  <w:calcOnExit w:val="0"/>
                  <w:textInput>
                    <w:default w:val="437 574 452"/>
                  </w:textInput>
                </w:ffData>
              </w:fldChar>
            </w:r>
            <w:r w:rsidRPr="00005F09">
              <w:instrText xml:space="preserve"> FORMTEXT </w:instrText>
            </w:r>
            <w:r w:rsidRPr="00005F09">
              <w:fldChar w:fldCharType="separate"/>
            </w:r>
            <w:r w:rsidRPr="00005F09">
              <w:rPr>
                <w:noProof/>
              </w:rPr>
              <w:t>437 574 452</w:t>
            </w:r>
            <w:r w:rsidRPr="00005F09">
              <w:fldChar w:fldCharType="end"/>
            </w:r>
            <w:r w:rsidRPr="00005F09">
              <w:fldChar w:fldCharType="begin">
                <w:ffData>
                  <w:name w:val="Texte42"/>
                  <w:enabled/>
                  <w:calcOnExit w:val="0"/>
                  <w:textInput>
                    <w:default w:val=" RCS Paris"/>
                  </w:textInput>
                </w:ffData>
              </w:fldChar>
            </w:r>
            <w:bookmarkStart w:id="3" w:name="Texte42"/>
            <w:r w:rsidRPr="00005F09">
              <w:instrText xml:space="preserve"> FORMTEXT </w:instrText>
            </w:r>
            <w:r w:rsidRPr="00005F09">
              <w:fldChar w:fldCharType="separate"/>
            </w:r>
            <w:r w:rsidRPr="00005F09">
              <w:rPr>
                <w:noProof/>
              </w:rPr>
              <w:t xml:space="preserve"> RCS Paris</w:t>
            </w:r>
            <w:r w:rsidRPr="00005F09">
              <w:fldChar w:fldCharType="end"/>
            </w:r>
            <w:bookmarkEnd w:id="3"/>
          </w:p>
          <w:p w:rsidR="00894750" w:rsidRPr="00005F09" w:rsidRDefault="00894750" w:rsidP="00894750">
            <w:pPr>
              <w:pStyle w:val="Capitaletrfrences"/>
              <w:framePr w:wrap="notBeside"/>
            </w:pPr>
            <w:r w:rsidRPr="00005F09">
              <w:fldChar w:fldCharType="begin">
                <w:ffData>
                  <w:name w:val="Texte28"/>
                  <w:enabled/>
                  <w:calcOnExit w:val="0"/>
                  <w:textInput>
                    <w:default w:val="Société de Gestion de Portefeuille agréée par l'AMF (Autorité des Marchés Financiers) n° "/>
                  </w:textInput>
                </w:ffData>
              </w:fldChar>
            </w:r>
            <w:r w:rsidRPr="00005F09">
              <w:instrText xml:space="preserve"> FORMTEXT </w:instrText>
            </w:r>
            <w:r w:rsidRPr="00005F09">
              <w:fldChar w:fldCharType="separate"/>
            </w:r>
            <w:r w:rsidRPr="00005F09">
              <w:rPr>
                <w:noProof/>
              </w:rPr>
              <w:t xml:space="preserve">Société de Gestion de Portefeuille agréée par l'AMF (Autorité des Marchés Financiers) </w:t>
            </w:r>
            <w:r w:rsidRPr="00005F09">
              <w:rPr>
                <w:noProof/>
              </w:rPr>
              <w:br/>
              <w:t xml:space="preserve">n° </w:t>
            </w:r>
            <w:r w:rsidRPr="00005F09">
              <w:fldChar w:fldCharType="end"/>
            </w:r>
            <w:r w:rsidRPr="00005F09">
              <w:fldChar w:fldCharType="begin">
                <w:ffData>
                  <w:name w:val="Texte29"/>
                  <w:enabled/>
                  <w:calcOnExit w:val="0"/>
                  <w:textInput>
                    <w:default w:val="GP 04000036"/>
                  </w:textInput>
                </w:ffData>
              </w:fldChar>
            </w:r>
            <w:bookmarkStart w:id="4" w:name="Texte29"/>
            <w:r w:rsidRPr="00005F09">
              <w:instrText xml:space="preserve"> FORMTEXT </w:instrText>
            </w:r>
            <w:r w:rsidRPr="00005F09">
              <w:fldChar w:fldCharType="separate"/>
            </w:r>
            <w:r w:rsidRPr="00005F09">
              <w:rPr>
                <w:noProof/>
              </w:rPr>
              <w:t>GP 04000036</w:t>
            </w:r>
            <w:r w:rsidRPr="00005F09">
              <w:fldChar w:fldCharType="end"/>
            </w:r>
            <w:bookmarkEnd w:id="4"/>
            <w:r w:rsidRPr="00005F09">
              <w:fldChar w:fldCharType="begin">
                <w:ffData>
                  <w:name w:val="Texte43"/>
                  <w:enabled/>
                  <w:calcOnExit w:val="0"/>
                  <w:textInput>
                    <w:default w:val="."/>
                  </w:textInput>
                </w:ffData>
              </w:fldChar>
            </w:r>
            <w:bookmarkStart w:id="5" w:name="Texte43"/>
            <w:r w:rsidRPr="00005F09">
              <w:instrText xml:space="preserve"> FORMTEXT </w:instrText>
            </w:r>
            <w:r w:rsidRPr="00005F09">
              <w:fldChar w:fldCharType="separate"/>
            </w:r>
            <w:r w:rsidRPr="00005F09">
              <w:rPr>
                <w:noProof/>
              </w:rPr>
              <w:t>.</w:t>
            </w:r>
            <w:r w:rsidRPr="00005F09">
              <w:fldChar w:fldCharType="end"/>
            </w:r>
            <w:bookmarkEnd w:id="5"/>
          </w:p>
        </w:tc>
      </w:tr>
    </w:tbl>
    <w:p w:rsidR="00894750" w:rsidRPr="00005F09" w:rsidRDefault="00894750"/>
    <w:p w:rsidR="00894750" w:rsidRPr="00005F09" w:rsidRDefault="00894750"/>
    <w:p w:rsidR="00894750" w:rsidRPr="00005F09" w:rsidRDefault="00894750">
      <w:pPr>
        <w:sectPr w:rsidR="00894750" w:rsidRPr="00005F09">
          <w:headerReference w:type="default" r:id="rId8"/>
          <w:footerReference w:type="default" r:id="rId9"/>
          <w:headerReference w:type="first" r:id="rId10"/>
          <w:footerReference w:type="first" r:id="rId11"/>
          <w:type w:val="continuous"/>
          <w:pgSz w:w="11906" w:h="16838"/>
          <w:pgMar w:top="680" w:right="680" w:bottom="851" w:left="2852" w:header="567" w:footer="567" w:gutter="0"/>
          <w:cols w:space="709"/>
          <w:titlePg/>
        </w:sectPr>
      </w:pPr>
    </w:p>
    <w:p w:rsidR="006451E6" w:rsidRPr="00005F09" w:rsidRDefault="00866369" w:rsidP="00866369">
      <w:pPr>
        <w:spacing w:after="120"/>
        <w:jc w:val="both"/>
        <w:rPr>
          <w:rFonts w:ascii="Calibri" w:hAnsi="Calibri" w:cs="Calibri"/>
          <w:sz w:val="22"/>
          <w:szCs w:val="22"/>
          <w:lang w:val="en-GB"/>
        </w:rPr>
      </w:pPr>
      <w:r w:rsidRPr="00005F09">
        <w:rPr>
          <w:rFonts w:ascii="Calibri" w:hAnsi="Calibri" w:cs="Calibri"/>
          <w:sz w:val="22"/>
          <w:szCs w:val="22"/>
          <w:lang w:val="en-US"/>
        </w:rPr>
        <w:lastRenderedPageBreak/>
        <w:t xml:space="preserve">With assets under management above € 985 billion at the end of 2015, Amundi  is the leading asset manager in Europe and ranks in the top 10 of the industry worldwide. </w:t>
      </w:r>
      <w:r w:rsidRPr="00005F09">
        <w:rPr>
          <w:rFonts w:ascii="Calibri" w:eastAsia="MS Mincho" w:hAnsi="Calibri" w:cs="Calibri"/>
          <w:snapToGrid w:val="0"/>
          <w:sz w:val="22"/>
          <w:szCs w:val="22"/>
          <w:lang w:val="en-GB" w:eastAsia="en-US"/>
        </w:rPr>
        <w:t xml:space="preserve">Located at the heart of the main investment regions in more than 30 countries, Amundi offers a comprehensive range of products covering all asset classes and major currencies. Amundi has developed savings solutions to meet the needs of more than 100 million retail clients worldwide and designs innovative, high-performing products which are tailored specifically to the requirements and risk profile of  institutional  and corporate clients. </w:t>
      </w:r>
      <w:r w:rsidRPr="00005F09">
        <w:rPr>
          <w:rFonts w:ascii="Calibri" w:hAnsi="Calibri" w:cs="Calibri"/>
          <w:sz w:val="22"/>
          <w:szCs w:val="22"/>
          <w:lang w:val="en-GB"/>
        </w:rPr>
        <w:t xml:space="preserve">Amundi is a listed company with Credit </w:t>
      </w:r>
      <w:proofErr w:type="spellStart"/>
      <w:r w:rsidRPr="00005F09">
        <w:rPr>
          <w:rFonts w:ascii="Calibri" w:hAnsi="Calibri" w:cs="Calibri"/>
          <w:sz w:val="22"/>
          <w:szCs w:val="22"/>
          <w:lang w:val="en-GB"/>
        </w:rPr>
        <w:t>Agricole</w:t>
      </w:r>
      <w:proofErr w:type="spellEnd"/>
      <w:r w:rsidRPr="00005F09">
        <w:rPr>
          <w:rFonts w:ascii="Calibri" w:hAnsi="Calibri" w:cs="Calibri"/>
          <w:sz w:val="22"/>
          <w:szCs w:val="22"/>
          <w:lang w:val="en-GB"/>
        </w:rPr>
        <w:t xml:space="preserve"> Group as its majority shareholder. </w:t>
      </w:r>
    </w:p>
    <w:p w:rsidR="00866369" w:rsidRPr="00005F09" w:rsidRDefault="00866369" w:rsidP="00866369">
      <w:pPr>
        <w:spacing w:after="120"/>
        <w:jc w:val="both"/>
        <w:rPr>
          <w:rFonts w:ascii="Calibri" w:hAnsi="Calibri" w:cs="Calibri"/>
          <w:sz w:val="22"/>
          <w:szCs w:val="22"/>
          <w:lang w:val="en-GB"/>
        </w:rPr>
      </w:pPr>
      <w:r w:rsidRPr="00005F09">
        <w:rPr>
          <w:rFonts w:ascii="Calibri" w:hAnsi="Calibri" w:cs="Calibri"/>
          <w:sz w:val="22"/>
          <w:szCs w:val="22"/>
          <w:lang w:val="en-GB"/>
        </w:rPr>
        <w:t xml:space="preserve">In its organisation and the conduct of its business, Amundi is very sensitive to issues relating to Market Abuse and </w:t>
      </w:r>
      <w:r w:rsidR="006451E6" w:rsidRPr="00005F09">
        <w:rPr>
          <w:rFonts w:ascii="Calibri" w:hAnsi="Calibri" w:cs="Calibri"/>
          <w:sz w:val="22"/>
          <w:szCs w:val="22"/>
          <w:lang w:val="en-GB"/>
        </w:rPr>
        <w:t>aims at exemplarity in the implementation of</w:t>
      </w:r>
      <w:r w:rsidRPr="00005F09">
        <w:rPr>
          <w:rFonts w:ascii="Calibri" w:hAnsi="Calibri" w:cs="Calibri"/>
          <w:sz w:val="22"/>
          <w:szCs w:val="22"/>
          <w:lang w:val="en-GB"/>
        </w:rPr>
        <w:t xml:space="preserve"> the highest standards </w:t>
      </w:r>
      <w:r w:rsidR="006451E6" w:rsidRPr="00005F09">
        <w:rPr>
          <w:rFonts w:ascii="Calibri" w:hAnsi="Calibri" w:cs="Calibri"/>
          <w:sz w:val="22"/>
          <w:szCs w:val="22"/>
          <w:lang w:val="en-GB"/>
        </w:rPr>
        <w:t xml:space="preserve">in the industry. </w:t>
      </w:r>
      <w:r w:rsidR="00010DDE" w:rsidRPr="00005F09">
        <w:rPr>
          <w:rFonts w:ascii="Calibri" w:hAnsi="Calibri" w:cs="Calibri"/>
          <w:sz w:val="22"/>
          <w:szCs w:val="22"/>
          <w:lang w:val="en-GB"/>
        </w:rPr>
        <w:t>Amundi wishes to thank ESMA for consulting on</w:t>
      </w:r>
      <w:r w:rsidR="006451E6" w:rsidRPr="00005F09">
        <w:rPr>
          <w:rFonts w:ascii="Calibri" w:hAnsi="Calibri" w:cs="Calibri"/>
          <w:sz w:val="22"/>
          <w:szCs w:val="22"/>
          <w:lang w:val="en-GB"/>
        </w:rPr>
        <w:t xml:space="preserve"> two guidelines</w:t>
      </w:r>
      <w:r w:rsidR="00010DDE" w:rsidRPr="00005F09">
        <w:rPr>
          <w:rFonts w:ascii="Calibri" w:hAnsi="Calibri" w:cs="Calibri"/>
          <w:sz w:val="22"/>
          <w:szCs w:val="22"/>
          <w:lang w:val="en-GB"/>
        </w:rPr>
        <w:t xml:space="preserve"> which impact, potentially and to different degrees,  several of its fields of activity</w:t>
      </w:r>
      <w:r w:rsidR="006451E6" w:rsidRPr="00005F09">
        <w:rPr>
          <w:rFonts w:ascii="Calibri" w:hAnsi="Calibri" w:cs="Calibri"/>
          <w:sz w:val="22"/>
          <w:szCs w:val="22"/>
          <w:lang w:val="en-GB"/>
        </w:rPr>
        <w:t xml:space="preserve">. </w:t>
      </w:r>
    </w:p>
    <w:p w:rsidR="00247B9A" w:rsidRPr="00005F09" w:rsidRDefault="006451E6" w:rsidP="00866369">
      <w:pPr>
        <w:spacing w:after="120"/>
        <w:jc w:val="both"/>
        <w:rPr>
          <w:rFonts w:ascii="Calibri" w:hAnsi="Calibri" w:cs="Calibri"/>
          <w:sz w:val="22"/>
          <w:szCs w:val="22"/>
          <w:lang w:val="en-GB"/>
        </w:rPr>
      </w:pPr>
      <w:proofErr w:type="spellStart"/>
      <w:r w:rsidRPr="00005F09">
        <w:rPr>
          <w:rFonts w:ascii="Calibri" w:hAnsi="Calibri" w:cs="Calibri"/>
          <w:sz w:val="22"/>
          <w:szCs w:val="22"/>
          <w:lang w:val="en-GB"/>
        </w:rPr>
        <w:t>Amundi</w:t>
      </w:r>
      <w:r w:rsidR="00010DDE" w:rsidRPr="00005F09">
        <w:rPr>
          <w:rFonts w:ascii="Calibri" w:hAnsi="Calibri" w:cs="Calibri"/>
          <w:sz w:val="22"/>
          <w:szCs w:val="22"/>
          <w:lang w:val="en-GB"/>
        </w:rPr>
        <w:t>’s</w:t>
      </w:r>
      <w:proofErr w:type="spellEnd"/>
      <w:r w:rsidRPr="00005F09">
        <w:rPr>
          <w:rFonts w:ascii="Calibri" w:hAnsi="Calibri" w:cs="Calibri"/>
          <w:sz w:val="22"/>
          <w:szCs w:val="22"/>
          <w:lang w:val="en-GB"/>
        </w:rPr>
        <w:t xml:space="preserve"> general view is that </w:t>
      </w:r>
      <w:r w:rsidR="00247B9A" w:rsidRPr="00005F09">
        <w:rPr>
          <w:rFonts w:ascii="Calibri" w:hAnsi="Calibri" w:cs="Calibri"/>
          <w:sz w:val="22"/>
          <w:szCs w:val="22"/>
          <w:lang w:val="en-GB"/>
        </w:rPr>
        <w:t>:</w:t>
      </w:r>
    </w:p>
    <w:p w:rsidR="007A0496" w:rsidRPr="00005F09" w:rsidRDefault="007A0496" w:rsidP="007A0496">
      <w:pPr>
        <w:pStyle w:val="Default"/>
        <w:numPr>
          <w:ilvl w:val="0"/>
          <w:numId w:val="1"/>
        </w:numPr>
        <w:spacing w:after="120"/>
        <w:jc w:val="both"/>
        <w:rPr>
          <w:rFonts w:asciiTheme="minorHAnsi" w:hAnsiTheme="minorHAnsi" w:cstheme="minorHAnsi"/>
          <w:sz w:val="22"/>
          <w:szCs w:val="22"/>
        </w:rPr>
      </w:pPr>
      <w:r w:rsidRPr="00005F09">
        <w:rPr>
          <w:rFonts w:asciiTheme="minorHAnsi" w:hAnsiTheme="minorHAnsi" w:cstheme="minorHAnsi"/>
          <w:sz w:val="22"/>
          <w:szCs w:val="22"/>
        </w:rPr>
        <w:t>market soundings (see recital 32) are very useful to ensure the best possible pricing of an issue and thus participate to a m</w:t>
      </w:r>
      <w:r w:rsidR="00010DDE" w:rsidRPr="00005F09">
        <w:rPr>
          <w:rFonts w:asciiTheme="minorHAnsi" w:hAnsiTheme="minorHAnsi" w:cstheme="minorHAnsi"/>
          <w:sz w:val="22"/>
          <w:szCs w:val="22"/>
        </w:rPr>
        <w:t>ore efficient financial market; w</w:t>
      </w:r>
      <w:r w:rsidRPr="00005F09">
        <w:rPr>
          <w:rFonts w:asciiTheme="minorHAnsi" w:hAnsiTheme="minorHAnsi" w:cstheme="minorHAnsi"/>
          <w:sz w:val="22"/>
          <w:szCs w:val="22"/>
        </w:rPr>
        <w:t xml:space="preserve">e believe that it is important to offer a framework that is simple and safe for all participants; </w:t>
      </w:r>
    </w:p>
    <w:p w:rsidR="006451E6" w:rsidRPr="00005F09" w:rsidRDefault="006451E6" w:rsidP="007A0496">
      <w:pPr>
        <w:pStyle w:val="Default"/>
        <w:numPr>
          <w:ilvl w:val="0"/>
          <w:numId w:val="1"/>
        </w:numPr>
        <w:spacing w:after="120"/>
        <w:jc w:val="both"/>
        <w:rPr>
          <w:rFonts w:asciiTheme="minorHAnsi" w:hAnsiTheme="minorHAnsi" w:cstheme="minorHAnsi"/>
          <w:sz w:val="22"/>
          <w:szCs w:val="22"/>
        </w:rPr>
      </w:pPr>
      <w:r w:rsidRPr="00005F09">
        <w:rPr>
          <w:rFonts w:ascii="Calibri" w:hAnsi="Calibri" w:cs="Calibri"/>
          <w:sz w:val="22"/>
          <w:szCs w:val="22"/>
          <w:lang w:val="en-GB"/>
        </w:rPr>
        <w:t xml:space="preserve">the </w:t>
      </w:r>
      <w:r w:rsidR="007A0496" w:rsidRPr="00005F09">
        <w:rPr>
          <w:rFonts w:ascii="Calibri" w:hAnsi="Calibri" w:cs="Calibri"/>
          <w:sz w:val="22"/>
          <w:szCs w:val="22"/>
          <w:lang w:val="en-GB"/>
        </w:rPr>
        <w:t xml:space="preserve">proposed </w:t>
      </w:r>
      <w:r w:rsidRPr="00005F09">
        <w:rPr>
          <w:rFonts w:ascii="Calibri" w:hAnsi="Calibri" w:cs="Calibri"/>
          <w:sz w:val="22"/>
          <w:szCs w:val="22"/>
          <w:lang w:val="en-GB"/>
        </w:rPr>
        <w:t xml:space="preserve">framework for market soundings does not bring sufficient legal security to participants and puts them at a </w:t>
      </w:r>
      <w:r w:rsidR="007A0496" w:rsidRPr="00005F09">
        <w:rPr>
          <w:rFonts w:ascii="Calibri" w:hAnsi="Calibri" w:cs="Calibri"/>
          <w:sz w:val="22"/>
          <w:szCs w:val="22"/>
          <w:lang w:val="en-GB"/>
        </w:rPr>
        <w:t>significant</w:t>
      </w:r>
      <w:r w:rsidRPr="00005F09">
        <w:rPr>
          <w:rFonts w:ascii="Calibri" w:hAnsi="Calibri" w:cs="Calibri"/>
          <w:sz w:val="22"/>
          <w:szCs w:val="22"/>
          <w:lang w:val="en-GB"/>
        </w:rPr>
        <w:t xml:space="preserve"> level of risk, especially for larger institutions</w:t>
      </w:r>
      <w:r w:rsidR="00766EAC" w:rsidRPr="00005F09">
        <w:rPr>
          <w:rFonts w:ascii="Calibri" w:hAnsi="Calibri" w:cs="Calibri"/>
          <w:sz w:val="22"/>
          <w:szCs w:val="22"/>
          <w:lang w:val="en-GB"/>
        </w:rPr>
        <w:t xml:space="preserve"> with diversified activities </w:t>
      </w:r>
      <w:r w:rsidR="00247B9A" w:rsidRPr="00005F09">
        <w:rPr>
          <w:rFonts w:ascii="Calibri" w:hAnsi="Calibri" w:cs="Calibri"/>
          <w:sz w:val="22"/>
          <w:szCs w:val="22"/>
          <w:lang w:val="en-GB"/>
        </w:rPr>
        <w:t>;</w:t>
      </w:r>
      <w:r w:rsidR="00B33CDF" w:rsidRPr="00005F09">
        <w:rPr>
          <w:rFonts w:ascii="Calibri" w:hAnsi="Calibri" w:cs="Calibri"/>
          <w:sz w:val="22"/>
          <w:szCs w:val="22"/>
          <w:lang w:val="en-GB"/>
        </w:rPr>
        <w:t xml:space="preserve"> it further implies specific costs;</w:t>
      </w:r>
      <w:r w:rsidRPr="00005F09">
        <w:rPr>
          <w:rFonts w:ascii="Calibri" w:hAnsi="Calibri" w:cs="Calibri"/>
          <w:sz w:val="22"/>
          <w:szCs w:val="22"/>
          <w:lang w:val="en-GB"/>
        </w:rPr>
        <w:t xml:space="preserve"> </w:t>
      </w:r>
      <w:r w:rsidR="00247B9A" w:rsidRPr="00005F09">
        <w:rPr>
          <w:rFonts w:ascii="Calibri" w:hAnsi="Calibri" w:cs="Calibri"/>
          <w:sz w:val="22"/>
          <w:szCs w:val="22"/>
          <w:lang w:val="en-GB"/>
        </w:rPr>
        <w:t>a</w:t>
      </w:r>
      <w:r w:rsidRPr="00005F09">
        <w:rPr>
          <w:rFonts w:ascii="Calibri" w:hAnsi="Calibri" w:cs="Calibri"/>
          <w:sz w:val="22"/>
          <w:szCs w:val="22"/>
          <w:lang w:val="en-GB"/>
        </w:rPr>
        <w:t xml:space="preserve">s a consequence, Amundi </w:t>
      </w:r>
      <w:r w:rsidR="00B323FF" w:rsidRPr="00005F09">
        <w:rPr>
          <w:rFonts w:ascii="Calibri" w:hAnsi="Calibri" w:cs="Calibri"/>
          <w:sz w:val="22"/>
          <w:szCs w:val="22"/>
          <w:lang w:val="en-GB"/>
        </w:rPr>
        <w:t xml:space="preserve">will probably not change its </w:t>
      </w:r>
      <w:r w:rsidR="00766EAC" w:rsidRPr="00005F09">
        <w:rPr>
          <w:rFonts w:ascii="Calibri" w:hAnsi="Calibri" w:cs="Calibri"/>
          <w:sz w:val="22"/>
          <w:szCs w:val="22"/>
          <w:lang w:val="en-GB"/>
        </w:rPr>
        <w:t>current restrictive</w:t>
      </w:r>
      <w:r w:rsidR="00B323FF" w:rsidRPr="00005F09">
        <w:rPr>
          <w:rFonts w:ascii="Calibri" w:hAnsi="Calibri" w:cs="Calibri"/>
          <w:sz w:val="22"/>
          <w:szCs w:val="22"/>
          <w:lang w:val="en-GB"/>
        </w:rPr>
        <w:t xml:space="preserve"> policy </w:t>
      </w:r>
      <w:r w:rsidR="00247B9A" w:rsidRPr="00005F09">
        <w:rPr>
          <w:rFonts w:ascii="Calibri" w:hAnsi="Calibri" w:cs="Calibri"/>
          <w:sz w:val="22"/>
          <w:szCs w:val="22"/>
          <w:lang w:val="en-GB"/>
        </w:rPr>
        <w:t>to</w:t>
      </w:r>
      <w:r w:rsidR="00B323FF" w:rsidRPr="00005F09">
        <w:rPr>
          <w:rFonts w:ascii="Calibri" w:hAnsi="Calibri" w:cs="Calibri"/>
          <w:sz w:val="22"/>
          <w:szCs w:val="22"/>
          <w:lang w:val="en-GB"/>
        </w:rPr>
        <w:t>wards</w:t>
      </w:r>
      <w:r w:rsidR="00247B9A" w:rsidRPr="00005F09">
        <w:rPr>
          <w:rFonts w:ascii="Calibri" w:hAnsi="Calibri" w:cs="Calibri"/>
          <w:sz w:val="22"/>
          <w:szCs w:val="22"/>
          <w:lang w:val="en-GB"/>
        </w:rPr>
        <w:t xml:space="preserve"> market soundings;</w:t>
      </w:r>
    </w:p>
    <w:p w:rsidR="00894750" w:rsidRPr="00005F09" w:rsidRDefault="00247B9A" w:rsidP="00866369">
      <w:pPr>
        <w:numPr>
          <w:ilvl w:val="0"/>
          <w:numId w:val="1"/>
        </w:numPr>
        <w:spacing w:after="120"/>
        <w:jc w:val="both"/>
        <w:rPr>
          <w:lang w:val="en-GB"/>
        </w:rPr>
      </w:pPr>
      <w:r w:rsidRPr="00005F09">
        <w:rPr>
          <w:rFonts w:ascii="Calibri" w:hAnsi="Calibri" w:cs="Calibri"/>
          <w:sz w:val="22"/>
          <w:szCs w:val="22"/>
          <w:lang w:val="en-GB"/>
        </w:rPr>
        <w:t xml:space="preserve">with respect to circumstances enabling issuers to legitimately delay the publication of inside information, we think that the key point is to ensure a real protection of the investors community; hence, we favour a </w:t>
      </w:r>
      <w:r w:rsidR="00766EAC" w:rsidRPr="00005F09">
        <w:rPr>
          <w:rFonts w:ascii="Calibri" w:hAnsi="Calibri" w:cs="Calibri"/>
          <w:sz w:val="22"/>
          <w:szCs w:val="22"/>
          <w:lang w:val="en-GB"/>
        </w:rPr>
        <w:t>prudent</w:t>
      </w:r>
      <w:r w:rsidRPr="00005F09">
        <w:rPr>
          <w:rFonts w:ascii="Calibri" w:hAnsi="Calibri" w:cs="Calibri"/>
          <w:sz w:val="22"/>
          <w:szCs w:val="22"/>
          <w:lang w:val="en-GB"/>
        </w:rPr>
        <w:t xml:space="preserve"> approach</w:t>
      </w:r>
      <w:r w:rsidR="00B33CDF" w:rsidRPr="00005F09">
        <w:rPr>
          <w:rFonts w:ascii="Calibri" w:hAnsi="Calibri" w:cs="Calibri"/>
          <w:sz w:val="22"/>
          <w:szCs w:val="22"/>
          <w:lang w:val="en-GB"/>
        </w:rPr>
        <w:t>;</w:t>
      </w:r>
    </w:p>
    <w:p w:rsidR="00271BE9" w:rsidRPr="00005F09" w:rsidRDefault="00271BE9" w:rsidP="00866369">
      <w:pPr>
        <w:numPr>
          <w:ilvl w:val="0"/>
          <w:numId w:val="1"/>
        </w:numPr>
        <w:spacing w:after="120"/>
        <w:jc w:val="both"/>
        <w:rPr>
          <w:lang w:val="en-GB"/>
        </w:rPr>
      </w:pPr>
      <w:r w:rsidRPr="00005F09">
        <w:rPr>
          <w:rFonts w:ascii="Calibri" w:hAnsi="Calibri" w:cs="Calibri"/>
          <w:sz w:val="22"/>
          <w:szCs w:val="22"/>
          <w:lang w:val="en-GB"/>
        </w:rPr>
        <w:t>however, Amundi is not convinced that the notions of “contrast with the market’s expectations” and of “signals that the issuer has previously set” are sufficient to lead to a consistent jurisprudence; further clarification or illustration should be provided</w:t>
      </w:r>
      <w:r w:rsidR="0000361F" w:rsidRPr="00005F09">
        <w:rPr>
          <w:rFonts w:ascii="Calibri" w:hAnsi="Calibri" w:cs="Calibri"/>
          <w:sz w:val="22"/>
          <w:szCs w:val="22"/>
          <w:lang w:val="en-GB"/>
        </w:rPr>
        <w:t xml:space="preserve"> in the document accompanying the guidelines</w:t>
      </w:r>
      <w:r w:rsidR="00010DDE" w:rsidRPr="00005F09">
        <w:rPr>
          <w:rFonts w:ascii="Calibri" w:hAnsi="Calibri" w:cs="Calibri"/>
          <w:sz w:val="22"/>
          <w:szCs w:val="22"/>
          <w:lang w:val="en-GB"/>
        </w:rPr>
        <w:t>; we suggest a new wording</w:t>
      </w:r>
      <w:r w:rsidR="0098017B" w:rsidRPr="00005F09">
        <w:rPr>
          <w:rFonts w:ascii="Calibri" w:hAnsi="Calibri" w:cs="Calibri"/>
          <w:sz w:val="22"/>
          <w:szCs w:val="22"/>
          <w:lang w:val="en-GB"/>
        </w:rPr>
        <w:t>.</w:t>
      </w:r>
    </w:p>
    <w:p w:rsidR="00B33CDF" w:rsidRPr="00005F09" w:rsidRDefault="00271BE9" w:rsidP="00271BE9">
      <w:pPr>
        <w:spacing w:after="120"/>
        <w:ind w:left="720"/>
        <w:jc w:val="both"/>
        <w:rPr>
          <w:lang w:val="en-GB"/>
        </w:rPr>
      </w:pPr>
      <w:r w:rsidRPr="00005F09">
        <w:rPr>
          <w:rFonts w:ascii="Calibri" w:hAnsi="Calibri" w:cs="Calibri"/>
          <w:sz w:val="22"/>
          <w:szCs w:val="22"/>
          <w:lang w:val="en-GB"/>
        </w:rPr>
        <w:t xml:space="preserve">  </w:t>
      </w:r>
    </w:p>
    <w:p w:rsidR="00B33CDF" w:rsidRPr="00005F09" w:rsidRDefault="00B33CDF" w:rsidP="00B33CDF">
      <w:pPr>
        <w:spacing w:after="120"/>
        <w:jc w:val="both"/>
        <w:rPr>
          <w:lang w:val="en-GB"/>
        </w:rPr>
      </w:pPr>
      <w:r w:rsidRPr="00005F09">
        <w:rPr>
          <w:rFonts w:ascii="Calibri" w:hAnsi="Calibri" w:cs="Calibri"/>
          <w:sz w:val="22"/>
          <w:szCs w:val="22"/>
          <w:lang w:val="en-GB"/>
        </w:rPr>
        <w:t>We now turn to the list of questions of the consultation</w:t>
      </w:r>
      <w:r w:rsidR="0098017B" w:rsidRPr="00005F09">
        <w:rPr>
          <w:rFonts w:ascii="Calibri" w:hAnsi="Calibri" w:cs="Calibri"/>
          <w:sz w:val="22"/>
          <w:szCs w:val="22"/>
          <w:lang w:val="en-GB"/>
        </w:rPr>
        <w:t>.</w:t>
      </w:r>
      <w:r w:rsidRPr="00005F09">
        <w:rPr>
          <w:rFonts w:ascii="Calibri" w:hAnsi="Calibri" w:cs="Calibri"/>
          <w:sz w:val="22"/>
          <w:szCs w:val="22"/>
          <w:lang w:val="en-GB"/>
        </w:rPr>
        <w:t xml:space="preserve"> </w:t>
      </w:r>
    </w:p>
    <w:p w:rsidR="00B33CDF" w:rsidRPr="00005F09" w:rsidRDefault="00B33CDF" w:rsidP="00B33CDF">
      <w:pPr>
        <w:pStyle w:val="Default"/>
        <w:rPr>
          <w:b/>
          <w:bCs/>
          <w:sz w:val="22"/>
          <w:szCs w:val="22"/>
        </w:rPr>
      </w:pPr>
      <w:r w:rsidRPr="00005F09">
        <w:rPr>
          <w:b/>
          <w:bCs/>
          <w:sz w:val="22"/>
          <w:szCs w:val="22"/>
        </w:rPr>
        <w:lastRenderedPageBreak/>
        <w:t>Guidelines for persons receiving the market soundings :</w:t>
      </w:r>
    </w:p>
    <w:p w:rsidR="00B33CDF" w:rsidRPr="00005F09" w:rsidRDefault="00B33CDF" w:rsidP="00B33CDF">
      <w:pPr>
        <w:pStyle w:val="Default"/>
        <w:rPr>
          <w:sz w:val="22"/>
          <w:szCs w:val="22"/>
        </w:rPr>
      </w:pPr>
    </w:p>
    <w:p w:rsidR="00B33CDF" w:rsidRPr="00005F09" w:rsidRDefault="00B33CDF" w:rsidP="00B33CDF">
      <w:pPr>
        <w:pStyle w:val="Default"/>
        <w:rPr>
          <w:sz w:val="22"/>
          <w:szCs w:val="22"/>
        </w:rPr>
      </w:pPr>
      <w:r w:rsidRPr="00005F09">
        <w:rPr>
          <w:sz w:val="22"/>
          <w:szCs w:val="22"/>
        </w:rPr>
        <w:t xml:space="preserve">Q1: Do you agree with this proposal regarding MSR’s assessment as to whether they are in possession of inside information as a result of the market sounding and as to when they cease to be in possession of inside information? </w:t>
      </w:r>
    </w:p>
    <w:p w:rsidR="00B33CDF" w:rsidRPr="00005F09" w:rsidRDefault="00B33CDF" w:rsidP="00B33CDF">
      <w:pPr>
        <w:pStyle w:val="Default"/>
        <w:rPr>
          <w:rFonts w:asciiTheme="minorHAnsi" w:hAnsiTheme="minorHAnsi" w:cstheme="minorHAnsi"/>
          <w:sz w:val="22"/>
          <w:szCs w:val="22"/>
        </w:rPr>
      </w:pPr>
    </w:p>
    <w:p w:rsidR="00284638" w:rsidRPr="00005F09" w:rsidRDefault="0000361F" w:rsidP="00CB4B1C">
      <w:pPr>
        <w:pStyle w:val="Default"/>
        <w:jc w:val="both"/>
        <w:rPr>
          <w:rFonts w:asciiTheme="minorHAnsi" w:hAnsiTheme="minorHAnsi" w:cstheme="minorHAnsi"/>
          <w:sz w:val="22"/>
          <w:szCs w:val="22"/>
        </w:rPr>
      </w:pPr>
      <w:r w:rsidRPr="00005F09">
        <w:rPr>
          <w:rFonts w:asciiTheme="minorHAnsi" w:hAnsiTheme="minorHAnsi" w:cstheme="minorHAnsi"/>
          <w:sz w:val="22"/>
          <w:szCs w:val="22"/>
        </w:rPr>
        <w:t xml:space="preserve">No. We believe that the assessment made by the DMP </w:t>
      </w:r>
      <w:r w:rsidR="00010DDE" w:rsidRPr="00005F09">
        <w:rPr>
          <w:rFonts w:asciiTheme="minorHAnsi" w:hAnsiTheme="minorHAnsi" w:cstheme="minorHAnsi"/>
          <w:sz w:val="22"/>
          <w:szCs w:val="22"/>
        </w:rPr>
        <w:t>on</w:t>
      </w:r>
      <w:r w:rsidRPr="00005F09">
        <w:rPr>
          <w:rFonts w:asciiTheme="minorHAnsi" w:hAnsiTheme="minorHAnsi" w:cstheme="minorHAnsi"/>
          <w:sz w:val="22"/>
          <w:szCs w:val="22"/>
        </w:rPr>
        <w:t xml:space="preserve"> the nature of information communicated</w:t>
      </w:r>
      <w:r w:rsidR="004E3EB1" w:rsidRPr="00005F09">
        <w:rPr>
          <w:rFonts w:asciiTheme="minorHAnsi" w:hAnsiTheme="minorHAnsi" w:cstheme="minorHAnsi"/>
          <w:sz w:val="22"/>
          <w:szCs w:val="22"/>
        </w:rPr>
        <w:t xml:space="preserve"> should be relied upon after having been challenged</w:t>
      </w:r>
      <w:r w:rsidRPr="00005F09">
        <w:rPr>
          <w:rFonts w:asciiTheme="minorHAnsi" w:hAnsiTheme="minorHAnsi" w:cstheme="minorHAnsi"/>
          <w:sz w:val="22"/>
          <w:szCs w:val="22"/>
        </w:rPr>
        <w:t xml:space="preserve">. </w:t>
      </w:r>
      <w:r w:rsidR="00010DDE" w:rsidRPr="00005F09">
        <w:rPr>
          <w:rFonts w:asciiTheme="minorHAnsi" w:hAnsiTheme="minorHAnsi" w:cstheme="minorHAnsi"/>
          <w:sz w:val="22"/>
          <w:szCs w:val="22"/>
        </w:rPr>
        <w:t xml:space="preserve">Practically, we </w:t>
      </w:r>
      <w:r w:rsidR="00284638" w:rsidRPr="00005F09">
        <w:rPr>
          <w:rFonts w:asciiTheme="minorHAnsi" w:hAnsiTheme="minorHAnsi" w:cstheme="minorHAnsi"/>
          <w:sz w:val="22"/>
          <w:szCs w:val="22"/>
        </w:rPr>
        <w:t xml:space="preserve">suggest to introduce proportionality in the process. MSR is supposed to assess whether information received amounts to inside information, what has been assessed by DMP earlier. Proportionality would lead to a reduced level of assessment on the part of the receiver who is not in contact with the issuer </w:t>
      </w:r>
      <w:r w:rsidR="007A0496" w:rsidRPr="00005F09">
        <w:rPr>
          <w:rFonts w:asciiTheme="minorHAnsi" w:hAnsiTheme="minorHAnsi" w:cstheme="minorHAnsi"/>
          <w:sz w:val="22"/>
          <w:szCs w:val="22"/>
        </w:rPr>
        <w:t>contrary to</w:t>
      </w:r>
      <w:r w:rsidR="00284638" w:rsidRPr="00005F09">
        <w:rPr>
          <w:rFonts w:asciiTheme="minorHAnsi" w:hAnsiTheme="minorHAnsi" w:cstheme="minorHAnsi"/>
          <w:sz w:val="22"/>
          <w:szCs w:val="22"/>
        </w:rPr>
        <w:t xml:space="preserve"> the DMP </w:t>
      </w:r>
      <w:r w:rsidR="007A0496" w:rsidRPr="00005F09">
        <w:rPr>
          <w:rFonts w:asciiTheme="minorHAnsi" w:hAnsiTheme="minorHAnsi" w:cstheme="minorHAnsi"/>
          <w:sz w:val="22"/>
          <w:szCs w:val="22"/>
        </w:rPr>
        <w:t>who</w:t>
      </w:r>
      <w:r w:rsidR="00766EAC" w:rsidRPr="00005F09">
        <w:rPr>
          <w:rFonts w:asciiTheme="minorHAnsi" w:hAnsiTheme="minorHAnsi" w:cstheme="minorHAnsi"/>
          <w:sz w:val="22"/>
          <w:szCs w:val="22"/>
        </w:rPr>
        <w:t>, hence,</w:t>
      </w:r>
      <w:r w:rsidR="007A0496" w:rsidRPr="00005F09">
        <w:rPr>
          <w:rFonts w:asciiTheme="minorHAnsi" w:hAnsiTheme="minorHAnsi" w:cstheme="minorHAnsi"/>
          <w:sz w:val="22"/>
          <w:szCs w:val="22"/>
        </w:rPr>
        <w:t xml:space="preserve"> </w:t>
      </w:r>
      <w:r w:rsidR="00284638" w:rsidRPr="00005F09">
        <w:rPr>
          <w:rFonts w:asciiTheme="minorHAnsi" w:hAnsiTheme="minorHAnsi" w:cstheme="minorHAnsi"/>
          <w:sz w:val="22"/>
          <w:szCs w:val="22"/>
        </w:rPr>
        <w:t xml:space="preserve">has a better knowledge of issuer’s </w:t>
      </w:r>
      <w:r w:rsidR="008239BB" w:rsidRPr="00005F09">
        <w:rPr>
          <w:rFonts w:asciiTheme="minorHAnsi" w:hAnsiTheme="minorHAnsi" w:cstheme="minorHAnsi"/>
          <w:sz w:val="22"/>
          <w:szCs w:val="22"/>
        </w:rPr>
        <w:t>disc</w:t>
      </w:r>
      <w:r w:rsidR="00284638" w:rsidRPr="00005F09">
        <w:rPr>
          <w:rFonts w:asciiTheme="minorHAnsi" w:hAnsiTheme="minorHAnsi" w:cstheme="minorHAnsi"/>
          <w:sz w:val="22"/>
          <w:szCs w:val="22"/>
        </w:rPr>
        <w:t>losure.</w:t>
      </w:r>
    </w:p>
    <w:p w:rsidR="002A5005" w:rsidRPr="00005F09" w:rsidRDefault="002A5005" w:rsidP="00CB4B1C">
      <w:pPr>
        <w:pStyle w:val="Default"/>
        <w:jc w:val="both"/>
        <w:rPr>
          <w:rFonts w:asciiTheme="minorHAnsi" w:hAnsiTheme="minorHAnsi" w:cstheme="minorHAnsi"/>
          <w:sz w:val="22"/>
          <w:szCs w:val="22"/>
        </w:rPr>
      </w:pPr>
    </w:p>
    <w:p w:rsidR="007A0496" w:rsidRPr="00005F09" w:rsidRDefault="00CB4B1C" w:rsidP="007A0496">
      <w:pPr>
        <w:pStyle w:val="Default"/>
        <w:jc w:val="both"/>
        <w:rPr>
          <w:rFonts w:asciiTheme="minorHAnsi" w:hAnsiTheme="minorHAnsi" w:cstheme="minorHAnsi"/>
          <w:sz w:val="22"/>
          <w:szCs w:val="22"/>
        </w:rPr>
      </w:pPr>
      <w:r w:rsidRPr="00005F09">
        <w:rPr>
          <w:rFonts w:asciiTheme="minorHAnsi" w:hAnsiTheme="minorHAnsi" w:cstheme="minorHAnsi"/>
          <w:sz w:val="22"/>
          <w:szCs w:val="22"/>
        </w:rPr>
        <w:t xml:space="preserve">The truth is that </w:t>
      </w:r>
      <w:r w:rsidR="008239BB" w:rsidRPr="00005F09">
        <w:rPr>
          <w:rFonts w:asciiTheme="minorHAnsi" w:hAnsiTheme="minorHAnsi" w:cstheme="minorHAnsi"/>
          <w:sz w:val="22"/>
          <w:szCs w:val="22"/>
        </w:rPr>
        <w:t>MSR has</w:t>
      </w:r>
      <w:r w:rsidRPr="00005F09">
        <w:rPr>
          <w:rFonts w:asciiTheme="minorHAnsi" w:hAnsiTheme="minorHAnsi" w:cstheme="minorHAnsi"/>
          <w:sz w:val="22"/>
          <w:szCs w:val="22"/>
        </w:rPr>
        <w:t xml:space="preserve"> procedures to identify inside information and establish lists of instruments and issuers on which transactions are prohibited or restricted. We believe that the general organization has not to be modified in case of market sounding. </w:t>
      </w:r>
      <w:r w:rsidR="002D3518" w:rsidRPr="00005F09">
        <w:rPr>
          <w:rFonts w:asciiTheme="minorHAnsi" w:hAnsiTheme="minorHAnsi" w:cstheme="minorHAnsi"/>
          <w:sz w:val="22"/>
          <w:szCs w:val="22"/>
        </w:rPr>
        <w:t>On the one hand</w:t>
      </w:r>
      <w:r w:rsidR="00766EAC" w:rsidRPr="00005F09">
        <w:rPr>
          <w:rFonts w:asciiTheme="minorHAnsi" w:hAnsiTheme="minorHAnsi" w:cstheme="minorHAnsi"/>
          <w:sz w:val="22"/>
          <w:szCs w:val="22"/>
        </w:rPr>
        <w:t>, w</w:t>
      </w:r>
      <w:r w:rsidRPr="00005F09">
        <w:rPr>
          <w:rFonts w:asciiTheme="minorHAnsi" w:hAnsiTheme="minorHAnsi" w:cstheme="minorHAnsi"/>
          <w:sz w:val="22"/>
          <w:szCs w:val="22"/>
        </w:rPr>
        <w:t xml:space="preserve">hen the inside character is announced by the DMP, there is no alternative but to comply to the appropriate internal, procedure about inside information. </w:t>
      </w:r>
      <w:r w:rsidR="002D3518" w:rsidRPr="00005F09">
        <w:rPr>
          <w:rFonts w:asciiTheme="minorHAnsi" w:hAnsiTheme="minorHAnsi" w:cstheme="minorHAnsi"/>
          <w:sz w:val="22"/>
          <w:szCs w:val="22"/>
        </w:rPr>
        <w:t>On the other hand</w:t>
      </w:r>
      <w:r w:rsidR="00766EAC" w:rsidRPr="00005F09">
        <w:rPr>
          <w:rFonts w:asciiTheme="minorHAnsi" w:hAnsiTheme="minorHAnsi" w:cstheme="minorHAnsi"/>
          <w:sz w:val="22"/>
          <w:szCs w:val="22"/>
        </w:rPr>
        <w:t>, i</w:t>
      </w:r>
      <w:r w:rsidRPr="00005F09">
        <w:rPr>
          <w:rFonts w:asciiTheme="minorHAnsi" w:hAnsiTheme="minorHAnsi" w:cstheme="minorHAnsi"/>
          <w:sz w:val="22"/>
          <w:szCs w:val="22"/>
        </w:rPr>
        <w:t xml:space="preserve">f the DMP estimates it does not disclose inside information, the MSR </w:t>
      </w:r>
      <w:r w:rsidR="00234689" w:rsidRPr="00005F09">
        <w:rPr>
          <w:rFonts w:asciiTheme="minorHAnsi" w:hAnsiTheme="minorHAnsi" w:cstheme="minorHAnsi"/>
          <w:sz w:val="22"/>
          <w:szCs w:val="22"/>
        </w:rPr>
        <w:t xml:space="preserve">has </w:t>
      </w:r>
      <w:r w:rsidR="008239BB" w:rsidRPr="00005F09">
        <w:rPr>
          <w:rFonts w:asciiTheme="minorHAnsi" w:hAnsiTheme="minorHAnsi" w:cstheme="minorHAnsi"/>
          <w:sz w:val="22"/>
          <w:szCs w:val="22"/>
        </w:rPr>
        <w:t>first</w:t>
      </w:r>
      <w:r w:rsidR="00234689" w:rsidRPr="00005F09">
        <w:rPr>
          <w:rFonts w:asciiTheme="minorHAnsi" w:hAnsiTheme="minorHAnsi" w:cstheme="minorHAnsi"/>
          <w:sz w:val="22"/>
          <w:szCs w:val="22"/>
        </w:rPr>
        <w:t xml:space="preserve"> to consider as sensitive and confidential the knowledge he has of the preparation of a new issue and its potential terms</w:t>
      </w:r>
      <w:r w:rsidR="008239BB" w:rsidRPr="00005F09">
        <w:rPr>
          <w:rFonts w:asciiTheme="minorHAnsi" w:hAnsiTheme="minorHAnsi" w:cstheme="minorHAnsi"/>
          <w:sz w:val="22"/>
          <w:szCs w:val="22"/>
        </w:rPr>
        <w:t>;</w:t>
      </w:r>
      <w:r w:rsidR="00234689" w:rsidRPr="00005F09">
        <w:rPr>
          <w:rFonts w:asciiTheme="minorHAnsi" w:hAnsiTheme="minorHAnsi" w:cstheme="minorHAnsi"/>
          <w:sz w:val="22"/>
          <w:szCs w:val="22"/>
        </w:rPr>
        <w:t xml:space="preserve"> </w:t>
      </w:r>
      <w:r w:rsidR="008239BB" w:rsidRPr="00005F09">
        <w:rPr>
          <w:rFonts w:asciiTheme="minorHAnsi" w:hAnsiTheme="minorHAnsi" w:cstheme="minorHAnsi"/>
          <w:sz w:val="22"/>
          <w:szCs w:val="22"/>
        </w:rPr>
        <w:t>t</w:t>
      </w:r>
      <w:r w:rsidR="00234689" w:rsidRPr="00005F09">
        <w:rPr>
          <w:rFonts w:asciiTheme="minorHAnsi" w:hAnsiTheme="minorHAnsi" w:cstheme="minorHAnsi"/>
          <w:sz w:val="22"/>
          <w:szCs w:val="22"/>
        </w:rPr>
        <w:t xml:space="preserve">his is covered by existing procedures. </w:t>
      </w:r>
      <w:r w:rsidR="008239BB" w:rsidRPr="00005F09">
        <w:rPr>
          <w:rFonts w:asciiTheme="minorHAnsi" w:hAnsiTheme="minorHAnsi" w:cstheme="minorHAnsi"/>
          <w:sz w:val="22"/>
          <w:szCs w:val="22"/>
        </w:rPr>
        <w:t xml:space="preserve">Second, the MSR will undertake a double check, </w:t>
      </w:r>
      <w:r w:rsidR="007061C2" w:rsidRPr="00005F09">
        <w:rPr>
          <w:rFonts w:asciiTheme="minorHAnsi" w:hAnsiTheme="minorHAnsi" w:cstheme="minorHAnsi"/>
          <w:sz w:val="22"/>
          <w:szCs w:val="22"/>
        </w:rPr>
        <w:t>answering the question: “</w:t>
      </w:r>
      <w:r w:rsidR="002D3518" w:rsidRPr="00005F09">
        <w:rPr>
          <w:rFonts w:asciiTheme="minorHAnsi" w:hAnsiTheme="minorHAnsi" w:cstheme="minorHAnsi"/>
          <w:sz w:val="22"/>
          <w:szCs w:val="22"/>
        </w:rPr>
        <w:t>Knowing what I already kn</w:t>
      </w:r>
      <w:r w:rsidR="00743D6A" w:rsidRPr="00005F09">
        <w:rPr>
          <w:rFonts w:asciiTheme="minorHAnsi" w:hAnsiTheme="minorHAnsi" w:cstheme="minorHAnsi"/>
          <w:sz w:val="22"/>
          <w:szCs w:val="22"/>
        </w:rPr>
        <w:t>e</w:t>
      </w:r>
      <w:r w:rsidR="002D3518" w:rsidRPr="00005F09">
        <w:rPr>
          <w:rFonts w:asciiTheme="minorHAnsi" w:hAnsiTheme="minorHAnsi" w:cstheme="minorHAnsi"/>
          <w:sz w:val="22"/>
          <w:szCs w:val="22"/>
        </w:rPr>
        <w:t>w before receiving  information from the DPM, a</w:t>
      </w:r>
      <w:r w:rsidR="007061C2" w:rsidRPr="00005F09">
        <w:rPr>
          <w:rFonts w:asciiTheme="minorHAnsi" w:hAnsiTheme="minorHAnsi" w:cstheme="minorHAnsi"/>
          <w:sz w:val="22"/>
          <w:szCs w:val="22"/>
        </w:rPr>
        <w:t>m I comfortable with the DMP’s classification?”</w:t>
      </w:r>
      <w:r w:rsidR="008239BB" w:rsidRPr="00005F09">
        <w:rPr>
          <w:rFonts w:asciiTheme="minorHAnsi" w:hAnsiTheme="minorHAnsi" w:cstheme="minorHAnsi"/>
          <w:sz w:val="22"/>
          <w:szCs w:val="22"/>
        </w:rPr>
        <w:t xml:space="preserve">. </w:t>
      </w:r>
      <w:r w:rsidR="007061C2" w:rsidRPr="00005F09">
        <w:rPr>
          <w:rFonts w:asciiTheme="minorHAnsi" w:hAnsiTheme="minorHAnsi" w:cstheme="minorHAnsi"/>
          <w:sz w:val="22"/>
          <w:szCs w:val="22"/>
        </w:rPr>
        <w:t xml:space="preserve">It is difficult to believe that the addition of pieces of information already in possession of an actor and the item disclosed by the DMP will amount to inside information, when inside information </w:t>
      </w:r>
      <w:r w:rsidR="007A0496" w:rsidRPr="00005F09">
        <w:rPr>
          <w:rFonts w:asciiTheme="minorHAnsi" w:hAnsiTheme="minorHAnsi" w:cstheme="minorHAnsi"/>
          <w:sz w:val="22"/>
          <w:szCs w:val="22"/>
        </w:rPr>
        <w:t>is according to Art 7 (1) (a)</w:t>
      </w:r>
      <w:r w:rsidR="007A0496" w:rsidRPr="00005F09">
        <w:rPr>
          <w:rFonts w:ascii="Times New Roman" w:hAnsi="Times New Roman"/>
          <w:i/>
        </w:rPr>
        <w:t xml:space="preserve"> </w:t>
      </w:r>
      <w:r w:rsidR="007A0496" w:rsidRPr="00005F09">
        <w:rPr>
          <w:rFonts w:asciiTheme="minorHAnsi" w:hAnsiTheme="minorHAnsi" w:cstheme="minorHAnsi"/>
          <w:i/>
          <w:sz w:val="22"/>
          <w:szCs w:val="22"/>
        </w:rPr>
        <w:t>information of a precise nature, which has not been made public, relating, directly or indirectly, to one or more issuers or to one or more financial instruments, and which, if it were made public, would be likely to have a significant effect on the prices of those financial instruments or on the price of related derivative financial instruments.</w:t>
      </w:r>
      <w:r w:rsidR="007A0496" w:rsidRPr="00005F09">
        <w:rPr>
          <w:rFonts w:asciiTheme="minorHAnsi" w:hAnsiTheme="minorHAnsi" w:cstheme="minorHAnsi"/>
          <w:sz w:val="22"/>
          <w:szCs w:val="22"/>
        </w:rPr>
        <w:t xml:space="preserve"> There is</w:t>
      </w:r>
      <w:r w:rsidR="002D3518" w:rsidRPr="00005F09">
        <w:rPr>
          <w:rFonts w:asciiTheme="minorHAnsi" w:hAnsiTheme="minorHAnsi" w:cstheme="minorHAnsi"/>
          <w:sz w:val="22"/>
          <w:szCs w:val="22"/>
        </w:rPr>
        <w:t xml:space="preserve"> in our view</w:t>
      </w:r>
      <w:r w:rsidR="007A0496" w:rsidRPr="00005F09">
        <w:rPr>
          <w:rFonts w:asciiTheme="minorHAnsi" w:hAnsiTheme="minorHAnsi" w:cstheme="minorHAnsi"/>
          <w:sz w:val="22"/>
          <w:szCs w:val="22"/>
        </w:rPr>
        <w:t xml:space="preserve"> no</w:t>
      </w:r>
      <w:r w:rsidR="002D3518" w:rsidRPr="00005F09">
        <w:rPr>
          <w:rFonts w:asciiTheme="minorHAnsi" w:hAnsiTheme="minorHAnsi" w:cstheme="minorHAnsi"/>
          <w:sz w:val="22"/>
          <w:szCs w:val="22"/>
        </w:rPr>
        <w:t>t much</w:t>
      </w:r>
      <w:r w:rsidR="007A0496" w:rsidRPr="00005F09">
        <w:rPr>
          <w:rFonts w:asciiTheme="minorHAnsi" w:hAnsiTheme="minorHAnsi" w:cstheme="minorHAnsi"/>
          <w:sz w:val="22"/>
          <w:szCs w:val="22"/>
        </w:rPr>
        <w:t xml:space="preserve"> </w:t>
      </w:r>
      <w:r w:rsidR="002D3518" w:rsidRPr="00005F09">
        <w:rPr>
          <w:rFonts w:asciiTheme="minorHAnsi" w:hAnsiTheme="minorHAnsi" w:cstheme="minorHAnsi"/>
          <w:sz w:val="22"/>
          <w:szCs w:val="22"/>
        </w:rPr>
        <w:t xml:space="preserve">chance that </w:t>
      </w:r>
      <w:r w:rsidR="007A0496" w:rsidRPr="00005F09">
        <w:rPr>
          <w:rFonts w:asciiTheme="minorHAnsi" w:hAnsiTheme="minorHAnsi" w:cstheme="minorHAnsi"/>
          <w:sz w:val="22"/>
          <w:szCs w:val="22"/>
        </w:rPr>
        <w:t>adding pieces of information would</w:t>
      </w:r>
      <w:r w:rsidR="002D3518" w:rsidRPr="00005F09">
        <w:rPr>
          <w:rFonts w:asciiTheme="minorHAnsi" w:hAnsiTheme="minorHAnsi" w:cstheme="minorHAnsi"/>
          <w:sz w:val="22"/>
          <w:szCs w:val="22"/>
        </w:rPr>
        <w:t xml:space="preserve"> turn to precise </w:t>
      </w:r>
      <w:r w:rsidR="007A0496" w:rsidRPr="00005F09">
        <w:rPr>
          <w:rFonts w:asciiTheme="minorHAnsi" w:hAnsiTheme="minorHAnsi" w:cstheme="minorHAnsi"/>
          <w:sz w:val="22"/>
          <w:szCs w:val="22"/>
        </w:rPr>
        <w:t>inside information</w:t>
      </w:r>
      <w:r w:rsidR="002D3518" w:rsidRPr="00005F09">
        <w:rPr>
          <w:rFonts w:asciiTheme="minorHAnsi" w:hAnsiTheme="minorHAnsi" w:cstheme="minorHAnsi"/>
          <w:sz w:val="22"/>
          <w:szCs w:val="22"/>
        </w:rPr>
        <w:t>.</w:t>
      </w:r>
    </w:p>
    <w:p w:rsidR="0000361F" w:rsidRPr="00005F09" w:rsidRDefault="0000361F" w:rsidP="00CB4B1C">
      <w:pPr>
        <w:pStyle w:val="Default"/>
        <w:jc w:val="both"/>
        <w:rPr>
          <w:rFonts w:asciiTheme="minorHAnsi" w:hAnsiTheme="minorHAnsi" w:cstheme="minorHAnsi"/>
          <w:sz w:val="22"/>
          <w:szCs w:val="22"/>
        </w:rPr>
      </w:pPr>
    </w:p>
    <w:p w:rsidR="00B33CDF" w:rsidRPr="00005F09" w:rsidRDefault="00B33CDF" w:rsidP="00B33CDF">
      <w:pPr>
        <w:pStyle w:val="Default"/>
        <w:rPr>
          <w:sz w:val="22"/>
          <w:szCs w:val="22"/>
        </w:rPr>
      </w:pPr>
      <w:r w:rsidRPr="00005F09">
        <w:rPr>
          <w:sz w:val="22"/>
          <w:szCs w:val="22"/>
        </w:rPr>
        <w:t>Q2: Do you agree with this proposal regarding discrepancies of opinion between DMP and MSR?</w:t>
      </w:r>
    </w:p>
    <w:p w:rsidR="00B33CDF" w:rsidRPr="00005F09" w:rsidRDefault="00B33CDF" w:rsidP="00B33CDF">
      <w:pPr>
        <w:pStyle w:val="Default"/>
        <w:rPr>
          <w:rFonts w:asciiTheme="minorHAnsi" w:hAnsiTheme="minorHAnsi" w:cstheme="minorHAnsi"/>
          <w:sz w:val="22"/>
          <w:szCs w:val="22"/>
        </w:rPr>
      </w:pPr>
      <w:r w:rsidRPr="00005F09">
        <w:rPr>
          <w:sz w:val="22"/>
          <w:szCs w:val="22"/>
        </w:rPr>
        <w:t xml:space="preserve"> </w:t>
      </w:r>
    </w:p>
    <w:p w:rsidR="008239BB" w:rsidRPr="00005F09" w:rsidRDefault="00284638" w:rsidP="00284638">
      <w:pPr>
        <w:pStyle w:val="Default"/>
        <w:jc w:val="both"/>
        <w:rPr>
          <w:rFonts w:asciiTheme="minorHAnsi" w:hAnsiTheme="minorHAnsi" w:cstheme="minorHAnsi"/>
          <w:sz w:val="22"/>
          <w:szCs w:val="22"/>
        </w:rPr>
      </w:pPr>
      <w:r w:rsidRPr="00005F09">
        <w:rPr>
          <w:rFonts w:asciiTheme="minorHAnsi" w:hAnsiTheme="minorHAnsi" w:cstheme="minorHAnsi"/>
          <w:sz w:val="22"/>
          <w:szCs w:val="22"/>
        </w:rPr>
        <w:t xml:space="preserve">No. We </w:t>
      </w:r>
      <w:r w:rsidR="00743D6A" w:rsidRPr="00005F09">
        <w:rPr>
          <w:rFonts w:asciiTheme="minorHAnsi" w:hAnsiTheme="minorHAnsi" w:cstheme="minorHAnsi"/>
          <w:sz w:val="22"/>
          <w:szCs w:val="22"/>
        </w:rPr>
        <w:t>think</w:t>
      </w:r>
      <w:r w:rsidRPr="00005F09">
        <w:rPr>
          <w:rFonts w:asciiTheme="minorHAnsi" w:hAnsiTheme="minorHAnsi" w:cstheme="minorHAnsi"/>
          <w:sz w:val="22"/>
          <w:szCs w:val="22"/>
        </w:rPr>
        <w:t xml:space="preserve"> that </w:t>
      </w:r>
      <w:r w:rsidR="00743D6A" w:rsidRPr="00005F09">
        <w:rPr>
          <w:rFonts w:asciiTheme="minorHAnsi" w:hAnsiTheme="minorHAnsi" w:cstheme="minorHAnsi"/>
          <w:sz w:val="22"/>
          <w:szCs w:val="22"/>
        </w:rPr>
        <w:t xml:space="preserve">there are a very limited number of cases when </w:t>
      </w:r>
      <w:r w:rsidRPr="00005F09">
        <w:rPr>
          <w:rFonts w:asciiTheme="minorHAnsi" w:hAnsiTheme="minorHAnsi" w:cstheme="minorHAnsi"/>
          <w:sz w:val="22"/>
          <w:szCs w:val="22"/>
        </w:rPr>
        <w:t>the MSR</w:t>
      </w:r>
      <w:r w:rsidR="00743D6A" w:rsidRPr="00005F09">
        <w:rPr>
          <w:rFonts w:asciiTheme="minorHAnsi" w:hAnsiTheme="minorHAnsi" w:cstheme="minorHAnsi"/>
          <w:sz w:val="22"/>
          <w:szCs w:val="22"/>
        </w:rPr>
        <w:t>, if he</w:t>
      </w:r>
      <w:r w:rsidRPr="00005F09">
        <w:rPr>
          <w:rFonts w:asciiTheme="minorHAnsi" w:hAnsiTheme="minorHAnsi" w:cstheme="minorHAnsi"/>
          <w:sz w:val="22"/>
          <w:szCs w:val="22"/>
        </w:rPr>
        <w:t xml:space="preserve"> disagrees with the DMP</w:t>
      </w:r>
      <w:r w:rsidR="00743D6A" w:rsidRPr="00005F09">
        <w:rPr>
          <w:rFonts w:asciiTheme="minorHAnsi" w:hAnsiTheme="minorHAnsi" w:cstheme="minorHAnsi"/>
          <w:sz w:val="22"/>
          <w:szCs w:val="22"/>
        </w:rPr>
        <w:t>,</w:t>
      </w:r>
      <w:r w:rsidRPr="00005F09">
        <w:rPr>
          <w:rFonts w:asciiTheme="minorHAnsi" w:hAnsiTheme="minorHAnsi" w:cstheme="minorHAnsi"/>
          <w:sz w:val="22"/>
          <w:szCs w:val="22"/>
        </w:rPr>
        <w:t xml:space="preserve"> should inform the DMP and suggest a review of the classification. </w:t>
      </w:r>
      <w:r w:rsidR="00743D6A" w:rsidRPr="00005F09">
        <w:rPr>
          <w:rFonts w:asciiTheme="minorHAnsi" w:hAnsiTheme="minorHAnsi" w:cstheme="minorHAnsi"/>
          <w:sz w:val="22"/>
          <w:szCs w:val="22"/>
        </w:rPr>
        <w:t>We believe that</w:t>
      </w:r>
      <w:r w:rsidRPr="00005F09">
        <w:rPr>
          <w:rFonts w:asciiTheme="minorHAnsi" w:hAnsiTheme="minorHAnsi" w:cstheme="minorHAnsi"/>
          <w:sz w:val="22"/>
          <w:szCs w:val="22"/>
        </w:rPr>
        <w:t xml:space="preserve"> this may only happen </w:t>
      </w:r>
      <w:r w:rsidR="00743D6A" w:rsidRPr="00005F09">
        <w:rPr>
          <w:rFonts w:asciiTheme="minorHAnsi" w:hAnsiTheme="minorHAnsi" w:cstheme="minorHAnsi"/>
          <w:sz w:val="22"/>
          <w:szCs w:val="22"/>
        </w:rPr>
        <w:t>when</w:t>
      </w:r>
      <w:r w:rsidRPr="00005F09">
        <w:rPr>
          <w:rFonts w:asciiTheme="minorHAnsi" w:hAnsiTheme="minorHAnsi" w:cstheme="minorHAnsi"/>
          <w:sz w:val="22"/>
          <w:szCs w:val="22"/>
        </w:rPr>
        <w:t xml:space="preserve"> there i</w:t>
      </w:r>
      <w:r w:rsidR="008239BB" w:rsidRPr="00005F09">
        <w:rPr>
          <w:rFonts w:asciiTheme="minorHAnsi" w:hAnsiTheme="minorHAnsi" w:cstheme="minorHAnsi"/>
          <w:sz w:val="22"/>
          <w:szCs w:val="22"/>
        </w:rPr>
        <w:t xml:space="preserve">s an obvious misunderstanding and should not apply when the DMP has declared as inside information items he has disclosed. In such a circumstance, and contrary to the proposed guidelines §4 (2), the “inside” classification as determined by the DMP should in our view unambiguously apply to all the MSRs who are contacted. </w:t>
      </w:r>
    </w:p>
    <w:p w:rsidR="0000361F" w:rsidRPr="00005F09" w:rsidRDefault="008239BB" w:rsidP="00284638">
      <w:pPr>
        <w:pStyle w:val="Default"/>
        <w:jc w:val="both"/>
        <w:rPr>
          <w:rFonts w:asciiTheme="minorHAnsi" w:hAnsiTheme="minorHAnsi" w:cstheme="minorHAnsi"/>
          <w:sz w:val="22"/>
          <w:szCs w:val="22"/>
        </w:rPr>
      </w:pPr>
      <w:r w:rsidRPr="00005F09">
        <w:rPr>
          <w:rFonts w:asciiTheme="minorHAnsi" w:hAnsiTheme="minorHAnsi" w:cstheme="minorHAnsi"/>
          <w:sz w:val="22"/>
          <w:szCs w:val="22"/>
        </w:rPr>
        <w:t xml:space="preserve"> </w:t>
      </w:r>
    </w:p>
    <w:p w:rsidR="00B33CDF" w:rsidRPr="00005F09" w:rsidRDefault="00B33CDF" w:rsidP="00B33CDF">
      <w:pPr>
        <w:pStyle w:val="Default"/>
        <w:rPr>
          <w:sz w:val="22"/>
          <w:szCs w:val="22"/>
        </w:rPr>
      </w:pPr>
      <w:r w:rsidRPr="00005F09">
        <w:rPr>
          <w:sz w:val="22"/>
          <w:szCs w:val="22"/>
        </w:rPr>
        <w:t xml:space="preserve">Q3: Do you agree with this proposal regarding internal procedures and staff training? Should the Guidelines be more detailed and specific about the internal procedures to prevent the circulation of inside information? </w:t>
      </w:r>
    </w:p>
    <w:p w:rsidR="002A5005" w:rsidRPr="00005F09" w:rsidRDefault="002A5005" w:rsidP="00B33CDF">
      <w:pPr>
        <w:pStyle w:val="Default"/>
        <w:rPr>
          <w:rFonts w:asciiTheme="minorHAnsi" w:hAnsiTheme="minorHAnsi" w:cstheme="minorHAnsi"/>
          <w:sz w:val="22"/>
          <w:szCs w:val="22"/>
        </w:rPr>
      </w:pPr>
    </w:p>
    <w:p w:rsidR="00B33CDF" w:rsidRPr="00005F09" w:rsidRDefault="00F64EF2" w:rsidP="00F64EF2">
      <w:pPr>
        <w:pStyle w:val="Default"/>
        <w:jc w:val="both"/>
        <w:rPr>
          <w:rFonts w:asciiTheme="minorHAnsi" w:hAnsiTheme="minorHAnsi" w:cstheme="minorHAnsi"/>
          <w:sz w:val="22"/>
          <w:szCs w:val="22"/>
        </w:rPr>
      </w:pPr>
      <w:r w:rsidRPr="00005F09">
        <w:rPr>
          <w:rFonts w:asciiTheme="minorHAnsi" w:hAnsiTheme="minorHAnsi" w:cstheme="minorHAnsi"/>
          <w:sz w:val="22"/>
          <w:szCs w:val="22"/>
        </w:rPr>
        <w:t xml:space="preserve">Yes, we support the idea to train staff. We draw ESMA’s attention on the importance of the wording: training applies to employees and the text should not mention a function or a body without specifying that it refers to individuals. </w:t>
      </w:r>
    </w:p>
    <w:p w:rsidR="008239BB" w:rsidRPr="00005F09" w:rsidRDefault="008239BB" w:rsidP="00B33CDF">
      <w:pPr>
        <w:pStyle w:val="Default"/>
        <w:rPr>
          <w:rFonts w:asciiTheme="minorHAnsi" w:hAnsiTheme="minorHAnsi" w:cstheme="minorHAnsi"/>
          <w:sz w:val="22"/>
          <w:szCs w:val="22"/>
        </w:rPr>
      </w:pPr>
    </w:p>
    <w:p w:rsidR="00B33CDF" w:rsidRPr="00005F09" w:rsidRDefault="00B33CDF" w:rsidP="00B33CDF">
      <w:pPr>
        <w:pStyle w:val="Default"/>
        <w:rPr>
          <w:sz w:val="22"/>
          <w:szCs w:val="22"/>
        </w:rPr>
      </w:pPr>
      <w:r w:rsidRPr="00005F09">
        <w:rPr>
          <w:sz w:val="22"/>
          <w:szCs w:val="22"/>
        </w:rPr>
        <w:lastRenderedPageBreak/>
        <w:t xml:space="preserve">Q4: Do you agree with this proposal regarding a list of MSR’s staff that are in possession of the information communicated in the course of the market sounding? </w:t>
      </w:r>
    </w:p>
    <w:p w:rsidR="00B33CDF" w:rsidRPr="00005F09" w:rsidRDefault="00B33CDF" w:rsidP="00B33CDF">
      <w:pPr>
        <w:pStyle w:val="Default"/>
        <w:rPr>
          <w:rFonts w:asciiTheme="minorHAnsi" w:hAnsiTheme="minorHAnsi" w:cstheme="minorHAnsi"/>
          <w:sz w:val="22"/>
          <w:szCs w:val="22"/>
        </w:rPr>
      </w:pPr>
    </w:p>
    <w:p w:rsidR="000C47D4" w:rsidRPr="00005F09" w:rsidRDefault="000C47D4" w:rsidP="004A28A4">
      <w:pPr>
        <w:pStyle w:val="Default"/>
        <w:jc w:val="both"/>
        <w:rPr>
          <w:rFonts w:asciiTheme="minorHAnsi" w:hAnsiTheme="minorHAnsi" w:cstheme="minorHAnsi"/>
          <w:sz w:val="22"/>
          <w:szCs w:val="22"/>
        </w:rPr>
      </w:pPr>
      <w:r w:rsidRPr="00005F09">
        <w:rPr>
          <w:rFonts w:asciiTheme="minorHAnsi" w:hAnsiTheme="minorHAnsi" w:cstheme="minorHAnsi"/>
          <w:sz w:val="22"/>
          <w:szCs w:val="22"/>
        </w:rPr>
        <w:t xml:space="preserve">We think that </w:t>
      </w:r>
      <w:r w:rsidR="00F64EF2" w:rsidRPr="00005F09">
        <w:rPr>
          <w:rFonts w:asciiTheme="minorHAnsi" w:hAnsiTheme="minorHAnsi" w:cstheme="minorHAnsi"/>
          <w:sz w:val="22"/>
          <w:szCs w:val="22"/>
        </w:rPr>
        <w:t xml:space="preserve">investment firms have already in place procedures to identify and control persons that are in possession of inside information. We believe that these procedures will apply in case of market soundings.     </w:t>
      </w:r>
    </w:p>
    <w:p w:rsidR="000C47D4" w:rsidRPr="00005F09" w:rsidRDefault="000C47D4" w:rsidP="00B33CDF">
      <w:pPr>
        <w:pStyle w:val="Default"/>
        <w:rPr>
          <w:rFonts w:asciiTheme="minorHAnsi" w:hAnsiTheme="minorHAnsi" w:cstheme="minorHAnsi"/>
          <w:sz w:val="22"/>
          <w:szCs w:val="22"/>
        </w:rPr>
      </w:pPr>
    </w:p>
    <w:p w:rsidR="00B33CDF" w:rsidRPr="00005F09" w:rsidRDefault="00B33CDF" w:rsidP="00B33CDF">
      <w:pPr>
        <w:pStyle w:val="Default"/>
        <w:rPr>
          <w:sz w:val="22"/>
          <w:szCs w:val="22"/>
        </w:rPr>
      </w:pPr>
      <w:r w:rsidRPr="00005F09">
        <w:rPr>
          <w:sz w:val="22"/>
          <w:szCs w:val="22"/>
        </w:rPr>
        <w:t xml:space="preserve">Q5: Do you agree with the revised approach regarding the recording of the telephone calls? </w:t>
      </w:r>
    </w:p>
    <w:p w:rsidR="00B33CDF" w:rsidRPr="00005F09" w:rsidRDefault="00B33CDF" w:rsidP="00B33CDF">
      <w:pPr>
        <w:pStyle w:val="Default"/>
        <w:rPr>
          <w:rFonts w:asciiTheme="minorHAnsi" w:hAnsiTheme="minorHAnsi" w:cstheme="minorHAnsi"/>
          <w:sz w:val="22"/>
          <w:szCs w:val="22"/>
        </w:rPr>
      </w:pPr>
    </w:p>
    <w:p w:rsidR="004A28A4" w:rsidRPr="00005F09" w:rsidRDefault="00B323FF" w:rsidP="00B33CDF">
      <w:pPr>
        <w:pStyle w:val="Default"/>
        <w:rPr>
          <w:rFonts w:asciiTheme="minorHAnsi" w:hAnsiTheme="minorHAnsi" w:cstheme="minorHAnsi"/>
          <w:sz w:val="22"/>
          <w:szCs w:val="22"/>
        </w:rPr>
      </w:pPr>
      <w:r w:rsidRPr="00005F09">
        <w:rPr>
          <w:rFonts w:asciiTheme="minorHAnsi" w:hAnsiTheme="minorHAnsi" w:cstheme="minorHAnsi"/>
          <w:sz w:val="22"/>
          <w:szCs w:val="22"/>
        </w:rPr>
        <w:t>Yes.</w:t>
      </w:r>
    </w:p>
    <w:p w:rsidR="004A28A4" w:rsidRPr="00005F09" w:rsidRDefault="004A28A4" w:rsidP="00B33CDF">
      <w:pPr>
        <w:pStyle w:val="Default"/>
        <w:rPr>
          <w:rFonts w:asciiTheme="minorHAnsi" w:hAnsiTheme="minorHAnsi" w:cstheme="minorHAnsi"/>
          <w:sz w:val="22"/>
          <w:szCs w:val="22"/>
        </w:rPr>
      </w:pPr>
    </w:p>
    <w:p w:rsidR="00B33CDF" w:rsidRPr="00005F09" w:rsidRDefault="00B33CDF" w:rsidP="00B33CDF">
      <w:pPr>
        <w:pStyle w:val="Default"/>
        <w:rPr>
          <w:sz w:val="22"/>
          <w:szCs w:val="22"/>
        </w:rPr>
      </w:pPr>
      <w:r w:rsidRPr="00005F09">
        <w:rPr>
          <w:sz w:val="22"/>
          <w:szCs w:val="22"/>
        </w:rPr>
        <w:t xml:space="preserve">Q6: Do you agree with the proposal regarding MSR’s obligation to draw up their own version of the written minutes or notes in case of disagreement with the content of those drafted by the DMP? </w:t>
      </w:r>
    </w:p>
    <w:p w:rsidR="00B33CDF" w:rsidRPr="00005F09" w:rsidRDefault="00B33CDF" w:rsidP="00B33CDF">
      <w:pPr>
        <w:pStyle w:val="Default"/>
        <w:rPr>
          <w:rFonts w:asciiTheme="minorHAnsi" w:hAnsiTheme="minorHAnsi" w:cstheme="minorHAnsi"/>
          <w:sz w:val="22"/>
          <w:szCs w:val="22"/>
        </w:rPr>
      </w:pPr>
    </w:p>
    <w:p w:rsidR="00B323FF" w:rsidRPr="00005F09" w:rsidRDefault="00B323FF" w:rsidP="00B323FF">
      <w:pPr>
        <w:pStyle w:val="Default"/>
        <w:jc w:val="both"/>
        <w:rPr>
          <w:rFonts w:asciiTheme="minorHAnsi" w:hAnsiTheme="minorHAnsi" w:cstheme="minorHAnsi"/>
          <w:sz w:val="22"/>
          <w:szCs w:val="22"/>
        </w:rPr>
      </w:pPr>
      <w:r w:rsidRPr="00005F09">
        <w:rPr>
          <w:rFonts w:asciiTheme="minorHAnsi" w:hAnsiTheme="minorHAnsi" w:cstheme="minorHAnsi"/>
          <w:sz w:val="22"/>
          <w:szCs w:val="22"/>
        </w:rPr>
        <w:t xml:space="preserve">Amundi believes that some clarification is needed about the signing of minutes. We would prefer to require that participants express their approval or </w:t>
      </w:r>
      <w:r w:rsidR="00F64EF2" w:rsidRPr="00005F09">
        <w:rPr>
          <w:rFonts w:asciiTheme="minorHAnsi" w:hAnsiTheme="minorHAnsi" w:cstheme="minorHAnsi"/>
          <w:sz w:val="22"/>
          <w:szCs w:val="22"/>
        </w:rPr>
        <w:t>refusal</w:t>
      </w:r>
      <w:r w:rsidRPr="00005F09">
        <w:rPr>
          <w:rFonts w:asciiTheme="minorHAnsi" w:hAnsiTheme="minorHAnsi" w:cstheme="minorHAnsi"/>
          <w:sz w:val="22"/>
          <w:szCs w:val="22"/>
        </w:rPr>
        <w:t xml:space="preserve">. Practically, a mail in return should be acceptable </w:t>
      </w:r>
      <w:r w:rsidR="004E3EB1" w:rsidRPr="00005F09">
        <w:rPr>
          <w:rFonts w:asciiTheme="minorHAnsi" w:hAnsiTheme="minorHAnsi" w:cstheme="minorHAnsi"/>
          <w:sz w:val="22"/>
          <w:szCs w:val="22"/>
        </w:rPr>
        <w:t xml:space="preserve">a </w:t>
      </w:r>
      <w:r w:rsidRPr="00005F09">
        <w:rPr>
          <w:rFonts w:asciiTheme="minorHAnsi" w:hAnsiTheme="minorHAnsi" w:cstheme="minorHAnsi"/>
          <w:sz w:val="22"/>
          <w:szCs w:val="22"/>
        </w:rPr>
        <w:t>signature.</w:t>
      </w:r>
      <w:r w:rsidR="00F64EF2" w:rsidRPr="00005F09">
        <w:rPr>
          <w:rFonts w:asciiTheme="minorHAnsi" w:hAnsiTheme="minorHAnsi" w:cstheme="minorHAnsi"/>
          <w:sz w:val="22"/>
          <w:szCs w:val="22"/>
        </w:rPr>
        <w:t xml:space="preserve"> </w:t>
      </w:r>
      <w:r w:rsidR="00743D6A" w:rsidRPr="00005F09">
        <w:rPr>
          <w:rFonts w:asciiTheme="minorHAnsi" w:hAnsiTheme="minorHAnsi" w:cstheme="minorHAnsi"/>
          <w:sz w:val="22"/>
          <w:szCs w:val="22"/>
        </w:rPr>
        <w:t>I</w:t>
      </w:r>
      <w:r w:rsidR="00F64EF2" w:rsidRPr="00005F09">
        <w:rPr>
          <w:rFonts w:asciiTheme="minorHAnsi" w:hAnsiTheme="minorHAnsi" w:cstheme="minorHAnsi"/>
          <w:sz w:val="22"/>
          <w:szCs w:val="22"/>
        </w:rPr>
        <w:t xml:space="preserve">n most cases traceability requirements will </w:t>
      </w:r>
      <w:r w:rsidR="00743D6A" w:rsidRPr="00005F09">
        <w:rPr>
          <w:rFonts w:asciiTheme="minorHAnsi" w:hAnsiTheme="minorHAnsi" w:cstheme="minorHAnsi"/>
          <w:sz w:val="22"/>
          <w:szCs w:val="22"/>
        </w:rPr>
        <w:t xml:space="preserve">anyway </w:t>
      </w:r>
      <w:r w:rsidR="00F64EF2" w:rsidRPr="00005F09">
        <w:rPr>
          <w:rFonts w:asciiTheme="minorHAnsi" w:hAnsiTheme="minorHAnsi" w:cstheme="minorHAnsi"/>
          <w:sz w:val="22"/>
          <w:szCs w:val="22"/>
        </w:rPr>
        <w:t>impose on both side</w:t>
      </w:r>
      <w:r w:rsidR="002B7F28" w:rsidRPr="00005F09">
        <w:rPr>
          <w:rFonts w:asciiTheme="minorHAnsi" w:hAnsiTheme="minorHAnsi" w:cstheme="minorHAnsi"/>
          <w:sz w:val="22"/>
          <w:szCs w:val="22"/>
        </w:rPr>
        <w:t>s</w:t>
      </w:r>
      <w:r w:rsidR="00F64EF2" w:rsidRPr="00005F09">
        <w:rPr>
          <w:rFonts w:asciiTheme="minorHAnsi" w:hAnsiTheme="minorHAnsi" w:cstheme="minorHAnsi"/>
          <w:sz w:val="22"/>
          <w:szCs w:val="22"/>
        </w:rPr>
        <w:t xml:space="preserve"> to draft minutes of the meeting. </w:t>
      </w:r>
    </w:p>
    <w:p w:rsidR="00B323FF" w:rsidRPr="00005F09" w:rsidRDefault="00B323FF" w:rsidP="00B33CDF">
      <w:pPr>
        <w:pStyle w:val="Default"/>
        <w:rPr>
          <w:rFonts w:asciiTheme="minorHAnsi" w:hAnsiTheme="minorHAnsi" w:cstheme="minorHAnsi"/>
          <w:sz w:val="22"/>
          <w:szCs w:val="22"/>
        </w:rPr>
      </w:pPr>
    </w:p>
    <w:p w:rsidR="00B33CDF" w:rsidRPr="00005F09" w:rsidRDefault="00B33CDF" w:rsidP="00B33CDF">
      <w:pPr>
        <w:pStyle w:val="Default"/>
        <w:rPr>
          <w:sz w:val="22"/>
          <w:szCs w:val="22"/>
        </w:rPr>
      </w:pPr>
      <w:r w:rsidRPr="00005F09">
        <w:rPr>
          <w:sz w:val="22"/>
          <w:szCs w:val="22"/>
        </w:rPr>
        <w:t>Q7: Can you provide possible elements of compliance cost with reference to the regime proposed in the guidelines for MSRs?</w:t>
      </w:r>
    </w:p>
    <w:p w:rsidR="0098017B" w:rsidRPr="00005F09" w:rsidRDefault="0098017B" w:rsidP="00B33CDF">
      <w:pPr>
        <w:pStyle w:val="Default"/>
        <w:rPr>
          <w:rFonts w:asciiTheme="minorHAnsi" w:hAnsiTheme="minorHAnsi" w:cstheme="minorHAnsi"/>
          <w:sz w:val="22"/>
          <w:szCs w:val="22"/>
        </w:rPr>
      </w:pPr>
    </w:p>
    <w:p w:rsidR="0098017B" w:rsidRPr="00005F09" w:rsidRDefault="0098017B" w:rsidP="0098017B">
      <w:pPr>
        <w:pStyle w:val="Default"/>
        <w:jc w:val="both"/>
        <w:rPr>
          <w:rFonts w:asciiTheme="minorHAnsi" w:hAnsiTheme="minorHAnsi" w:cstheme="minorHAnsi"/>
          <w:sz w:val="22"/>
          <w:szCs w:val="22"/>
        </w:rPr>
      </w:pPr>
      <w:r w:rsidRPr="00005F09">
        <w:rPr>
          <w:rFonts w:asciiTheme="minorHAnsi" w:hAnsiTheme="minorHAnsi" w:cstheme="minorHAnsi"/>
          <w:sz w:val="22"/>
          <w:szCs w:val="22"/>
        </w:rPr>
        <w:t xml:space="preserve">We agree with the list of costs as it reads in Annex II, but we consider that, </w:t>
      </w:r>
      <w:r w:rsidR="004E3EB1" w:rsidRPr="00005F09">
        <w:rPr>
          <w:rFonts w:asciiTheme="minorHAnsi" w:hAnsiTheme="minorHAnsi" w:cstheme="minorHAnsi"/>
          <w:sz w:val="22"/>
          <w:szCs w:val="22"/>
        </w:rPr>
        <w:t>over</w:t>
      </w:r>
      <w:r w:rsidRPr="00005F09">
        <w:rPr>
          <w:rFonts w:asciiTheme="minorHAnsi" w:hAnsiTheme="minorHAnsi" w:cstheme="minorHAnsi"/>
          <w:sz w:val="22"/>
          <w:szCs w:val="22"/>
        </w:rPr>
        <w:t xml:space="preserve"> time, the on-going cost will be far more significant than the initial implementation cost, even with regard to staff training.</w:t>
      </w:r>
    </w:p>
    <w:p w:rsidR="00B33CDF" w:rsidRPr="00005F09" w:rsidRDefault="00B33CDF" w:rsidP="00B33CDF">
      <w:pPr>
        <w:pStyle w:val="Default"/>
        <w:rPr>
          <w:sz w:val="22"/>
          <w:szCs w:val="22"/>
        </w:rPr>
      </w:pPr>
    </w:p>
    <w:p w:rsidR="00B33CDF" w:rsidRPr="00005F09" w:rsidRDefault="00B33CDF" w:rsidP="00B33CDF">
      <w:pPr>
        <w:pStyle w:val="Default"/>
        <w:rPr>
          <w:b/>
          <w:bCs/>
          <w:sz w:val="22"/>
          <w:szCs w:val="22"/>
        </w:rPr>
      </w:pPr>
      <w:r w:rsidRPr="00005F09">
        <w:rPr>
          <w:b/>
          <w:bCs/>
          <w:sz w:val="22"/>
          <w:szCs w:val="22"/>
        </w:rPr>
        <w:t xml:space="preserve">Guidelines on legitimate interests of issuers to delay inside information and situations in which the delay of disclosure is likely to mislead the public </w:t>
      </w:r>
    </w:p>
    <w:p w:rsidR="00B33CDF" w:rsidRPr="00005F09" w:rsidRDefault="00B33CDF" w:rsidP="00B33CDF">
      <w:pPr>
        <w:pStyle w:val="Default"/>
        <w:rPr>
          <w:sz w:val="22"/>
          <w:szCs w:val="22"/>
        </w:rPr>
      </w:pPr>
    </w:p>
    <w:p w:rsidR="00B33CDF" w:rsidRPr="00005F09" w:rsidRDefault="00B33CDF" w:rsidP="00B33CDF">
      <w:pPr>
        <w:pStyle w:val="Default"/>
        <w:rPr>
          <w:sz w:val="22"/>
          <w:szCs w:val="22"/>
        </w:rPr>
      </w:pPr>
      <w:r w:rsidRPr="00005F09">
        <w:rPr>
          <w:sz w:val="22"/>
          <w:szCs w:val="22"/>
        </w:rPr>
        <w:t xml:space="preserve">Q8: Do you agree with the proposal regarding legitimate interests of the issuer for delaying disclosure of inside information? </w:t>
      </w:r>
    </w:p>
    <w:p w:rsidR="00B33CDF" w:rsidRPr="00005F09" w:rsidRDefault="00B33CDF" w:rsidP="00B33CDF">
      <w:pPr>
        <w:pStyle w:val="Default"/>
        <w:rPr>
          <w:rFonts w:asciiTheme="minorHAnsi" w:hAnsiTheme="minorHAnsi" w:cstheme="minorHAnsi"/>
          <w:sz w:val="22"/>
          <w:szCs w:val="22"/>
        </w:rPr>
      </w:pPr>
    </w:p>
    <w:p w:rsidR="0098017B" w:rsidRPr="00005F09" w:rsidRDefault="0098017B" w:rsidP="0098017B">
      <w:pPr>
        <w:pStyle w:val="Default"/>
        <w:jc w:val="both"/>
        <w:rPr>
          <w:rFonts w:asciiTheme="minorHAnsi" w:hAnsiTheme="minorHAnsi" w:cstheme="minorHAnsi"/>
          <w:sz w:val="22"/>
          <w:szCs w:val="22"/>
        </w:rPr>
      </w:pPr>
      <w:r w:rsidRPr="00005F09">
        <w:rPr>
          <w:rFonts w:asciiTheme="minorHAnsi" w:hAnsiTheme="minorHAnsi" w:cstheme="minorHAnsi"/>
          <w:sz w:val="22"/>
          <w:szCs w:val="22"/>
        </w:rPr>
        <w:t xml:space="preserve">Amundi shares the view that, in compliance with ESMA’s mandate, the list of examples should not be limitative but purely illustrative. As a consequence, some examples might be seen as safe </w:t>
      </w:r>
      <w:proofErr w:type="spellStart"/>
      <w:r w:rsidRPr="00005F09">
        <w:rPr>
          <w:rFonts w:asciiTheme="minorHAnsi" w:hAnsiTheme="minorHAnsi" w:cstheme="minorHAnsi"/>
          <w:sz w:val="22"/>
          <w:szCs w:val="22"/>
        </w:rPr>
        <w:t>harbour</w:t>
      </w:r>
      <w:proofErr w:type="spellEnd"/>
      <w:r w:rsidRPr="00005F09">
        <w:rPr>
          <w:rFonts w:asciiTheme="minorHAnsi" w:hAnsiTheme="minorHAnsi" w:cstheme="minorHAnsi"/>
          <w:sz w:val="22"/>
          <w:szCs w:val="22"/>
        </w:rPr>
        <w:t xml:space="preserve"> rules that do not prevent other situations to be acceptable as well. </w:t>
      </w:r>
      <w:r w:rsidR="00FB7F1D" w:rsidRPr="00005F09">
        <w:rPr>
          <w:rFonts w:asciiTheme="minorHAnsi" w:hAnsiTheme="minorHAnsi" w:cstheme="minorHAnsi"/>
          <w:sz w:val="22"/>
          <w:szCs w:val="22"/>
        </w:rPr>
        <w:t>Examples which ESMA did not consider as cases of legitimate interest to delay disclosure, such as CEO’s resignation or delay for checking accounting information of a subsidiary (§ 63 and 64) are to be interpreted on a case by case basis. There might be circumstances where the resignation of the CEO could legitimately be disclosed with a delay and, as pointed out in §67, a short delay may be acceptable to clarify the situation (</w:t>
      </w:r>
      <w:r w:rsidR="002B7F28" w:rsidRPr="00005F09">
        <w:rPr>
          <w:rFonts w:asciiTheme="minorHAnsi" w:hAnsiTheme="minorHAnsi" w:cstheme="minorHAnsi"/>
          <w:sz w:val="22"/>
          <w:szCs w:val="22"/>
        </w:rPr>
        <w:t>of the accounts of a subsidiary</w:t>
      </w:r>
      <w:r w:rsidR="00FB7F1D" w:rsidRPr="00005F09">
        <w:rPr>
          <w:rFonts w:asciiTheme="minorHAnsi" w:hAnsiTheme="minorHAnsi" w:cstheme="minorHAnsi"/>
          <w:sz w:val="22"/>
          <w:szCs w:val="22"/>
        </w:rPr>
        <w:t>).</w:t>
      </w:r>
    </w:p>
    <w:p w:rsidR="002A5005" w:rsidRPr="00005F09" w:rsidRDefault="002A5005" w:rsidP="0098017B">
      <w:pPr>
        <w:pStyle w:val="Default"/>
        <w:jc w:val="both"/>
        <w:rPr>
          <w:rFonts w:asciiTheme="minorHAnsi" w:hAnsiTheme="minorHAnsi" w:cstheme="minorHAnsi"/>
          <w:sz w:val="22"/>
          <w:szCs w:val="22"/>
        </w:rPr>
      </w:pPr>
    </w:p>
    <w:p w:rsidR="00FB7F1D" w:rsidRPr="00005F09" w:rsidRDefault="00FB7F1D" w:rsidP="002A5005">
      <w:pPr>
        <w:pStyle w:val="Default"/>
        <w:spacing w:after="120"/>
        <w:jc w:val="both"/>
        <w:rPr>
          <w:rFonts w:asciiTheme="minorHAnsi" w:hAnsiTheme="minorHAnsi" w:cstheme="minorHAnsi"/>
          <w:sz w:val="22"/>
          <w:szCs w:val="22"/>
        </w:rPr>
      </w:pPr>
      <w:r w:rsidRPr="00005F09">
        <w:rPr>
          <w:rFonts w:asciiTheme="minorHAnsi" w:hAnsiTheme="minorHAnsi" w:cstheme="minorHAnsi"/>
          <w:sz w:val="22"/>
          <w:szCs w:val="22"/>
        </w:rPr>
        <w:t xml:space="preserve">We have to express doubts on two </w:t>
      </w:r>
      <w:r w:rsidR="004E3EB1" w:rsidRPr="00005F09">
        <w:rPr>
          <w:rFonts w:asciiTheme="minorHAnsi" w:hAnsiTheme="minorHAnsi" w:cstheme="minorHAnsi"/>
          <w:sz w:val="22"/>
          <w:szCs w:val="22"/>
        </w:rPr>
        <w:t>point</w:t>
      </w:r>
      <w:r w:rsidRPr="00005F09">
        <w:rPr>
          <w:rFonts w:asciiTheme="minorHAnsi" w:hAnsiTheme="minorHAnsi" w:cstheme="minorHAnsi"/>
          <w:sz w:val="22"/>
          <w:szCs w:val="22"/>
        </w:rPr>
        <w:t>s:</w:t>
      </w:r>
    </w:p>
    <w:p w:rsidR="00FB7F1D" w:rsidRPr="00005F09" w:rsidRDefault="00A82743" w:rsidP="002A5005">
      <w:pPr>
        <w:pStyle w:val="Default"/>
        <w:numPr>
          <w:ilvl w:val="0"/>
          <w:numId w:val="2"/>
        </w:numPr>
        <w:spacing w:after="120"/>
        <w:jc w:val="both"/>
        <w:rPr>
          <w:rFonts w:asciiTheme="minorHAnsi" w:hAnsiTheme="minorHAnsi" w:cstheme="minorHAnsi"/>
          <w:sz w:val="22"/>
          <w:szCs w:val="22"/>
        </w:rPr>
      </w:pPr>
      <w:r w:rsidRPr="00005F09">
        <w:rPr>
          <w:rFonts w:asciiTheme="minorHAnsi" w:hAnsiTheme="minorHAnsi" w:cstheme="minorHAnsi"/>
          <w:sz w:val="22"/>
          <w:szCs w:val="22"/>
        </w:rPr>
        <w:t>§78 (d) (included in guidelines</w:t>
      </w:r>
      <w:r w:rsidR="002D6E6F" w:rsidRPr="00005F09">
        <w:rPr>
          <w:rFonts w:asciiTheme="minorHAnsi" w:hAnsiTheme="minorHAnsi" w:cstheme="minorHAnsi"/>
          <w:sz w:val="22"/>
          <w:szCs w:val="22"/>
        </w:rPr>
        <w:t xml:space="preserve"> as</w:t>
      </w:r>
      <w:r w:rsidRPr="00005F09">
        <w:rPr>
          <w:rFonts w:asciiTheme="minorHAnsi" w:hAnsiTheme="minorHAnsi" w:cstheme="minorHAnsi"/>
          <w:sz w:val="22"/>
          <w:szCs w:val="22"/>
        </w:rPr>
        <w:t xml:space="preserve"> § 1 (c) (iv)) very much contradicts the most basic rules of governance : if final approval is expected from a responsible body there is no way to guess before its meeting what will be its final decision, whatever the composition of this body </w:t>
      </w:r>
      <w:r w:rsidR="004E3EB1" w:rsidRPr="00005F09">
        <w:rPr>
          <w:rFonts w:asciiTheme="minorHAnsi" w:hAnsiTheme="minorHAnsi" w:cstheme="minorHAnsi"/>
          <w:sz w:val="22"/>
          <w:szCs w:val="22"/>
        </w:rPr>
        <w:t>or its record on</w:t>
      </w:r>
      <w:r w:rsidRPr="00005F09">
        <w:rPr>
          <w:rFonts w:asciiTheme="minorHAnsi" w:hAnsiTheme="minorHAnsi" w:cstheme="minorHAnsi"/>
          <w:sz w:val="22"/>
          <w:szCs w:val="22"/>
        </w:rPr>
        <w:t xml:space="preserve"> past decisions; we strongly oppose</w:t>
      </w:r>
      <w:r w:rsidR="004E3EB1" w:rsidRPr="00005F09">
        <w:rPr>
          <w:rFonts w:asciiTheme="minorHAnsi" w:hAnsiTheme="minorHAnsi" w:cstheme="minorHAnsi"/>
          <w:sz w:val="22"/>
          <w:szCs w:val="22"/>
        </w:rPr>
        <w:t>, as</w:t>
      </w:r>
      <w:r w:rsidRPr="00005F09">
        <w:rPr>
          <w:rFonts w:asciiTheme="minorHAnsi" w:hAnsiTheme="minorHAnsi" w:cstheme="minorHAnsi"/>
          <w:sz w:val="22"/>
          <w:szCs w:val="22"/>
        </w:rPr>
        <w:t xml:space="preserve"> a matter of principle</w:t>
      </w:r>
      <w:r w:rsidR="002B7F28" w:rsidRPr="00005F09">
        <w:rPr>
          <w:rFonts w:asciiTheme="minorHAnsi" w:hAnsiTheme="minorHAnsi" w:cstheme="minorHAnsi"/>
          <w:sz w:val="22"/>
          <w:szCs w:val="22"/>
        </w:rPr>
        <w:t>s</w:t>
      </w:r>
      <w:r w:rsidRPr="00005F09">
        <w:rPr>
          <w:rFonts w:asciiTheme="minorHAnsi" w:hAnsiTheme="minorHAnsi" w:cstheme="minorHAnsi"/>
          <w:sz w:val="22"/>
          <w:szCs w:val="22"/>
        </w:rPr>
        <w:t xml:space="preserve"> relating to the respect of governance</w:t>
      </w:r>
      <w:r w:rsidR="004E3EB1" w:rsidRPr="00005F09">
        <w:rPr>
          <w:rFonts w:asciiTheme="minorHAnsi" w:hAnsiTheme="minorHAnsi" w:cstheme="minorHAnsi"/>
          <w:sz w:val="22"/>
          <w:szCs w:val="22"/>
        </w:rPr>
        <w:t>,</w:t>
      </w:r>
      <w:r w:rsidRPr="00005F09">
        <w:rPr>
          <w:rFonts w:asciiTheme="minorHAnsi" w:hAnsiTheme="minorHAnsi" w:cstheme="minorHAnsi"/>
          <w:sz w:val="22"/>
          <w:szCs w:val="22"/>
        </w:rPr>
        <w:t xml:space="preserve"> the requirement that all four criteria mentioned should be met; we can </w:t>
      </w:r>
      <w:r w:rsidRPr="00005F09">
        <w:rPr>
          <w:rFonts w:asciiTheme="minorHAnsi" w:hAnsiTheme="minorHAnsi" w:cstheme="minorHAnsi"/>
          <w:sz w:val="22"/>
          <w:szCs w:val="22"/>
        </w:rPr>
        <w:lastRenderedPageBreak/>
        <w:t xml:space="preserve">understand  that an example where they are all met will definitely ensure legitimacy (safe </w:t>
      </w:r>
      <w:proofErr w:type="spellStart"/>
      <w:r w:rsidR="004E3EB1" w:rsidRPr="00005F09">
        <w:rPr>
          <w:rFonts w:asciiTheme="minorHAnsi" w:hAnsiTheme="minorHAnsi" w:cstheme="minorHAnsi"/>
          <w:sz w:val="22"/>
          <w:szCs w:val="22"/>
        </w:rPr>
        <w:t>harbour</w:t>
      </w:r>
      <w:proofErr w:type="spellEnd"/>
      <w:r w:rsidR="002B7F28" w:rsidRPr="00005F09">
        <w:rPr>
          <w:rFonts w:asciiTheme="minorHAnsi" w:hAnsiTheme="minorHAnsi" w:cstheme="minorHAnsi"/>
          <w:sz w:val="22"/>
          <w:szCs w:val="22"/>
        </w:rPr>
        <w:t xml:space="preserve">) </w:t>
      </w:r>
      <w:r w:rsidRPr="00005F09">
        <w:rPr>
          <w:rFonts w:asciiTheme="minorHAnsi" w:hAnsiTheme="minorHAnsi" w:cstheme="minorHAnsi"/>
          <w:sz w:val="22"/>
          <w:szCs w:val="22"/>
        </w:rPr>
        <w:t xml:space="preserve">but it should not prevent issuers that refuse to bet on the final decision of their governing body to demonstrate that they </w:t>
      </w:r>
      <w:r w:rsidR="004E3EB1" w:rsidRPr="00005F09">
        <w:rPr>
          <w:rFonts w:asciiTheme="minorHAnsi" w:hAnsiTheme="minorHAnsi" w:cstheme="minorHAnsi"/>
          <w:sz w:val="22"/>
          <w:szCs w:val="22"/>
        </w:rPr>
        <w:t>can be</w:t>
      </w:r>
      <w:r w:rsidRPr="00005F09">
        <w:rPr>
          <w:rFonts w:asciiTheme="minorHAnsi" w:hAnsiTheme="minorHAnsi" w:cstheme="minorHAnsi"/>
          <w:sz w:val="22"/>
          <w:szCs w:val="22"/>
        </w:rPr>
        <w:t xml:space="preserve"> legitimate in delaying disclosure;</w:t>
      </w:r>
    </w:p>
    <w:p w:rsidR="002D6E6F" w:rsidRPr="00005F09" w:rsidRDefault="002D6E6F" w:rsidP="00A82743">
      <w:pPr>
        <w:pStyle w:val="Default"/>
        <w:numPr>
          <w:ilvl w:val="0"/>
          <w:numId w:val="2"/>
        </w:numPr>
        <w:jc w:val="both"/>
        <w:rPr>
          <w:rFonts w:asciiTheme="minorHAnsi" w:hAnsiTheme="minorHAnsi" w:cstheme="minorHAnsi"/>
          <w:sz w:val="22"/>
          <w:szCs w:val="22"/>
        </w:rPr>
      </w:pPr>
      <w:r w:rsidRPr="00005F09">
        <w:rPr>
          <w:rFonts w:asciiTheme="minorHAnsi" w:hAnsiTheme="minorHAnsi" w:cstheme="minorHAnsi"/>
          <w:sz w:val="22"/>
          <w:szCs w:val="22"/>
        </w:rPr>
        <w:t xml:space="preserve">The requirement under §88 that the issuer should be able to explain why the deal is </w:t>
      </w:r>
      <w:r w:rsidRPr="00005F09">
        <w:rPr>
          <w:rFonts w:asciiTheme="minorHAnsi" w:hAnsiTheme="minorHAnsi" w:cstheme="minorHAnsi"/>
          <w:i/>
          <w:sz w:val="22"/>
          <w:szCs w:val="22"/>
        </w:rPr>
        <w:t>very likely  to fail</w:t>
      </w:r>
      <w:r w:rsidRPr="00005F09">
        <w:rPr>
          <w:rFonts w:asciiTheme="minorHAnsi" w:hAnsiTheme="minorHAnsi" w:cstheme="minorHAnsi"/>
          <w:sz w:val="22"/>
          <w:szCs w:val="22"/>
        </w:rPr>
        <w:t xml:space="preserve"> in case of disclosure should not be considered as a final interpretation of </w:t>
      </w:r>
      <w:proofErr w:type="spellStart"/>
      <w:r w:rsidRPr="00005F09">
        <w:rPr>
          <w:rFonts w:asciiTheme="minorHAnsi" w:hAnsiTheme="minorHAnsi" w:cstheme="minorHAnsi"/>
          <w:i/>
          <w:sz w:val="22"/>
          <w:szCs w:val="22"/>
        </w:rPr>
        <w:t>jeopardise</w:t>
      </w:r>
      <w:proofErr w:type="spellEnd"/>
      <w:r w:rsidRPr="00005F09">
        <w:rPr>
          <w:rFonts w:asciiTheme="minorHAnsi" w:hAnsiTheme="minorHAnsi" w:cstheme="minorHAnsi"/>
          <w:i/>
          <w:sz w:val="22"/>
          <w:szCs w:val="22"/>
        </w:rPr>
        <w:t xml:space="preserve">  </w:t>
      </w:r>
      <w:r w:rsidRPr="00005F09">
        <w:rPr>
          <w:rFonts w:asciiTheme="minorHAnsi" w:hAnsiTheme="minorHAnsi" w:cstheme="minorHAnsi"/>
          <w:sz w:val="22"/>
          <w:szCs w:val="22"/>
        </w:rPr>
        <w:t xml:space="preserve">in guidelines § 1(e); the point made by SMSG and quoted in § 65 should apply and a </w:t>
      </w:r>
      <w:r w:rsidRPr="00005F09">
        <w:rPr>
          <w:rFonts w:asciiTheme="minorHAnsi" w:hAnsiTheme="minorHAnsi" w:cstheme="minorHAnsi"/>
          <w:i/>
          <w:sz w:val="22"/>
          <w:szCs w:val="22"/>
        </w:rPr>
        <w:t>mere probability</w:t>
      </w:r>
      <w:r w:rsidRPr="00005F09">
        <w:rPr>
          <w:rFonts w:asciiTheme="minorHAnsi" w:hAnsiTheme="minorHAnsi" w:cstheme="minorHAnsi"/>
          <w:sz w:val="22"/>
          <w:szCs w:val="22"/>
        </w:rPr>
        <w:t xml:space="preserve"> is a sufficient criterion in our view.</w:t>
      </w:r>
    </w:p>
    <w:p w:rsidR="0098017B" w:rsidRPr="00005F09" w:rsidRDefault="0098017B" w:rsidP="00B33CDF">
      <w:pPr>
        <w:pStyle w:val="Default"/>
        <w:rPr>
          <w:rFonts w:asciiTheme="minorHAnsi" w:hAnsiTheme="minorHAnsi" w:cstheme="minorHAnsi"/>
          <w:sz w:val="22"/>
          <w:szCs w:val="22"/>
        </w:rPr>
      </w:pPr>
    </w:p>
    <w:p w:rsidR="00B33CDF" w:rsidRPr="00005F09" w:rsidRDefault="00B33CDF" w:rsidP="00B33CDF">
      <w:pPr>
        <w:pStyle w:val="Default"/>
        <w:rPr>
          <w:sz w:val="22"/>
          <w:szCs w:val="22"/>
        </w:rPr>
      </w:pPr>
      <w:r w:rsidRPr="00005F09">
        <w:rPr>
          <w:sz w:val="22"/>
          <w:szCs w:val="22"/>
        </w:rPr>
        <w:t xml:space="preserve">Q9: Do you agree with the proposal regarding situations where the delayed disclosure is likely to mislead the public? </w:t>
      </w:r>
    </w:p>
    <w:p w:rsidR="00EB3FB6" w:rsidRPr="00005F09" w:rsidRDefault="00EB3FB6" w:rsidP="00B33CDF">
      <w:pPr>
        <w:pStyle w:val="Default"/>
        <w:rPr>
          <w:sz w:val="22"/>
          <w:szCs w:val="22"/>
        </w:rPr>
      </w:pPr>
    </w:p>
    <w:p w:rsidR="00EB3FB6" w:rsidRPr="00005F09" w:rsidRDefault="00EB3FB6" w:rsidP="002A5005">
      <w:pPr>
        <w:pStyle w:val="Default"/>
        <w:jc w:val="both"/>
        <w:rPr>
          <w:rFonts w:asciiTheme="minorHAnsi" w:hAnsiTheme="minorHAnsi" w:cstheme="minorHAnsi"/>
          <w:sz w:val="22"/>
          <w:szCs w:val="22"/>
        </w:rPr>
      </w:pPr>
      <w:r w:rsidRPr="00005F09">
        <w:rPr>
          <w:rFonts w:asciiTheme="minorHAnsi" w:hAnsiTheme="minorHAnsi" w:cstheme="minorHAnsi"/>
          <w:sz w:val="22"/>
          <w:szCs w:val="22"/>
        </w:rPr>
        <w:t>We agree with (a) and (b) under § 2 of the guideline</w:t>
      </w:r>
      <w:r w:rsidR="002A5005" w:rsidRPr="00005F09">
        <w:rPr>
          <w:rFonts w:asciiTheme="minorHAnsi" w:hAnsiTheme="minorHAnsi" w:cstheme="minorHAnsi"/>
          <w:sz w:val="22"/>
          <w:szCs w:val="22"/>
        </w:rPr>
        <w:t xml:space="preserve">s as we think that on the one hand </w:t>
      </w:r>
      <w:r w:rsidR="004E3EB1" w:rsidRPr="00005F09">
        <w:rPr>
          <w:rFonts w:asciiTheme="minorHAnsi" w:hAnsiTheme="minorHAnsi" w:cstheme="minorHAnsi"/>
          <w:sz w:val="22"/>
          <w:szCs w:val="22"/>
        </w:rPr>
        <w:t>they are</w:t>
      </w:r>
      <w:r w:rsidR="002A5005" w:rsidRPr="00005F09">
        <w:rPr>
          <w:rFonts w:asciiTheme="minorHAnsi" w:hAnsiTheme="minorHAnsi" w:cstheme="minorHAnsi"/>
          <w:sz w:val="22"/>
          <w:szCs w:val="22"/>
        </w:rPr>
        <w:t xml:space="preserve"> sufficiently clear for being manageable by the issuer and on the other hand </w:t>
      </w:r>
      <w:r w:rsidR="004E3EB1" w:rsidRPr="00005F09">
        <w:rPr>
          <w:rFonts w:asciiTheme="minorHAnsi" w:hAnsiTheme="minorHAnsi" w:cstheme="minorHAnsi"/>
          <w:sz w:val="22"/>
          <w:szCs w:val="22"/>
        </w:rPr>
        <w:t xml:space="preserve">they </w:t>
      </w:r>
      <w:r w:rsidR="002A5005" w:rsidRPr="00005F09">
        <w:rPr>
          <w:rFonts w:asciiTheme="minorHAnsi" w:hAnsiTheme="minorHAnsi" w:cstheme="minorHAnsi"/>
          <w:sz w:val="22"/>
          <w:szCs w:val="22"/>
        </w:rPr>
        <w:t>relate to situations where the investors’ interest demand an immediate disclosure.</w:t>
      </w:r>
    </w:p>
    <w:p w:rsidR="002A5005" w:rsidRPr="00005F09" w:rsidRDefault="002A5005" w:rsidP="002A5005">
      <w:pPr>
        <w:pStyle w:val="Default"/>
        <w:jc w:val="both"/>
        <w:rPr>
          <w:rFonts w:asciiTheme="minorHAnsi" w:hAnsiTheme="minorHAnsi" w:cstheme="minorHAnsi"/>
          <w:sz w:val="22"/>
          <w:szCs w:val="22"/>
        </w:rPr>
      </w:pPr>
    </w:p>
    <w:p w:rsidR="002A5005" w:rsidRPr="00005F09" w:rsidRDefault="002A5005" w:rsidP="002A5005">
      <w:pPr>
        <w:pStyle w:val="Default"/>
        <w:jc w:val="both"/>
        <w:rPr>
          <w:rFonts w:asciiTheme="minorHAnsi" w:hAnsiTheme="minorHAnsi" w:cstheme="minorHAnsi"/>
          <w:sz w:val="22"/>
          <w:szCs w:val="22"/>
        </w:rPr>
      </w:pPr>
      <w:r w:rsidRPr="00005F09">
        <w:rPr>
          <w:rFonts w:asciiTheme="minorHAnsi" w:hAnsiTheme="minorHAnsi" w:cstheme="minorHAnsi"/>
          <w:sz w:val="22"/>
          <w:szCs w:val="22"/>
        </w:rPr>
        <w:t xml:space="preserve">Conversely, we doubt that (c) is clear enough to be a rule which can easily apply. We think that the proposed wording will raise more questions than it will bring answers. </w:t>
      </w:r>
    </w:p>
    <w:p w:rsidR="00B33CDF" w:rsidRPr="00005F09" w:rsidRDefault="00B33CDF" w:rsidP="00B33CDF">
      <w:pPr>
        <w:pStyle w:val="Default"/>
        <w:rPr>
          <w:rFonts w:asciiTheme="minorHAnsi" w:hAnsiTheme="minorHAnsi" w:cstheme="minorHAnsi"/>
          <w:sz w:val="22"/>
          <w:szCs w:val="22"/>
        </w:rPr>
      </w:pPr>
    </w:p>
    <w:p w:rsidR="00B33CDF" w:rsidRPr="00005F09" w:rsidRDefault="00B33CDF" w:rsidP="00B33CDF">
      <w:pPr>
        <w:spacing w:after="120"/>
        <w:jc w:val="both"/>
        <w:rPr>
          <w:sz w:val="22"/>
          <w:szCs w:val="22"/>
          <w:lang w:val="en-US"/>
        </w:rPr>
      </w:pPr>
      <w:r w:rsidRPr="00005F09">
        <w:rPr>
          <w:sz w:val="22"/>
          <w:szCs w:val="22"/>
          <w:lang w:val="en-US"/>
        </w:rPr>
        <w:t>Q10: Do you see other elements to be considered for assessing market’s expectations?</w:t>
      </w:r>
    </w:p>
    <w:p w:rsidR="00B33CDF" w:rsidRPr="00005F09" w:rsidRDefault="002A5005" w:rsidP="00B33CDF">
      <w:pPr>
        <w:spacing w:after="120"/>
        <w:jc w:val="both"/>
        <w:rPr>
          <w:rFonts w:asciiTheme="minorHAnsi" w:hAnsiTheme="minorHAnsi" w:cstheme="minorHAnsi"/>
          <w:sz w:val="22"/>
          <w:szCs w:val="22"/>
          <w:lang w:val="en-US"/>
        </w:rPr>
      </w:pPr>
      <w:r w:rsidRPr="00005F09">
        <w:rPr>
          <w:rFonts w:asciiTheme="minorHAnsi" w:hAnsiTheme="minorHAnsi" w:cstheme="minorHAnsi"/>
          <w:sz w:val="22"/>
          <w:szCs w:val="22"/>
          <w:lang w:val="en-US"/>
        </w:rPr>
        <w:t xml:space="preserve">First question: what is a signal if neither an announcement nor an objective disclosed by the firm ? If it refers to press interviews by senior managers, we think that guidelines should be more specific and refer to what it intends to cover. In order not to be too restrictive on the scope, a wording such as </w:t>
      </w:r>
      <w:r w:rsidR="008B3046" w:rsidRPr="00005F09">
        <w:rPr>
          <w:rFonts w:asciiTheme="minorHAnsi" w:hAnsiTheme="minorHAnsi" w:cstheme="minorHAnsi"/>
          <w:sz w:val="22"/>
          <w:szCs w:val="22"/>
          <w:lang w:val="en-US"/>
        </w:rPr>
        <w:t xml:space="preserve">“ </w:t>
      </w:r>
      <w:r w:rsidR="008B3046" w:rsidRPr="00005F09">
        <w:rPr>
          <w:rFonts w:asciiTheme="minorHAnsi" w:hAnsiTheme="minorHAnsi" w:cstheme="minorHAnsi"/>
          <w:i/>
          <w:sz w:val="22"/>
          <w:szCs w:val="22"/>
          <w:lang w:val="en-US"/>
        </w:rPr>
        <w:t>interviews, roadshows</w:t>
      </w:r>
      <w:r w:rsidR="008B3046" w:rsidRPr="00005F09">
        <w:rPr>
          <w:rFonts w:asciiTheme="minorHAnsi" w:hAnsiTheme="minorHAnsi" w:cstheme="minorHAnsi"/>
          <w:sz w:val="22"/>
          <w:szCs w:val="22"/>
          <w:lang w:val="en-US"/>
        </w:rPr>
        <w:t xml:space="preserve"> </w:t>
      </w:r>
      <w:r w:rsidRPr="00005F09">
        <w:rPr>
          <w:rFonts w:asciiTheme="minorHAnsi" w:hAnsiTheme="minorHAnsi" w:cstheme="minorHAnsi"/>
          <w:i/>
          <w:sz w:val="22"/>
          <w:szCs w:val="22"/>
          <w:lang w:val="en-US"/>
        </w:rPr>
        <w:t xml:space="preserve">or any other </w:t>
      </w:r>
      <w:r w:rsidR="008B3046" w:rsidRPr="00005F09">
        <w:rPr>
          <w:rFonts w:asciiTheme="minorHAnsi" w:hAnsiTheme="minorHAnsi" w:cstheme="minorHAnsi"/>
          <w:i/>
          <w:sz w:val="22"/>
          <w:szCs w:val="22"/>
          <w:lang w:val="en-US"/>
        </w:rPr>
        <w:t>type of communication organized by the issuer or with its approval</w:t>
      </w:r>
      <w:r w:rsidR="008B3046" w:rsidRPr="00005F09">
        <w:rPr>
          <w:rFonts w:asciiTheme="minorHAnsi" w:hAnsiTheme="minorHAnsi" w:cstheme="minorHAnsi"/>
          <w:sz w:val="22"/>
          <w:szCs w:val="22"/>
          <w:lang w:val="en-US"/>
        </w:rPr>
        <w:t>” would be more effective in our opinion. If there are other clear circumstances that should be covered there is no obje</w:t>
      </w:r>
      <w:r w:rsidR="002B7F28" w:rsidRPr="00005F09">
        <w:rPr>
          <w:rFonts w:asciiTheme="minorHAnsi" w:hAnsiTheme="minorHAnsi" w:cstheme="minorHAnsi"/>
          <w:sz w:val="22"/>
          <w:szCs w:val="22"/>
          <w:lang w:val="en-US"/>
        </w:rPr>
        <w:t>ction to specifically mention</w:t>
      </w:r>
      <w:r w:rsidR="008B3046" w:rsidRPr="00005F09">
        <w:rPr>
          <w:rFonts w:asciiTheme="minorHAnsi" w:hAnsiTheme="minorHAnsi" w:cstheme="minorHAnsi"/>
          <w:sz w:val="22"/>
          <w:szCs w:val="22"/>
          <w:lang w:val="en-US"/>
        </w:rPr>
        <w:t xml:space="preserve"> them.</w:t>
      </w:r>
    </w:p>
    <w:p w:rsidR="008B3046" w:rsidRPr="00005F09" w:rsidRDefault="008B3046" w:rsidP="00B33CDF">
      <w:pPr>
        <w:spacing w:after="120"/>
        <w:jc w:val="both"/>
        <w:rPr>
          <w:rFonts w:asciiTheme="minorHAnsi" w:hAnsiTheme="minorHAnsi" w:cstheme="minorHAnsi"/>
          <w:sz w:val="22"/>
          <w:szCs w:val="22"/>
          <w:lang w:val="en-US"/>
        </w:rPr>
      </w:pPr>
      <w:r w:rsidRPr="00005F09">
        <w:rPr>
          <w:rFonts w:asciiTheme="minorHAnsi" w:hAnsiTheme="minorHAnsi" w:cstheme="minorHAnsi"/>
          <w:sz w:val="22"/>
          <w:szCs w:val="22"/>
          <w:lang w:val="en-US"/>
        </w:rPr>
        <w:t>Second question: does the reference to consensus</w:t>
      </w:r>
      <w:r w:rsidR="00883E69" w:rsidRPr="00005F09">
        <w:rPr>
          <w:rFonts w:asciiTheme="minorHAnsi" w:hAnsiTheme="minorHAnsi" w:cstheme="minorHAnsi"/>
          <w:sz w:val="22"/>
          <w:szCs w:val="22"/>
          <w:lang w:val="en-US"/>
        </w:rPr>
        <w:t xml:space="preserve"> among financial analysts</w:t>
      </w:r>
      <w:r w:rsidRPr="00005F09">
        <w:rPr>
          <w:rFonts w:asciiTheme="minorHAnsi" w:hAnsiTheme="minorHAnsi" w:cstheme="minorHAnsi"/>
          <w:sz w:val="22"/>
          <w:szCs w:val="22"/>
          <w:lang w:val="en-US"/>
        </w:rPr>
        <w:t xml:space="preserve"> amount to market’s expectations ? We believe it is the best proxy we have at hand and agree with §101. However it does not qualify to express market’s expectations </w:t>
      </w:r>
      <w:r w:rsidRPr="00005F09">
        <w:rPr>
          <w:rFonts w:asciiTheme="minorHAnsi" w:hAnsiTheme="minorHAnsi" w:cstheme="minorHAnsi"/>
          <w:i/>
          <w:sz w:val="22"/>
          <w:szCs w:val="22"/>
          <w:lang w:val="en-US"/>
        </w:rPr>
        <w:t xml:space="preserve">based on signals that the issuer has previously set. </w:t>
      </w:r>
      <w:r w:rsidR="00883E69" w:rsidRPr="00005F09">
        <w:rPr>
          <w:rFonts w:asciiTheme="minorHAnsi" w:hAnsiTheme="minorHAnsi" w:cstheme="minorHAnsi"/>
          <w:sz w:val="22"/>
          <w:szCs w:val="22"/>
          <w:lang w:val="en-US"/>
        </w:rPr>
        <w:t xml:space="preserve">Analysts typically specialize in a sector and have a profound knowledge of different firms in that sector that enables them to draw comparisons and not exclusively rely on signals and announcement of the issuer. </w:t>
      </w:r>
    </w:p>
    <w:p w:rsidR="00EA3942" w:rsidRPr="00005F09" w:rsidRDefault="00EA3942" w:rsidP="00B33CDF">
      <w:pPr>
        <w:spacing w:after="120"/>
        <w:jc w:val="both"/>
        <w:rPr>
          <w:rFonts w:asciiTheme="minorHAnsi" w:hAnsiTheme="minorHAnsi" w:cstheme="minorHAnsi"/>
          <w:i/>
          <w:sz w:val="22"/>
          <w:szCs w:val="22"/>
          <w:lang w:val="en-US"/>
        </w:rPr>
      </w:pPr>
      <w:r w:rsidRPr="00005F09">
        <w:rPr>
          <w:rFonts w:asciiTheme="minorHAnsi" w:hAnsiTheme="minorHAnsi" w:cstheme="minorHAnsi"/>
          <w:sz w:val="22"/>
          <w:szCs w:val="22"/>
          <w:lang w:val="en-US"/>
        </w:rPr>
        <w:t>Conclusion: we do not believe that the addition of the reference to signals that the issuer has previously set bring</w:t>
      </w:r>
      <w:r w:rsidR="004E3EB1" w:rsidRPr="00005F09">
        <w:rPr>
          <w:rFonts w:asciiTheme="minorHAnsi" w:hAnsiTheme="minorHAnsi" w:cstheme="minorHAnsi"/>
          <w:sz w:val="22"/>
          <w:szCs w:val="22"/>
          <w:lang w:val="en-US"/>
        </w:rPr>
        <w:t>s</w:t>
      </w:r>
      <w:r w:rsidRPr="00005F09">
        <w:rPr>
          <w:rFonts w:asciiTheme="minorHAnsi" w:hAnsiTheme="minorHAnsi" w:cstheme="minorHAnsi"/>
          <w:sz w:val="22"/>
          <w:szCs w:val="22"/>
          <w:lang w:val="en-US"/>
        </w:rPr>
        <w:t xml:space="preserve"> the clarity that ESMA intended according to § 101. We therefore suggest t</w:t>
      </w:r>
      <w:r w:rsidR="003107EF" w:rsidRPr="00005F09">
        <w:rPr>
          <w:rFonts w:asciiTheme="minorHAnsi" w:hAnsiTheme="minorHAnsi" w:cstheme="minorHAnsi"/>
          <w:sz w:val="22"/>
          <w:szCs w:val="22"/>
          <w:lang w:val="en-US"/>
        </w:rPr>
        <w:t>o</w:t>
      </w:r>
      <w:r w:rsidRPr="00005F09">
        <w:rPr>
          <w:rFonts w:asciiTheme="minorHAnsi" w:hAnsiTheme="minorHAnsi" w:cstheme="minorHAnsi"/>
          <w:sz w:val="22"/>
          <w:szCs w:val="22"/>
          <w:lang w:val="en-US"/>
        </w:rPr>
        <w:t xml:space="preserve"> suppress the mention of market’s expectations in (c)</w:t>
      </w:r>
      <w:r w:rsidR="003107EF" w:rsidRPr="00005F09">
        <w:rPr>
          <w:rFonts w:asciiTheme="minorHAnsi" w:hAnsiTheme="minorHAnsi" w:cstheme="minorHAnsi"/>
          <w:sz w:val="22"/>
          <w:szCs w:val="22"/>
          <w:lang w:val="en-US"/>
        </w:rPr>
        <w:t xml:space="preserve"> and to have an item comparable in structure to</w:t>
      </w:r>
      <w:r w:rsidRPr="00005F09">
        <w:rPr>
          <w:rFonts w:asciiTheme="minorHAnsi" w:hAnsiTheme="minorHAnsi" w:cstheme="minorHAnsi"/>
          <w:sz w:val="22"/>
          <w:szCs w:val="22"/>
          <w:lang w:val="en-US"/>
        </w:rPr>
        <w:t xml:space="preserve"> (a) and </w:t>
      </w:r>
      <w:r w:rsidR="003107EF" w:rsidRPr="00005F09">
        <w:rPr>
          <w:rFonts w:asciiTheme="minorHAnsi" w:hAnsiTheme="minorHAnsi" w:cstheme="minorHAnsi"/>
          <w:sz w:val="22"/>
          <w:szCs w:val="22"/>
          <w:lang w:val="en-US"/>
        </w:rPr>
        <w:t xml:space="preserve">(b). (c) would read: </w:t>
      </w:r>
      <w:r w:rsidR="003107EF" w:rsidRPr="00005F09">
        <w:rPr>
          <w:rFonts w:asciiTheme="minorHAnsi" w:hAnsiTheme="minorHAnsi" w:cstheme="minorHAnsi"/>
          <w:i/>
          <w:sz w:val="22"/>
          <w:szCs w:val="22"/>
          <w:lang w:val="en-US"/>
        </w:rPr>
        <w:t>the inside information whose disclosure the issuer intends to delay is in contrast with the content (not amended since) of interviews, roadshows or any other type of communication organized by the issuer or with its approval”.</w:t>
      </w:r>
    </w:p>
    <w:p w:rsidR="003107EF" w:rsidRPr="00005F09" w:rsidRDefault="003107EF" w:rsidP="00B33CDF">
      <w:pPr>
        <w:spacing w:after="120"/>
        <w:jc w:val="both"/>
        <w:rPr>
          <w:rFonts w:asciiTheme="minorHAnsi" w:hAnsiTheme="minorHAnsi" w:cstheme="minorHAnsi"/>
          <w:i/>
          <w:sz w:val="22"/>
          <w:szCs w:val="22"/>
          <w:lang w:val="en-US"/>
        </w:rPr>
      </w:pPr>
    </w:p>
    <w:p w:rsidR="003107EF" w:rsidRPr="00005F09" w:rsidRDefault="003107EF" w:rsidP="00B33CDF">
      <w:pPr>
        <w:spacing w:after="120"/>
        <w:jc w:val="both"/>
        <w:rPr>
          <w:rFonts w:asciiTheme="minorHAnsi" w:hAnsiTheme="minorHAnsi" w:cstheme="minorHAnsi"/>
          <w:i/>
          <w:sz w:val="22"/>
          <w:szCs w:val="22"/>
          <w:u w:val="single"/>
        </w:rPr>
      </w:pPr>
      <w:r w:rsidRPr="00005F09">
        <w:rPr>
          <w:rFonts w:asciiTheme="minorHAnsi" w:hAnsiTheme="minorHAnsi" w:cstheme="minorHAnsi"/>
          <w:i/>
          <w:sz w:val="22"/>
          <w:szCs w:val="22"/>
          <w:u w:val="single"/>
        </w:rPr>
        <w:t>Contact at Amundi:</w:t>
      </w:r>
    </w:p>
    <w:p w:rsidR="003107EF" w:rsidRPr="003107EF" w:rsidRDefault="003107EF" w:rsidP="00B33CDF">
      <w:pPr>
        <w:spacing w:after="120"/>
        <w:jc w:val="both"/>
        <w:rPr>
          <w:rFonts w:asciiTheme="minorHAnsi" w:hAnsiTheme="minorHAnsi" w:cstheme="minorHAnsi"/>
          <w:sz w:val="22"/>
          <w:szCs w:val="22"/>
        </w:rPr>
      </w:pPr>
      <w:r w:rsidRPr="00005F09">
        <w:rPr>
          <w:rFonts w:asciiTheme="minorHAnsi" w:hAnsiTheme="minorHAnsi" w:cstheme="minorHAnsi"/>
          <w:sz w:val="22"/>
          <w:szCs w:val="22"/>
        </w:rPr>
        <w:t>Frédéric BOMPAIRE</w:t>
      </w:r>
      <w:r w:rsidRPr="00005F09">
        <w:rPr>
          <w:rFonts w:asciiTheme="minorHAnsi" w:hAnsiTheme="minorHAnsi" w:cstheme="minorHAnsi"/>
          <w:sz w:val="22"/>
          <w:szCs w:val="22"/>
        </w:rPr>
        <w:br/>
        <w:t>Affaires publiques</w:t>
      </w:r>
      <w:r w:rsidRPr="00005F09">
        <w:rPr>
          <w:rFonts w:asciiTheme="minorHAnsi" w:hAnsiTheme="minorHAnsi" w:cstheme="minorHAnsi"/>
          <w:sz w:val="22"/>
          <w:szCs w:val="22"/>
        </w:rPr>
        <w:br/>
        <w:t>Tél: +33 (0)1 7637 9144</w:t>
      </w:r>
      <w:r w:rsidRPr="00005F09">
        <w:rPr>
          <w:rFonts w:asciiTheme="minorHAnsi" w:hAnsiTheme="minorHAnsi" w:cstheme="minorHAnsi"/>
          <w:sz w:val="22"/>
          <w:szCs w:val="22"/>
        </w:rPr>
        <w:br/>
      </w:r>
      <w:hyperlink r:id="rId12" w:history="1">
        <w:r w:rsidRPr="00005F09">
          <w:rPr>
            <w:rStyle w:val="Lienhypertexte"/>
            <w:rFonts w:asciiTheme="minorHAnsi" w:hAnsiTheme="minorHAnsi" w:cstheme="minorHAnsi"/>
            <w:sz w:val="22"/>
            <w:szCs w:val="22"/>
          </w:rPr>
          <w:t>frederic.bompaire@amundi.com</w:t>
        </w:r>
      </w:hyperlink>
      <w:bookmarkStart w:id="6" w:name="_GoBack"/>
      <w:bookmarkEnd w:id="6"/>
      <w:r>
        <w:rPr>
          <w:rFonts w:asciiTheme="minorHAnsi" w:hAnsiTheme="minorHAnsi" w:cstheme="minorHAnsi"/>
          <w:sz w:val="22"/>
          <w:szCs w:val="22"/>
        </w:rPr>
        <w:t xml:space="preserve"> </w:t>
      </w:r>
    </w:p>
    <w:p w:rsidR="003107EF" w:rsidRPr="003107EF" w:rsidRDefault="003107EF" w:rsidP="00B33CDF">
      <w:pPr>
        <w:spacing w:after="120"/>
        <w:jc w:val="both"/>
        <w:rPr>
          <w:rFonts w:asciiTheme="minorHAnsi" w:hAnsiTheme="minorHAnsi" w:cstheme="minorHAnsi"/>
          <w:sz w:val="22"/>
          <w:szCs w:val="22"/>
        </w:rPr>
      </w:pPr>
    </w:p>
    <w:sectPr w:rsidR="003107EF" w:rsidRPr="003107EF" w:rsidSect="00866369">
      <w:type w:val="continuous"/>
      <w:pgSz w:w="11906" w:h="16838"/>
      <w:pgMar w:top="1701" w:right="1418" w:bottom="1701" w:left="1418" w:header="567" w:footer="567" w:gutter="0"/>
      <w:cols w:space="709"/>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369" w:rsidRDefault="00866369">
      <w:r>
        <w:separator/>
      </w:r>
    </w:p>
  </w:endnote>
  <w:endnote w:type="continuationSeparator" w:id="0">
    <w:p w:rsidR="00866369" w:rsidRDefault="00866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2289662"/>
      <w:docPartObj>
        <w:docPartGallery w:val="Page Numbers (Bottom of Page)"/>
        <w:docPartUnique/>
      </w:docPartObj>
    </w:sdtPr>
    <w:sdtEndPr/>
    <w:sdtContent>
      <w:p w:rsidR="00EB3FB6" w:rsidRDefault="00EB3FB6">
        <w:pPr>
          <w:pStyle w:val="Pieddepage"/>
          <w:jc w:val="center"/>
        </w:pPr>
        <w:r>
          <w:fldChar w:fldCharType="begin"/>
        </w:r>
        <w:r>
          <w:instrText>PAGE   \* MERGEFORMAT</w:instrText>
        </w:r>
        <w:r>
          <w:fldChar w:fldCharType="separate"/>
        </w:r>
        <w:r w:rsidR="00005F09">
          <w:rPr>
            <w:noProof/>
          </w:rPr>
          <w:t>2</w:t>
        </w:r>
        <w:r>
          <w:fldChar w:fldCharType="end"/>
        </w:r>
      </w:p>
    </w:sdtContent>
  </w:sdt>
  <w:p w:rsidR="00894750" w:rsidRDefault="00894750">
    <w:pPr>
      <w:pStyle w:val="Pieddepage"/>
      <w:tabs>
        <w:tab w:val="clear" w:pos="4536"/>
        <w:tab w:val="clear" w:pos="9072"/>
      </w:tabs>
      <w:spacing w:line="24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750" w:rsidRDefault="00894750">
    <w:pPr>
      <w:pStyle w:val="Pieddepage"/>
      <w:tabs>
        <w:tab w:val="clear" w:pos="4536"/>
        <w:tab w:val="clear" w:pos="9072"/>
      </w:tabs>
      <w:spacing w:line="240" w:lineRule="exact"/>
    </w:pPr>
  </w:p>
  <w:p w:rsidR="00894750" w:rsidRDefault="00894750">
    <w:pPr>
      <w:pStyle w:val="Pieddepage"/>
      <w:tabs>
        <w:tab w:val="clear" w:pos="4536"/>
        <w:tab w:val="clear" w:pos="9072"/>
      </w:tabs>
      <w:spacing w:line="240" w:lineRule="exact"/>
    </w:pPr>
  </w:p>
  <w:p w:rsidR="00894750" w:rsidRDefault="00894750">
    <w:pPr>
      <w:pStyle w:val="Pieddepage"/>
      <w:tabs>
        <w:tab w:val="clear" w:pos="4536"/>
        <w:tab w:val="clear" w:pos="9072"/>
      </w:tabs>
      <w:spacing w:line="240" w:lineRule="exact"/>
    </w:pPr>
  </w:p>
  <w:p w:rsidR="00894750" w:rsidRDefault="00894750">
    <w:pPr>
      <w:pStyle w:val="Pieddepage"/>
      <w:tabs>
        <w:tab w:val="clear" w:pos="4536"/>
        <w:tab w:val="clear" w:pos="9072"/>
      </w:tabs>
      <w:spacing w:line="240" w:lineRule="exact"/>
    </w:pPr>
  </w:p>
  <w:p w:rsidR="00894750" w:rsidRDefault="00894750">
    <w:pPr>
      <w:pStyle w:val="Pieddepage"/>
      <w:tabs>
        <w:tab w:val="clear" w:pos="4536"/>
        <w:tab w:val="clear" w:pos="9072"/>
      </w:tabs>
      <w:spacing w:line="240" w:lineRule="exact"/>
    </w:pPr>
  </w:p>
  <w:p w:rsidR="00894750" w:rsidRDefault="00894750">
    <w:pPr>
      <w:pStyle w:val="Pieddepage"/>
      <w:tabs>
        <w:tab w:val="clear" w:pos="4536"/>
        <w:tab w:val="clear" w:pos="9072"/>
      </w:tabs>
      <w:spacing w:line="240" w:lineRule="exact"/>
    </w:pPr>
  </w:p>
  <w:p w:rsidR="00894750" w:rsidRDefault="00894750">
    <w:pPr>
      <w:pStyle w:val="Pieddepage"/>
      <w:tabs>
        <w:tab w:val="clear" w:pos="4536"/>
        <w:tab w:val="clear" w:pos="9072"/>
      </w:tabs>
      <w:spacing w:line="240" w:lineRule="exact"/>
    </w:pPr>
  </w:p>
  <w:p w:rsidR="00894750" w:rsidRDefault="00894750">
    <w:pPr>
      <w:pStyle w:val="Pieddepage"/>
      <w:tabs>
        <w:tab w:val="clear" w:pos="4536"/>
        <w:tab w:val="clear" w:pos="9072"/>
      </w:tabs>
      <w:spacing w:line="240" w:lineRule="exact"/>
    </w:pPr>
  </w:p>
  <w:p w:rsidR="00894750" w:rsidRDefault="00894750">
    <w:pPr>
      <w:pStyle w:val="Pieddepage"/>
      <w:tabs>
        <w:tab w:val="clear" w:pos="4536"/>
        <w:tab w:val="clear" w:pos="9072"/>
      </w:tabs>
      <w:spacing w:line="24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369" w:rsidRDefault="00866369">
      <w:r>
        <w:separator/>
      </w:r>
    </w:p>
  </w:footnote>
  <w:footnote w:type="continuationSeparator" w:id="0">
    <w:p w:rsidR="00866369" w:rsidRDefault="008663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750" w:rsidRDefault="00234689">
    <w:pPr>
      <w:pStyle w:val="En-tte"/>
      <w:tabs>
        <w:tab w:val="clear" w:pos="4536"/>
        <w:tab w:val="clear" w:pos="9072"/>
      </w:tabs>
      <w:spacing w:line="240" w:lineRule="exact"/>
    </w:pPr>
    <w:r>
      <w:rPr>
        <w:noProof/>
        <w:lang w:val="en-US" w:eastAsia="zh-TW"/>
      </w:rPr>
      <w:drawing>
        <wp:anchor distT="0" distB="0" distL="114300" distR="114300" simplePos="0" relativeHeight="251657216" behindDoc="1" locked="0" layoutInCell="0" allowOverlap="1" wp14:anchorId="68EC1393" wp14:editId="43B7EE88">
          <wp:simplePos x="0" y="0"/>
          <wp:positionH relativeFrom="page">
            <wp:posOffset>0</wp:posOffset>
          </wp:positionH>
          <wp:positionV relativeFrom="page">
            <wp:posOffset>0</wp:posOffset>
          </wp:positionV>
          <wp:extent cx="2520315" cy="899795"/>
          <wp:effectExtent l="0" t="0" r="0" b="0"/>
          <wp:wrapNone/>
          <wp:docPr id="2" name="Image 2" descr="Logo_memo_su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memo_su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8997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4750" w:rsidRDefault="00894750">
    <w:pPr>
      <w:pStyle w:val="En-tte"/>
      <w:tabs>
        <w:tab w:val="clear" w:pos="4536"/>
        <w:tab w:val="clear" w:pos="9072"/>
      </w:tabs>
      <w:spacing w:line="240" w:lineRule="exact"/>
    </w:pPr>
  </w:p>
  <w:p w:rsidR="00894750" w:rsidRDefault="00894750">
    <w:pPr>
      <w:pStyle w:val="En-tte"/>
      <w:tabs>
        <w:tab w:val="clear" w:pos="4536"/>
        <w:tab w:val="clear" w:pos="9072"/>
      </w:tabs>
      <w:spacing w:line="240" w:lineRule="exact"/>
    </w:pPr>
  </w:p>
  <w:p w:rsidR="00894750" w:rsidRDefault="00894750">
    <w:pPr>
      <w:pStyle w:val="En-tte"/>
      <w:tabs>
        <w:tab w:val="clear" w:pos="4536"/>
        <w:tab w:val="clear" w:pos="9072"/>
      </w:tabs>
      <w:spacing w:line="240" w:lineRule="exact"/>
    </w:pPr>
  </w:p>
  <w:p w:rsidR="00894750" w:rsidRDefault="00894750">
    <w:pPr>
      <w:pStyle w:val="En-tte"/>
      <w:tabs>
        <w:tab w:val="clear" w:pos="4536"/>
        <w:tab w:val="clear" w:pos="9072"/>
      </w:tabs>
      <w:spacing w:line="240" w:lineRule="exact"/>
    </w:pPr>
  </w:p>
  <w:p w:rsidR="00894750" w:rsidRDefault="00894750">
    <w:pPr>
      <w:pStyle w:val="En-tte"/>
      <w:tabs>
        <w:tab w:val="clear" w:pos="4536"/>
        <w:tab w:val="clear" w:pos="9072"/>
      </w:tabs>
      <w:spacing w:line="240" w:lineRule="exact"/>
    </w:pPr>
  </w:p>
  <w:p w:rsidR="00894750" w:rsidRDefault="00894750">
    <w:pPr>
      <w:pStyle w:val="En-tte"/>
      <w:tabs>
        <w:tab w:val="clear" w:pos="4536"/>
        <w:tab w:val="clear" w:pos="9072"/>
      </w:tabs>
      <w:spacing w:line="24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750" w:rsidRDefault="00234689">
    <w:pPr>
      <w:pStyle w:val="En-tte"/>
      <w:tabs>
        <w:tab w:val="clear" w:pos="4536"/>
        <w:tab w:val="clear" w:pos="9072"/>
      </w:tabs>
      <w:spacing w:line="240" w:lineRule="exact"/>
    </w:pPr>
    <w:r>
      <w:rPr>
        <w:noProof/>
        <w:lang w:val="en-US" w:eastAsia="zh-TW"/>
      </w:rPr>
      <w:drawing>
        <wp:anchor distT="0" distB="0" distL="114300" distR="114300" simplePos="0" relativeHeight="251658240" behindDoc="0" locked="0" layoutInCell="0" allowOverlap="1" wp14:anchorId="0246A21D" wp14:editId="6AC5E9AE">
          <wp:simplePos x="0" y="0"/>
          <wp:positionH relativeFrom="column">
            <wp:posOffset>-1873885</wp:posOffset>
          </wp:positionH>
          <wp:positionV relativeFrom="paragraph">
            <wp:posOffset>-357505</wp:posOffset>
          </wp:positionV>
          <wp:extent cx="2275205" cy="1194435"/>
          <wp:effectExtent l="0" t="0" r="0" b="0"/>
          <wp:wrapSquare wrapText="bothSides"/>
          <wp:docPr id="8" name="Image 8" descr="Amundi_co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mundi_compa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5205" cy="1194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4750" w:rsidRDefault="00894750">
    <w:pPr>
      <w:pStyle w:val="En-tte"/>
      <w:tabs>
        <w:tab w:val="clear" w:pos="4536"/>
        <w:tab w:val="clear" w:pos="9072"/>
      </w:tabs>
      <w:spacing w:line="240" w:lineRule="exact"/>
    </w:pPr>
  </w:p>
  <w:p w:rsidR="00894750" w:rsidRDefault="00894750">
    <w:pPr>
      <w:pStyle w:val="En-tte"/>
      <w:tabs>
        <w:tab w:val="clear" w:pos="4536"/>
        <w:tab w:val="clear" w:pos="9072"/>
      </w:tabs>
      <w:spacing w:line="240" w:lineRule="exact"/>
    </w:pPr>
  </w:p>
  <w:p w:rsidR="00894750" w:rsidRDefault="00894750">
    <w:pPr>
      <w:pStyle w:val="En-tte"/>
      <w:tabs>
        <w:tab w:val="clear" w:pos="4536"/>
        <w:tab w:val="clear" w:pos="9072"/>
      </w:tabs>
      <w:spacing w:line="240" w:lineRule="exact"/>
    </w:pPr>
  </w:p>
  <w:p w:rsidR="00894750" w:rsidRDefault="00894750">
    <w:pPr>
      <w:pStyle w:val="En-tte"/>
      <w:tabs>
        <w:tab w:val="clear" w:pos="4536"/>
        <w:tab w:val="clear" w:pos="9072"/>
      </w:tabs>
      <w:spacing w:line="240" w:lineRule="exact"/>
    </w:pPr>
  </w:p>
  <w:p w:rsidR="00894750" w:rsidRDefault="00894750">
    <w:pPr>
      <w:pStyle w:val="En-tte"/>
      <w:tabs>
        <w:tab w:val="clear" w:pos="4536"/>
        <w:tab w:val="clear" w:pos="9072"/>
      </w:tabs>
      <w:spacing w:line="240" w:lineRule="exact"/>
    </w:pPr>
  </w:p>
  <w:p w:rsidR="00894750" w:rsidRDefault="00894750">
    <w:pPr>
      <w:pStyle w:val="En-tte"/>
      <w:tabs>
        <w:tab w:val="clear" w:pos="4536"/>
        <w:tab w:val="clear" w:pos="9072"/>
      </w:tabs>
      <w:spacing w:line="240" w:lineRule="exact"/>
    </w:pPr>
  </w:p>
  <w:p w:rsidR="00894750" w:rsidRDefault="00894750">
    <w:pPr>
      <w:pStyle w:val="En-tte"/>
      <w:tabs>
        <w:tab w:val="clear" w:pos="4536"/>
        <w:tab w:val="clear" w:pos="9072"/>
      </w:tabs>
      <w:spacing w:line="240" w:lineRule="exact"/>
    </w:pPr>
  </w:p>
  <w:p w:rsidR="00894750" w:rsidRDefault="00894750">
    <w:pPr>
      <w:pStyle w:val="En-tte"/>
      <w:tabs>
        <w:tab w:val="clear" w:pos="4536"/>
        <w:tab w:val="clear" w:pos="9072"/>
      </w:tabs>
      <w:spacing w:line="19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41494"/>
    <w:multiLevelType w:val="hybridMultilevel"/>
    <w:tmpl w:val="58D07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8502E0"/>
    <w:multiLevelType w:val="hybridMultilevel"/>
    <w:tmpl w:val="EE70C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69"/>
    <w:rsid w:val="0000361F"/>
    <w:rsid w:val="00005F09"/>
    <w:rsid w:val="00010DDE"/>
    <w:rsid w:val="000C105E"/>
    <w:rsid w:val="000C47D4"/>
    <w:rsid w:val="000C79F0"/>
    <w:rsid w:val="000E6929"/>
    <w:rsid w:val="0014520A"/>
    <w:rsid w:val="002250CE"/>
    <w:rsid w:val="00234689"/>
    <w:rsid w:val="00247B9A"/>
    <w:rsid w:val="00271BE9"/>
    <w:rsid w:val="00284638"/>
    <w:rsid w:val="002A5005"/>
    <w:rsid w:val="002B6B9B"/>
    <w:rsid w:val="002B7F28"/>
    <w:rsid w:val="002D3518"/>
    <w:rsid w:val="002D6E6F"/>
    <w:rsid w:val="003107EF"/>
    <w:rsid w:val="00415CB0"/>
    <w:rsid w:val="004A28A4"/>
    <w:rsid w:val="004E3EB1"/>
    <w:rsid w:val="00536081"/>
    <w:rsid w:val="00556337"/>
    <w:rsid w:val="006451E6"/>
    <w:rsid w:val="007061C2"/>
    <w:rsid w:val="00743D6A"/>
    <w:rsid w:val="00766EAC"/>
    <w:rsid w:val="007A0496"/>
    <w:rsid w:val="007D135B"/>
    <w:rsid w:val="008239BB"/>
    <w:rsid w:val="00866369"/>
    <w:rsid w:val="00883E69"/>
    <w:rsid w:val="00894750"/>
    <w:rsid w:val="008B3046"/>
    <w:rsid w:val="0098017B"/>
    <w:rsid w:val="00A82743"/>
    <w:rsid w:val="00B323FF"/>
    <w:rsid w:val="00B33CDF"/>
    <w:rsid w:val="00BB541B"/>
    <w:rsid w:val="00C32D2F"/>
    <w:rsid w:val="00CB4B1C"/>
    <w:rsid w:val="00D25334"/>
    <w:rsid w:val="00EA3942"/>
    <w:rsid w:val="00EB3FB6"/>
    <w:rsid w:val="00F3106C"/>
    <w:rsid w:val="00F64EF2"/>
    <w:rsid w:val="00FB7F1D"/>
    <w:rsid w:val="00FE33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atLeast"/>
    </w:pPr>
    <w:rPr>
      <w:rFonts w:ascii="Arial" w:hAnsi="Arial"/>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Signature">
    <w:name w:val="Signature"/>
    <w:basedOn w:val="Normal"/>
    <w:pPr>
      <w:ind w:left="4004"/>
    </w:pPr>
  </w:style>
  <w:style w:type="paragraph" w:customStyle="1" w:styleId="Nomdelafiliale">
    <w:name w:val="Nom de la filiale"/>
    <w:basedOn w:val="Normal"/>
    <w:rsid w:val="007E7A2A"/>
    <w:pPr>
      <w:framePr w:w="6237" w:h="57" w:wrap="notBeside" w:vAnchor="page" w:hAnchor="page" w:x="681" w:y="14856"/>
      <w:spacing w:line="216" w:lineRule="exact"/>
    </w:pPr>
    <w:rPr>
      <w:b/>
      <w:sz w:val="18"/>
    </w:rPr>
  </w:style>
  <w:style w:type="paragraph" w:customStyle="1" w:styleId="Adressepieddepage">
    <w:name w:val="Adresse pied de page"/>
    <w:basedOn w:val="Normal"/>
    <w:rsid w:val="00A40595"/>
    <w:pPr>
      <w:framePr w:w="6521" w:h="57" w:wrap="notBeside" w:vAnchor="page" w:hAnchor="page" w:x="681" w:y="14460" w:anchorLock="1"/>
      <w:spacing w:line="192" w:lineRule="exact"/>
    </w:pPr>
    <w:rPr>
      <w:color w:val="00235D"/>
      <w:sz w:val="16"/>
    </w:rPr>
  </w:style>
  <w:style w:type="paragraph" w:customStyle="1" w:styleId="Capitaletrfrences">
    <w:name w:val="Capital et références"/>
    <w:basedOn w:val="Adressepieddepage"/>
    <w:rsid w:val="007E7A2A"/>
    <w:pPr>
      <w:framePr w:wrap="notBeside"/>
      <w:spacing w:line="168" w:lineRule="exact"/>
    </w:pPr>
    <w:rPr>
      <w:sz w:val="14"/>
    </w:rPr>
  </w:style>
  <w:style w:type="paragraph" w:customStyle="1" w:styleId="Default">
    <w:name w:val="Default"/>
    <w:rsid w:val="00B33CDF"/>
    <w:pPr>
      <w:autoSpaceDE w:val="0"/>
      <w:autoSpaceDN w:val="0"/>
      <w:adjustRightInd w:val="0"/>
    </w:pPr>
    <w:rPr>
      <w:rFonts w:ascii="Arial" w:hAnsi="Arial" w:cs="Arial"/>
      <w:color w:val="000000"/>
      <w:sz w:val="24"/>
      <w:szCs w:val="24"/>
    </w:rPr>
  </w:style>
  <w:style w:type="character" w:customStyle="1" w:styleId="PieddepageCar">
    <w:name w:val="Pied de page Car"/>
    <w:basedOn w:val="Policepardfaut"/>
    <w:link w:val="Pieddepage"/>
    <w:uiPriority w:val="99"/>
    <w:rsid w:val="00EB3FB6"/>
    <w:rPr>
      <w:rFonts w:ascii="Arial" w:hAnsi="Arial"/>
      <w:lang w:val="fr-FR" w:eastAsia="fr-FR"/>
    </w:rPr>
  </w:style>
  <w:style w:type="character" w:styleId="Lienhypertexte">
    <w:name w:val="Hyperlink"/>
    <w:basedOn w:val="Policepardfaut"/>
    <w:rsid w:val="003107E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atLeast"/>
    </w:pPr>
    <w:rPr>
      <w:rFonts w:ascii="Arial" w:hAnsi="Arial"/>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Signature">
    <w:name w:val="Signature"/>
    <w:basedOn w:val="Normal"/>
    <w:pPr>
      <w:ind w:left="4004"/>
    </w:pPr>
  </w:style>
  <w:style w:type="paragraph" w:customStyle="1" w:styleId="Nomdelafiliale">
    <w:name w:val="Nom de la filiale"/>
    <w:basedOn w:val="Normal"/>
    <w:rsid w:val="007E7A2A"/>
    <w:pPr>
      <w:framePr w:w="6237" w:h="57" w:wrap="notBeside" w:vAnchor="page" w:hAnchor="page" w:x="681" w:y="14856"/>
      <w:spacing w:line="216" w:lineRule="exact"/>
    </w:pPr>
    <w:rPr>
      <w:b/>
      <w:sz w:val="18"/>
    </w:rPr>
  </w:style>
  <w:style w:type="paragraph" w:customStyle="1" w:styleId="Adressepieddepage">
    <w:name w:val="Adresse pied de page"/>
    <w:basedOn w:val="Normal"/>
    <w:rsid w:val="00A40595"/>
    <w:pPr>
      <w:framePr w:w="6521" w:h="57" w:wrap="notBeside" w:vAnchor="page" w:hAnchor="page" w:x="681" w:y="14460" w:anchorLock="1"/>
      <w:spacing w:line="192" w:lineRule="exact"/>
    </w:pPr>
    <w:rPr>
      <w:color w:val="00235D"/>
      <w:sz w:val="16"/>
    </w:rPr>
  </w:style>
  <w:style w:type="paragraph" w:customStyle="1" w:styleId="Capitaletrfrences">
    <w:name w:val="Capital et références"/>
    <w:basedOn w:val="Adressepieddepage"/>
    <w:rsid w:val="007E7A2A"/>
    <w:pPr>
      <w:framePr w:wrap="notBeside"/>
      <w:spacing w:line="168" w:lineRule="exact"/>
    </w:pPr>
    <w:rPr>
      <w:sz w:val="14"/>
    </w:rPr>
  </w:style>
  <w:style w:type="paragraph" w:customStyle="1" w:styleId="Default">
    <w:name w:val="Default"/>
    <w:rsid w:val="00B33CDF"/>
    <w:pPr>
      <w:autoSpaceDE w:val="0"/>
      <w:autoSpaceDN w:val="0"/>
      <w:adjustRightInd w:val="0"/>
    </w:pPr>
    <w:rPr>
      <w:rFonts w:ascii="Arial" w:hAnsi="Arial" w:cs="Arial"/>
      <w:color w:val="000000"/>
      <w:sz w:val="24"/>
      <w:szCs w:val="24"/>
    </w:rPr>
  </w:style>
  <w:style w:type="character" w:customStyle="1" w:styleId="PieddepageCar">
    <w:name w:val="Pied de page Car"/>
    <w:basedOn w:val="Policepardfaut"/>
    <w:link w:val="Pieddepage"/>
    <w:uiPriority w:val="99"/>
    <w:rsid w:val="00EB3FB6"/>
    <w:rPr>
      <w:rFonts w:ascii="Arial" w:hAnsi="Arial"/>
      <w:lang w:val="fr-FR" w:eastAsia="fr-FR"/>
    </w:rPr>
  </w:style>
  <w:style w:type="character" w:styleId="Lienhypertexte">
    <w:name w:val="Hyperlink"/>
    <w:basedOn w:val="Policepardfaut"/>
    <w:rsid w:val="003107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9824">
      <w:bodyDiv w:val="1"/>
      <w:marLeft w:val="0"/>
      <w:marRight w:val="0"/>
      <w:marTop w:val="0"/>
      <w:marBottom w:val="0"/>
      <w:divBdr>
        <w:top w:val="none" w:sz="0" w:space="0" w:color="auto"/>
        <w:left w:val="none" w:sz="0" w:space="0" w:color="auto"/>
        <w:bottom w:val="none" w:sz="0" w:space="0" w:color="auto"/>
        <w:right w:val="none" w:sz="0" w:space="0" w:color="auto"/>
      </w:divBdr>
      <w:divsChild>
        <w:div w:id="109398314">
          <w:marLeft w:val="0"/>
          <w:marRight w:val="0"/>
          <w:marTop w:val="0"/>
          <w:marBottom w:val="0"/>
          <w:divBdr>
            <w:top w:val="none" w:sz="0" w:space="0" w:color="auto"/>
            <w:left w:val="none" w:sz="0" w:space="0" w:color="auto"/>
            <w:bottom w:val="none" w:sz="0" w:space="0" w:color="auto"/>
            <w:right w:val="none" w:sz="0" w:space="0" w:color="auto"/>
          </w:divBdr>
        </w:div>
        <w:div w:id="1794901678">
          <w:marLeft w:val="0"/>
          <w:marRight w:val="0"/>
          <w:marTop w:val="0"/>
          <w:marBottom w:val="0"/>
          <w:divBdr>
            <w:top w:val="none" w:sz="0" w:space="0" w:color="auto"/>
            <w:left w:val="none" w:sz="0" w:space="0" w:color="auto"/>
            <w:bottom w:val="none" w:sz="0" w:space="0" w:color="auto"/>
            <w:right w:val="none" w:sz="0" w:space="0" w:color="auto"/>
          </w:divBdr>
        </w:div>
        <w:div w:id="1407649471">
          <w:marLeft w:val="0"/>
          <w:marRight w:val="0"/>
          <w:marTop w:val="0"/>
          <w:marBottom w:val="0"/>
          <w:divBdr>
            <w:top w:val="none" w:sz="0" w:space="0" w:color="auto"/>
            <w:left w:val="none" w:sz="0" w:space="0" w:color="auto"/>
            <w:bottom w:val="none" w:sz="0" w:space="0" w:color="auto"/>
            <w:right w:val="none" w:sz="0" w:space="0" w:color="auto"/>
          </w:divBdr>
        </w:div>
        <w:div w:id="1590114415">
          <w:marLeft w:val="0"/>
          <w:marRight w:val="0"/>
          <w:marTop w:val="0"/>
          <w:marBottom w:val="0"/>
          <w:divBdr>
            <w:top w:val="none" w:sz="0" w:space="0" w:color="auto"/>
            <w:left w:val="none" w:sz="0" w:space="0" w:color="auto"/>
            <w:bottom w:val="none" w:sz="0" w:space="0" w:color="auto"/>
            <w:right w:val="none" w:sz="0" w:space="0" w:color="auto"/>
          </w:divBdr>
        </w:div>
      </w:divsChild>
    </w:div>
    <w:div w:id="2096629229">
      <w:bodyDiv w:val="1"/>
      <w:marLeft w:val="0"/>
      <w:marRight w:val="0"/>
      <w:marTop w:val="0"/>
      <w:marBottom w:val="0"/>
      <w:divBdr>
        <w:top w:val="none" w:sz="0" w:space="0" w:color="auto"/>
        <w:left w:val="none" w:sz="0" w:space="0" w:color="auto"/>
        <w:bottom w:val="none" w:sz="0" w:space="0" w:color="auto"/>
        <w:right w:val="none" w:sz="0" w:space="0" w:color="auto"/>
      </w:divBdr>
      <w:divsChild>
        <w:div w:id="19667667">
          <w:marLeft w:val="0"/>
          <w:marRight w:val="0"/>
          <w:marTop w:val="0"/>
          <w:marBottom w:val="0"/>
          <w:divBdr>
            <w:top w:val="none" w:sz="0" w:space="0" w:color="auto"/>
            <w:left w:val="none" w:sz="0" w:space="0" w:color="auto"/>
            <w:bottom w:val="none" w:sz="0" w:space="0" w:color="auto"/>
            <w:right w:val="none" w:sz="0" w:space="0" w:color="auto"/>
          </w:divBdr>
        </w:div>
        <w:div w:id="718365169">
          <w:marLeft w:val="0"/>
          <w:marRight w:val="0"/>
          <w:marTop w:val="0"/>
          <w:marBottom w:val="0"/>
          <w:divBdr>
            <w:top w:val="none" w:sz="0" w:space="0" w:color="auto"/>
            <w:left w:val="none" w:sz="0" w:space="0" w:color="auto"/>
            <w:bottom w:val="none" w:sz="0" w:space="0" w:color="auto"/>
            <w:right w:val="none" w:sz="0" w:space="0" w:color="auto"/>
          </w:divBdr>
        </w:div>
        <w:div w:id="2079665976">
          <w:marLeft w:val="0"/>
          <w:marRight w:val="0"/>
          <w:marTop w:val="0"/>
          <w:marBottom w:val="0"/>
          <w:divBdr>
            <w:top w:val="none" w:sz="0" w:space="0" w:color="auto"/>
            <w:left w:val="none" w:sz="0" w:space="0" w:color="auto"/>
            <w:bottom w:val="none" w:sz="0" w:space="0" w:color="auto"/>
            <w:right w:val="none" w:sz="0" w:space="0" w:color="auto"/>
          </w:divBdr>
        </w:div>
        <w:div w:id="40777724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frederic.bompaire@amund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mpaire\AppData\Local\Microsoft\Windows\Temporary%20Internet%20Files\Content.IE5\LTCL6IN3\Lettre_FR_word2003.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Lettre_FR_word2003.dot</Template>
  <TotalTime>0</TotalTime>
  <Pages>4</Pages>
  <Words>2003</Words>
  <Characters>10512</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AMUNDI</vt:lpstr>
    </vt:vector>
  </TitlesOfParts>
  <Company>AMUNDI-ITS</Company>
  <LinksUpToDate>false</LinksUpToDate>
  <CharactersWithSpaces>12491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AMUNDI</dc:title>
  <dc:creator>bompaire</dc:creator>
  <cp:lastModifiedBy>bompaire</cp:lastModifiedBy>
  <cp:revision>2</cp:revision>
  <cp:lastPrinted>1900-12-31T22:00:00Z</cp:lastPrinted>
  <dcterms:created xsi:type="dcterms:W3CDTF">2016-03-30T10:06:00Z</dcterms:created>
  <dcterms:modified xsi:type="dcterms:W3CDTF">2016-03-30T10:06:00Z</dcterms:modified>
</cp:coreProperties>
</file>