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bookmarkStart w:id="0" w:name="_GoBack"/>
            <w:bookmarkEnd w:id="0"/>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D31BCF" w:rsidRDefault="00824EB2" w:rsidP="00D31BCF">
      <w:permStart w:id="1859584936" w:edGrp="everyone"/>
      <w:r>
        <w:t xml:space="preserve">We </w:t>
      </w:r>
      <w:r w:rsidR="00280898">
        <w:t>support</w:t>
      </w:r>
      <w:r>
        <w:t xml:space="preserve"> the view that</w:t>
      </w:r>
      <w:r w:rsidR="00326483">
        <w:t xml:space="preserve"> v</w:t>
      </w:r>
      <w:r w:rsidR="00D31BCF">
        <w:t>alidation and r</w:t>
      </w:r>
      <w:r w:rsidR="001E2A93">
        <w:t>eview</w:t>
      </w:r>
      <w:r w:rsidR="00D31BCF">
        <w:t xml:space="preserve"> </w:t>
      </w:r>
      <w:r w:rsidR="000F63B0">
        <w:t xml:space="preserve">of CRA </w:t>
      </w:r>
      <w:r w:rsidR="00D31BCF">
        <w:t xml:space="preserve">rating methodologies </w:t>
      </w:r>
      <w:r w:rsidR="000F63B0">
        <w:t>should</w:t>
      </w:r>
      <w:r w:rsidR="00D31BCF">
        <w:t xml:space="preserve"> be supported by quantita</w:t>
      </w:r>
      <w:r w:rsidR="00280898">
        <w:t>tive evidence.</w:t>
      </w:r>
    </w:p>
    <w:p w:rsidR="00824EB2" w:rsidRDefault="00824EB2" w:rsidP="00D31BCF"/>
    <w:p w:rsidR="00D31BCF" w:rsidRDefault="00824EB2" w:rsidP="00D31BCF">
      <w:r>
        <w:t xml:space="preserve">We believe that disclosure of the validation process </w:t>
      </w:r>
      <w:r w:rsidR="00280898">
        <w:t xml:space="preserve">performed by a CRA </w:t>
      </w:r>
      <w:r>
        <w:t>and its</w:t>
      </w:r>
      <w:r w:rsidR="00B62BC6">
        <w:t xml:space="preserve"> summarised</w:t>
      </w:r>
      <w:r>
        <w:t xml:space="preserve"> results </w:t>
      </w:r>
      <w:r w:rsidR="00280898">
        <w:t>are</w:t>
      </w:r>
      <w:r>
        <w:t xml:space="preserve"> as important as the process itself. </w:t>
      </w:r>
      <w:r w:rsidR="00D31BCF">
        <w:t>To enhance transparency, CRAs should at minimum</w:t>
      </w:r>
      <w:r w:rsidR="001E2A93">
        <w:t xml:space="preserve"> publicly</w:t>
      </w:r>
      <w:r w:rsidR="00D31BCF">
        <w:t xml:space="preserve"> disclose the</w:t>
      </w:r>
      <w:r w:rsidR="001E2A93">
        <w:t xml:space="preserve"> </w:t>
      </w:r>
      <w:r w:rsidR="00D31BCF">
        <w:t>validation process</w:t>
      </w:r>
      <w:r w:rsidR="001E2A93">
        <w:t xml:space="preserve"> </w:t>
      </w:r>
      <w:r w:rsidR="00280898">
        <w:t>undertaken</w:t>
      </w:r>
      <w:r w:rsidR="00B62BC6">
        <w:t>,</w:t>
      </w:r>
      <w:r w:rsidR="00D31BCF">
        <w:t xml:space="preserve"> the techniques used</w:t>
      </w:r>
      <w:r w:rsidR="00280898">
        <w:t xml:space="preserve"> with brief justifications</w:t>
      </w:r>
      <w:r w:rsidR="00B62BC6">
        <w:t xml:space="preserve">, </w:t>
      </w:r>
      <w:r w:rsidR="00280898">
        <w:t>in case quantitative tec</w:t>
      </w:r>
      <w:r w:rsidR="00280898">
        <w:t>h</w:t>
      </w:r>
      <w:r w:rsidR="00280898">
        <w:t>niques are not feasible the alternatives used and the reasons why</w:t>
      </w:r>
      <w:r w:rsidR="00B62BC6">
        <w:t>,</w:t>
      </w:r>
      <w:r w:rsidR="00D31BCF">
        <w:t xml:space="preserve"> and </w:t>
      </w:r>
      <w:r w:rsidR="00B62BC6">
        <w:t xml:space="preserve">summary </w:t>
      </w:r>
      <w:r w:rsidR="00D31BCF">
        <w:t>results</w:t>
      </w:r>
      <w:r w:rsidR="00B62BC6">
        <w:t xml:space="preserve"> </w:t>
      </w:r>
      <w:r w:rsidR="00280898">
        <w:t xml:space="preserve">of the validation process </w:t>
      </w:r>
      <w:r w:rsidR="00B62BC6">
        <w:t>per rating model</w:t>
      </w:r>
      <w:r w:rsidR="000F63B0">
        <w:t>.</w:t>
      </w:r>
      <w:r w:rsidR="00280898">
        <w:t xml:space="preserve"> </w:t>
      </w:r>
      <w:r w:rsidR="001E2A93">
        <w:t xml:space="preserve">Moreover, CRAs should clearly </w:t>
      </w:r>
      <w:r w:rsidR="00326483">
        <w:t xml:space="preserve">disclose </w:t>
      </w:r>
      <w:r w:rsidR="001E2A93">
        <w:t xml:space="preserve">any revisions to their </w:t>
      </w:r>
      <w:r w:rsidR="00B62BC6">
        <w:t>methodologies as a result of the</w:t>
      </w:r>
      <w:r w:rsidR="00280898">
        <w:t>ir</w:t>
      </w:r>
      <w:r w:rsidR="00B62BC6">
        <w:t xml:space="preserve"> validation process</w:t>
      </w:r>
      <w:r w:rsidR="001E2A93">
        <w:t>.</w:t>
      </w:r>
    </w:p>
    <w:permEnd w:id="1859584936"/>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5D31FE" w:rsidRDefault="00BC252D" w:rsidP="00D31BCF">
      <w:permStart w:id="1976070477" w:edGrp="everyone"/>
      <w:r>
        <w:t>Yes</w:t>
      </w:r>
      <w:r w:rsidR="00D31BCF">
        <w:t>.</w:t>
      </w:r>
      <w:r w:rsidR="00280898">
        <w:t xml:space="preserve"> CRAs should demonstrate sufficiently that their methodologies result in a robust ranking of rated entities.</w:t>
      </w:r>
    </w:p>
    <w:permEnd w:id="1976070477"/>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Do you agree that the Accuracy Ratio, as derived from the CAP curve, is the minimum st</w:t>
      </w:r>
      <w:r w:rsidRPr="005C3544">
        <w:t>a</w:t>
      </w:r>
      <w:r w:rsidRPr="005C3544">
        <w:t>tistical measure that a CRA should use as part of its validation processes for demonstra</w:t>
      </w:r>
      <w:r w:rsidRPr="005C3544">
        <w:t>t</w:t>
      </w:r>
      <w:r w:rsidRPr="005C3544">
        <w:t xml:space="preserve">ing the discriminatory power of its methodologies? </w:t>
      </w:r>
    </w:p>
    <w:p w:rsidR="005D31FE" w:rsidRDefault="005D31FE" w:rsidP="005D31FE">
      <w:r>
        <w:t>&lt;ESMA_QUESTION_VR_CRA_2&gt;</w:t>
      </w:r>
    </w:p>
    <w:p w:rsidR="005D31FE" w:rsidRDefault="00BC252D" w:rsidP="005D31FE">
      <w:permStart w:id="1311786257" w:edGrp="everyone"/>
      <w:r>
        <w:t>The Accuracy Ratio, as derived from the CAP curve, provides a basic check on the discriminatory power</w:t>
      </w:r>
      <w:r w:rsidR="003D23A1">
        <w:t xml:space="preserve"> and should be a</w:t>
      </w:r>
      <w:r w:rsidR="001E2A93">
        <w:t xml:space="preserve"> minimum</w:t>
      </w:r>
      <w:r w:rsidR="003D23A1">
        <w:t xml:space="preserve"> </w:t>
      </w:r>
      <w:r w:rsidR="00B62BC6">
        <w:t>requirement</w:t>
      </w:r>
      <w:r w:rsidR="003D23A1">
        <w:t>.</w:t>
      </w:r>
    </w:p>
    <w:permEnd w:id="1311786257"/>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w:t>
      </w:r>
      <w:r>
        <w:t>o</w:t>
      </w:r>
      <w:r>
        <w:t>ry power of methodologies? If not, please explain why.</w:t>
      </w:r>
    </w:p>
    <w:p w:rsidR="005D31FE" w:rsidRDefault="005D31FE" w:rsidP="005D31FE">
      <w:r>
        <w:t>&lt;ESMA_QUESTION_VR_CRA_3&gt;</w:t>
      </w:r>
    </w:p>
    <w:p w:rsidR="005D31FE" w:rsidRDefault="003D23A1" w:rsidP="005D31FE">
      <w:permStart w:id="418340366" w:edGrp="everyone"/>
      <w:r>
        <w:t>Yes</w:t>
      </w:r>
      <w:r w:rsidR="00824EB2">
        <w:t>, both the ROC curve and the Kolmogorov-Smirnov statistic serve as useful complementary measures of the discriminatory power of rating methodologies.</w:t>
      </w:r>
      <w:r w:rsidR="00B62BC6">
        <w:t xml:space="preserve"> However CRAs should be allowed to use alternatives provided that sufficient justification is given and disclosed. </w:t>
      </w:r>
    </w:p>
    <w:permEnd w:id="418340366"/>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w:t>
      </w:r>
      <w:r>
        <w:t>r</w:t>
      </w:r>
      <w:r>
        <w:t>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F90B73" w:rsidRDefault="00F90B73" w:rsidP="005D31FE">
      <w:permStart w:id="277366962" w:edGrp="everyone"/>
      <w:r>
        <w:t>In addition to the minimum requirement stated above, CRAs should be allowed to use other techniques with appropriate justification and disclosure to the market.</w:t>
      </w:r>
    </w:p>
    <w:permEnd w:id="277366962"/>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4C4E55" w:rsidRDefault="004C4E55" w:rsidP="005D31FE">
      <w:permStart w:id="243556548" w:edGrp="everyone"/>
      <w:r>
        <w:t>TYPE YOUR TEXT HERE</w:t>
      </w:r>
      <w:r w:rsidR="005D27A3">
        <w:t xml:space="preserve"> </w:t>
      </w:r>
    </w:p>
    <w:p w:rsidR="005D31FE" w:rsidRDefault="003D23A1" w:rsidP="005D31FE">
      <w:r>
        <w:t xml:space="preserve"> </w:t>
      </w:r>
      <w:permEnd w:id="243556548"/>
      <w:r w:rsidR="005D31FE">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5D31FE" w:rsidRDefault="003D23A1" w:rsidP="005D31FE">
      <w:permStart w:id="1306001452" w:edGrp="everyone"/>
      <w:r>
        <w:t>Yes.</w:t>
      </w:r>
      <w:r w:rsidR="00F90B73">
        <w:t xml:space="preserve"> CRAs should be able to demonstrate that their ratings can be mapped to relatively narrow PD ranges which do not fluctuate significantly over time.</w:t>
      </w:r>
    </w:p>
    <w:permEnd w:id="1306001452"/>
    <w:p w:rsidR="005D31FE" w:rsidRDefault="005D31FE" w:rsidP="005D31FE">
      <w:r>
        <w:t>&lt;ESMA_QUESTION_VR_CRA_6&gt;</w:t>
      </w:r>
    </w:p>
    <w:p w:rsidR="005D31FE" w:rsidRDefault="005D31FE" w:rsidP="005D31FE"/>
    <w:p w:rsidR="005D31FE" w:rsidRDefault="005D31FE" w:rsidP="005D31FE">
      <w:pPr>
        <w:pStyle w:val="QST"/>
        <w:numPr>
          <w:ilvl w:val="0"/>
          <w:numId w:val="50"/>
        </w:numPr>
      </w:pPr>
      <w:r>
        <w:t>Do you agree that statistical measures of predictive power increase the quality of valid</w:t>
      </w:r>
      <w:r>
        <w:t>a</w:t>
      </w:r>
      <w:r>
        <w:t xml:space="preserve">tion of CRAs methodologies and should be performed by the CRAs? </w:t>
      </w:r>
    </w:p>
    <w:p w:rsidR="005D31FE" w:rsidRDefault="005D31FE" w:rsidP="005D31FE">
      <w:r>
        <w:t>&lt;ESMA_QUESTION_VR_CRA_7&gt;</w:t>
      </w:r>
    </w:p>
    <w:p w:rsidR="00F90B73" w:rsidRDefault="005D27A3" w:rsidP="005D31FE">
      <w:permStart w:id="155329931" w:edGrp="everyone"/>
      <w:r>
        <w:lastRenderedPageBreak/>
        <w:t>Yes</w:t>
      </w:r>
      <w:r w:rsidR="00F90B73">
        <w:t>. It is important for the users of external ratings to understand the volatility of the predictive power of rating agency models.</w:t>
      </w:r>
    </w:p>
    <w:p w:rsidR="005D31FE" w:rsidRDefault="005D27A3" w:rsidP="005D31FE">
      <w:r>
        <w:t>.</w:t>
      </w:r>
      <w:permEnd w:id="155329931"/>
      <w:r w:rsidR="005D31FE">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5D31FE" w:rsidRDefault="001E2A93" w:rsidP="005D31FE">
      <w:permStart w:id="564158781" w:edGrp="everyone"/>
      <w:r>
        <w:t>Yes.</w:t>
      </w:r>
    </w:p>
    <w:permEnd w:id="564158781"/>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5D31FE" w:rsidRDefault="001E2A93" w:rsidP="005D31FE">
      <w:permStart w:id="1369384887" w:edGrp="everyone"/>
      <w:r>
        <w:t>Yes.</w:t>
      </w:r>
    </w:p>
    <w:permEnd w:id="1369384887"/>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w:t>
      </w:r>
      <w:r>
        <w:t>a</w:t>
      </w:r>
      <w:r>
        <w:t>bilities</w:t>
      </w:r>
      <w:r w:rsidRPr="00616454">
        <w:t>?</w:t>
      </w:r>
      <w:r>
        <w:t xml:space="preserve"> If yes, please explain the measures and your rationale.</w:t>
      </w:r>
    </w:p>
    <w:p w:rsidR="005D31FE" w:rsidRDefault="005D31FE" w:rsidP="005D31FE">
      <w:r>
        <w:t>&lt;ESMA_QUESTION_VR_CRA_10&gt;</w:t>
      </w:r>
    </w:p>
    <w:p w:rsidR="005D31FE" w:rsidRDefault="004C4E55" w:rsidP="005D31FE">
      <w:permStart w:id="1729565559" w:edGrp="everyone"/>
      <w:r>
        <w:t>TYPE YOUR TEXT HERE</w:t>
      </w:r>
    </w:p>
    <w:permEnd w:id="1729565559"/>
    <w:p w:rsidR="005D31FE" w:rsidRDefault="005D31FE" w:rsidP="005D31FE">
      <w:r>
        <w:t>&lt;ESMA_QUESTION_VR_CRA_10&gt;</w:t>
      </w:r>
    </w:p>
    <w:p w:rsidR="005D31FE" w:rsidRDefault="005D31FE" w:rsidP="005D31FE"/>
    <w:p w:rsidR="005D31FE" w:rsidRDefault="005D31FE" w:rsidP="005D31FE">
      <w:pPr>
        <w:pStyle w:val="QST"/>
        <w:numPr>
          <w:ilvl w:val="0"/>
          <w:numId w:val="50"/>
        </w:numPr>
      </w:pPr>
      <w:r>
        <w:t>Are there qualitative measures that are appropriate for demonstrating the predictive power of methodologies when the CRAs’ ratings refer to default probabilities? If yes, please e</w:t>
      </w:r>
      <w:r>
        <w:t>x</w:t>
      </w:r>
      <w:r>
        <w:t xml:space="preserve">plain the measures and your rationale. </w:t>
      </w:r>
    </w:p>
    <w:p w:rsidR="005D31FE" w:rsidRDefault="005D31FE" w:rsidP="005D31FE">
      <w:r>
        <w:t>&lt;ESMA_QUESTION_VR_CRA_11&gt;</w:t>
      </w:r>
    </w:p>
    <w:p w:rsidR="005D31FE" w:rsidRDefault="004C4E55" w:rsidP="005D31FE">
      <w:permStart w:id="1482243161" w:edGrp="everyone"/>
      <w:r>
        <w:t>TYPE YOUR TEXT HERE</w:t>
      </w:r>
    </w:p>
    <w:permEnd w:id="1482243161"/>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1E2A93" w:rsidP="005D31FE">
      <w:permStart w:id="495128884" w:edGrp="everyone"/>
      <w:r>
        <w:t>Yes.</w:t>
      </w:r>
    </w:p>
    <w:permEnd w:id="495128884"/>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5D31FE" w:rsidRDefault="001E2A93" w:rsidP="005D31FE">
      <w:permStart w:id="1334799025" w:edGrp="everyone"/>
      <w:r>
        <w:t>Yes.</w:t>
      </w:r>
    </w:p>
    <w:permEnd w:id="1334799025"/>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5D31FE" w:rsidRDefault="001E2A93" w:rsidP="005D31FE">
      <w:permStart w:id="1717460940" w:edGrp="everyone"/>
      <w:r>
        <w:t>Yes.</w:t>
      </w:r>
    </w:p>
    <w:permEnd w:id="1717460940"/>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5D31FE" w:rsidRDefault="001E2A93" w:rsidP="005D31FE">
      <w:permStart w:id="808284215" w:edGrp="everyone"/>
      <w:r>
        <w:t>Yes.</w:t>
      </w:r>
    </w:p>
    <w:permEnd w:id="808284215"/>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5D31FE" w:rsidRDefault="001E2A93" w:rsidP="005D31FE">
      <w:permStart w:id="1973906778" w:edGrp="everyone"/>
      <w:r>
        <w:t>Yes.</w:t>
      </w:r>
    </w:p>
    <w:permEnd w:id="1973906778"/>
    <w:p w:rsidR="005D31FE" w:rsidRDefault="005D31FE" w:rsidP="005D31FE">
      <w:r>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5D31FE" w:rsidRDefault="004C4E55" w:rsidP="005D31FE">
      <w:permStart w:id="734086969" w:edGrp="everyone"/>
      <w:r>
        <w:t>TYPE YOUR TEXT HERE</w:t>
      </w:r>
    </w:p>
    <w:permEnd w:id="734086969"/>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5D31FE" w:rsidRDefault="001E2A93" w:rsidP="005D31FE">
      <w:permStart w:id="1708278830" w:edGrp="everyone"/>
      <w:r>
        <w:t>Yes.</w:t>
      </w:r>
    </w:p>
    <w:permEnd w:id="1708278830"/>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5D31FE" w:rsidRDefault="001E2A93" w:rsidP="005D31FE">
      <w:permStart w:id="165507556" w:edGrp="everyone"/>
      <w:r>
        <w:t>Yes.</w:t>
      </w:r>
    </w:p>
    <w:permEnd w:id="165507556"/>
    <w:p w:rsidR="005D31FE" w:rsidRDefault="005D31FE" w:rsidP="005D31FE">
      <w:r>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w:t>
      </w:r>
      <w:r>
        <w:t>d</w:t>
      </w:r>
      <w:r>
        <w:t>ologies?</w:t>
      </w:r>
    </w:p>
    <w:p w:rsidR="005D31FE" w:rsidRDefault="005D31FE" w:rsidP="005D31FE">
      <w:r>
        <w:t>&lt;ESMA_QUESTION_VR_CRA_20&gt;</w:t>
      </w:r>
    </w:p>
    <w:p w:rsidR="005D31FE" w:rsidRDefault="001E2A93" w:rsidP="005D31FE">
      <w:permStart w:id="35524334" w:edGrp="everyone"/>
      <w:r>
        <w:t>Yes.</w:t>
      </w:r>
    </w:p>
    <w:permEnd w:id="35524334"/>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lastRenderedPageBreak/>
        <w:t>&lt;ESMA_QUESTION_VR_CRA_21&gt;</w:t>
      </w:r>
    </w:p>
    <w:p w:rsidR="005D31FE" w:rsidRDefault="001E2A93" w:rsidP="005D31FE">
      <w:permStart w:id="2030267105" w:edGrp="everyone"/>
      <w:r>
        <w:t>Yes.</w:t>
      </w:r>
    </w:p>
    <w:permEnd w:id="2030267105"/>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5D31FE" w:rsidRDefault="001E2A93" w:rsidP="005D31FE">
      <w:permStart w:id="1026378664" w:edGrp="everyone"/>
      <w:r>
        <w:t>Yes.</w:t>
      </w:r>
    </w:p>
    <w:permEnd w:id="1026378664"/>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5D31FE" w:rsidRDefault="001E2A93" w:rsidP="005D31FE">
      <w:permStart w:id="1542791468" w:edGrp="everyone"/>
      <w:r>
        <w:t>Yes.</w:t>
      </w:r>
    </w:p>
    <w:permEnd w:id="1542791468"/>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4C4E55" w:rsidP="005D31FE">
      <w:permStart w:id="1813845409" w:edGrp="everyone"/>
      <w:r>
        <w:t>TYPE YOUR TEXT HERE</w:t>
      </w:r>
    </w:p>
    <w:permEnd w:id="1813845409"/>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5D31FE" w:rsidRDefault="00326483" w:rsidP="005D31FE">
      <w:permStart w:id="1821535635" w:edGrp="everyone"/>
      <w:r>
        <w:t>Yes.</w:t>
      </w:r>
    </w:p>
    <w:permEnd w:id="1821535635"/>
    <w:p w:rsidR="005D31FE" w:rsidRDefault="005D31FE" w:rsidP="005D31FE">
      <w:r>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5D31FE" w:rsidRDefault="00326483" w:rsidP="005D31FE">
      <w:permStart w:id="155084399" w:edGrp="everyone"/>
      <w:r>
        <w:t>Yes.</w:t>
      </w:r>
      <w:permEnd w:id="155084399"/>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5D31FE" w:rsidRDefault="00326483" w:rsidP="005D31FE">
      <w:permStart w:id="2134854653" w:edGrp="everyone"/>
      <w:r>
        <w:t>Ye</w:t>
      </w:r>
      <w:r w:rsidR="004C4E55">
        <w:t xml:space="preserve">s </w:t>
      </w:r>
      <w:permEnd w:id="2134854653"/>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B" w:rsidRDefault="00B5380B">
      <w:r>
        <w:separator/>
      </w:r>
    </w:p>
    <w:p w:rsidR="00B5380B" w:rsidRDefault="00B5380B"/>
  </w:endnote>
  <w:endnote w:type="continuationSeparator" w:id="0">
    <w:p w:rsidR="00B5380B" w:rsidRDefault="00B5380B">
      <w:r>
        <w:continuationSeparator/>
      </w:r>
    </w:p>
    <w:p w:rsidR="00B5380B" w:rsidRDefault="00B5380B"/>
  </w:endnote>
  <w:endnote w:type="continuationNotice" w:id="1">
    <w:p w:rsidR="00B5380B" w:rsidRDefault="00B5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C4E55">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B" w:rsidRDefault="00B5380B">
      <w:r>
        <w:separator/>
      </w:r>
    </w:p>
    <w:p w:rsidR="00B5380B" w:rsidRDefault="00B5380B"/>
  </w:footnote>
  <w:footnote w:type="continuationSeparator" w:id="0">
    <w:p w:rsidR="00B5380B" w:rsidRDefault="00B5380B">
      <w:r>
        <w:continuationSeparator/>
      </w:r>
    </w:p>
    <w:p w:rsidR="00B5380B" w:rsidRDefault="00B5380B"/>
  </w:footnote>
  <w:footnote w:type="continuationNotice" w:id="1">
    <w:p w:rsidR="00B5380B" w:rsidRDefault="00B538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EC57583"/>
    <w:multiLevelType w:val="hybridMultilevel"/>
    <w:tmpl w:val="D5920216"/>
    <w:lvl w:ilvl="0" w:tplc="6A84E676">
      <w:numFmt w:val="bullet"/>
      <w:lvlText w:val="-"/>
      <w:lvlJc w:val="left"/>
      <w:pPr>
        <w:ind w:left="420" w:hanging="360"/>
      </w:pPr>
      <w:rPr>
        <w:rFonts w:ascii="Arial" w:eastAsia="Times New Roman" w:hAnsi="Aria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1"/>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63B0"/>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A93"/>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0898"/>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6483"/>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3A1"/>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E55"/>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422"/>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7A3"/>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B2"/>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2BC6"/>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252D"/>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1BCF"/>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0D6"/>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050"/>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B73"/>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9A26-CEF2-41FB-86AC-E39918538EC5}">
  <ds:schemaRefs>
    <ds:schemaRef ds:uri="http://schemas.openxmlformats.org/officeDocument/2006/bibliography"/>
  </ds:schemaRefs>
</ds:datastoreItem>
</file>

<file path=customXml/itemProps2.xml><?xml version="1.0" encoding="utf-8"?>
<ds:datastoreItem xmlns:ds="http://schemas.openxmlformats.org/officeDocument/2006/customXml" ds:itemID="{A8671FF9-9618-4B9B-8F44-BAA0FE37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1526</Words>
  <Characters>9640</Characters>
  <Application>Microsoft Office Word</Application>
  <DocSecurity>8</DocSecurity>
  <Lines>80</Lines>
  <Paragraphs>22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11144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CARA Marius</cp:lastModifiedBy>
  <cp:revision>3</cp:revision>
  <cp:lastPrinted>2015-02-18T11:01:00Z</cp:lastPrinted>
  <dcterms:created xsi:type="dcterms:W3CDTF">2016-02-19T09:04:00Z</dcterms:created>
  <dcterms:modified xsi:type="dcterms:W3CDTF">2016-02-19T09:11:00Z</dcterms:modified>
</cp:coreProperties>
</file>