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page" w:horzAnchor="page" w:tblpX="1248" w:tblpY="15820"/>
        <w:tblOverlap w:val="never"/>
        <w:tblW w:w="9412" w:type="dxa"/>
        <w:tblCellMar>
          <w:left w:w="0" w:type="dxa"/>
          <w:right w:w="0" w:type="dxa"/>
        </w:tblCellMar>
        <w:tblLook w:val="01E0"/>
      </w:tblPr>
      <w:tblGrid>
        <w:gridCol w:w="9412"/>
      </w:tblGrid>
      <w:tr w:rsidR="00C2094B" w:rsidRPr="004E49B0" w:rsidTr="00315E96">
        <w:trPr>
          <w:trHeight w:val="284"/>
        </w:trPr>
        <w:tc>
          <w:tcPr>
            <w:tcW w:w="9412" w:type="dxa"/>
          </w:tcPr>
          <w:p w:rsidR="00C91B80" w:rsidRDefault="00C91B80" w:rsidP="00C91B80">
            <w:pPr>
              <w:pStyle w:val="Fuzeile"/>
            </w:pPr>
            <w:bookmarkStart w:id="0" w:name="_GoBack"/>
            <w:bookmarkEnd w:id="0"/>
            <w:r w:rsidRPr="000A048C">
              <w:rPr>
                <w:rFonts w:asciiTheme="majorHAnsi" w:hAnsiTheme="majorHAnsi"/>
                <w:color w:val="FFFFFF" w:themeColor="background1"/>
              </w:rPr>
              <w:ptab w:relativeTo="margin" w:alignment="center" w:leader="none"/>
            </w:r>
            <w:r w:rsidRPr="000A048C">
              <w:rPr>
                <w:rFonts w:asciiTheme="majorHAnsi" w:hAnsiTheme="majorHAnsi"/>
                <w:color w:val="FFFFFF" w:themeColor="background1"/>
              </w:rPr>
              <w:ptab w:relativeTo="margin" w:alignment="right" w:leader="none"/>
            </w:r>
            <w:r w:rsidRPr="000A048C">
              <w:rPr>
                <w:rFonts w:asciiTheme="majorHAnsi" w:hAnsiTheme="majorHAnsi"/>
                <w:color w:val="FFFFFF" w:themeColor="background1"/>
              </w:rPr>
              <w:t>17 November 2015 | ESMA/2015/173</w:t>
            </w:r>
            <w:r>
              <w:rPr>
                <w:rFonts w:asciiTheme="majorHAnsi" w:hAnsiTheme="majorHAnsi"/>
                <w:color w:val="FFFFFF" w:themeColor="background1"/>
              </w:rPr>
              <w:t>6</w:t>
            </w:r>
          </w:p>
          <w:p w:rsidR="00C2094B" w:rsidRPr="004E49B0" w:rsidRDefault="00C2094B" w:rsidP="00EE50BC">
            <w:pPr>
              <w:pStyle w:val="00bDBInfo"/>
              <w:rPr>
                <w:rFonts w:cs="Arial"/>
              </w:rPr>
            </w:pP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tblPr>
      <w:tblGrid>
        <w:gridCol w:w="9397"/>
      </w:tblGrid>
      <w:tr w:rsidR="00060F72" w:rsidRPr="00616B9B" w:rsidTr="00B835D5">
        <w:trPr>
          <w:trHeight w:hRule="exact" w:val="1209"/>
        </w:trPr>
        <w:tc>
          <w:tcPr>
            <w:tcW w:w="9397" w:type="dxa"/>
            <w:vAlign w:val="bottom"/>
          </w:tcPr>
          <w:p w:rsidR="00715AA7" w:rsidRDefault="00AE627C" w:rsidP="00715AA7">
            <w:pPr>
              <w:pStyle w:val="01aDBTitle"/>
              <w:jc w:val="both"/>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r w:rsidR="004329D7">
              <w:rPr>
                <w:rFonts w:cs="Arial"/>
              </w:rPr>
              <w:t>Discussion Paper o</w:t>
            </w:r>
            <w:r w:rsidR="004329D7" w:rsidRPr="004329D7">
              <w:rPr>
                <w:rFonts w:cs="Arial"/>
              </w:rPr>
              <w:t xml:space="preserve">n the </w:t>
            </w:r>
          </w:p>
          <w:p w:rsidR="00791EB4" w:rsidRPr="00616B9B" w:rsidRDefault="004329D7" w:rsidP="00715AA7">
            <w:pPr>
              <w:pStyle w:val="01aDBTitle"/>
              <w:jc w:val="both"/>
              <w:rPr>
                <w:rFonts w:cs="Arial"/>
              </w:rPr>
            </w:pPr>
            <w:r w:rsidRPr="004329D7">
              <w:rPr>
                <w:rFonts w:cs="Arial"/>
              </w:rPr>
              <w:t>validation and review of Credit Rating Agencies’ methodologies</w:t>
            </w: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tblPr>
      <w:tblGrid>
        <w:gridCol w:w="2325"/>
      </w:tblGrid>
      <w:tr w:rsidR="00620D7C" w:rsidRPr="00616B9B" w:rsidTr="00315E96">
        <w:trPr>
          <w:trHeight w:hRule="exact" w:val="964"/>
        </w:trPr>
        <w:tc>
          <w:tcPr>
            <w:tcW w:w="2325" w:type="dxa"/>
          </w:tcPr>
          <w:p w:rsidR="00620D7C" w:rsidRPr="004E49B0" w:rsidRDefault="00620D7C" w:rsidP="00EE50BC">
            <w:pPr>
              <w:pStyle w:val="02Date"/>
              <w:rPr>
                <w:rFonts w:cs="Arial"/>
              </w:rPr>
            </w:pPr>
            <w:r w:rsidRPr="004E49B0">
              <w:rPr>
                <w:rFonts w:cs="Arial"/>
              </w:rPr>
              <w:lastRenderedPageBreak/>
              <w:t xml:space="preserve">Date: </w:t>
            </w:r>
            <w:r w:rsidR="004E49B0" w:rsidRPr="004E49B0">
              <w:rPr>
                <w:rFonts w:cs="Arial"/>
              </w:rPr>
              <w:t>1</w:t>
            </w:r>
            <w:r w:rsidR="00EE50BC">
              <w:rPr>
                <w:rFonts w:cs="Arial"/>
              </w:rPr>
              <w:t>7</w:t>
            </w:r>
            <w:r w:rsidR="004E49B0" w:rsidRPr="004E49B0">
              <w:rPr>
                <w:rFonts w:cs="Arial"/>
              </w:rPr>
              <w:t xml:space="preserve"> </w:t>
            </w:r>
            <w:r w:rsidR="00EE50BC">
              <w:rPr>
                <w:rFonts w:cs="Arial"/>
              </w:rPr>
              <w:t>November</w:t>
            </w:r>
            <w:r w:rsidR="004E49B0" w:rsidRPr="004E49B0">
              <w:rPr>
                <w:rFonts w:cs="Arial"/>
              </w:rPr>
              <w:t xml:space="preserve"> 201</w:t>
            </w:r>
            <w:r w:rsidR="003A5DAC">
              <w:rPr>
                <w:rFonts w:cs="Arial"/>
              </w:rPr>
              <w:t>5</w:t>
            </w:r>
          </w:p>
        </w:tc>
      </w:tr>
    </w:tbl>
    <w:p w:rsidR="00F574D0" w:rsidRPr="00616B9B" w:rsidRDefault="00F574D0" w:rsidP="00F574D0">
      <w:pPr>
        <w:pStyle w:val="05HeadlinenoIndex"/>
        <w:rPr>
          <w:rFonts w:cs="Arial"/>
        </w:rPr>
      </w:pPr>
      <w:bookmarkStart w:id="1"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EE50BC" w:rsidRPr="00EE50BC">
        <w:rPr>
          <w:rFonts w:cs="Arial"/>
        </w:rPr>
        <w:t xml:space="preserve">Discussion Paper </w:t>
      </w:r>
      <w:r w:rsidR="00EE50BC">
        <w:rPr>
          <w:rFonts w:cs="Arial"/>
        </w:rPr>
        <w:t>o</w:t>
      </w:r>
      <w:r w:rsidR="00EE50BC" w:rsidRPr="00EE50BC">
        <w:rPr>
          <w:rFonts w:cs="Arial"/>
        </w:rPr>
        <w:t>n the validation and review of Credit Rating Agencies’ methodologies</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Please note that, in order to facilitate the analysis of the large number of responses expected, you are requested to use this file to send your response to ESMA so as to allow us to process it properly. Ther</w:t>
      </w:r>
      <w:r w:rsidRPr="00EF0769">
        <w:rPr>
          <w:rFonts w:cs="Arial"/>
        </w:rPr>
        <w:t>e</w:t>
      </w:r>
      <w:r w:rsidRPr="00EF0769">
        <w:rPr>
          <w:rFonts w:cs="Arial"/>
        </w:rPr>
        <w:t xml:space="preserv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w:t>
      </w:r>
      <w:r w:rsidR="00955F48" w:rsidRPr="00EF0769">
        <w:rPr>
          <w:rFonts w:cs="Arial"/>
        </w:rPr>
        <w:t>x</w:t>
      </w:r>
      <w:r w:rsidR="00955F48" w:rsidRPr="00EF0769">
        <w:rPr>
          <w:rFonts w:cs="Arial"/>
        </w:rPr>
        <w:t>cept for annexes);</w:t>
      </w:r>
    </w:p>
    <w:p w:rsidR="00F574D0" w:rsidRPr="00EF0769" w:rsidRDefault="00D75FEE" w:rsidP="00573871">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 xml:space="preserve"> QUESTION_</w:t>
      </w:r>
      <w:r w:rsidR="00EE50BC">
        <w:rPr>
          <w:rFonts w:cs="Arial"/>
        </w:rPr>
        <w:t>VR_CRA</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EF0769" w:rsidRDefault="00021E83" w:rsidP="000D17AA">
      <w:pPr>
        <w:pStyle w:val="04BodyText"/>
        <w:spacing w:before="120" w:after="120"/>
        <w:jc w:val="left"/>
        <w:rPr>
          <w:rFonts w:cs="Arial"/>
        </w:rPr>
      </w:pPr>
      <w:r w:rsidRPr="00EF0769">
        <w:rPr>
          <w:rFonts w:cs="Arial"/>
        </w:rPr>
        <w:t>ESMA_</w:t>
      </w:r>
      <w:r w:rsidR="00EE50BC">
        <w:rPr>
          <w:rFonts w:cs="Arial"/>
        </w:rPr>
        <w:t>VR_CRA</w:t>
      </w:r>
      <w:r w:rsidRPr="00EF0769">
        <w:rPr>
          <w:rFonts w:cs="Arial"/>
        </w:rPr>
        <w:t>_NAMEOFCOMPANY_NAMEOFDOCUMENT</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ESMA, the </w:t>
      </w:r>
      <w:r w:rsidR="00021E83" w:rsidRPr="00EF0769">
        <w:rPr>
          <w:rFonts w:cs="Arial"/>
        </w:rPr>
        <w:t>name of the reply form would be:</w:t>
      </w:r>
    </w:p>
    <w:p w:rsidR="00021E83" w:rsidRPr="00EF0769" w:rsidRDefault="00021E83" w:rsidP="000D17AA">
      <w:pPr>
        <w:pStyle w:val="04BodyText"/>
        <w:spacing w:before="120" w:after="120"/>
        <w:jc w:val="left"/>
        <w:rPr>
          <w:rFonts w:cs="Arial"/>
        </w:rPr>
      </w:pPr>
      <w:r w:rsidRPr="00EF0769">
        <w:rPr>
          <w:rFonts w:cs="Arial"/>
        </w:rPr>
        <w:t>ESMA_</w:t>
      </w:r>
      <w:r w:rsidR="00EE50BC">
        <w:rPr>
          <w:rFonts w:cs="Arial"/>
        </w:rPr>
        <w:t>VR_CRA</w:t>
      </w:r>
      <w:r w:rsidR="00332304">
        <w:rPr>
          <w:rFonts w:cs="Arial"/>
        </w:rPr>
        <w:t>_</w:t>
      </w:r>
      <w:r w:rsidRPr="00EF0769">
        <w:rPr>
          <w:rFonts w:cs="Arial"/>
        </w:rPr>
        <w:t xml:space="preserve">ESMA_REPLYFORM or </w:t>
      </w:r>
    </w:p>
    <w:p w:rsidR="000D17AA" w:rsidRPr="00EF0769" w:rsidRDefault="00021E83" w:rsidP="000D17AA">
      <w:pPr>
        <w:pStyle w:val="04BodyText"/>
        <w:spacing w:before="120" w:after="120"/>
        <w:jc w:val="left"/>
        <w:rPr>
          <w:rFonts w:cs="Arial"/>
        </w:rPr>
      </w:pPr>
      <w:r w:rsidRPr="00EF0769">
        <w:rPr>
          <w:rFonts w:cs="Arial"/>
        </w:rPr>
        <w:t>ESMA_</w:t>
      </w:r>
      <w:r w:rsidR="00EE50BC">
        <w:rPr>
          <w:rFonts w:cs="Arial"/>
        </w:rPr>
        <w:t>VR_CRA</w:t>
      </w:r>
      <w:r w:rsidRPr="00EF0769">
        <w:rPr>
          <w:rFonts w:cs="Arial"/>
        </w:rPr>
        <w:t>_ESMA_ANNEX1</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F74386">
        <w:rPr>
          <w:rFonts w:cs="Arial"/>
          <w:b/>
        </w:rPr>
        <w:t>19 February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2" w:history="1">
        <w:r w:rsidRPr="00EF0769">
          <w:rPr>
            <w:rStyle w:val="Hyperlink"/>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2"/>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3"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3"/>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3"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1"/>
    <w:p w:rsidR="00332304" w:rsidRDefault="00332304">
      <w:pPr>
        <w:rPr>
          <w:rFonts w:cs="Arial"/>
          <w:b/>
          <w:bCs/>
          <w:kern w:val="32"/>
          <w:sz w:val="24"/>
          <w:szCs w:val="32"/>
        </w:rPr>
      </w:pPr>
      <w:r>
        <w:br w:type="page"/>
      </w:r>
    </w:p>
    <w:p w:rsidR="00D34282" w:rsidRDefault="00D34282" w:rsidP="00D34282">
      <w:pPr>
        <w:pStyle w:val="berschrift1"/>
        <w:numPr>
          <w:ilvl w:val="0"/>
          <w:numId w:val="0"/>
        </w:numPr>
        <w:ind w:left="431" w:hanging="431"/>
      </w:pPr>
      <w:r>
        <w:lastRenderedPageBreak/>
        <w:t>Introduction</w:t>
      </w:r>
    </w:p>
    <w:p w:rsidR="00D34282" w:rsidRPr="001D47A5" w:rsidRDefault="00D34282" w:rsidP="00D34282">
      <w:pPr>
        <w:rPr>
          <w:rStyle w:val="IntensiveHervorhebung"/>
        </w:rPr>
      </w:pPr>
      <w:r w:rsidRPr="001D47A5">
        <w:rPr>
          <w:rStyle w:val="IntensiveHervorhebung"/>
        </w:rPr>
        <w:t>Please make your introductory comments below, if any:</w:t>
      </w:r>
    </w:p>
    <w:p w:rsidR="00D34282" w:rsidRPr="00C25863" w:rsidRDefault="00D34282" w:rsidP="00D34282">
      <w:r w:rsidRPr="00C25863">
        <w:t>&lt;</w:t>
      </w:r>
      <w:r w:rsidRPr="00D74C9D">
        <w:t xml:space="preserve"> </w:t>
      </w:r>
      <w:r>
        <w:t>ESMA_COMMENT</w:t>
      </w:r>
      <w:r w:rsidRPr="00C25863">
        <w:t>_</w:t>
      </w:r>
      <w:r w:rsidR="00F74386">
        <w:t>VR_CRA</w:t>
      </w:r>
      <w:r w:rsidRPr="00C25863">
        <w:t>_1&gt;</w:t>
      </w:r>
    </w:p>
    <w:p w:rsidR="00197D55" w:rsidRPr="00443B5E" w:rsidRDefault="00197D55" w:rsidP="00197D55">
      <w:pPr>
        <w:spacing w:after="120" w:line="276" w:lineRule="auto"/>
        <w:jc w:val="both"/>
        <w:rPr>
          <w:rFonts w:cs="Arial"/>
          <w:sz w:val="22"/>
          <w:szCs w:val="22"/>
          <w:lang w:val="en-US"/>
        </w:rPr>
      </w:pPr>
      <w:permStart w:id="0" w:edGrp="everyone"/>
      <w:r>
        <w:rPr>
          <w:rFonts w:cs="Arial"/>
          <w:sz w:val="22"/>
          <w:szCs w:val="22"/>
          <w:lang w:val="en-US"/>
        </w:rPr>
        <w:t>Dear Sir,</w:t>
      </w:r>
    </w:p>
    <w:p w:rsidR="00197D55" w:rsidRPr="00585FB2" w:rsidRDefault="00197D55" w:rsidP="00197D55">
      <w:pPr>
        <w:spacing w:line="276" w:lineRule="auto"/>
        <w:jc w:val="both"/>
        <w:rPr>
          <w:rFonts w:cs="Arial"/>
          <w:sz w:val="22"/>
          <w:szCs w:val="22"/>
          <w:lang w:val="en-US"/>
        </w:rPr>
      </w:pPr>
    </w:p>
    <w:p w:rsidR="00197D55" w:rsidRDefault="00197D55" w:rsidP="00197D55">
      <w:pPr>
        <w:spacing w:line="276" w:lineRule="auto"/>
        <w:jc w:val="both"/>
        <w:rPr>
          <w:rFonts w:cs="Arial"/>
          <w:sz w:val="22"/>
          <w:szCs w:val="22"/>
          <w:lang w:val="en-US"/>
        </w:rPr>
      </w:pPr>
      <w:r w:rsidRPr="00585FB2">
        <w:rPr>
          <w:rFonts w:cs="Arial"/>
          <w:sz w:val="22"/>
          <w:szCs w:val="22"/>
          <w:lang w:val="en-US"/>
        </w:rPr>
        <w:t>We welcome ESMAs Discussion Paper on the validation of CRA rating methodologies and the techniques proposed by ESMA. This Discussion Paper is based on ESMA’s review of current practices of CRAs, which shows that CRAs apply a wide-range of different techniques to a diffe</w:t>
      </w:r>
      <w:r w:rsidRPr="00585FB2">
        <w:rPr>
          <w:rFonts w:cs="Arial"/>
          <w:sz w:val="22"/>
          <w:szCs w:val="22"/>
          <w:lang w:val="en-US"/>
        </w:rPr>
        <w:t>r</w:t>
      </w:r>
      <w:r w:rsidRPr="00585FB2">
        <w:rPr>
          <w:rFonts w:cs="Arial"/>
          <w:sz w:val="22"/>
          <w:szCs w:val="22"/>
          <w:lang w:val="en-US"/>
        </w:rPr>
        <w:t xml:space="preserve">ing degree depending on the methodologies being validated. The diversity of approaches reflect the different market segments, scopes of the methodologies as well as analytical approaches and choices by the CRAs in defining relevant quantitative and qualitative rating criteria. </w:t>
      </w:r>
    </w:p>
    <w:p w:rsidR="00197D55" w:rsidRPr="00585FB2" w:rsidRDefault="00197D55" w:rsidP="00197D55">
      <w:pPr>
        <w:spacing w:line="276" w:lineRule="auto"/>
        <w:jc w:val="both"/>
        <w:rPr>
          <w:rFonts w:cs="Arial"/>
          <w:sz w:val="22"/>
          <w:szCs w:val="22"/>
          <w:lang w:val="en-US"/>
        </w:rPr>
      </w:pPr>
    </w:p>
    <w:tbl>
      <w:tblPr>
        <w:tblStyle w:val="Tabellengitternetz"/>
        <w:tblW w:w="0" w:type="auto"/>
        <w:tblLook w:val="04A0"/>
      </w:tblPr>
      <w:tblGrid>
        <w:gridCol w:w="1809"/>
        <w:gridCol w:w="7088"/>
      </w:tblGrid>
      <w:tr w:rsidR="00197D55" w:rsidRPr="00585FB2" w:rsidTr="00FB2C2A">
        <w:tc>
          <w:tcPr>
            <w:tcW w:w="1809" w:type="dxa"/>
          </w:tcPr>
          <w:p w:rsidR="00197D55" w:rsidRPr="00585FB2" w:rsidRDefault="00197D55" w:rsidP="00FB2C2A">
            <w:pPr>
              <w:spacing w:line="276" w:lineRule="auto"/>
              <w:jc w:val="both"/>
              <w:rPr>
                <w:rFonts w:cs="Arial"/>
                <w:b/>
                <w:sz w:val="22"/>
                <w:szCs w:val="22"/>
                <w:lang w:val="en-US"/>
              </w:rPr>
            </w:pPr>
            <w:r w:rsidRPr="00585FB2">
              <w:rPr>
                <w:rFonts w:cs="Arial"/>
                <w:b/>
                <w:sz w:val="22"/>
                <w:szCs w:val="22"/>
                <w:lang w:val="en-US"/>
              </w:rPr>
              <w:t>Market Se</w:t>
            </w:r>
            <w:r w:rsidRPr="00585FB2">
              <w:rPr>
                <w:rFonts w:cs="Arial"/>
                <w:b/>
                <w:sz w:val="22"/>
                <w:szCs w:val="22"/>
                <w:lang w:val="en-US"/>
              </w:rPr>
              <w:t>g</w:t>
            </w:r>
            <w:r w:rsidRPr="00585FB2">
              <w:rPr>
                <w:rFonts w:cs="Arial"/>
                <w:b/>
                <w:sz w:val="22"/>
                <w:szCs w:val="22"/>
                <w:lang w:val="en-US"/>
              </w:rPr>
              <w:t>ment</w:t>
            </w:r>
          </w:p>
        </w:tc>
        <w:tc>
          <w:tcPr>
            <w:tcW w:w="7088" w:type="dxa"/>
          </w:tcPr>
          <w:p w:rsidR="00197D55" w:rsidRPr="00585FB2" w:rsidRDefault="00197D55" w:rsidP="00FB2C2A">
            <w:pPr>
              <w:spacing w:line="276" w:lineRule="auto"/>
              <w:jc w:val="both"/>
              <w:rPr>
                <w:rFonts w:cs="Arial"/>
                <w:b/>
                <w:sz w:val="22"/>
                <w:szCs w:val="22"/>
                <w:lang w:val="en-US"/>
              </w:rPr>
            </w:pPr>
            <w:r w:rsidRPr="00585FB2">
              <w:rPr>
                <w:rFonts w:cs="Arial"/>
                <w:b/>
                <w:sz w:val="22"/>
                <w:szCs w:val="22"/>
                <w:lang w:val="en-US"/>
              </w:rPr>
              <w:t>Comment on size of market and default experiences</w:t>
            </w:r>
          </w:p>
        </w:tc>
      </w:tr>
      <w:tr w:rsidR="00197D55" w:rsidRPr="00585FB2" w:rsidTr="00FB2C2A">
        <w:tc>
          <w:tcPr>
            <w:tcW w:w="1809" w:type="dxa"/>
          </w:tcPr>
          <w:p w:rsidR="00197D55" w:rsidRPr="00585FB2" w:rsidRDefault="00197D55" w:rsidP="00FB2C2A">
            <w:pPr>
              <w:spacing w:line="276" w:lineRule="auto"/>
              <w:jc w:val="both"/>
              <w:rPr>
                <w:rFonts w:cs="Arial"/>
                <w:sz w:val="22"/>
                <w:szCs w:val="22"/>
                <w:lang w:val="en-US"/>
              </w:rPr>
            </w:pPr>
            <w:r w:rsidRPr="00585FB2">
              <w:rPr>
                <w:rFonts w:cs="Arial"/>
                <w:sz w:val="22"/>
                <w:szCs w:val="22"/>
                <w:lang w:val="en-US"/>
              </w:rPr>
              <w:t>Sovereigns</w:t>
            </w:r>
          </w:p>
        </w:tc>
        <w:tc>
          <w:tcPr>
            <w:tcW w:w="7088" w:type="dxa"/>
          </w:tcPr>
          <w:p w:rsidR="00197D55" w:rsidRPr="00585FB2" w:rsidRDefault="00197D55" w:rsidP="00FB2C2A">
            <w:pPr>
              <w:spacing w:line="276" w:lineRule="auto"/>
              <w:jc w:val="both"/>
              <w:rPr>
                <w:rFonts w:cs="Arial"/>
                <w:sz w:val="22"/>
                <w:szCs w:val="22"/>
                <w:lang w:val="en-US"/>
              </w:rPr>
            </w:pPr>
            <w:r w:rsidRPr="00585FB2">
              <w:rPr>
                <w:rFonts w:cs="Arial"/>
                <w:sz w:val="22"/>
                <w:szCs w:val="22"/>
                <w:lang w:val="en-US"/>
              </w:rPr>
              <w:t>Around 200 Sovereigns are currently rated. The number of Sovereigns is limited and the default experiences equally. The IMF concluded in its Global financial Review dated October 2010, that CRAs managed to properly rank sovereign risks.</w:t>
            </w:r>
          </w:p>
        </w:tc>
      </w:tr>
      <w:tr w:rsidR="00197D55" w:rsidRPr="00585FB2" w:rsidTr="00FB2C2A">
        <w:tc>
          <w:tcPr>
            <w:tcW w:w="1809" w:type="dxa"/>
          </w:tcPr>
          <w:p w:rsidR="00197D55" w:rsidRPr="00585FB2" w:rsidRDefault="00197D55" w:rsidP="00FB2C2A">
            <w:pPr>
              <w:spacing w:line="276" w:lineRule="auto"/>
              <w:jc w:val="both"/>
              <w:rPr>
                <w:rFonts w:cs="Arial"/>
                <w:sz w:val="22"/>
                <w:szCs w:val="22"/>
                <w:lang w:val="en-US"/>
              </w:rPr>
            </w:pPr>
            <w:r w:rsidRPr="00585FB2">
              <w:rPr>
                <w:rFonts w:cs="Arial"/>
                <w:sz w:val="22"/>
                <w:szCs w:val="22"/>
                <w:lang w:val="en-US"/>
              </w:rPr>
              <w:t>Sub-Sovereigns</w:t>
            </w:r>
          </w:p>
        </w:tc>
        <w:tc>
          <w:tcPr>
            <w:tcW w:w="7088" w:type="dxa"/>
          </w:tcPr>
          <w:p w:rsidR="00197D55" w:rsidRPr="00585FB2" w:rsidRDefault="00197D55" w:rsidP="00FB2C2A">
            <w:pPr>
              <w:spacing w:line="276" w:lineRule="auto"/>
              <w:jc w:val="both"/>
              <w:rPr>
                <w:rFonts w:cs="Arial"/>
                <w:sz w:val="22"/>
                <w:szCs w:val="22"/>
                <w:lang w:val="en-US"/>
              </w:rPr>
            </w:pPr>
            <w:r w:rsidRPr="00585FB2">
              <w:rPr>
                <w:rFonts w:cs="Arial"/>
                <w:sz w:val="22"/>
                <w:szCs w:val="22"/>
                <w:lang w:val="en-US"/>
              </w:rPr>
              <w:t xml:space="preserve">The institutional set-up within a country on the relations between the top-level sovereign and its constituents varies substantially (as the degree to define and collect taxes of a Municipality depends on the country of residence). </w:t>
            </w:r>
          </w:p>
          <w:p w:rsidR="00197D55" w:rsidRPr="00585FB2" w:rsidRDefault="00197D55" w:rsidP="00FB2C2A">
            <w:pPr>
              <w:spacing w:line="276" w:lineRule="auto"/>
              <w:jc w:val="both"/>
              <w:rPr>
                <w:rFonts w:cs="Arial"/>
                <w:sz w:val="22"/>
                <w:szCs w:val="22"/>
                <w:lang w:val="en-US"/>
              </w:rPr>
            </w:pPr>
            <w:r w:rsidRPr="00585FB2">
              <w:rPr>
                <w:rFonts w:cs="Arial"/>
                <w:sz w:val="22"/>
                <w:szCs w:val="22"/>
                <w:lang w:val="en-US"/>
              </w:rPr>
              <w:t>Default evidence is, for the vast majority of geographies, non-existing.</w:t>
            </w:r>
          </w:p>
        </w:tc>
      </w:tr>
      <w:tr w:rsidR="00197D55" w:rsidRPr="00585FB2" w:rsidTr="00FB2C2A">
        <w:tc>
          <w:tcPr>
            <w:tcW w:w="1809" w:type="dxa"/>
          </w:tcPr>
          <w:p w:rsidR="00197D55" w:rsidRPr="00585FB2" w:rsidRDefault="00197D55" w:rsidP="00FB2C2A">
            <w:pPr>
              <w:spacing w:line="276" w:lineRule="auto"/>
              <w:jc w:val="both"/>
              <w:rPr>
                <w:rFonts w:cs="Arial"/>
                <w:sz w:val="22"/>
                <w:szCs w:val="22"/>
                <w:lang w:val="en-US"/>
              </w:rPr>
            </w:pPr>
            <w:r w:rsidRPr="00585FB2">
              <w:rPr>
                <w:rFonts w:cs="Arial"/>
                <w:sz w:val="22"/>
                <w:szCs w:val="22"/>
                <w:lang w:val="en-US"/>
              </w:rPr>
              <w:t>Covered Bonds</w:t>
            </w:r>
          </w:p>
        </w:tc>
        <w:tc>
          <w:tcPr>
            <w:tcW w:w="7088" w:type="dxa"/>
          </w:tcPr>
          <w:p w:rsidR="00197D55" w:rsidRPr="00585FB2" w:rsidRDefault="00197D55" w:rsidP="00FB2C2A">
            <w:pPr>
              <w:spacing w:line="276" w:lineRule="auto"/>
              <w:jc w:val="both"/>
              <w:rPr>
                <w:rFonts w:cs="Arial"/>
                <w:sz w:val="22"/>
                <w:szCs w:val="22"/>
                <w:lang w:val="en-US"/>
              </w:rPr>
            </w:pPr>
            <w:r w:rsidRPr="00585FB2">
              <w:rPr>
                <w:rFonts w:cs="Arial"/>
                <w:sz w:val="22"/>
                <w:szCs w:val="22"/>
                <w:lang w:val="en-US"/>
              </w:rPr>
              <w:t>The legal regime on Covered Bonds varies across Europe – this ma</w:t>
            </w:r>
            <w:r w:rsidRPr="00585FB2">
              <w:rPr>
                <w:rFonts w:cs="Arial"/>
                <w:sz w:val="22"/>
                <w:szCs w:val="22"/>
                <w:lang w:val="en-US"/>
              </w:rPr>
              <w:t>r</w:t>
            </w:r>
            <w:r w:rsidRPr="00585FB2">
              <w:rPr>
                <w:rFonts w:cs="Arial"/>
                <w:sz w:val="22"/>
                <w:szCs w:val="22"/>
                <w:lang w:val="en-US"/>
              </w:rPr>
              <w:t>ket can’t be aggregated into a single market segment.</w:t>
            </w:r>
          </w:p>
          <w:p w:rsidR="00197D55" w:rsidRPr="00585FB2" w:rsidRDefault="00197D55" w:rsidP="00FB2C2A">
            <w:pPr>
              <w:spacing w:line="276" w:lineRule="auto"/>
              <w:jc w:val="both"/>
              <w:rPr>
                <w:rFonts w:cs="Arial"/>
                <w:sz w:val="22"/>
                <w:szCs w:val="22"/>
                <w:lang w:val="en-US"/>
              </w:rPr>
            </w:pPr>
            <w:r w:rsidRPr="00585FB2">
              <w:rPr>
                <w:rFonts w:cs="Arial"/>
                <w:sz w:val="22"/>
                <w:szCs w:val="22"/>
                <w:lang w:val="en-US"/>
              </w:rPr>
              <w:t>Given the high regulatory framework on covered bonds already in place (</w:t>
            </w:r>
            <w:proofErr w:type="spellStart"/>
            <w:r w:rsidRPr="00585FB2">
              <w:rPr>
                <w:rFonts w:cs="Arial"/>
                <w:sz w:val="22"/>
                <w:szCs w:val="22"/>
                <w:lang w:val="en-US"/>
              </w:rPr>
              <w:t>eg</w:t>
            </w:r>
            <w:proofErr w:type="spellEnd"/>
            <w:r w:rsidRPr="00585FB2">
              <w:rPr>
                <w:rFonts w:cs="Arial"/>
                <w:sz w:val="22"/>
                <w:szCs w:val="22"/>
                <w:lang w:val="en-US"/>
              </w:rPr>
              <w:t xml:space="preserve"> double-recourse structure), historical default evidence is virtually non-existing.</w:t>
            </w:r>
          </w:p>
        </w:tc>
      </w:tr>
      <w:tr w:rsidR="00197D55" w:rsidRPr="00585FB2" w:rsidTr="00FB2C2A">
        <w:tc>
          <w:tcPr>
            <w:tcW w:w="1809" w:type="dxa"/>
          </w:tcPr>
          <w:p w:rsidR="00197D55" w:rsidRPr="00585FB2" w:rsidRDefault="00197D55" w:rsidP="00FB2C2A">
            <w:pPr>
              <w:spacing w:line="276" w:lineRule="auto"/>
              <w:jc w:val="both"/>
              <w:rPr>
                <w:rFonts w:cs="Arial"/>
                <w:sz w:val="22"/>
                <w:szCs w:val="22"/>
                <w:lang w:val="en-US"/>
              </w:rPr>
            </w:pPr>
            <w:r w:rsidRPr="00585FB2">
              <w:rPr>
                <w:rFonts w:cs="Arial"/>
                <w:sz w:val="22"/>
                <w:szCs w:val="22"/>
                <w:lang w:val="en-US"/>
              </w:rPr>
              <w:t>Insurances</w:t>
            </w:r>
          </w:p>
        </w:tc>
        <w:tc>
          <w:tcPr>
            <w:tcW w:w="7088" w:type="dxa"/>
          </w:tcPr>
          <w:p w:rsidR="00197D55" w:rsidRPr="00585FB2" w:rsidRDefault="00197D55" w:rsidP="00FB2C2A">
            <w:pPr>
              <w:spacing w:line="276" w:lineRule="auto"/>
              <w:jc w:val="both"/>
              <w:rPr>
                <w:rFonts w:cs="Arial"/>
                <w:sz w:val="22"/>
                <w:szCs w:val="22"/>
                <w:lang w:val="en-US"/>
              </w:rPr>
            </w:pPr>
            <w:r w:rsidRPr="00585FB2">
              <w:rPr>
                <w:rFonts w:cs="Arial"/>
                <w:sz w:val="22"/>
                <w:szCs w:val="22"/>
                <w:lang w:val="en-US"/>
              </w:rPr>
              <w:t>Given the regulatory regime on insurances, defaults are equally non-</w:t>
            </w:r>
            <w:proofErr w:type="spellStart"/>
            <w:r w:rsidRPr="00585FB2">
              <w:rPr>
                <w:rFonts w:cs="Arial"/>
                <w:sz w:val="22"/>
                <w:szCs w:val="22"/>
                <w:lang w:val="en-US"/>
              </w:rPr>
              <w:t>existant</w:t>
            </w:r>
            <w:proofErr w:type="spellEnd"/>
            <w:r w:rsidRPr="00585FB2">
              <w:rPr>
                <w:rFonts w:cs="Arial"/>
                <w:sz w:val="22"/>
                <w:szCs w:val="22"/>
                <w:lang w:val="en-US"/>
              </w:rPr>
              <w:t xml:space="preserve"> as supervisors would step-in earlier.</w:t>
            </w:r>
          </w:p>
        </w:tc>
      </w:tr>
      <w:tr w:rsidR="00197D55" w:rsidRPr="00585FB2" w:rsidTr="00FB2C2A">
        <w:tc>
          <w:tcPr>
            <w:tcW w:w="1809" w:type="dxa"/>
          </w:tcPr>
          <w:p w:rsidR="00197D55" w:rsidRPr="00585FB2" w:rsidRDefault="00197D55" w:rsidP="00FB2C2A">
            <w:pPr>
              <w:spacing w:line="276" w:lineRule="auto"/>
              <w:jc w:val="both"/>
              <w:rPr>
                <w:rFonts w:cs="Arial"/>
                <w:sz w:val="22"/>
                <w:szCs w:val="22"/>
                <w:lang w:val="en-US"/>
              </w:rPr>
            </w:pPr>
            <w:r w:rsidRPr="00585FB2">
              <w:rPr>
                <w:rFonts w:cs="Arial"/>
                <w:sz w:val="22"/>
                <w:szCs w:val="22"/>
                <w:lang w:val="en-US"/>
              </w:rPr>
              <w:t>Banks</w:t>
            </w:r>
          </w:p>
        </w:tc>
        <w:tc>
          <w:tcPr>
            <w:tcW w:w="7088" w:type="dxa"/>
          </w:tcPr>
          <w:p w:rsidR="00197D55" w:rsidRPr="00585FB2" w:rsidRDefault="00197D55" w:rsidP="00FB2C2A">
            <w:pPr>
              <w:spacing w:line="276" w:lineRule="auto"/>
              <w:jc w:val="both"/>
              <w:rPr>
                <w:rFonts w:cs="Arial"/>
                <w:sz w:val="22"/>
                <w:szCs w:val="22"/>
                <w:lang w:val="en-US"/>
              </w:rPr>
            </w:pPr>
            <w:r w:rsidRPr="00585FB2">
              <w:rPr>
                <w:rFonts w:cs="Arial"/>
                <w:sz w:val="22"/>
                <w:szCs w:val="22"/>
                <w:lang w:val="en-US"/>
              </w:rPr>
              <w:t>The regulatory regime on banks has substantially evolved in recent years.</w:t>
            </w:r>
          </w:p>
          <w:p w:rsidR="00197D55" w:rsidRPr="00585FB2" w:rsidRDefault="00197D55" w:rsidP="00FB2C2A">
            <w:pPr>
              <w:spacing w:line="276" w:lineRule="auto"/>
              <w:jc w:val="both"/>
              <w:rPr>
                <w:rFonts w:cs="Arial"/>
                <w:sz w:val="22"/>
                <w:szCs w:val="22"/>
                <w:lang w:val="en-US"/>
              </w:rPr>
            </w:pPr>
            <w:r w:rsidRPr="00585FB2">
              <w:rPr>
                <w:rFonts w:cs="Arial"/>
                <w:sz w:val="22"/>
                <w:szCs w:val="22"/>
                <w:lang w:val="en-US"/>
              </w:rPr>
              <w:t>But, defaults by banks have historically remained low as often Sove</w:t>
            </w:r>
            <w:r w:rsidRPr="00585FB2">
              <w:rPr>
                <w:rFonts w:cs="Arial"/>
                <w:sz w:val="22"/>
                <w:szCs w:val="22"/>
                <w:lang w:val="en-US"/>
              </w:rPr>
              <w:t>r</w:t>
            </w:r>
            <w:r w:rsidRPr="00585FB2">
              <w:rPr>
                <w:rFonts w:cs="Arial"/>
                <w:sz w:val="22"/>
                <w:szCs w:val="22"/>
                <w:lang w:val="en-US"/>
              </w:rPr>
              <w:t>eigns stepped-in.</w:t>
            </w:r>
          </w:p>
          <w:p w:rsidR="00197D55" w:rsidRPr="00585FB2" w:rsidRDefault="00197D55" w:rsidP="00FB2C2A">
            <w:pPr>
              <w:spacing w:line="276" w:lineRule="auto"/>
              <w:jc w:val="both"/>
              <w:rPr>
                <w:rFonts w:cs="Arial"/>
                <w:sz w:val="22"/>
                <w:szCs w:val="22"/>
                <w:lang w:val="en-US"/>
              </w:rPr>
            </w:pPr>
            <w:r w:rsidRPr="00585FB2">
              <w:rPr>
                <w:rFonts w:cs="Arial"/>
                <w:sz w:val="22"/>
                <w:szCs w:val="22"/>
                <w:lang w:val="en-US"/>
              </w:rPr>
              <w:t>We note that BIS proposes that CRAs provide rating assessments excluding potential Sovereign support. While we note that some CRAs may exclude sovereign support already, we think that the principle of non-interference into a CRA’s methodologies as embedded in the EU CRA Regulation should prevail.</w:t>
            </w:r>
          </w:p>
        </w:tc>
      </w:tr>
      <w:tr w:rsidR="00197D55" w:rsidRPr="00585FB2" w:rsidTr="00FB2C2A">
        <w:tc>
          <w:tcPr>
            <w:tcW w:w="1809" w:type="dxa"/>
          </w:tcPr>
          <w:p w:rsidR="00197D55" w:rsidRPr="00585FB2" w:rsidRDefault="00197D55" w:rsidP="00FB2C2A">
            <w:pPr>
              <w:spacing w:line="276" w:lineRule="auto"/>
              <w:jc w:val="both"/>
              <w:rPr>
                <w:rFonts w:cs="Arial"/>
                <w:sz w:val="22"/>
                <w:szCs w:val="22"/>
                <w:lang w:val="en-US"/>
              </w:rPr>
            </w:pPr>
            <w:r w:rsidRPr="00585FB2">
              <w:rPr>
                <w:rFonts w:cs="Arial"/>
                <w:sz w:val="22"/>
                <w:szCs w:val="22"/>
                <w:lang w:val="en-US"/>
              </w:rPr>
              <w:t>Global large non-financial issuers</w:t>
            </w:r>
          </w:p>
        </w:tc>
        <w:tc>
          <w:tcPr>
            <w:tcW w:w="7088" w:type="dxa"/>
          </w:tcPr>
          <w:p w:rsidR="00197D55" w:rsidRPr="00585FB2" w:rsidRDefault="00197D55" w:rsidP="00FB2C2A">
            <w:pPr>
              <w:spacing w:line="276" w:lineRule="auto"/>
              <w:jc w:val="both"/>
              <w:rPr>
                <w:rFonts w:cs="Arial"/>
                <w:sz w:val="22"/>
                <w:szCs w:val="22"/>
                <w:lang w:val="en-US"/>
              </w:rPr>
            </w:pPr>
            <w:r w:rsidRPr="00585FB2">
              <w:rPr>
                <w:rFonts w:cs="Arial"/>
                <w:sz w:val="22"/>
                <w:szCs w:val="22"/>
                <w:lang w:val="en-US"/>
              </w:rPr>
              <w:t>The large global non-financial issuers together with the Stock listed companies correspond to a very limited share of the companies in a country. The number of ratings per geography (jurisdiction) is ther</w:t>
            </w:r>
            <w:r w:rsidRPr="00585FB2">
              <w:rPr>
                <w:rFonts w:cs="Arial"/>
                <w:sz w:val="22"/>
                <w:szCs w:val="22"/>
                <w:lang w:val="en-US"/>
              </w:rPr>
              <w:t>e</w:t>
            </w:r>
            <w:r w:rsidRPr="00585FB2">
              <w:rPr>
                <w:rFonts w:cs="Arial"/>
                <w:sz w:val="22"/>
                <w:szCs w:val="22"/>
                <w:lang w:val="en-US"/>
              </w:rPr>
              <w:t xml:space="preserve">fore limited.  </w:t>
            </w:r>
          </w:p>
        </w:tc>
      </w:tr>
      <w:tr w:rsidR="00197D55" w:rsidRPr="00585FB2" w:rsidTr="00FB2C2A">
        <w:tc>
          <w:tcPr>
            <w:tcW w:w="1809" w:type="dxa"/>
          </w:tcPr>
          <w:p w:rsidR="00197D55" w:rsidRPr="00585FB2" w:rsidRDefault="00197D55" w:rsidP="00FB2C2A">
            <w:pPr>
              <w:spacing w:line="276" w:lineRule="auto"/>
              <w:jc w:val="both"/>
              <w:rPr>
                <w:rFonts w:cs="Arial"/>
                <w:sz w:val="22"/>
                <w:szCs w:val="22"/>
                <w:lang w:val="en-US"/>
              </w:rPr>
            </w:pPr>
            <w:r w:rsidRPr="00585FB2">
              <w:rPr>
                <w:rFonts w:cs="Arial"/>
                <w:sz w:val="22"/>
                <w:szCs w:val="22"/>
                <w:lang w:val="en-US"/>
              </w:rPr>
              <w:t>SME Ratings</w:t>
            </w:r>
          </w:p>
        </w:tc>
        <w:tc>
          <w:tcPr>
            <w:tcW w:w="7088" w:type="dxa"/>
          </w:tcPr>
          <w:p w:rsidR="00197D55" w:rsidRPr="00585FB2" w:rsidRDefault="00197D55" w:rsidP="00FB2C2A">
            <w:pPr>
              <w:spacing w:line="276" w:lineRule="auto"/>
              <w:jc w:val="both"/>
              <w:rPr>
                <w:rFonts w:cs="Arial"/>
                <w:sz w:val="22"/>
                <w:szCs w:val="22"/>
                <w:lang w:val="en-US"/>
              </w:rPr>
            </w:pPr>
            <w:r w:rsidRPr="00585FB2">
              <w:rPr>
                <w:rFonts w:cs="Arial"/>
                <w:sz w:val="22"/>
                <w:szCs w:val="22"/>
                <w:lang w:val="en-US"/>
              </w:rPr>
              <w:t>Some CRAs provide a wide coverage of SME ratings in specific geo</w:t>
            </w:r>
            <w:r w:rsidRPr="00585FB2">
              <w:rPr>
                <w:rFonts w:cs="Arial"/>
                <w:sz w:val="22"/>
                <w:szCs w:val="22"/>
                <w:lang w:val="en-US"/>
              </w:rPr>
              <w:t>g</w:t>
            </w:r>
            <w:r w:rsidRPr="00585FB2">
              <w:rPr>
                <w:rFonts w:cs="Arial"/>
                <w:sz w:val="22"/>
                <w:szCs w:val="22"/>
                <w:lang w:val="en-US"/>
              </w:rPr>
              <w:t xml:space="preserve">raphies. Given the high number of outstanding ratings, some statistical </w:t>
            </w:r>
            <w:r w:rsidRPr="00585FB2">
              <w:rPr>
                <w:rFonts w:cs="Arial"/>
                <w:sz w:val="22"/>
                <w:szCs w:val="22"/>
                <w:lang w:val="en-US"/>
              </w:rPr>
              <w:lastRenderedPageBreak/>
              <w:t xml:space="preserve">performance analysis could be done. </w:t>
            </w:r>
          </w:p>
        </w:tc>
      </w:tr>
      <w:tr w:rsidR="00197D55" w:rsidRPr="00585FB2" w:rsidTr="00FB2C2A">
        <w:tc>
          <w:tcPr>
            <w:tcW w:w="1809" w:type="dxa"/>
          </w:tcPr>
          <w:p w:rsidR="00197D55" w:rsidRPr="00585FB2" w:rsidRDefault="00197D55" w:rsidP="00FB2C2A">
            <w:pPr>
              <w:spacing w:line="276" w:lineRule="auto"/>
              <w:jc w:val="both"/>
              <w:rPr>
                <w:rFonts w:cs="Arial"/>
                <w:sz w:val="22"/>
                <w:szCs w:val="22"/>
                <w:lang w:val="en-US"/>
              </w:rPr>
            </w:pPr>
            <w:r w:rsidRPr="00585FB2">
              <w:rPr>
                <w:rFonts w:cs="Arial"/>
                <w:sz w:val="22"/>
                <w:szCs w:val="22"/>
                <w:lang w:val="en-US"/>
              </w:rPr>
              <w:lastRenderedPageBreak/>
              <w:t>Structured Finance</w:t>
            </w:r>
          </w:p>
        </w:tc>
        <w:tc>
          <w:tcPr>
            <w:tcW w:w="7088" w:type="dxa"/>
          </w:tcPr>
          <w:p w:rsidR="00197D55" w:rsidRPr="00585FB2" w:rsidRDefault="00197D55" w:rsidP="00FB2C2A">
            <w:pPr>
              <w:spacing w:line="276" w:lineRule="auto"/>
              <w:jc w:val="both"/>
              <w:rPr>
                <w:rFonts w:cs="Arial"/>
                <w:sz w:val="22"/>
                <w:szCs w:val="22"/>
                <w:lang w:val="en-US"/>
              </w:rPr>
            </w:pPr>
            <w:r w:rsidRPr="00585FB2">
              <w:rPr>
                <w:rFonts w:cs="Arial"/>
                <w:sz w:val="22"/>
                <w:szCs w:val="22"/>
                <w:lang w:val="en-US"/>
              </w:rPr>
              <w:t>Taken at an aggregate level, this market segment would be suited for quantitative techniques.</w:t>
            </w:r>
          </w:p>
          <w:p w:rsidR="00197D55" w:rsidRPr="00585FB2" w:rsidRDefault="00197D55" w:rsidP="00FB2C2A">
            <w:pPr>
              <w:spacing w:line="276" w:lineRule="auto"/>
              <w:jc w:val="both"/>
              <w:rPr>
                <w:rFonts w:cs="Arial"/>
                <w:sz w:val="22"/>
                <w:szCs w:val="22"/>
                <w:lang w:val="en-US"/>
              </w:rPr>
            </w:pPr>
            <w:r w:rsidRPr="00585FB2">
              <w:rPr>
                <w:rFonts w:cs="Arial"/>
                <w:sz w:val="22"/>
                <w:szCs w:val="22"/>
                <w:lang w:val="en-US"/>
              </w:rPr>
              <w:t>With reference to the Mapping of SF Ratings, we note that the perfo</w:t>
            </w:r>
            <w:r w:rsidRPr="00585FB2">
              <w:rPr>
                <w:rFonts w:cs="Arial"/>
                <w:sz w:val="22"/>
                <w:szCs w:val="22"/>
                <w:lang w:val="en-US"/>
              </w:rPr>
              <w:t>r</w:t>
            </w:r>
            <w:r w:rsidRPr="00585FB2">
              <w:rPr>
                <w:rFonts w:cs="Arial"/>
                <w:sz w:val="22"/>
                <w:szCs w:val="22"/>
                <w:lang w:val="en-US"/>
              </w:rPr>
              <w:t>mance of CRAs has substantially differed according to market se</w:t>
            </w:r>
            <w:r w:rsidRPr="00585FB2">
              <w:rPr>
                <w:rFonts w:cs="Arial"/>
                <w:sz w:val="22"/>
                <w:szCs w:val="22"/>
                <w:lang w:val="en-US"/>
              </w:rPr>
              <w:t>g</w:t>
            </w:r>
            <w:r w:rsidRPr="00585FB2">
              <w:rPr>
                <w:rFonts w:cs="Arial"/>
                <w:sz w:val="22"/>
                <w:szCs w:val="22"/>
                <w:lang w:val="en-US"/>
              </w:rPr>
              <w:t>ments and/or geographies. Disaggregating this market leads automa</w:t>
            </w:r>
            <w:r w:rsidRPr="00585FB2">
              <w:rPr>
                <w:rFonts w:cs="Arial"/>
                <w:sz w:val="22"/>
                <w:szCs w:val="22"/>
                <w:lang w:val="en-US"/>
              </w:rPr>
              <w:t>t</w:t>
            </w:r>
            <w:r w:rsidRPr="00585FB2">
              <w:rPr>
                <w:rFonts w:cs="Arial"/>
                <w:sz w:val="22"/>
                <w:szCs w:val="22"/>
                <w:lang w:val="en-US"/>
              </w:rPr>
              <w:t>ically to reduced number of ratings and number of defaults.</w:t>
            </w:r>
          </w:p>
        </w:tc>
      </w:tr>
    </w:tbl>
    <w:p w:rsidR="00197D55" w:rsidRPr="00585FB2" w:rsidRDefault="00197D55" w:rsidP="00197D55">
      <w:pPr>
        <w:spacing w:line="276" w:lineRule="auto"/>
        <w:jc w:val="both"/>
        <w:rPr>
          <w:rFonts w:cs="Arial"/>
          <w:sz w:val="22"/>
          <w:szCs w:val="22"/>
          <w:lang w:val="en-US"/>
        </w:rPr>
      </w:pPr>
    </w:p>
    <w:p w:rsidR="00197D55" w:rsidRPr="00585FB2" w:rsidRDefault="00197D55" w:rsidP="00197D55">
      <w:pPr>
        <w:spacing w:line="276" w:lineRule="auto"/>
        <w:jc w:val="both"/>
        <w:rPr>
          <w:rFonts w:cs="Arial"/>
          <w:sz w:val="22"/>
          <w:szCs w:val="22"/>
          <w:lang w:val="en-US"/>
        </w:rPr>
      </w:pPr>
      <w:r w:rsidRPr="00585FB2">
        <w:rPr>
          <w:rFonts w:cs="Arial"/>
          <w:sz w:val="22"/>
          <w:szCs w:val="22"/>
          <w:lang w:val="en-US"/>
        </w:rPr>
        <w:t>Based on the above high-level analysis of the main market segments, we think that the vast majority of rating methodologies fall into the category of “Low Quantitative Evidence” – the ben</w:t>
      </w:r>
      <w:r w:rsidRPr="00585FB2">
        <w:rPr>
          <w:rFonts w:cs="Arial"/>
          <w:sz w:val="22"/>
          <w:szCs w:val="22"/>
          <w:lang w:val="en-US"/>
        </w:rPr>
        <w:t>e</w:t>
      </w:r>
      <w:r w:rsidRPr="00585FB2">
        <w:rPr>
          <w:rFonts w:cs="Arial"/>
          <w:sz w:val="22"/>
          <w:szCs w:val="22"/>
          <w:lang w:val="en-US"/>
        </w:rPr>
        <w:t xml:space="preserve">fits anticipated by ESMA for the “Sufficient quantitative evidence” cases will therefore be limited to very few cases. </w:t>
      </w:r>
    </w:p>
    <w:p w:rsidR="00197D55" w:rsidRPr="00585FB2" w:rsidRDefault="00197D55" w:rsidP="00197D55">
      <w:pPr>
        <w:spacing w:line="276" w:lineRule="auto"/>
        <w:jc w:val="both"/>
        <w:rPr>
          <w:rFonts w:cs="Arial"/>
          <w:sz w:val="22"/>
          <w:szCs w:val="22"/>
          <w:lang w:val="en-US"/>
        </w:rPr>
      </w:pPr>
      <w:r w:rsidRPr="00585FB2">
        <w:rPr>
          <w:rFonts w:cs="Arial"/>
          <w:sz w:val="22"/>
          <w:szCs w:val="22"/>
          <w:lang w:val="en-US"/>
        </w:rPr>
        <w:t>Not surprisingly, during the Open Hearing held on January 25</w:t>
      </w:r>
      <w:r w:rsidRPr="00585FB2">
        <w:rPr>
          <w:rFonts w:cs="Arial"/>
          <w:sz w:val="22"/>
          <w:szCs w:val="22"/>
          <w:vertAlign w:val="superscript"/>
          <w:lang w:val="en-US"/>
        </w:rPr>
        <w:t>th</w:t>
      </w:r>
      <w:r w:rsidRPr="00585FB2">
        <w:rPr>
          <w:rFonts w:cs="Arial"/>
          <w:sz w:val="22"/>
          <w:szCs w:val="22"/>
          <w:lang w:val="en-US"/>
        </w:rPr>
        <w:t xml:space="preserve"> in Paris on this topic, CRAs voiced concerns regarding the ability to run the proposed statistical tests (this argument being reflected in the Discussion Paper)</w:t>
      </w:r>
    </w:p>
    <w:p w:rsidR="00197D55" w:rsidRPr="00585FB2" w:rsidRDefault="00197D55" w:rsidP="00197D55">
      <w:pPr>
        <w:spacing w:line="276" w:lineRule="auto"/>
        <w:jc w:val="both"/>
        <w:rPr>
          <w:rFonts w:cs="Arial"/>
          <w:sz w:val="22"/>
          <w:szCs w:val="22"/>
          <w:lang w:val="en-US"/>
        </w:rPr>
      </w:pPr>
      <w:r w:rsidRPr="00585FB2">
        <w:rPr>
          <w:rFonts w:cs="Arial"/>
          <w:sz w:val="22"/>
          <w:szCs w:val="22"/>
          <w:lang w:val="en-US"/>
        </w:rPr>
        <w:t>We understand that the proposed validation techniques should apply equally to new methodol</w:t>
      </w:r>
      <w:r w:rsidRPr="00585FB2">
        <w:rPr>
          <w:rFonts w:cs="Arial"/>
          <w:sz w:val="22"/>
          <w:szCs w:val="22"/>
          <w:lang w:val="en-US"/>
        </w:rPr>
        <w:t>o</w:t>
      </w:r>
      <w:r w:rsidRPr="00585FB2">
        <w:rPr>
          <w:rFonts w:cs="Arial"/>
          <w:sz w:val="22"/>
          <w:szCs w:val="22"/>
          <w:lang w:val="en-US"/>
        </w:rPr>
        <w:t>gies and to the revision of methodologies:</w:t>
      </w:r>
    </w:p>
    <w:p w:rsidR="00197D55" w:rsidRPr="00585FB2" w:rsidRDefault="00197D55" w:rsidP="00197D55">
      <w:pPr>
        <w:pStyle w:val="Listenabsatz"/>
        <w:numPr>
          <w:ilvl w:val="0"/>
          <w:numId w:val="51"/>
        </w:numPr>
        <w:spacing w:line="276" w:lineRule="auto"/>
        <w:jc w:val="both"/>
        <w:rPr>
          <w:rFonts w:cs="Arial"/>
          <w:sz w:val="22"/>
          <w:szCs w:val="22"/>
          <w:lang w:val="en-US"/>
        </w:rPr>
      </w:pPr>
      <w:r w:rsidRPr="00585FB2">
        <w:rPr>
          <w:rFonts w:cs="Arial"/>
          <w:sz w:val="22"/>
          <w:szCs w:val="22"/>
          <w:lang w:val="en-US"/>
        </w:rPr>
        <w:t>by virtue of the CRA Regulation and the mandatory registration of a CRA before the i</w:t>
      </w:r>
      <w:r w:rsidRPr="00585FB2">
        <w:rPr>
          <w:rFonts w:cs="Arial"/>
          <w:sz w:val="22"/>
          <w:szCs w:val="22"/>
          <w:lang w:val="en-US"/>
        </w:rPr>
        <w:t>s</w:t>
      </w:r>
      <w:r w:rsidRPr="00585FB2">
        <w:rPr>
          <w:rFonts w:cs="Arial"/>
          <w:sz w:val="22"/>
          <w:szCs w:val="22"/>
          <w:lang w:val="en-US"/>
        </w:rPr>
        <w:t>suance of a rating, with respect new CRAs (and new methodologies), historical evidence measured in terms of assigned ratings will always be 0</w:t>
      </w:r>
    </w:p>
    <w:p w:rsidR="00197D55" w:rsidRPr="00585FB2" w:rsidRDefault="00197D55" w:rsidP="00197D55">
      <w:pPr>
        <w:pStyle w:val="Listenabsatz"/>
        <w:numPr>
          <w:ilvl w:val="0"/>
          <w:numId w:val="51"/>
        </w:numPr>
        <w:spacing w:line="276" w:lineRule="auto"/>
        <w:jc w:val="both"/>
        <w:rPr>
          <w:rFonts w:cs="Arial"/>
          <w:sz w:val="22"/>
          <w:szCs w:val="22"/>
          <w:lang w:val="en-US"/>
        </w:rPr>
      </w:pPr>
      <w:proofErr w:type="gramStart"/>
      <w:r w:rsidRPr="00585FB2">
        <w:rPr>
          <w:rFonts w:cs="Arial"/>
          <w:sz w:val="22"/>
          <w:szCs w:val="22"/>
          <w:lang w:val="en-US"/>
        </w:rPr>
        <w:t>with</w:t>
      </w:r>
      <w:proofErr w:type="gramEnd"/>
      <w:r w:rsidRPr="00585FB2">
        <w:rPr>
          <w:rFonts w:cs="Arial"/>
          <w:sz w:val="22"/>
          <w:szCs w:val="22"/>
          <w:lang w:val="en-US"/>
        </w:rPr>
        <w:t xml:space="preserve"> respect to the review of existing methodologies, this may go beyond the modification of quantitative (ratio driven) criteria and may introduce additional new factors (not co</w:t>
      </w:r>
      <w:r w:rsidRPr="00585FB2">
        <w:rPr>
          <w:rFonts w:cs="Arial"/>
          <w:sz w:val="22"/>
          <w:szCs w:val="22"/>
          <w:lang w:val="en-US"/>
        </w:rPr>
        <w:t>n</w:t>
      </w:r>
      <w:r w:rsidRPr="00585FB2">
        <w:rPr>
          <w:rFonts w:cs="Arial"/>
          <w:sz w:val="22"/>
          <w:szCs w:val="22"/>
          <w:lang w:val="en-US"/>
        </w:rPr>
        <w:t xml:space="preserve">sidered earlier and therefore no data being collected on this aspect). By modifying a methodology, issued ratings base on a former methodology may be considered obsolete. </w:t>
      </w:r>
    </w:p>
    <w:p w:rsidR="00197D55" w:rsidRDefault="00197D55" w:rsidP="00197D55">
      <w:pPr>
        <w:spacing w:line="276" w:lineRule="auto"/>
        <w:jc w:val="both"/>
        <w:rPr>
          <w:rFonts w:cs="Arial"/>
          <w:sz w:val="22"/>
          <w:szCs w:val="22"/>
          <w:lang w:val="en-US"/>
        </w:rPr>
      </w:pPr>
    </w:p>
    <w:p w:rsidR="00197D55" w:rsidRPr="00585FB2" w:rsidRDefault="00197D55" w:rsidP="00197D55">
      <w:pPr>
        <w:spacing w:line="276" w:lineRule="auto"/>
        <w:jc w:val="both"/>
        <w:rPr>
          <w:rFonts w:cs="Arial"/>
          <w:sz w:val="22"/>
          <w:szCs w:val="22"/>
          <w:lang w:val="en-US"/>
        </w:rPr>
      </w:pPr>
      <w:r w:rsidRPr="00585FB2">
        <w:rPr>
          <w:rFonts w:cs="Arial"/>
          <w:sz w:val="22"/>
          <w:szCs w:val="22"/>
          <w:lang w:val="en-US"/>
        </w:rPr>
        <w:t>This Discussion Paper may lead to the issuance of a specific guidance to CRAs by ESMA, in line with the recent recommendation from the European Court of Auditors report on the EU Supervision of CRAs. Such guidance would be beneficial to CRAs in terms of outlining ESMAs expectations with regard to statistical methods, approaches, thresholds and potential further actions. We think that these options should be duly evaluated and considered by CRAs – but none of these can be made compulsory given the diversity of market segments covered by rating methodologies. Additionally, the list of proposed techniques should not be considered as exhaustive, as new techniques may be developed or other techniques may be used.</w:t>
      </w:r>
    </w:p>
    <w:p w:rsidR="00197D55" w:rsidRDefault="00197D55" w:rsidP="00197D55">
      <w:pPr>
        <w:spacing w:line="276" w:lineRule="auto"/>
        <w:jc w:val="both"/>
        <w:rPr>
          <w:rFonts w:cs="Arial"/>
          <w:sz w:val="22"/>
          <w:szCs w:val="22"/>
          <w:lang w:val="en-US"/>
        </w:rPr>
      </w:pPr>
    </w:p>
    <w:p w:rsidR="00197D55" w:rsidRPr="00585FB2" w:rsidRDefault="00197D55" w:rsidP="00197D55">
      <w:pPr>
        <w:spacing w:line="276" w:lineRule="auto"/>
        <w:jc w:val="both"/>
        <w:rPr>
          <w:rFonts w:cs="Arial"/>
          <w:sz w:val="22"/>
          <w:szCs w:val="22"/>
          <w:lang w:val="en-US"/>
        </w:rPr>
      </w:pPr>
      <w:r w:rsidRPr="00585FB2">
        <w:rPr>
          <w:rFonts w:cs="Arial"/>
          <w:sz w:val="22"/>
          <w:szCs w:val="22"/>
          <w:lang w:val="en-US"/>
        </w:rPr>
        <w:t>We remain at your full disposal for any clarification or further information</w:t>
      </w:r>
      <w:r>
        <w:rPr>
          <w:rFonts w:cs="Arial"/>
          <w:sz w:val="22"/>
          <w:szCs w:val="22"/>
          <w:lang w:val="en-US"/>
        </w:rPr>
        <w:t>.</w:t>
      </w:r>
    </w:p>
    <w:p w:rsidR="00197D55" w:rsidRPr="00585FB2" w:rsidRDefault="00197D55" w:rsidP="00197D55">
      <w:pPr>
        <w:spacing w:line="276" w:lineRule="auto"/>
        <w:jc w:val="both"/>
        <w:rPr>
          <w:rFonts w:cs="Arial"/>
          <w:sz w:val="22"/>
          <w:szCs w:val="22"/>
          <w:lang w:val="en-US"/>
        </w:rPr>
      </w:pPr>
    </w:p>
    <w:p w:rsidR="00197D55" w:rsidRPr="00585FB2" w:rsidRDefault="00197D55" w:rsidP="00197D55">
      <w:pPr>
        <w:spacing w:line="276" w:lineRule="auto"/>
        <w:jc w:val="both"/>
        <w:rPr>
          <w:rFonts w:cs="Arial"/>
          <w:sz w:val="22"/>
          <w:szCs w:val="22"/>
          <w:lang w:val="en-US"/>
        </w:rPr>
      </w:pPr>
      <w:r w:rsidRPr="00585FB2">
        <w:rPr>
          <w:rFonts w:cs="Arial"/>
          <w:sz w:val="22"/>
          <w:szCs w:val="22"/>
          <w:lang w:val="en-US"/>
        </w:rPr>
        <w:t>Thomas Missong</w:t>
      </w:r>
      <w:r w:rsidRPr="00585FB2">
        <w:rPr>
          <w:rFonts w:cs="Arial"/>
          <w:sz w:val="22"/>
          <w:szCs w:val="22"/>
          <w:lang w:val="en-US"/>
        </w:rPr>
        <w:tab/>
      </w:r>
      <w:r w:rsidRPr="00585FB2">
        <w:rPr>
          <w:rFonts w:cs="Arial"/>
          <w:sz w:val="22"/>
          <w:szCs w:val="22"/>
          <w:lang w:val="en-US"/>
        </w:rPr>
        <w:tab/>
        <w:t>Adolfo Estevez Beneyto</w:t>
      </w:r>
    </w:p>
    <w:p w:rsidR="00197D55" w:rsidRPr="00585FB2" w:rsidRDefault="00197D55" w:rsidP="00197D55">
      <w:pPr>
        <w:spacing w:line="276" w:lineRule="auto"/>
        <w:jc w:val="both"/>
        <w:rPr>
          <w:rFonts w:cs="Arial"/>
          <w:sz w:val="22"/>
          <w:szCs w:val="22"/>
          <w:lang w:val="en-US"/>
        </w:rPr>
      </w:pPr>
      <w:r w:rsidRPr="00585FB2">
        <w:rPr>
          <w:rFonts w:cs="Arial"/>
          <w:sz w:val="22"/>
          <w:szCs w:val="22"/>
          <w:lang w:val="en-US"/>
        </w:rPr>
        <w:t>EACRA President</w:t>
      </w:r>
      <w:r w:rsidRPr="00585FB2">
        <w:rPr>
          <w:rFonts w:cs="Arial"/>
          <w:sz w:val="22"/>
          <w:szCs w:val="22"/>
          <w:lang w:val="en-US"/>
        </w:rPr>
        <w:tab/>
      </w:r>
      <w:r w:rsidRPr="00585FB2">
        <w:rPr>
          <w:rFonts w:cs="Arial"/>
          <w:sz w:val="22"/>
          <w:szCs w:val="22"/>
          <w:lang w:val="en-US"/>
        </w:rPr>
        <w:tab/>
        <w:t>EACRA Secretary General</w:t>
      </w:r>
    </w:p>
    <w:p w:rsidR="001B2FC1" w:rsidRDefault="00197D55" w:rsidP="00296B26">
      <w:pPr>
        <w:spacing w:line="276" w:lineRule="auto"/>
        <w:jc w:val="both"/>
        <w:rPr>
          <w:lang w:val="en-US"/>
        </w:rPr>
      </w:pPr>
      <w:r w:rsidRPr="00585FB2">
        <w:rPr>
          <w:rFonts w:cs="Arial"/>
          <w:sz w:val="22"/>
          <w:szCs w:val="22"/>
          <w:lang w:val="en-US"/>
        </w:rPr>
        <w:t xml:space="preserve">On behalf of the following ESMA registered and certified CRAs: AM Best, ARC Ratings, Assekurata, </w:t>
      </w:r>
      <w:proofErr w:type="spellStart"/>
      <w:r w:rsidRPr="00585FB2">
        <w:rPr>
          <w:rFonts w:cs="Arial"/>
          <w:sz w:val="22"/>
          <w:szCs w:val="22"/>
          <w:lang w:val="en-US"/>
        </w:rPr>
        <w:t>Axesor</w:t>
      </w:r>
      <w:proofErr w:type="spellEnd"/>
      <w:r w:rsidRPr="00585FB2">
        <w:rPr>
          <w:rFonts w:cs="Arial"/>
          <w:sz w:val="22"/>
          <w:szCs w:val="22"/>
          <w:lang w:val="en-US"/>
        </w:rPr>
        <w:t xml:space="preserve">, Capital Intelligence, </w:t>
      </w:r>
      <w:proofErr w:type="spellStart"/>
      <w:r w:rsidRPr="00585FB2">
        <w:rPr>
          <w:rFonts w:cs="Arial"/>
          <w:sz w:val="22"/>
          <w:szCs w:val="22"/>
          <w:lang w:val="en-US"/>
        </w:rPr>
        <w:t>Cerved</w:t>
      </w:r>
      <w:proofErr w:type="spellEnd"/>
      <w:r w:rsidRPr="00585FB2">
        <w:rPr>
          <w:rFonts w:cs="Arial"/>
          <w:sz w:val="22"/>
          <w:szCs w:val="22"/>
          <w:lang w:val="en-US"/>
        </w:rPr>
        <w:t xml:space="preserve"> Rating Agency, </w:t>
      </w:r>
      <w:proofErr w:type="spellStart"/>
      <w:r w:rsidRPr="00585FB2">
        <w:rPr>
          <w:rFonts w:cs="Arial"/>
          <w:sz w:val="22"/>
          <w:szCs w:val="22"/>
          <w:lang w:val="en-US"/>
        </w:rPr>
        <w:t>Creditreform</w:t>
      </w:r>
      <w:proofErr w:type="spellEnd"/>
      <w:r w:rsidRPr="00585FB2">
        <w:rPr>
          <w:rFonts w:cs="Arial"/>
          <w:sz w:val="22"/>
          <w:szCs w:val="22"/>
          <w:lang w:val="en-US"/>
        </w:rPr>
        <w:t xml:space="preserve"> Rating, CRIF, </w:t>
      </w:r>
      <w:proofErr w:type="spellStart"/>
      <w:r w:rsidRPr="00585FB2">
        <w:rPr>
          <w:rFonts w:cs="Arial"/>
          <w:sz w:val="22"/>
          <w:szCs w:val="22"/>
          <w:lang w:val="en-US"/>
        </w:rPr>
        <w:t>Dagong</w:t>
      </w:r>
      <w:proofErr w:type="spellEnd"/>
      <w:r w:rsidRPr="00585FB2">
        <w:rPr>
          <w:rFonts w:cs="Arial"/>
          <w:sz w:val="22"/>
          <w:szCs w:val="22"/>
          <w:lang w:val="en-US"/>
        </w:rPr>
        <w:t xml:space="preserve"> Europe, Egan-Jones Ratings Company, Euler Hermes Rating, Kroll Bond Ratings and Scope Ratings.</w:t>
      </w:r>
      <w:r w:rsidR="001B2FC1">
        <w:rPr>
          <w:lang w:val="en-US"/>
        </w:rPr>
        <w:t xml:space="preserve"> </w:t>
      </w:r>
    </w:p>
    <w:permEnd w:id="0"/>
    <w:p w:rsidR="00D34282" w:rsidRPr="00C25863" w:rsidRDefault="00D34282" w:rsidP="00D34282">
      <w:r w:rsidRPr="00C25863">
        <w:t>&lt;</w:t>
      </w:r>
      <w:r w:rsidRPr="00D74C9D">
        <w:t xml:space="preserve"> </w:t>
      </w:r>
      <w:r>
        <w:t>ESMA_COMMENT</w:t>
      </w:r>
      <w:r w:rsidRPr="00C25863">
        <w:t>_</w:t>
      </w:r>
      <w:r w:rsidR="00F74386">
        <w:t>VR_CRA</w:t>
      </w:r>
      <w:r w:rsidRPr="00C25863">
        <w:t>_1&gt;</w:t>
      </w:r>
    </w:p>
    <w:p w:rsidR="005D31FE" w:rsidRDefault="00F32462" w:rsidP="005D31FE">
      <w:pPr>
        <w:pStyle w:val="QST"/>
        <w:numPr>
          <w:ilvl w:val="0"/>
          <w:numId w:val="50"/>
        </w:numPr>
      </w:pPr>
      <w:r>
        <w:rPr>
          <w:rFonts w:cs="Arial"/>
          <w:szCs w:val="22"/>
        </w:rPr>
        <w:br w:type="page"/>
      </w:r>
      <w:r w:rsidR="005D31FE">
        <w:rPr>
          <w:rFonts w:cs="Arial"/>
          <w:b w:val="0"/>
          <w:sz w:val="22"/>
          <w:szCs w:val="22"/>
        </w:rPr>
        <w:lastRenderedPageBreak/>
        <w:t xml:space="preserve"> </w:t>
      </w:r>
      <w:r w:rsidR="005D31FE" w:rsidRPr="00207C9E">
        <w:t xml:space="preserve">Do you agree </w:t>
      </w:r>
      <w:r w:rsidR="005D31FE">
        <w:t>with ESMA’s view regarding the discriminatory power of methodologies</w:t>
      </w:r>
      <w:r w:rsidR="005D31FE" w:rsidRPr="00207C9E">
        <w:t xml:space="preserve">? </w:t>
      </w:r>
    </w:p>
    <w:p w:rsidR="005D31FE" w:rsidRDefault="005D31FE" w:rsidP="005D31FE">
      <w:r>
        <w:t>&lt;ESMA_QUESTION_VR_CRA_1&gt;</w:t>
      </w:r>
    </w:p>
    <w:p w:rsidR="00197D55" w:rsidRPr="00585FB2" w:rsidRDefault="00197D55" w:rsidP="00197D55">
      <w:pPr>
        <w:spacing w:line="276" w:lineRule="auto"/>
        <w:jc w:val="both"/>
        <w:rPr>
          <w:rFonts w:cs="Arial"/>
          <w:sz w:val="22"/>
          <w:szCs w:val="22"/>
          <w:lang w:val="en-US"/>
        </w:rPr>
      </w:pPr>
      <w:permStart w:id="1" w:edGrp="everyone"/>
      <w:r w:rsidRPr="00585FB2">
        <w:rPr>
          <w:rFonts w:cs="Arial"/>
          <w:sz w:val="22"/>
          <w:szCs w:val="22"/>
          <w:lang w:val="en-US"/>
        </w:rPr>
        <w:t>We think that “the discriminatory power of a methodology relates to the ability to rank order the rated entities” creditworthiness using an established system of rating categories. A rating met</w:t>
      </w:r>
      <w:r w:rsidRPr="00585FB2">
        <w:rPr>
          <w:rFonts w:cs="Arial"/>
          <w:sz w:val="22"/>
          <w:szCs w:val="22"/>
          <w:lang w:val="en-US"/>
        </w:rPr>
        <w:t>h</w:t>
      </w:r>
      <w:r w:rsidRPr="00585FB2">
        <w:rPr>
          <w:rFonts w:cs="Arial"/>
          <w:sz w:val="22"/>
          <w:szCs w:val="22"/>
          <w:lang w:val="en-US"/>
        </w:rPr>
        <w:t>odology may therefore not be based solely on defaults events.</w:t>
      </w:r>
    </w:p>
    <w:p w:rsidR="00197D55" w:rsidRPr="00585FB2" w:rsidRDefault="00197D55" w:rsidP="00197D55">
      <w:pPr>
        <w:spacing w:line="276" w:lineRule="auto"/>
        <w:jc w:val="both"/>
        <w:rPr>
          <w:rFonts w:cs="Arial"/>
          <w:sz w:val="22"/>
          <w:szCs w:val="22"/>
          <w:lang w:val="en-US"/>
        </w:rPr>
      </w:pPr>
      <w:r w:rsidRPr="00585FB2">
        <w:rPr>
          <w:rFonts w:cs="Arial"/>
          <w:sz w:val="22"/>
          <w:szCs w:val="22"/>
          <w:lang w:val="en-US"/>
        </w:rPr>
        <w:t xml:space="preserve">As mentioned in our introduction, we think that the “sufficient quantitative evidence” case is rather the exemption than the rule.  </w:t>
      </w:r>
    </w:p>
    <w:p w:rsidR="00197D55" w:rsidRPr="00585FB2" w:rsidRDefault="00197D55" w:rsidP="00197D55">
      <w:pPr>
        <w:spacing w:line="276" w:lineRule="auto"/>
        <w:jc w:val="both"/>
        <w:rPr>
          <w:rFonts w:cs="Arial"/>
          <w:sz w:val="22"/>
          <w:szCs w:val="22"/>
          <w:lang w:val="en-US"/>
        </w:rPr>
      </w:pPr>
      <w:r w:rsidRPr="00585FB2">
        <w:rPr>
          <w:rFonts w:cs="Arial"/>
          <w:sz w:val="22"/>
          <w:szCs w:val="22"/>
          <w:lang w:val="en-US"/>
        </w:rPr>
        <w:t>With reference to §18 of the consultation, we note that ESMA considered that in some specific segment enough evidence was available to perform discriminatory tests, while one or more CRAs mentioned that this task was challenging. In case of such divergent views between ESMA and a CRA, we would welcome ESMA’s specific “technical advice” on how to address the qua</w:t>
      </w:r>
      <w:r w:rsidRPr="00585FB2">
        <w:rPr>
          <w:rFonts w:cs="Arial"/>
          <w:sz w:val="22"/>
          <w:szCs w:val="22"/>
          <w:lang w:val="en-US"/>
        </w:rPr>
        <w:t>n</w:t>
      </w:r>
      <w:r w:rsidRPr="00585FB2">
        <w:rPr>
          <w:rFonts w:cs="Arial"/>
          <w:sz w:val="22"/>
          <w:szCs w:val="22"/>
          <w:lang w:val="en-US"/>
        </w:rPr>
        <w:t>titative evidence. The identified approach should be proportionate to the scope of the rating methodology as well as to the usage of CRAs by market participants</w:t>
      </w:r>
      <w:r>
        <w:rPr>
          <w:rFonts w:cs="Arial"/>
          <w:sz w:val="22"/>
          <w:szCs w:val="22"/>
          <w:lang w:val="en-US"/>
        </w:rPr>
        <w:t>.</w:t>
      </w:r>
      <w:r w:rsidRPr="00585FB2">
        <w:rPr>
          <w:rFonts w:cs="Arial"/>
          <w:sz w:val="22"/>
          <w:szCs w:val="22"/>
          <w:lang w:val="en-US"/>
        </w:rPr>
        <w:t xml:space="preserve"> </w:t>
      </w:r>
    </w:p>
    <w:permEnd w:id="1"/>
    <w:p w:rsidR="005D31FE" w:rsidRDefault="005D31FE" w:rsidP="005D31FE">
      <w:r>
        <w:t>&lt;ESMA_QUESTION_VR_CRA_1&gt;</w:t>
      </w:r>
    </w:p>
    <w:p w:rsidR="005D31FE" w:rsidRDefault="005D31FE" w:rsidP="005D31FE"/>
    <w:p w:rsidR="005D31FE" w:rsidRDefault="005D31FE" w:rsidP="005D31FE">
      <w:pPr>
        <w:pStyle w:val="QST"/>
        <w:numPr>
          <w:ilvl w:val="0"/>
          <w:numId w:val="50"/>
        </w:numPr>
      </w:pPr>
      <w:r w:rsidRPr="005C3544">
        <w:t>Do you agree that the Accuracy Ratio, as derived from the CAP curve, is the minimum st</w:t>
      </w:r>
      <w:r w:rsidRPr="005C3544">
        <w:t>a</w:t>
      </w:r>
      <w:r w:rsidRPr="005C3544">
        <w:t>tistical measure that a CRA should use as part of its validation processes for demonstra</w:t>
      </w:r>
      <w:r w:rsidRPr="005C3544">
        <w:t>t</w:t>
      </w:r>
      <w:r w:rsidRPr="005C3544">
        <w:t xml:space="preserve">ing the discriminatory power of its methodologies? </w:t>
      </w:r>
    </w:p>
    <w:p w:rsidR="005D31FE" w:rsidRDefault="005D31FE" w:rsidP="005D31FE">
      <w:r>
        <w:t>&lt;ESMA_QUESTION_VR_CRA_2&gt;</w:t>
      </w:r>
    </w:p>
    <w:p w:rsidR="005D31FE" w:rsidRDefault="005D31FE" w:rsidP="005D31FE">
      <w:permStart w:id="2" w:edGrp="everyone"/>
      <w:r>
        <w:t>TYPE YOUR TEXT HERE</w:t>
      </w:r>
    </w:p>
    <w:permEnd w:id="2"/>
    <w:p w:rsidR="005D31FE" w:rsidRDefault="005D31FE" w:rsidP="005D31FE">
      <w:r>
        <w:t>&lt;ESMA_QUESTION_VR_CRA_2&gt;</w:t>
      </w:r>
    </w:p>
    <w:p w:rsidR="005D31FE" w:rsidRDefault="005D31FE" w:rsidP="005D31FE"/>
    <w:p w:rsidR="005D31FE" w:rsidRDefault="005D31FE" w:rsidP="005D31FE">
      <w:pPr>
        <w:pStyle w:val="QST"/>
        <w:numPr>
          <w:ilvl w:val="0"/>
          <w:numId w:val="50"/>
        </w:numPr>
      </w:pPr>
      <w:r>
        <w:t xml:space="preserve">Do you agree that complementary measures such as the </w:t>
      </w:r>
      <w:r w:rsidRPr="00207C9E">
        <w:t xml:space="preserve">Kolmogorov-Smirnov statistic </w:t>
      </w:r>
      <w:r>
        <w:t>and the ROC curve (along with a confusion matrix) add further information to the discrimin</w:t>
      </w:r>
      <w:r>
        <w:t>a</w:t>
      </w:r>
      <w:r>
        <w:t>tory power of methodologies? If not, please explain why.</w:t>
      </w:r>
    </w:p>
    <w:p w:rsidR="005D31FE" w:rsidRDefault="005D31FE" w:rsidP="005D31FE">
      <w:r>
        <w:t>&lt;ESMA_QUESTION_VR_CRA_3&gt;</w:t>
      </w:r>
    </w:p>
    <w:p w:rsidR="005D31FE" w:rsidRDefault="005D31FE" w:rsidP="005D31FE">
      <w:permStart w:id="3" w:edGrp="everyone"/>
      <w:r>
        <w:t>TYPE YOUR TEXT HERE</w:t>
      </w:r>
    </w:p>
    <w:permEnd w:id="3"/>
    <w:p w:rsidR="005D31FE" w:rsidRDefault="005D31FE" w:rsidP="005D31FE">
      <w:r>
        <w:t>&lt;ESMA_QUESTION_VR_CRA_3&gt;</w:t>
      </w:r>
    </w:p>
    <w:p w:rsidR="005D31FE" w:rsidRDefault="005D31FE" w:rsidP="005D31FE"/>
    <w:p w:rsidR="005D31FE" w:rsidRDefault="005D31FE" w:rsidP="005D31FE">
      <w:pPr>
        <w:pStyle w:val="QST"/>
        <w:numPr>
          <w:ilvl w:val="0"/>
          <w:numId w:val="50"/>
        </w:numPr>
      </w:pPr>
      <w:r w:rsidRPr="00616454">
        <w:t xml:space="preserve">Are there </w:t>
      </w:r>
      <w:r>
        <w:t>additional</w:t>
      </w:r>
      <w:r w:rsidRPr="00616454">
        <w:t xml:space="preserve"> </w:t>
      </w:r>
      <w:r>
        <w:t xml:space="preserve">quantitative </w:t>
      </w:r>
      <w:r w:rsidRPr="00616454">
        <w:t>measures th</w:t>
      </w:r>
      <w:r>
        <w:t>at CRAs should use and which would add fu</w:t>
      </w:r>
      <w:r>
        <w:t>r</w:t>
      </w:r>
      <w:r>
        <w:t>ther insight into the discriminatory power of methodologies</w:t>
      </w:r>
      <w:r w:rsidRPr="00616454">
        <w:t>?</w:t>
      </w:r>
      <w:r>
        <w:t xml:space="preserve"> If yes, please explain the measures and your rationale.</w:t>
      </w:r>
    </w:p>
    <w:p w:rsidR="005D31FE" w:rsidRDefault="005D31FE" w:rsidP="005D31FE">
      <w:r>
        <w:t>&lt;ESMA_QUESTION_VR_CRA_4&gt;</w:t>
      </w:r>
    </w:p>
    <w:p w:rsidR="005D31FE" w:rsidRDefault="005D31FE" w:rsidP="005D31FE">
      <w:permStart w:id="4" w:edGrp="everyone"/>
      <w:r>
        <w:t>TYPE YOUR TEXT HERE</w:t>
      </w:r>
    </w:p>
    <w:permEnd w:id="4"/>
    <w:p w:rsidR="005D31FE" w:rsidRDefault="005D31FE" w:rsidP="005D31FE">
      <w:r>
        <w:t>&lt;ESMA_QUESTION_VR_CRA_4&gt;</w:t>
      </w:r>
    </w:p>
    <w:p w:rsidR="005D31FE" w:rsidRDefault="005D31FE" w:rsidP="005D31FE"/>
    <w:p w:rsidR="005D31FE" w:rsidRDefault="005D31FE" w:rsidP="005D31FE">
      <w:pPr>
        <w:pStyle w:val="QST"/>
        <w:numPr>
          <w:ilvl w:val="0"/>
          <w:numId w:val="50"/>
        </w:numPr>
      </w:pPr>
      <w:r>
        <w:t xml:space="preserve">Are there qualitative measures that are appropriate for demonstrating the discriminatory power of methodologies? If yes, please explain the measures and your rationale. </w:t>
      </w:r>
    </w:p>
    <w:p w:rsidR="005D31FE" w:rsidRDefault="005D31FE" w:rsidP="005D31FE">
      <w:r>
        <w:t>&lt;ESMA_QUESTION_VR_CRA_5&gt;</w:t>
      </w:r>
    </w:p>
    <w:p w:rsidR="005D31FE" w:rsidRDefault="005D31FE" w:rsidP="005D31FE">
      <w:permStart w:id="5" w:edGrp="everyone"/>
      <w:r>
        <w:t>TYPE YOUR TEXT HERE</w:t>
      </w:r>
    </w:p>
    <w:permEnd w:id="5"/>
    <w:p w:rsidR="005D31FE" w:rsidRDefault="005D31FE" w:rsidP="005D31FE">
      <w:r>
        <w:t>&lt;ESMA_QUESTION_VR_CRA_5&gt;</w:t>
      </w:r>
    </w:p>
    <w:p w:rsidR="005D31FE" w:rsidRDefault="005D31FE" w:rsidP="005D31FE"/>
    <w:p w:rsidR="005D31FE" w:rsidRDefault="005D31FE" w:rsidP="005D31FE">
      <w:pPr>
        <w:pStyle w:val="QST"/>
        <w:numPr>
          <w:ilvl w:val="0"/>
          <w:numId w:val="50"/>
        </w:numPr>
      </w:pPr>
      <w:r w:rsidRPr="00207C9E">
        <w:t xml:space="preserve">Do you agree </w:t>
      </w:r>
      <w:r>
        <w:t>with ESMA’s view regarding the predictive power of methodologies</w:t>
      </w:r>
      <w:r w:rsidRPr="00207C9E">
        <w:t xml:space="preserve">? </w:t>
      </w:r>
    </w:p>
    <w:p w:rsidR="005D31FE" w:rsidRDefault="005D31FE" w:rsidP="005D31FE">
      <w:r>
        <w:t>&lt;ESMA_QUESTION_VR_CRA_6&gt;</w:t>
      </w:r>
    </w:p>
    <w:p w:rsidR="00197D55" w:rsidRPr="00585FB2" w:rsidRDefault="00197D55" w:rsidP="00197D55">
      <w:pPr>
        <w:spacing w:line="276" w:lineRule="auto"/>
        <w:jc w:val="both"/>
        <w:rPr>
          <w:rFonts w:cs="Arial"/>
          <w:sz w:val="22"/>
          <w:szCs w:val="22"/>
          <w:lang w:val="en-US"/>
        </w:rPr>
      </w:pPr>
      <w:permStart w:id="6" w:edGrp="everyone"/>
      <w:r w:rsidRPr="00585FB2">
        <w:rPr>
          <w:rFonts w:cs="Arial"/>
          <w:sz w:val="22"/>
          <w:szCs w:val="22"/>
          <w:lang w:val="en-US"/>
        </w:rPr>
        <w:lastRenderedPageBreak/>
        <w:t>With reference to §41 of the Discussion Paper, we think that ratings are usually ordinal measures of credit-risk. The ordinal nature of ratings means that ratings are being ranked rel</w:t>
      </w:r>
      <w:r w:rsidRPr="00585FB2">
        <w:rPr>
          <w:rFonts w:cs="Arial"/>
          <w:sz w:val="22"/>
          <w:szCs w:val="22"/>
          <w:lang w:val="en-US"/>
        </w:rPr>
        <w:t>a</w:t>
      </w:r>
      <w:r w:rsidRPr="00585FB2">
        <w:rPr>
          <w:rFonts w:cs="Arial"/>
          <w:sz w:val="22"/>
          <w:szCs w:val="22"/>
          <w:lang w:val="en-US"/>
        </w:rPr>
        <w:t>tive to each other and not against a pre-defined level of events (</w:t>
      </w:r>
      <w:proofErr w:type="spellStart"/>
      <w:r w:rsidRPr="00585FB2">
        <w:rPr>
          <w:rFonts w:cs="Arial"/>
          <w:sz w:val="22"/>
          <w:szCs w:val="22"/>
          <w:lang w:val="en-US"/>
        </w:rPr>
        <w:t>eg</w:t>
      </w:r>
      <w:proofErr w:type="spellEnd"/>
      <w:r w:rsidRPr="00585FB2">
        <w:rPr>
          <w:rFonts w:cs="Arial"/>
          <w:sz w:val="22"/>
          <w:szCs w:val="22"/>
          <w:lang w:val="en-US"/>
        </w:rPr>
        <w:t xml:space="preserve">. </w:t>
      </w:r>
      <w:proofErr w:type="gramStart"/>
      <w:r w:rsidRPr="00585FB2">
        <w:rPr>
          <w:rFonts w:cs="Arial"/>
          <w:sz w:val="22"/>
          <w:szCs w:val="22"/>
          <w:lang w:val="en-US"/>
        </w:rPr>
        <w:t>Probability of default).</w:t>
      </w:r>
      <w:proofErr w:type="gramEnd"/>
      <w:r w:rsidRPr="00585FB2">
        <w:rPr>
          <w:rFonts w:cs="Arial"/>
          <w:sz w:val="22"/>
          <w:szCs w:val="22"/>
          <w:lang w:val="en-US"/>
        </w:rPr>
        <w:t xml:space="preserve"> </w:t>
      </w:r>
    </w:p>
    <w:p w:rsidR="00197D55" w:rsidRPr="00585FB2" w:rsidRDefault="00197D55" w:rsidP="00197D55">
      <w:pPr>
        <w:spacing w:line="276" w:lineRule="auto"/>
        <w:jc w:val="both"/>
        <w:rPr>
          <w:rFonts w:cs="Arial"/>
          <w:sz w:val="22"/>
          <w:szCs w:val="22"/>
          <w:lang w:val="en-US"/>
        </w:rPr>
      </w:pPr>
      <w:r w:rsidRPr="00585FB2">
        <w:rPr>
          <w:rFonts w:cs="Arial"/>
          <w:sz w:val="22"/>
          <w:szCs w:val="22"/>
          <w:lang w:val="en-US"/>
        </w:rPr>
        <w:t>During the open hearing on January 25</w:t>
      </w:r>
      <w:r w:rsidRPr="00585FB2">
        <w:rPr>
          <w:rFonts w:cs="Arial"/>
          <w:sz w:val="22"/>
          <w:szCs w:val="22"/>
          <w:vertAlign w:val="superscript"/>
          <w:lang w:val="en-US"/>
        </w:rPr>
        <w:t>th</w:t>
      </w:r>
      <w:r w:rsidRPr="00585FB2">
        <w:rPr>
          <w:rFonts w:cs="Arial"/>
          <w:sz w:val="22"/>
          <w:szCs w:val="22"/>
          <w:lang w:val="en-US"/>
        </w:rPr>
        <w:t>, several CRAs mentioned that t</w:t>
      </w:r>
      <w:r>
        <w:rPr>
          <w:rFonts w:cs="Arial"/>
          <w:sz w:val="22"/>
          <w:szCs w:val="22"/>
          <w:lang w:val="en-US"/>
        </w:rPr>
        <w:t>y</w:t>
      </w:r>
      <w:r w:rsidRPr="00585FB2">
        <w:rPr>
          <w:rFonts w:cs="Arial"/>
          <w:sz w:val="22"/>
          <w:szCs w:val="22"/>
          <w:lang w:val="en-US"/>
        </w:rPr>
        <w:t>ing methodologies to specified levels of default may modify the nature of the rating product and may raise expect</w:t>
      </w:r>
      <w:r w:rsidRPr="00585FB2">
        <w:rPr>
          <w:rFonts w:cs="Arial"/>
          <w:sz w:val="22"/>
          <w:szCs w:val="22"/>
          <w:lang w:val="en-US"/>
        </w:rPr>
        <w:t>a</w:t>
      </w:r>
      <w:r w:rsidRPr="00585FB2">
        <w:rPr>
          <w:rFonts w:cs="Arial"/>
          <w:sz w:val="22"/>
          <w:szCs w:val="22"/>
          <w:lang w:val="en-US"/>
        </w:rPr>
        <w:t>tions from market participants regarding the specified levels.</w:t>
      </w:r>
    </w:p>
    <w:p w:rsidR="00876251" w:rsidRPr="00197D55" w:rsidRDefault="00197D55" w:rsidP="00197D55">
      <w:pPr>
        <w:spacing w:line="276" w:lineRule="auto"/>
        <w:jc w:val="both"/>
        <w:rPr>
          <w:rFonts w:cs="Arial"/>
          <w:sz w:val="22"/>
          <w:szCs w:val="22"/>
          <w:lang w:val="en-US"/>
        </w:rPr>
      </w:pPr>
      <w:r w:rsidRPr="00585FB2">
        <w:rPr>
          <w:rFonts w:cs="Arial"/>
          <w:sz w:val="22"/>
          <w:szCs w:val="22"/>
          <w:lang w:val="en-US"/>
        </w:rPr>
        <w:t>With reference to §44 of the Discussion Paper, ESMA argues that tiding methodologies to cr</w:t>
      </w:r>
      <w:r w:rsidRPr="00585FB2">
        <w:rPr>
          <w:rFonts w:cs="Arial"/>
          <w:sz w:val="22"/>
          <w:szCs w:val="22"/>
          <w:lang w:val="en-US"/>
        </w:rPr>
        <w:t>e</w:t>
      </w:r>
      <w:r w:rsidRPr="00585FB2">
        <w:rPr>
          <w:rFonts w:cs="Arial"/>
          <w:sz w:val="22"/>
          <w:szCs w:val="22"/>
          <w:lang w:val="en-US"/>
        </w:rPr>
        <w:t>ditworthiness-related expectations is based on the expectation of users of ratings and may feed into mapping of ECAI ratings. We instead think that ratings are a well established “product” known to financial market participants for several decades. We note that until recently the ma</w:t>
      </w:r>
      <w:r w:rsidRPr="00585FB2">
        <w:rPr>
          <w:rFonts w:cs="Arial"/>
          <w:sz w:val="22"/>
          <w:szCs w:val="22"/>
          <w:lang w:val="en-US"/>
        </w:rPr>
        <w:t>p</w:t>
      </w:r>
      <w:r w:rsidRPr="00585FB2">
        <w:rPr>
          <w:rFonts w:cs="Arial"/>
          <w:sz w:val="22"/>
          <w:szCs w:val="22"/>
          <w:lang w:val="en-US"/>
        </w:rPr>
        <w:t>pings were done on a highly pragmatic level: we note that the Capital Requirements Regulation (CRR) uses 6 credit quality steps under the Standardized Approach for Credit Risk and stress that the CRR itself does not define the probabilities of default associated with each credit quality step – only through the ITS on the mapping of ECAIs corporate ratings, such a correspondence table is being introduced. We think that the validation of a rating methodology should be sep</w:t>
      </w:r>
      <w:r w:rsidRPr="00585FB2">
        <w:rPr>
          <w:rFonts w:cs="Arial"/>
          <w:sz w:val="22"/>
          <w:szCs w:val="22"/>
          <w:lang w:val="en-US"/>
        </w:rPr>
        <w:t>a</w:t>
      </w:r>
      <w:r w:rsidRPr="00585FB2">
        <w:rPr>
          <w:rFonts w:cs="Arial"/>
          <w:sz w:val="22"/>
          <w:szCs w:val="22"/>
          <w:lang w:val="en-US"/>
        </w:rPr>
        <w:t>rated from the mapping of ECAI ratings as these two exercises’ have different objectives and targets</w:t>
      </w:r>
      <w:r w:rsidR="0058049B">
        <w:t xml:space="preserve">. </w:t>
      </w:r>
    </w:p>
    <w:permEnd w:id="6"/>
    <w:p w:rsidR="005D31FE" w:rsidRDefault="005D31FE" w:rsidP="005D31FE">
      <w:r>
        <w:t>&lt;ESMA_QUESTION_VR_CRA_6&gt;</w:t>
      </w:r>
    </w:p>
    <w:p w:rsidR="005D31FE" w:rsidRDefault="005D31FE" w:rsidP="005D31FE"/>
    <w:p w:rsidR="005D31FE" w:rsidRDefault="005D31FE" w:rsidP="005D31FE">
      <w:pPr>
        <w:pStyle w:val="QST"/>
        <w:numPr>
          <w:ilvl w:val="0"/>
          <w:numId w:val="50"/>
        </w:numPr>
      </w:pPr>
      <w:r>
        <w:t>Do you agree that statistical measures of predictive power increase the quality of valid</w:t>
      </w:r>
      <w:r>
        <w:t>a</w:t>
      </w:r>
      <w:r>
        <w:t xml:space="preserve">tion of CRAs methodologies and should be performed by the CRAs? </w:t>
      </w:r>
    </w:p>
    <w:p w:rsidR="005D31FE" w:rsidRDefault="005D31FE" w:rsidP="005D31FE">
      <w:r>
        <w:t>&lt;ESMA_QUESTION_VR_CRA_7&gt;</w:t>
      </w:r>
    </w:p>
    <w:p w:rsidR="00197D55" w:rsidRDefault="00197D55" w:rsidP="005D31FE">
      <w:pPr>
        <w:rPr>
          <w:rFonts w:cs="Arial"/>
          <w:sz w:val="22"/>
          <w:szCs w:val="22"/>
          <w:lang w:val="en-US"/>
        </w:rPr>
      </w:pPr>
      <w:permStart w:id="7" w:edGrp="everyone"/>
      <w:r w:rsidRPr="00585FB2">
        <w:rPr>
          <w:rFonts w:cs="Arial"/>
          <w:sz w:val="22"/>
          <w:szCs w:val="22"/>
          <w:lang w:val="en-US"/>
        </w:rPr>
        <w:t xml:space="preserve">We think that such test should be applied only where a rating methodologies specifically targets probabilities of default. </w:t>
      </w:r>
    </w:p>
    <w:permEnd w:id="7"/>
    <w:p w:rsidR="005D31FE" w:rsidRDefault="005D31FE" w:rsidP="005D31FE">
      <w:r>
        <w:t>&lt;ESMA_QUESTION_VR_CRA_7&gt;</w:t>
      </w:r>
    </w:p>
    <w:p w:rsidR="005D31FE" w:rsidRDefault="005D31FE" w:rsidP="005D31FE"/>
    <w:p w:rsidR="005D31FE" w:rsidRDefault="005D31FE" w:rsidP="005D31FE">
      <w:pPr>
        <w:pStyle w:val="QST"/>
        <w:numPr>
          <w:ilvl w:val="0"/>
          <w:numId w:val="50"/>
        </w:numPr>
      </w:pPr>
      <w:r w:rsidRPr="007732A7">
        <w:t xml:space="preserve">Do you agree that the </w:t>
      </w:r>
      <w:r>
        <w:t>binomial and the chi-square tests are</w:t>
      </w:r>
      <w:r w:rsidRPr="007732A7">
        <w:t xml:space="preserve"> the minimum statistical mea</w:t>
      </w:r>
      <w:r w:rsidRPr="007732A7">
        <w:t>s</w:t>
      </w:r>
      <w:r w:rsidRPr="007732A7">
        <w:t>ure</w:t>
      </w:r>
      <w:r>
        <w:t>s</w:t>
      </w:r>
      <w:r w:rsidRPr="007732A7">
        <w:t xml:space="preserve"> that a CRA </w:t>
      </w:r>
      <w:r>
        <w:t xml:space="preserve">(when its ratings refer to default probabilities) </w:t>
      </w:r>
      <w:r w:rsidRPr="007732A7">
        <w:t xml:space="preserve">should use as part of its validation processes for demonstrating the </w:t>
      </w:r>
      <w:r>
        <w:t>predictive</w:t>
      </w:r>
      <w:r w:rsidRPr="007732A7">
        <w:t xml:space="preserve"> power of its methodologies? </w:t>
      </w:r>
    </w:p>
    <w:p w:rsidR="005D31FE" w:rsidRDefault="005D31FE" w:rsidP="005D31FE"/>
    <w:p w:rsidR="005D31FE" w:rsidRDefault="005D31FE" w:rsidP="005D31FE">
      <w:r>
        <w:t>&lt;ESMA_QUESTION_VR_CRA_8&gt;</w:t>
      </w:r>
    </w:p>
    <w:p w:rsidR="005D31FE" w:rsidRDefault="005D31FE" w:rsidP="005D31FE">
      <w:permStart w:id="8" w:edGrp="everyone"/>
      <w:r>
        <w:t>TYPE YOUR TEXT HERE</w:t>
      </w:r>
    </w:p>
    <w:permEnd w:id="8"/>
    <w:p w:rsidR="005D31FE" w:rsidRDefault="005D31FE" w:rsidP="005D31FE">
      <w:r>
        <w:t>&lt;ESMA_QUESTION_VR_CRA_8&gt;</w:t>
      </w:r>
    </w:p>
    <w:p w:rsidR="005D31FE" w:rsidRDefault="005D31FE" w:rsidP="005D31FE"/>
    <w:p w:rsidR="005D31FE" w:rsidRDefault="005D31FE" w:rsidP="005D31FE">
      <w:pPr>
        <w:pStyle w:val="QST"/>
        <w:numPr>
          <w:ilvl w:val="0"/>
          <w:numId w:val="50"/>
        </w:numPr>
      </w:pPr>
      <w:r>
        <w:t>Do you agree that complementary measures such as the Brier score</w:t>
      </w:r>
      <w:r w:rsidRPr="00207C9E">
        <w:t xml:space="preserve"> </w:t>
      </w:r>
      <w:r>
        <w:t>and the Vasicek one-factor model test add further information to the predictive power of methodologies (when the CRAs’ ratings refer to default probabilities)? If not, please explain why.</w:t>
      </w:r>
    </w:p>
    <w:p w:rsidR="005D31FE" w:rsidRDefault="005D31FE" w:rsidP="005D31FE">
      <w:r>
        <w:t>&lt;ESMA_QUESTION_VR_CRA_9&gt;</w:t>
      </w:r>
    </w:p>
    <w:p w:rsidR="005D31FE" w:rsidRDefault="005D31FE" w:rsidP="005D31FE">
      <w:permStart w:id="9" w:edGrp="everyone"/>
      <w:r>
        <w:t>TYPE YOUR TEXT HERE</w:t>
      </w:r>
    </w:p>
    <w:permEnd w:id="9"/>
    <w:p w:rsidR="005D31FE" w:rsidRDefault="005D31FE" w:rsidP="005D31FE">
      <w:r>
        <w:t>&lt;ESMA_QUESTION_VR_CRA_9&gt;</w:t>
      </w:r>
    </w:p>
    <w:p w:rsidR="005D31FE" w:rsidRDefault="005D31FE" w:rsidP="005D31FE"/>
    <w:p w:rsidR="005D31FE" w:rsidRDefault="005D31FE" w:rsidP="005D31FE">
      <w:pPr>
        <w:pStyle w:val="QST"/>
        <w:numPr>
          <w:ilvl w:val="0"/>
          <w:numId w:val="50"/>
        </w:numPr>
      </w:pPr>
      <w:r w:rsidRPr="00616454">
        <w:t>Are there</w:t>
      </w:r>
      <w:r>
        <w:t xml:space="preserve"> additional</w:t>
      </w:r>
      <w:r w:rsidRPr="00616454">
        <w:t xml:space="preserve"> measures that </w:t>
      </w:r>
      <w:r>
        <w:t>CRAs should use</w:t>
      </w:r>
      <w:r w:rsidRPr="00616454">
        <w:t xml:space="preserve"> </w:t>
      </w:r>
      <w:r>
        <w:t>and which would add further insight into the predictive power of methodologies when the CRAs’ ratings refer to default pro</w:t>
      </w:r>
      <w:r>
        <w:t>b</w:t>
      </w:r>
      <w:r>
        <w:t>abilities</w:t>
      </w:r>
      <w:r w:rsidRPr="00616454">
        <w:t>?</w:t>
      </w:r>
      <w:r>
        <w:t xml:space="preserve"> If yes, please explain the measures and your rationale.</w:t>
      </w:r>
    </w:p>
    <w:p w:rsidR="005D31FE" w:rsidRDefault="005D31FE" w:rsidP="005D31FE">
      <w:r>
        <w:t>&lt;ESMA_QUESTION_VR_CRA_10&gt;</w:t>
      </w:r>
    </w:p>
    <w:p w:rsidR="005D31FE" w:rsidRDefault="005D31FE" w:rsidP="005D31FE">
      <w:permStart w:id="10" w:edGrp="everyone"/>
      <w:r>
        <w:t>TYPE YOUR TEXT HERE</w:t>
      </w:r>
    </w:p>
    <w:permEnd w:id="10"/>
    <w:p w:rsidR="005D31FE" w:rsidRDefault="005D31FE" w:rsidP="005D31FE">
      <w:r>
        <w:t>&lt;ESMA_QUESTION_VR_CRA_10&gt;</w:t>
      </w:r>
    </w:p>
    <w:p w:rsidR="005D31FE" w:rsidRDefault="005D31FE" w:rsidP="005D31FE"/>
    <w:p w:rsidR="005D31FE" w:rsidRDefault="005D31FE" w:rsidP="005D31FE">
      <w:pPr>
        <w:pStyle w:val="QST"/>
        <w:numPr>
          <w:ilvl w:val="0"/>
          <w:numId w:val="50"/>
        </w:numPr>
      </w:pPr>
      <w:r>
        <w:t>Are there qualitative measures that are appropriate for demonstrating the predictive power of methodologies when the CRAs’ ratings refer to default probabilities? If yes, please e</w:t>
      </w:r>
      <w:r>
        <w:t>x</w:t>
      </w:r>
      <w:r>
        <w:t xml:space="preserve">plain the measures and your rationale. </w:t>
      </w:r>
    </w:p>
    <w:p w:rsidR="005D31FE" w:rsidRDefault="005D31FE" w:rsidP="005D31FE">
      <w:r>
        <w:t>&lt;ESMA_QUESTION_VR_CRA_11&gt;</w:t>
      </w:r>
    </w:p>
    <w:p w:rsidR="005D31FE" w:rsidRDefault="005D31FE" w:rsidP="005D31FE">
      <w:permStart w:id="11" w:edGrp="everyone"/>
      <w:r>
        <w:t>TYPE YOUR TEXT HERE</w:t>
      </w:r>
    </w:p>
    <w:permEnd w:id="11"/>
    <w:p w:rsidR="005D31FE" w:rsidRDefault="005D31FE" w:rsidP="005D31FE">
      <w:r>
        <w:t>&lt;ESMA_QUESTION_VR_CRA_11&gt;</w:t>
      </w:r>
    </w:p>
    <w:p w:rsidR="005D31FE" w:rsidRDefault="005D31FE" w:rsidP="005D31FE"/>
    <w:p w:rsidR="005D31FE" w:rsidRDefault="005D31FE" w:rsidP="005D31FE">
      <w:pPr>
        <w:pStyle w:val="QST"/>
        <w:numPr>
          <w:ilvl w:val="0"/>
          <w:numId w:val="50"/>
        </w:numPr>
      </w:pPr>
      <w:r>
        <w:t>Do you agree that CRAs using methodologies related to creditworthiness measures</w:t>
      </w:r>
      <w:r w:rsidDel="00B96E2B">
        <w:t xml:space="preserve"> </w:t>
      </w:r>
      <w:r>
        <w:t>other than default probabilities should use</w:t>
      </w:r>
      <w:r w:rsidDel="00B96E2B">
        <w:t xml:space="preserve"> </w:t>
      </w:r>
      <w:r>
        <w:t>statistical measures to demonstrate the predictive power of their methodologies? If yes, please state the potential creditworthiness measures that methodologies could relate to and the corresponding statistical measures as well as any appropriate qualitative measures.</w:t>
      </w:r>
    </w:p>
    <w:p w:rsidR="005D31FE" w:rsidRDefault="005D31FE" w:rsidP="005D31FE">
      <w:r>
        <w:t>&lt;ESMA_QUESTION_VR_CRA_12&gt;</w:t>
      </w:r>
    </w:p>
    <w:p w:rsidR="005D31FE" w:rsidRDefault="005D31FE" w:rsidP="005D31FE">
      <w:permStart w:id="12" w:edGrp="everyone"/>
      <w:r>
        <w:t>TYPE YOUR TEXT HERE</w:t>
      </w:r>
    </w:p>
    <w:permEnd w:id="12"/>
    <w:p w:rsidR="005D31FE" w:rsidRDefault="005D31FE" w:rsidP="005D31FE">
      <w:r>
        <w:t>&lt;ESMA_QUESTION_VR_CRA_12&gt;</w:t>
      </w:r>
    </w:p>
    <w:p w:rsidR="005D31FE" w:rsidRDefault="005D31FE" w:rsidP="005D31FE"/>
    <w:p w:rsidR="005D31FE" w:rsidRDefault="005D31FE" w:rsidP="005D31FE">
      <w:pPr>
        <w:pStyle w:val="QST"/>
        <w:numPr>
          <w:ilvl w:val="0"/>
          <w:numId w:val="50"/>
        </w:numPr>
      </w:pPr>
      <w:r>
        <w:t xml:space="preserve">If ESMA </w:t>
      </w:r>
      <w:r w:rsidRPr="001F48CA">
        <w:t>establish</w:t>
      </w:r>
      <w:r>
        <w:t>es</w:t>
      </w:r>
      <w:r w:rsidRPr="001F48CA">
        <w:t xml:space="preserve"> </w:t>
      </w:r>
      <w:r>
        <w:t xml:space="preserve">that </w:t>
      </w:r>
      <w:r w:rsidRPr="001F48CA">
        <w:t>there is a need for further guidance to the industry</w:t>
      </w:r>
      <w:r>
        <w:t>, should this guidance also cover the demonstration of predictive power of methodologies related to creditworthiness measures</w:t>
      </w:r>
      <w:r w:rsidDel="00B96E2B">
        <w:t xml:space="preserve"> </w:t>
      </w:r>
      <w:r>
        <w:t>other than default probabilities?</w:t>
      </w:r>
    </w:p>
    <w:p w:rsidR="005D31FE" w:rsidRDefault="005D31FE" w:rsidP="005D31FE">
      <w:r>
        <w:t>&lt;ESMA_QUESTION_VR_CRA_13&gt;</w:t>
      </w:r>
    </w:p>
    <w:p w:rsidR="00197D55" w:rsidRPr="00585FB2" w:rsidRDefault="00197D55" w:rsidP="00197D55">
      <w:pPr>
        <w:spacing w:line="276" w:lineRule="auto"/>
        <w:jc w:val="both"/>
        <w:rPr>
          <w:rFonts w:cs="Arial"/>
          <w:sz w:val="22"/>
          <w:szCs w:val="22"/>
          <w:lang w:val="en-US"/>
        </w:rPr>
      </w:pPr>
      <w:permStart w:id="13" w:edGrp="everyone"/>
      <w:r w:rsidRPr="00585FB2">
        <w:rPr>
          <w:rFonts w:cs="Arial"/>
          <w:sz w:val="22"/>
          <w:szCs w:val="22"/>
          <w:lang w:val="en-US"/>
        </w:rPr>
        <w:t>We welcome this Discussion Paper on the validation of rating methodologies as it shares ESMAs findings and outlines potential approaches. We think that this “catalogue” of approaches should be considered by CRAs in the process of the validation of rating methodologies. In view of the variety of market segments and the overall limited quantitative evidence, we think that the intended guidance should remain flexible in nature.</w:t>
      </w:r>
    </w:p>
    <w:permEnd w:id="13"/>
    <w:p w:rsidR="005D31FE" w:rsidRDefault="005D31FE" w:rsidP="005D31FE">
      <w:r>
        <w:t>&lt;ESMA_QUESTION_VR_CRA_13&gt;</w:t>
      </w:r>
    </w:p>
    <w:p w:rsidR="005D31FE" w:rsidRDefault="005D31FE" w:rsidP="005D31FE"/>
    <w:p w:rsidR="005D31FE" w:rsidRDefault="005D31FE" w:rsidP="005D31FE">
      <w:pPr>
        <w:pStyle w:val="QST"/>
        <w:numPr>
          <w:ilvl w:val="0"/>
          <w:numId w:val="50"/>
        </w:numPr>
      </w:pPr>
      <w:r w:rsidRPr="00207C9E">
        <w:t xml:space="preserve">Do you agree </w:t>
      </w:r>
      <w:r>
        <w:t>with ESMA’s view regarding the historical robustness of methodologies</w:t>
      </w:r>
      <w:r w:rsidRPr="00207C9E">
        <w:t xml:space="preserve">? </w:t>
      </w:r>
    </w:p>
    <w:p w:rsidR="005D31FE" w:rsidRDefault="005D31FE" w:rsidP="005D31FE">
      <w:r>
        <w:t>&lt;ESMA_QUESTION_VR_CRA_14&gt;</w:t>
      </w:r>
    </w:p>
    <w:p w:rsidR="009C2FCC" w:rsidRDefault="00197D55" w:rsidP="00197D55">
      <w:pPr>
        <w:spacing w:line="276" w:lineRule="auto"/>
        <w:jc w:val="both"/>
      </w:pPr>
      <w:permStart w:id="14" w:edGrp="everyone"/>
      <w:r w:rsidRPr="00585FB2">
        <w:rPr>
          <w:rFonts w:cs="Arial"/>
          <w:sz w:val="22"/>
          <w:szCs w:val="22"/>
          <w:lang w:val="en-US"/>
        </w:rPr>
        <w:t xml:space="preserve">We are of the opinion that historical robustness measures should be applied carefully when the rating portfolio has a lower number of observations </w:t>
      </w:r>
      <w:r>
        <w:rPr>
          <w:rFonts w:cs="Arial"/>
          <w:sz w:val="22"/>
          <w:szCs w:val="22"/>
          <w:lang w:val="en-US"/>
        </w:rPr>
        <w:t xml:space="preserve">- </w:t>
      </w:r>
      <w:r w:rsidRPr="00585FB2">
        <w:rPr>
          <w:rFonts w:cs="Arial"/>
          <w:sz w:val="22"/>
          <w:szCs w:val="22"/>
          <w:lang w:val="en-US"/>
        </w:rPr>
        <w:t xml:space="preserve">calculating transition matrixes on the basis of </w:t>
      </w:r>
      <w:proofErr w:type="spellStart"/>
      <w:r w:rsidRPr="00585FB2">
        <w:rPr>
          <w:rFonts w:cs="Arial"/>
          <w:sz w:val="22"/>
          <w:szCs w:val="22"/>
          <w:lang w:val="en-US"/>
        </w:rPr>
        <w:t>eg</w:t>
      </w:r>
      <w:proofErr w:type="spellEnd"/>
      <w:r w:rsidRPr="00585FB2">
        <w:rPr>
          <w:rFonts w:cs="Arial"/>
          <w:sz w:val="22"/>
          <w:szCs w:val="22"/>
          <w:lang w:val="en-US"/>
        </w:rPr>
        <w:t xml:space="preserve">. 5 ratings don’t derive any </w:t>
      </w:r>
      <w:proofErr w:type="spellStart"/>
      <w:r w:rsidRPr="00585FB2">
        <w:rPr>
          <w:rFonts w:cs="Arial"/>
          <w:sz w:val="22"/>
          <w:szCs w:val="22"/>
          <w:lang w:val="en-US"/>
        </w:rPr>
        <w:t>meaningfull</w:t>
      </w:r>
      <w:proofErr w:type="spellEnd"/>
      <w:r w:rsidRPr="00585FB2">
        <w:rPr>
          <w:rFonts w:cs="Arial"/>
          <w:sz w:val="22"/>
          <w:szCs w:val="22"/>
          <w:lang w:val="en-US"/>
        </w:rPr>
        <w:t xml:space="preserve"> statistical information and may be misguiding</w:t>
      </w:r>
      <w:r w:rsidR="009C2FCC">
        <w:t>.</w:t>
      </w:r>
    </w:p>
    <w:permEnd w:id="14"/>
    <w:p w:rsidR="005D31FE" w:rsidRDefault="005D31FE" w:rsidP="005D31FE">
      <w:r>
        <w:t>&lt;ESMA_QUESTION_VR_CRA_14&gt;</w:t>
      </w:r>
    </w:p>
    <w:p w:rsidR="005D31FE" w:rsidRDefault="005D31FE" w:rsidP="005D31FE">
      <w:pPr>
        <w:pStyle w:val="QST"/>
        <w:numPr>
          <w:ilvl w:val="0"/>
          <w:numId w:val="50"/>
        </w:numPr>
      </w:pPr>
      <w:r w:rsidRPr="007732A7">
        <w:t xml:space="preserve">Do you agree that </w:t>
      </w:r>
      <w:r>
        <w:t>stability statistical measures and the transition (migration) matrices are</w:t>
      </w:r>
      <w:r w:rsidRPr="007732A7">
        <w:t xml:space="preserve"> the minimum measure</w:t>
      </w:r>
      <w:r>
        <w:t>s</w:t>
      </w:r>
      <w:r w:rsidRPr="007732A7">
        <w:t xml:space="preserve"> that a CRA should use as part of its validation processes for de</w:t>
      </w:r>
      <w:r w:rsidRPr="007732A7">
        <w:t>m</w:t>
      </w:r>
      <w:r w:rsidRPr="007732A7">
        <w:t xml:space="preserve">onstrating the </w:t>
      </w:r>
      <w:r>
        <w:t>historical robustness</w:t>
      </w:r>
      <w:r w:rsidRPr="007732A7">
        <w:t xml:space="preserve"> of its methodologies? </w:t>
      </w:r>
    </w:p>
    <w:p w:rsidR="005D31FE" w:rsidRDefault="005D31FE" w:rsidP="005D31FE">
      <w:r>
        <w:t>&lt;ESMA_QUESTION_VR_CRA_15&gt;</w:t>
      </w:r>
    </w:p>
    <w:p w:rsidR="005D31FE" w:rsidRDefault="005D31FE" w:rsidP="005D31FE">
      <w:permStart w:id="15" w:edGrp="everyone"/>
      <w:r>
        <w:t>TYPE YOUR TEXT HERE</w:t>
      </w:r>
    </w:p>
    <w:permEnd w:id="15"/>
    <w:p w:rsidR="005D31FE" w:rsidRDefault="005D31FE" w:rsidP="005D31FE">
      <w:r>
        <w:t>&lt;ESMA_QUESTION_VR_CRA_15&gt;</w:t>
      </w:r>
    </w:p>
    <w:p w:rsidR="005D31FE" w:rsidRDefault="005D31FE" w:rsidP="005D31FE"/>
    <w:p w:rsidR="005D31FE" w:rsidRDefault="005D31FE" w:rsidP="005D31FE">
      <w:pPr>
        <w:pStyle w:val="QST"/>
        <w:numPr>
          <w:ilvl w:val="0"/>
          <w:numId w:val="50"/>
        </w:numPr>
      </w:pPr>
      <w:r>
        <w:t>Do you agree that complementary measures such as distribution analysis, the univariate analysis</w:t>
      </w:r>
      <w:r w:rsidRPr="00207C9E">
        <w:t xml:space="preserve"> </w:t>
      </w:r>
      <w:r>
        <w:t>of rating determinants and benchmarking add further information to the historical robustness</w:t>
      </w:r>
      <w:r w:rsidRPr="007732A7">
        <w:t xml:space="preserve"> </w:t>
      </w:r>
      <w:r>
        <w:t>of methodologies? If not, please explain why.</w:t>
      </w:r>
    </w:p>
    <w:p w:rsidR="005D31FE" w:rsidRDefault="005D31FE" w:rsidP="005D31FE">
      <w:r>
        <w:t>&lt;ESMA_QUESTION_VR_CRA_16&gt;</w:t>
      </w:r>
    </w:p>
    <w:p w:rsidR="005D31FE" w:rsidRDefault="005D31FE" w:rsidP="005D31FE">
      <w:permStart w:id="16" w:edGrp="everyone"/>
      <w:r>
        <w:t>TYPE YOUR TEXT HERE</w:t>
      </w:r>
    </w:p>
    <w:permEnd w:id="16"/>
    <w:p w:rsidR="005D31FE" w:rsidRDefault="005D31FE" w:rsidP="005D31FE">
      <w:r>
        <w:lastRenderedPageBreak/>
        <w:t>&lt;ESMA_QUESTION_VR_CRA_16&gt;</w:t>
      </w:r>
    </w:p>
    <w:p w:rsidR="005D31FE" w:rsidRDefault="005D31FE" w:rsidP="005D31FE"/>
    <w:p w:rsidR="005D31FE" w:rsidRDefault="005D31FE" w:rsidP="005D31FE">
      <w:pPr>
        <w:pStyle w:val="QST"/>
        <w:numPr>
          <w:ilvl w:val="0"/>
          <w:numId w:val="50"/>
        </w:numPr>
      </w:pPr>
      <w:r w:rsidRPr="00616454">
        <w:t xml:space="preserve">Are there </w:t>
      </w:r>
      <w:r>
        <w:t>additional</w:t>
      </w:r>
      <w:r w:rsidRPr="00616454">
        <w:t xml:space="preserve"> measures </w:t>
      </w:r>
      <w:r>
        <w:t xml:space="preserve">(qualitative or quantitative) </w:t>
      </w:r>
      <w:r w:rsidRPr="00616454">
        <w:t>th</w:t>
      </w:r>
      <w:r>
        <w:t>at CRAs should use</w:t>
      </w:r>
      <w:r w:rsidRPr="00616454">
        <w:t xml:space="preserve"> </w:t>
      </w:r>
      <w:r>
        <w:t>and which would add further insight into the historical robustness</w:t>
      </w:r>
      <w:r w:rsidRPr="007732A7">
        <w:t xml:space="preserve"> </w:t>
      </w:r>
      <w:r>
        <w:t>of methodologies</w:t>
      </w:r>
      <w:r w:rsidRPr="00616454">
        <w:t>?</w:t>
      </w:r>
      <w:r>
        <w:t xml:space="preserve"> If yes, please explain the measures and your rationale.</w:t>
      </w:r>
    </w:p>
    <w:p w:rsidR="005D31FE" w:rsidRDefault="005D31FE" w:rsidP="005D31FE">
      <w:r>
        <w:t>&lt;ESMA_QUESTION_VR_CRA_17&gt;</w:t>
      </w:r>
    </w:p>
    <w:p w:rsidR="005D31FE" w:rsidRDefault="005D31FE" w:rsidP="005D31FE">
      <w:permStart w:id="17" w:edGrp="everyone"/>
      <w:r>
        <w:t>TYPE YOUR TEXT HERE</w:t>
      </w:r>
    </w:p>
    <w:permEnd w:id="17"/>
    <w:p w:rsidR="005D31FE" w:rsidRDefault="005D31FE" w:rsidP="005D31FE">
      <w:r>
        <w:t>&lt;ESMA_QUESTION_VR_CRA_17&gt;</w:t>
      </w:r>
    </w:p>
    <w:p w:rsidR="005D31FE" w:rsidRDefault="005D31FE" w:rsidP="005D31FE"/>
    <w:p w:rsidR="005D31FE" w:rsidRDefault="005D31FE" w:rsidP="005D31FE">
      <w:pPr>
        <w:pStyle w:val="QST"/>
        <w:numPr>
          <w:ilvl w:val="0"/>
          <w:numId w:val="50"/>
        </w:numPr>
      </w:pPr>
      <w:r w:rsidRPr="00207C9E">
        <w:t xml:space="preserve">Do you agree </w:t>
      </w:r>
      <w:r>
        <w:t>with ESMA’s view regarding the validation of methodologies with limited quantitative evidence</w:t>
      </w:r>
      <w:r w:rsidRPr="00207C9E">
        <w:t xml:space="preserve">? </w:t>
      </w:r>
    </w:p>
    <w:p w:rsidR="005D31FE" w:rsidRDefault="005D31FE" w:rsidP="005D31FE">
      <w:r>
        <w:t>&lt;ESMA_QUESTION_VR_CRA_18&gt;</w:t>
      </w:r>
    </w:p>
    <w:p w:rsidR="00197D55" w:rsidRPr="00585FB2" w:rsidRDefault="00197D55" w:rsidP="00197D55">
      <w:pPr>
        <w:spacing w:line="276" w:lineRule="auto"/>
        <w:jc w:val="both"/>
        <w:rPr>
          <w:rFonts w:cs="Arial"/>
          <w:sz w:val="22"/>
          <w:szCs w:val="22"/>
          <w:lang w:val="en-US"/>
        </w:rPr>
      </w:pPr>
      <w:permStart w:id="18" w:edGrp="everyone"/>
      <w:r w:rsidRPr="00585FB2">
        <w:rPr>
          <w:rFonts w:cs="Arial"/>
          <w:sz w:val="22"/>
          <w:szCs w:val="22"/>
          <w:lang w:val="en-US"/>
        </w:rPr>
        <w:t>With reference to § 54 of the Discussion Paper, we agree with ESMA that CRAs should esta</w:t>
      </w:r>
      <w:r w:rsidRPr="00585FB2">
        <w:rPr>
          <w:rFonts w:cs="Arial"/>
          <w:sz w:val="22"/>
          <w:szCs w:val="22"/>
          <w:lang w:val="en-US"/>
        </w:rPr>
        <w:t>b</w:t>
      </w:r>
      <w:r w:rsidRPr="00585FB2">
        <w:rPr>
          <w:rFonts w:cs="Arial"/>
          <w:sz w:val="22"/>
          <w:szCs w:val="22"/>
          <w:lang w:val="en-US"/>
        </w:rPr>
        <w:t xml:space="preserve">lish internal guidelines regarding the validation of rating methodologies and whether these should be done under Article 7 of the RTS on rating methodologies or rather under Article 8 of that RTS. Such internal guidelines could take into account </w:t>
      </w:r>
      <w:proofErr w:type="spellStart"/>
      <w:r w:rsidRPr="00585FB2">
        <w:rPr>
          <w:rFonts w:cs="Arial"/>
          <w:sz w:val="22"/>
          <w:szCs w:val="22"/>
          <w:lang w:val="en-US"/>
        </w:rPr>
        <w:t>a.o</w:t>
      </w:r>
      <w:proofErr w:type="spellEnd"/>
      <w:r w:rsidRPr="00585FB2">
        <w:rPr>
          <w:rFonts w:cs="Arial"/>
          <w:sz w:val="22"/>
          <w:szCs w:val="22"/>
          <w:lang w:val="en-US"/>
        </w:rPr>
        <w:t>. the number of default observ</w:t>
      </w:r>
      <w:r w:rsidRPr="00585FB2">
        <w:rPr>
          <w:rFonts w:cs="Arial"/>
          <w:sz w:val="22"/>
          <w:szCs w:val="22"/>
          <w:lang w:val="en-US"/>
        </w:rPr>
        <w:t>a</w:t>
      </w:r>
      <w:r w:rsidRPr="00585FB2">
        <w:rPr>
          <w:rFonts w:cs="Arial"/>
          <w:sz w:val="22"/>
          <w:szCs w:val="22"/>
          <w:lang w:val="en-US"/>
        </w:rPr>
        <w:t>tions.</w:t>
      </w:r>
    </w:p>
    <w:permEnd w:id="18"/>
    <w:p w:rsidR="005D31FE" w:rsidRDefault="005D31FE" w:rsidP="005D31FE">
      <w:r>
        <w:t>&lt;ESMA_QUESTION_VR_CRA_18&gt;</w:t>
      </w:r>
    </w:p>
    <w:p w:rsidR="005D31FE" w:rsidRDefault="005D31FE" w:rsidP="005D31FE"/>
    <w:p w:rsidR="005D31FE" w:rsidRDefault="005D31FE" w:rsidP="005D31FE">
      <w:pPr>
        <w:pStyle w:val="QST"/>
        <w:numPr>
          <w:ilvl w:val="0"/>
          <w:numId w:val="50"/>
        </w:numPr>
      </w:pPr>
      <w:r w:rsidRPr="00A327E8">
        <w:t>Do you agree that CRAs should</w:t>
      </w:r>
      <w:r>
        <w:t>,</w:t>
      </w:r>
      <w:r w:rsidRPr="00A327E8">
        <w:t xml:space="preserve"> as a first step</w:t>
      </w:r>
      <w:r>
        <w:t>,</w:t>
      </w:r>
      <w:r w:rsidRPr="00A327E8">
        <w:t xml:space="preserve"> investigate data enhancement in validating methodologies with limited quantitative evidence? </w:t>
      </w:r>
    </w:p>
    <w:p w:rsidR="005D31FE" w:rsidRDefault="005D31FE" w:rsidP="005D31FE">
      <w:r>
        <w:t>&lt;ESMA_QUESTION_VR_CRA_19&gt;</w:t>
      </w:r>
    </w:p>
    <w:p w:rsidR="00197D55" w:rsidRPr="00585FB2" w:rsidRDefault="00197D55" w:rsidP="00FB2C2A">
      <w:pPr>
        <w:spacing w:line="276" w:lineRule="auto"/>
        <w:jc w:val="both"/>
        <w:rPr>
          <w:rFonts w:cs="Arial"/>
          <w:sz w:val="22"/>
          <w:szCs w:val="22"/>
          <w:lang w:val="en-US"/>
        </w:rPr>
      </w:pPr>
      <w:permStart w:id="19" w:edGrp="everyone"/>
      <w:r w:rsidRPr="00585FB2">
        <w:rPr>
          <w:rFonts w:cs="Arial"/>
          <w:sz w:val="22"/>
          <w:szCs w:val="22"/>
          <w:lang w:val="en-US"/>
        </w:rPr>
        <w:t>While we welcome ESMAs suggestion regarding data enhancements, we think that the pr</w:t>
      </w:r>
      <w:r w:rsidRPr="00585FB2">
        <w:rPr>
          <w:rFonts w:cs="Arial"/>
          <w:sz w:val="22"/>
          <w:szCs w:val="22"/>
          <w:lang w:val="en-US"/>
        </w:rPr>
        <w:t>o</w:t>
      </w:r>
      <w:r w:rsidRPr="00585FB2">
        <w:rPr>
          <w:rFonts w:cs="Arial"/>
          <w:sz w:val="22"/>
          <w:szCs w:val="22"/>
          <w:lang w:val="en-US"/>
        </w:rPr>
        <w:t>posed approaches have all important limitations:</w:t>
      </w:r>
    </w:p>
    <w:p w:rsidR="00197D55" w:rsidRPr="00585FB2" w:rsidRDefault="00197D55" w:rsidP="00197D55">
      <w:pPr>
        <w:pStyle w:val="Listenabsatz"/>
        <w:numPr>
          <w:ilvl w:val="0"/>
          <w:numId w:val="51"/>
        </w:numPr>
        <w:spacing w:line="276" w:lineRule="auto"/>
        <w:jc w:val="both"/>
        <w:rPr>
          <w:rFonts w:cs="Arial"/>
          <w:sz w:val="22"/>
          <w:szCs w:val="22"/>
        </w:rPr>
      </w:pPr>
      <w:r w:rsidRPr="00585FB2">
        <w:rPr>
          <w:rFonts w:cs="Arial"/>
          <w:sz w:val="22"/>
          <w:szCs w:val="22"/>
        </w:rPr>
        <w:t>Expanding the data sample with the use of third party data (</w:t>
      </w:r>
      <w:proofErr w:type="spellStart"/>
      <w:r w:rsidRPr="00585FB2">
        <w:rPr>
          <w:rFonts w:cs="Arial"/>
          <w:sz w:val="22"/>
          <w:szCs w:val="22"/>
        </w:rPr>
        <w:t>eg</w:t>
      </w:r>
      <w:proofErr w:type="spellEnd"/>
      <w:r w:rsidRPr="00585FB2">
        <w:rPr>
          <w:rFonts w:cs="Arial"/>
          <w:sz w:val="22"/>
          <w:szCs w:val="22"/>
        </w:rPr>
        <w:t xml:space="preserve"> ratings issued by another CRA) may not necessarily improve the information base of a CRA – ratings issued by another CRA are based on that CRAs methodology and need therefore to be validated by that CRA only. </w:t>
      </w:r>
    </w:p>
    <w:p w:rsidR="00197D55" w:rsidRPr="00585FB2" w:rsidRDefault="00197D55" w:rsidP="00197D55">
      <w:pPr>
        <w:pStyle w:val="Listenabsatz"/>
        <w:numPr>
          <w:ilvl w:val="0"/>
          <w:numId w:val="51"/>
        </w:numPr>
        <w:spacing w:line="276" w:lineRule="auto"/>
        <w:jc w:val="both"/>
        <w:rPr>
          <w:rFonts w:cs="Arial"/>
          <w:sz w:val="22"/>
          <w:szCs w:val="22"/>
        </w:rPr>
      </w:pPr>
      <w:r w:rsidRPr="00585FB2">
        <w:rPr>
          <w:rFonts w:cs="Arial"/>
          <w:sz w:val="22"/>
          <w:szCs w:val="22"/>
        </w:rPr>
        <w:t xml:space="preserve">Combining asset classes to perform joint validation </w:t>
      </w:r>
      <w:proofErr w:type="gramStart"/>
      <w:r w:rsidRPr="00585FB2">
        <w:rPr>
          <w:rFonts w:cs="Arial"/>
          <w:sz w:val="22"/>
          <w:szCs w:val="22"/>
        </w:rPr>
        <w:t>assessments,</w:t>
      </w:r>
      <w:proofErr w:type="gramEnd"/>
      <w:r w:rsidRPr="00585FB2">
        <w:rPr>
          <w:rFonts w:cs="Arial"/>
          <w:sz w:val="22"/>
          <w:szCs w:val="22"/>
        </w:rPr>
        <w:t xml:space="preserve"> leaves out the spec</w:t>
      </w:r>
      <w:r w:rsidRPr="00585FB2">
        <w:rPr>
          <w:rFonts w:cs="Arial"/>
          <w:sz w:val="22"/>
          <w:szCs w:val="22"/>
        </w:rPr>
        <w:t>i</w:t>
      </w:r>
      <w:r w:rsidRPr="00585FB2">
        <w:rPr>
          <w:rFonts w:cs="Arial"/>
          <w:sz w:val="22"/>
          <w:szCs w:val="22"/>
        </w:rPr>
        <w:t>ficities identified for each asset class.</w:t>
      </w:r>
    </w:p>
    <w:p w:rsidR="00197D55" w:rsidRDefault="00197D55" w:rsidP="005D31FE">
      <w:pPr>
        <w:rPr>
          <w:rFonts w:cs="Arial"/>
          <w:sz w:val="22"/>
          <w:szCs w:val="22"/>
        </w:rPr>
      </w:pPr>
      <w:r w:rsidRPr="00585FB2">
        <w:rPr>
          <w:rFonts w:cs="Arial"/>
          <w:sz w:val="22"/>
          <w:szCs w:val="22"/>
        </w:rPr>
        <w:t>Hypothetical transactions are by definition hypothetical and therefore equally subject to expert opinion. Additionally, creating hypothetical ratings on a large scale may be associated with very high administrative costs to the CRA</w:t>
      </w:r>
    </w:p>
    <w:permEnd w:id="19"/>
    <w:p w:rsidR="005D31FE" w:rsidRDefault="005D31FE" w:rsidP="005D31FE">
      <w:r>
        <w:t>&lt;ESMA_QUESTION_VR_CRA_19&gt;</w:t>
      </w:r>
    </w:p>
    <w:p w:rsidR="005D31FE" w:rsidRDefault="005D31FE" w:rsidP="005D31FE"/>
    <w:p w:rsidR="005D31FE" w:rsidRDefault="005D31FE" w:rsidP="005D31FE">
      <w:pPr>
        <w:pStyle w:val="QST"/>
        <w:numPr>
          <w:ilvl w:val="0"/>
          <w:numId w:val="50"/>
        </w:numPr>
      </w:pPr>
      <w:r>
        <w:t>Do you agree that CRAs should, as a second step, investigate measures that may enable them to perform statistical tests to demonstrate the discriminatory power of their metho</w:t>
      </w:r>
      <w:r>
        <w:t>d</w:t>
      </w:r>
      <w:r>
        <w:t>ologies?</w:t>
      </w:r>
    </w:p>
    <w:p w:rsidR="005D31FE" w:rsidRDefault="005D31FE" w:rsidP="005D31FE">
      <w:r>
        <w:t>&lt;ESMA_QUESTION_VR_CRA_20&gt;</w:t>
      </w:r>
    </w:p>
    <w:p w:rsidR="00197D55" w:rsidRPr="00585FB2" w:rsidRDefault="00197D55" w:rsidP="00197D55">
      <w:pPr>
        <w:spacing w:line="276" w:lineRule="auto"/>
        <w:jc w:val="both"/>
        <w:rPr>
          <w:rFonts w:cs="Arial"/>
          <w:sz w:val="22"/>
          <w:szCs w:val="22"/>
          <w:lang w:val="en-US"/>
        </w:rPr>
      </w:pPr>
      <w:permStart w:id="20" w:edGrp="everyone"/>
      <w:r w:rsidRPr="00585FB2">
        <w:rPr>
          <w:rFonts w:cs="Arial"/>
          <w:sz w:val="22"/>
          <w:szCs w:val="22"/>
          <w:lang w:val="en-US"/>
        </w:rPr>
        <w:t xml:space="preserve">We welcome the additional measures proposed by ESMA but note again important limitations: </w:t>
      </w:r>
    </w:p>
    <w:p w:rsidR="00197D55" w:rsidRPr="00585FB2" w:rsidRDefault="00197D55" w:rsidP="00197D55">
      <w:pPr>
        <w:pStyle w:val="Listenabsatz"/>
        <w:numPr>
          <w:ilvl w:val="0"/>
          <w:numId w:val="52"/>
        </w:numPr>
        <w:spacing w:line="276" w:lineRule="auto"/>
        <w:jc w:val="both"/>
        <w:rPr>
          <w:rFonts w:cs="Arial"/>
          <w:sz w:val="22"/>
          <w:szCs w:val="22"/>
          <w:lang w:val="en-US"/>
        </w:rPr>
      </w:pPr>
      <w:r w:rsidRPr="00585FB2">
        <w:rPr>
          <w:rFonts w:cs="Arial"/>
          <w:sz w:val="22"/>
          <w:szCs w:val="22"/>
          <w:lang w:val="en-US"/>
        </w:rPr>
        <w:t>The use of a relaxed “default definition” does not trigger more Defaults;</w:t>
      </w:r>
    </w:p>
    <w:p w:rsidR="00197D55" w:rsidRPr="00585FB2" w:rsidRDefault="00197D55" w:rsidP="00197D55">
      <w:pPr>
        <w:pStyle w:val="Listenabsatz"/>
        <w:numPr>
          <w:ilvl w:val="0"/>
          <w:numId w:val="52"/>
        </w:numPr>
        <w:spacing w:line="276" w:lineRule="auto"/>
        <w:jc w:val="both"/>
        <w:rPr>
          <w:rFonts w:cs="Arial"/>
          <w:sz w:val="22"/>
          <w:szCs w:val="22"/>
          <w:lang w:val="en-US"/>
        </w:rPr>
      </w:pPr>
      <w:r w:rsidRPr="00585FB2">
        <w:rPr>
          <w:rFonts w:cs="Arial"/>
          <w:sz w:val="22"/>
          <w:szCs w:val="22"/>
          <w:lang w:val="en-US"/>
        </w:rPr>
        <w:t xml:space="preserve">Combining rating categories can be done only if the combination is made within rating categories with similar risk (e.g. notches). </w:t>
      </w:r>
    </w:p>
    <w:permEnd w:id="20"/>
    <w:p w:rsidR="005D31FE" w:rsidRDefault="005D31FE" w:rsidP="005D31FE">
      <w:r>
        <w:t>&lt;ESMA_QUESTION_VR_CRA_20&gt;</w:t>
      </w:r>
    </w:p>
    <w:p w:rsidR="005D31FE" w:rsidRDefault="005D31FE" w:rsidP="005D31FE"/>
    <w:p w:rsidR="005D31FE" w:rsidRDefault="005D31FE" w:rsidP="005D31FE">
      <w:pPr>
        <w:pStyle w:val="QST"/>
        <w:numPr>
          <w:ilvl w:val="0"/>
          <w:numId w:val="50"/>
        </w:numPr>
      </w:pPr>
      <w:r w:rsidRPr="00A327E8">
        <w:lastRenderedPageBreak/>
        <w:t xml:space="preserve">Do you agree that </w:t>
      </w:r>
      <w:r>
        <w:t xml:space="preserve">historical robustness measures should be performed when </w:t>
      </w:r>
      <w:r w:rsidRPr="00A327E8">
        <w:t xml:space="preserve">validating methodologies with limited quantitative evidence? </w:t>
      </w:r>
    </w:p>
    <w:p w:rsidR="005D31FE" w:rsidRDefault="005D31FE" w:rsidP="005D31FE">
      <w:r>
        <w:t>&lt;ESMA_QUESTION_VR_CRA_21&gt;</w:t>
      </w:r>
    </w:p>
    <w:p w:rsidR="005D31FE" w:rsidRDefault="005D31FE" w:rsidP="005D31FE">
      <w:permStart w:id="21" w:edGrp="everyone"/>
      <w:r>
        <w:t>TYPE YOUR TEXT HERE</w:t>
      </w:r>
    </w:p>
    <w:permEnd w:id="21"/>
    <w:p w:rsidR="005D31FE" w:rsidRDefault="005D31FE" w:rsidP="005D31FE">
      <w:r>
        <w:t>&lt;ESMA_QUESTION_VR_CRA_21&gt;</w:t>
      </w:r>
    </w:p>
    <w:p w:rsidR="005D31FE" w:rsidRDefault="005D31FE" w:rsidP="005D31FE"/>
    <w:p w:rsidR="005D31FE" w:rsidRDefault="005D31FE" w:rsidP="005D31FE">
      <w:pPr>
        <w:pStyle w:val="QST"/>
        <w:numPr>
          <w:ilvl w:val="0"/>
          <w:numId w:val="50"/>
        </w:numPr>
      </w:pPr>
      <w:r>
        <w:t>Do you agree that the transition (migration) matrices and benchmarking are the minimum measures that a CRA should use as part of its validation processes for methodologies with limited quantitative evidence?</w:t>
      </w:r>
    </w:p>
    <w:p w:rsidR="005D31FE" w:rsidRDefault="005D31FE" w:rsidP="005D31FE">
      <w:r>
        <w:t>&lt;ESMA_QUESTION_VR_CRA_22&gt;</w:t>
      </w:r>
    </w:p>
    <w:p w:rsidR="00197D55" w:rsidRPr="00585FB2" w:rsidRDefault="00197D55" w:rsidP="00197D55">
      <w:pPr>
        <w:spacing w:line="276" w:lineRule="auto"/>
        <w:jc w:val="both"/>
        <w:rPr>
          <w:rFonts w:cs="Arial"/>
          <w:sz w:val="22"/>
          <w:szCs w:val="22"/>
          <w:lang w:val="en-US"/>
        </w:rPr>
      </w:pPr>
      <w:permStart w:id="22" w:edGrp="everyone"/>
      <w:r w:rsidRPr="00585FB2">
        <w:rPr>
          <w:rFonts w:cs="Arial"/>
          <w:sz w:val="22"/>
          <w:szCs w:val="22"/>
          <w:lang w:val="en-US"/>
        </w:rPr>
        <w:t>With respect to the benchmarking of a CRA rating to ratings from other CRAs, we think that this ex</w:t>
      </w:r>
      <w:r>
        <w:rPr>
          <w:rFonts w:cs="Arial"/>
          <w:sz w:val="22"/>
          <w:szCs w:val="22"/>
          <w:lang w:val="en-US"/>
        </w:rPr>
        <w:t>ercise is interesting but should be done very carefully as e</w:t>
      </w:r>
      <w:r w:rsidRPr="00585FB2">
        <w:rPr>
          <w:rFonts w:cs="Arial"/>
          <w:sz w:val="22"/>
          <w:szCs w:val="22"/>
          <w:lang w:val="en-US"/>
        </w:rPr>
        <w:t>ach CRA uses its own rating met</w:t>
      </w:r>
      <w:r w:rsidRPr="00585FB2">
        <w:rPr>
          <w:rFonts w:cs="Arial"/>
          <w:sz w:val="22"/>
          <w:szCs w:val="22"/>
          <w:lang w:val="en-US"/>
        </w:rPr>
        <w:t>h</w:t>
      </w:r>
      <w:r w:rsidRPr="00585FB2">
        <w:rPr>
          <w:rFonts w:cs="Arial"/>
          <w:sz w:val="22"/>
          <w:szCs w:val="22"/>
          <w:lang w:val="en-US"/>
        </w:rPr>
        <w:t xml:space="preserve">odologies and rating scales – benchmarking CRAs ratings to each other </w:t>
      </w:r>
      <w:r>
        <w:rPr>
          <w:rFonts w:cs="Arial"/>
          <w:sz w:val="22"/>
          <w:szCs w:val="22"/>
          <w:lang w:val="en-US"/>
        </w:rPr>
        <w:t xml:space="preserve">may </w:t>
      </w:r>
      <w:r w:rsidRPr="00585FB2">
        <w:rPr>
          <w:rFonts w:cs="Arial"/>
          <w:sz w:val="22"/>
          <w:szCs w:val="22"/>
          <w:lang w:val="en-US"/>
        </w:rPr>
        <w:t>create a self-referencing system and “</w:t>
      </w:r>
      <w:proofErr w:type="spellStart"/>
      <w:r w:rsidRPr="00585FB2">
        <w:rPr>
          <w:rFonts w:cs="Arial"/>
          <w:sz w:val="22"/>
          <w:szCs w:val="22"/>
          <w:lang w:val="en-US"/>
        </w:rPr>
        <w:t>outlayers</w:t>
      </w:r>
      <w:proofErr w:type="spellEnd"/>
      <w:r w:rsidRPr="00585FB2">
        <w:rPr>
          <w:rFonts w:cs="Arial"/>
          <w:sz w:val="22"/>
          <w:szCs w:val="22"/>
          <w:lang w:val="en-US"/>
        </w:rPr>
        <w:t xml:space="preserve">” would be eliminated over time, leading to a </w:t>
      </w:r>
      <w:proofErr w:type="spellStart"/>
      <w:r w:rsidRPr="00585FB2">
        <w:rPr>
          <w:rFonts w:cs="Arial"/>
          <w:sz w:val="22"/>
          <w:szCs w:val="22"/>
          <w:lang w:val="en-US"/>
        </w:rPr>
        <w:t>harmonisation</w:t>
      </w:r>
      <w:proofErr w:type="spellEnd"/>
      <w:r w:rsidRPr="00585FB2">
        <w:rPr>
          <w:rFonts w:cs="Arial"/>
          <w:sz w:val="22"/>
          <w:szCs w:val="22"/>
          <w:lang w:val="en-US"/>
        </w:rPr>
        <w:t xml:space="preserve"> of rating methodologies across CRAs and thereby reducing information content of several ratings to users. In view of the performance of SF ratings during the global financial crisis, we reco</w:t>
      </w:r>
      <w:r w:rsidRPr="00585FB2">
        <w:rPr>
          <w:rFonts w:cs="Arial"/>
          <w:sz w:val="22"/>
          <w:szCs w:val="22"/>
          <w:lang w:val="en-US"/>
        </w:rPr>
        <w:t>m</w:t>
      </w:r>
      <w:r w:rsidRPr="00585FB2">
        <w:rPr>
          <w:rFonts w:cs="Arial"/>
          <w:sz w:val="22"/>
          <w:szCs w:val="22"/>
          <w:lang w:val="en-US"/>
        </w:rPr>
        <w:t xml:space="preserve">mend that each CRA is assessed at its own merits. Moreover, the rating portfolio of a new CRA does often not overlap with that of other existing CRAs. </w:t>
      </w:r>
    </w:p>
    <w:p w:rsidR="00197D55" w:rsidRPr="00585FB2" w:rsidRDefault="00197D55" w:rsidP="00197D55">
      <w:pPr>
        <w:spacing w:line="276" w:lineRule="auto"/>
        <w:jc w:val="both"/>
        <w:rPr>
          <w:rFonts w:cs="Arial"/>
          <w:sz w:val="22"/>
          <w:szCs w:val="22"/>
          <w:lang w:val="en-US"/>
        </w:rPr>
      </w:pPr>
      <w:r w:rsidRPr="00585FB2">
        <w:rPr>
          <w:rFonts w:cs="Arial"/>
          <w:sz w:val="22"/>
          <w:szCs w:val="22"/>
          <w:lang w:val="en-US"/>
        </w:rPr>
        <w:t>With respect the benchmarking to credit default swaps spreads or bond yields, we note that these two measures take into account other factor than only creditworthiness – these may be driven amongst others by market liquidity.</w:t>
      </w:r>
    </w:p>
    <w:permEnd w:id="22"/>
    <w:p w:rsidR="005D31FE" w:rsidRDefault="005D31FE" w:rsidP="005D31FE">
      <w:r>
        <w:t>&lt;ESMA_QUESTION_VR_CRA_22&gt;</w:t>
      </w:r>
    </w:p>
    <w:p w:rsidR="005D31FE" w:rsidRDefault="005D31FE" w:rsidP="005D31FE"/>
    <w:p w:rsidR="005D31FE" w:rsidRDefault="005D31FE" w:rsidP="005D31FE">
      <w:pPr>
        <w:pStyle w:val="QST"/>
        <w:numPr>
          <w:ilvl w:val="0"/>
          <w:numId w:val="50"/>
        </w:numPr>
      </w:pPr>
      <w:r>
        <w:t>Do you agree that complementary historical robustness measures add further information to the validation processes for methodologies with limited quantitative evidence? If not, please explain why.</w:t>
      </w:r>
    </w:p>
    <w:p w:rsidR="005D31FE" w:rsidRDefault="005D31FE" w:rsidP="005D31FE">
      <w:r>
        <w:t>&lt;ESMA_QUESTION_VR_CRA_23&gt;</w:t>
      </w:r>
    </w:p>
    <w:p w:rsidR="005D31FE" w:rsidRDefault="005D31FE" w:rsidP="005D31FE">
      <w:permStart w:id="23" w:edGrp="everyone"/>
      <w:r>
        <w:t>TYPE YOUR TEXT HERE</w:t>
      </w:r>
    </w:p>
    <w:permEnd w:id="23"/>
    <w:p w:rsidR="005D31FE" w:rsidRDefault="005D31FE" w:rsidP="005D31FE">
      <w:r>
        <w:t>&lt;ESMA_QUESTION_VR_CRA_23&gt;</w:t>
      </w:r>
    </w:p>
    <w:p w:rsidR="005D31FE" w:rsidRDefault="005D31FE" w:rsidP="005D31FE"/>
    <w:p w:rsidR="005D31FE" w:rsidRDefault="005D31FE" w:rsidP="005D31FE">
      <w:pPr>
        <w:pStyle w:val="QST"/>
        <w:numPr>
          <w:ilvl w:val="0"/>
          <w:numId w:val="50"/>
        </w:numPr>
      </w:pPr>
      <w:r w:rsidRPr="00616454">
        <w:t xml:space="preserve">Are there </w:t>
      </w:r>
      <w:r>
        <w:t>additional</w:t>
      </w:r>
      <w:r w:rsidRPr="00616454">
        <w:t xml:space="preserve"> measures th</w:t>
      </w:r>
      <w:r>
        <w:t>at CRAs should use</w:t>
      </w:r>
      <w:r w:rsidRPr="00616454">
        <w:t xml:space="preserve"> </w:t>
      </w:r>
      <w:r>
        <w:t xml:space="preserve">when </w:t>
      </w:r>
      <w:r w:rsidRPr="00A327E8">
        <w:t>validating methodologies with limited quantitative evidence?</w:t>
      </w:r>
      <w:r>
        <w:t xml:space="preserve"> If yes, please explain the measures and your rationale.</w:t>
      </w:r>
    </w:p>
    <w:p w:rsidR="005D31FE" w:rsidRDefault="005D31FE" w:rsidP="005D31FE"/>
    <w:p w:rsidR="005D31FE" w:rsidRDefault="005D31FE" w:rsidP="005D31FE">
      <w:r>
        <w:t>&lt;ESMA_QUESTION_VR_CRA_24&gt;</w:t>
      </w:r>
    </w:p>
    <w:p w:rsidR="005D31FE" w:rsidRDefault="005D31FE" w:rsidP="005D31FE">
      <w:permStart w:id="24" w:edGrp="everyone"/>
      <w:r>
        <w:t>TYPE YOUR TEXT HERE</w:t>
      </w:r>
    </w:p>
    <w:permEnd w:id="24"/>
    <w:p w:rsidR="005D31FE" w:rsidRDefault="005D31FE" w:rsidP="005D31FE">
      <w:r>
        <w:t>&lt;ESMA_QUESTION_VR_CRA_24&gt;</w:t>
      </w:r>
    </w:p>
    <w:p w:rsidR="005D31FE" w:rsidRDefault="005D31FE" w:rsidP="005D31FE"/>
    <w:p w:rsidR="005D31FE" w:rsidRDefault="005D31FE" w:rsidP="005D31FE">
      <w:pPr>
        <w:pStyle w:val="QST"/>
        <w:numPr>
          <w:ilvl w:val="0"/>
          <w:numId w:val="50"/>
        </w:numPr>
      </w:pPr>
      <w:r>
        <w:t>Do you agree that thresholds should be set for the quantitative validation techniques?</w:t>
      </w:r>
    </w:p>
    <w:p w:rsidR="005D31FE" w:rsidRDefault="005D31FE" w:rsidP="005D31FE">
      <w:r>
        <w:t>&lt;ESMA_QUESTION_VR_CRA_25&gt;</w:t>
      </w:r>
    </w:p>
    <w:p w:rsidR="00197D55" w:rsidRPr="00585FB2" w:rsidRDefault="00197D55" w:rsidP="00197D55">
      <w:pPr>
        <w:spacing w:line="276" w:lineRule="auto"/>
        <w:jc w:val="both"/>
        <w:rPr>
          <w:rFonts w:cs="Arial"/>
          <w:sz w:val="22"/>
          <w:szCs w:val="22"/>
          <w:lang w:val="en-US"/>
        </w:rPr>
      </w:pPr>
      <w:permStart w:id="25" w:edGrp="everyone"/>
      <w:r w:rsidRPr="00585FB2">
        <w:rPr>
          <w:rFonts w:cs="Arial"/>
          <w:sz w:val="22"/>
          <w:szCs w:val="22"/>
          <w:lang w:val="en-US"/>
        </w:rPr>
        <w:t>We understand that the thresholds should relate to anomalies highlighted by back-testing. In view of the different distribution of ratings per market segment, anomalies will differ and can’t be harmonized across all market segments and CRAs. Quantitative thresholds may prove to be difficult to set and therefore expert judgment on qualitative factors should be an alternative a</w:t>
      </w:r>
      <w:r w:rsidRPr="00585FB2">
        <w:rPr>
          <w:rFonts w:cs="Arial"/>
          <w:sz w:val="22"/>
          <w:szCs w:val="22"/>
          <w:lang w:val="en-US"/>
        </w:rPr>
        <w:t>p</w:t>
      </w:r>
      <w:r w:rsidRPr="00585FB2">
        <w:rPr>
          <w:rFonts w:cs="Arial"/>
          <w:sz w:val="22"/>
          <w:szCs w:val="22"/>
          <w:lang w:val="en-US"/>
        </w:rPr>
        <w:t>proach.</w:t>
      </w:r>
    </w:p>
    <w:permEnd w:id="25"/>
    <w:p w:rsidR="005D31FE" w:rsidRDefault="005D31FE" w:rsidP="005D31FE">
      <w:r>
        <w:t>&lt;ESMA_QUESTION_VR_CRA_25&gt;</w:t>
      </w:r>
    </w:p>
    <w:p w:rsidR="005D31FE" w:rsidRDefault="005D31FE" w:rsidP="005D31FE"/>
    <w:p w:rsidR="005D31FE" w:rsidRDefault="005D31FE" w:rsidP="005D31FE">
      <w:pPr>
        <w:pStyle w:val="QST"/>
        <w:numPr>
          <w:ilvl w:val="0"/>
          <w:numId w:val="50"/>
        </w:numPr>
      </w:pPr>
      <w:r>
        <w:lastRenderedPageBreak/>
        <w:t>Do you agree that the Internal Review Function should decide on these values?</w:t>
      </w:r>
      <w:r w:rsidRPr="00207C9E">
        <w:t xml:space="preserve"> </w:t>
      </w:r>
    </w:p>
    <w:p w:rsidR="005D31FE" w:rsidRDefault="005D31FE" w:rsidP="005D31FE">
      <w:r>
        <w:t>&lt;ESMA_QUESTION_VR_CRA_26&gt;</w:t>
      </w:r>
    </w:p>
    <w:p w:rsidR="005D31FE" w:rsidRDefault="005126F7" w:rsidP="005D31FE">
      <w:permStart w:id="26" w:edGrp="everyone"/>
      <w:r>
        <w:t>We think that the threshold should be set according to each CRAs procedures for the establishment (or review) and approval of rating methodologies.</w:t>
      </w:r>
      <w:permEnd w:id="26"/>
    </w:p>
    <w:p w:rsidR="005D31FE" w:rsidRDefault="005D31FE" w:rsidP="005D31FE">
      <w:pPr>
        <w:rPr>
          <w:lang w:val="fr-FR"/>
        </w:rPr>
      </w:pPr>
      <w:r w:rsidRPr="007E1C5C">
        <w:rPr>
          <w:lang w:val="fr-FR"/>
        </w:rPr>
        <w:t>&lt;ESMA_QUESTION_VR_CRA_26&gt;</w:t>
      </w:r>
    </w:p>
    <w:p w:rsidR="005D31FE" w:rsidRDefault="005D31FE" w:rsidP="005D31FE">
      <w:pPr>
        <w:rPr>
          <w:lang w:val="fr-FR"/>
        </w:rPr>
      </w:pPr>
    </w:p>
    <w:p w:rsidR="005D31FE" w:rsidRPr="00C46197" w:rsidRDefault="005D31FE" w:rsidP="005D31FE">
      <w:pPr>
        <w:pStyle w:val="Listenabsatz"/>
        <w:numPr>
          <w:ilvl w:val="0"/>
          <w:numId w:val="50"/>
        </w:numPr>
        <w:spacing w:after="250" w:line="276" w:lineRule="auto"/>
        <w:contextualSpacing w:val="0"/>
        <w:jc w:val="both"/>
        <w:rPr>
          <w:b/>
        </w:rPr>
      </w:pPr>
      <w:r w:rsidRPr="00C46197">
        <w:rPr>
          <w:b/>
        </w:rPr>
        <w:t>Do you agree that predefined actions should be defined by the CRAs when the thresholds are met?</w:t>
      </w:r>
    </w:p>
    <w:p w:rsidR="005D31FE" w:rsidRDefault="005D31FE" w:rsidP="005D31FE">
      <w:r>
        <w:t>&lt;ESMA_QUESTION_VR_CRA_27&gt;</w:t>
      </w:r>
    </w:p>
    <w:p w:rsidR="005D31FE" w:rsidRDefault="00197D55" w:rsidP="005D31FE">
      <w:permStart w:id="27" w:edGrp="everyone"/>
      <w:r w:rsidRPr="00585FB2">
        <w:rPr>
          <w:rFonts w:cs="Arial"/>
          <w:sz w:val="22"/>
          <w:szCs w:val="22"/>
          <w:lang w:val="en-US"/>
        </w:rPr>
        <w:t>“Predefined actions” could include a wide range of topics (such as further analysis of an ident</w:t>
      </w:r>
      <w:r w:rsidRPr="00585FB2">
        <w:rPr>
          <w:rFonts w:cs="Arial"/>
          <w:sz w:val="22"/>
          <w:szCs w:val="22"/>
          <w:lang w:val="en-US"/>
        </w:rPr>
        <w:t>i</w:t>
      </w:r>
      <w:r w:rsidRPr="00585FB2">
        <w:rPr>
          <w:rFonts w:cs="Arial"/>
          <w:sz w:val="22"/>
          <w:szCs w:val="22"/>
          <w:lang w:val="en-US"/>
        </w:rPr>
        <w:t>fied topic) and may not necessarily lead to a change of a rating methodology</w:t>
      </w:r>
      <w:r w:rsidR="004D42A1">
        <w:t xml:space="preserve">. </w:t>
      </w:r>
      <w:permEnd w:id="27"/>
    </w:p>
    <w:p w:rsidR="005D31FE" w:rsidRPr="007E1C5C" w:rsidRDefault="005D31FE" w:rsidP="005D31FE">
      <w:pPr>
        <w:rPr>
          <w:lang w:val="fr-FR"/>
        </w:rPr>
      </w:pPr>
      <w:r>
        <w:rPr>
          <w:lang w:val="fr-FR"/>
        </w:rPr>
        <w:t>&lt;ESMA_QUESTION_VR_CRA_27</w:t>
      </w:r>
      <w:r w:rsidRPr="007E1C5C">
        <w:rPr>
          <w:lang w:val="fr-FR"/>
        </w:rPr>
        <w:t>&gt;</w:t>
      </w:r>
    </w:p>
    <w:p w:rsidR="00F32462" w:rsidRDefault="00F32462" w:rsidP="005D31FE">
      <w:pPr>
        <w:pStyle w:val="CPQuestions"/>
        <w:numPr>
          <w:ilvl w:val="0"/>
          <w:numId w:val="0"/>
        </w:numPr>
        <w:rPr>
          <w:rFonts w:cs="Arial"/>
          <w:b w:val="0"/>
          <w:szCs w:val="22"/>
        </w:rPr>
      </w:pPr>
    </w:p>
    <w:sectPr w:rsidR="00F32462" w:rsidSect="00A8728B">
      <w:headerReference w:type="even" r:id="rId14"/>
      <w:headerReference w:type="first" r:id="rId15"/>
      <w:footerReference w:type="first" r:id="rId16"/>
      <w:pgSz w:w="11906" w:h="16838" w:code="9"/>
      <w:pgMar w:top="2410" w:right="1247" w:bottom="1135" w:left="124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D3C" w:rsidRDefault="009E4D3C">
      <w:r>
        <w:separator/>
      </w:r>
    </w:p>
    <w:p w:rsidR="009E4D3C" w:rsidRDefault="009E4D3C"/>
  </w:endnote>
  <w:endnote w:type="continuationSeparator" w:id="0">
    <w:p w:rsidR="009E4D3C" w:rsidRDefault="009E4D3C">
      <w:r>
        <w:continuationSeparator/>
      </w:r>
    </w:p>
    <w:p w:rsidR="009E4D3C" w:rsidRDefault="009E4D3C"/>
  </w:endnote>
  <w:endnote w:type="continuationNotice" w:id="1">
    <w:p w:rsidR="009E4D3C" w:rsidRDefault="009E4D3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sig w:usb0="00000000" w:usb1="00000000" w:usb2="00000000" w:usb3="00000000" w:csb0="0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sig w:usb0="00000000" w:usb1="00000000" w:usb2="00000000" w:usb3="00000000" w:csb0="00000000" w:csb1="00000000"/>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5126F7" w:rsidRPr="00616B9B" w:rsidTr="00315E96">
      <w:trPr>
        <w:trHeight w:val="284"/>
      </w:trPr>
      <w:tc>
        <w:tcPr>
          <w:tcW w:w="8460" w:type="dxa"/>
        </w:tcPr>
        <w:p w:rsidR="005126F7" w:rsidRPr="00315E96" w:rsidRDefault="005126F7" w:rsidP="00315E96">
          <w:pPr>
            <w:pStyle w:val="00Footer"/>
            <w:rPr>
              <w:lang w:val="fr-FR"/>
            </w:rPr>
          </w:pPr>
        </w:p>
      </w:tc>
      <w:tc>
        <w:tcPr>
          <w:tcW w:w="952" w:type="dxa"/>
        </w:tcPr>
        <w:p w:rsidR="005126F7" w:rsidRPr="00616B9B" w:rsidRDefault="002E4931" w:rsidP="002C5B2D">
          <w:pPr>
            <w:pStyle w:val="00aPagenumber"/>
            <w:rPr>
              <w:rFonts w:cs="Arial"/>
              <w:sz w:val="22"/>
              <w:szCs w:val="22"/>
            </w:rPr>
          </w:pPr>
          <w:r w:rsidRPr="00616B9B">
            <w:rPr>
              <w:rFonts w:cs="Arial"/>
              <w:sz w:val="22"/>
              <w:szCs w:val="22"/>
            </w:rPr>
            <w:fldChar w:fldCharType="begin"/>
          </w:r>
          <w:r w:rsidR="005126F7" w:rsidRPr="00616B9B">
            <w:rPr>
              <w:rFonts w:cs="Arial"/>
              <w:sz w:val="22"/>
              <w:szCs w:val="22"/>
            </w:rPr>
            <w:instrText xml:space="preserve"> PAGE </w:instrText>
          </w:r>
          <w:r w:rsidRPr="00616B9B">
            <w:rPr>
              <w:rFonts w:cs="Arial"/>
              <w:sz w:val="22"/>
              <w:szCs w:val="22"/>
            </w:rPr>
            <w:fldChar w:fldCharType="separate"/>
          </w:r>
          <w:r w:rsidR="00296B26">
            <w:rPr>
              <w:rFonts w:cs="Arial"/>
              <w:noProof/>
              <w:sz w:val="22"/>
              <w:szCs w:val="22"/>
            </w:rPr>
            <w:t>7</w:t>
          </w:r>
          <w:r w:rsidRPr="00616B9B">
            <w:rPr>
              <w:rFonts w:cs="Arial"/>
              <w:noProof/>
              <w:sz w:val="22"/>
              <w:szCs w:val="22"/>
            </w:rPr>
            <w:fldChar w:fldCharType="end"/>
          </w:r>
        </w:p>
      </w:tc>
    </w:tr>
  </w:tbl>
  <w:p w:rsidR="005126F7" w:rsidRDefault="005126F7">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6F7" w:rsidRDefault="005126F7">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D3C" w:rsidRDefault="009E4D3C">
      <w:r>
        <w:separator/>
      </w:r>
    </w:p>
    <w:p w:rsidR="009E4D3C" w:rsidRDefault="009E4D3C"/>
  </w:footnote>
  <w:footnote w:type="continuationSeparator" w:id="0">
    <w:p w:rsidR="009E4D3C" w:rsidRDefault="009E4D3C">
      <w:r>
        <w:continuationSeparator/>
      </w:r>
    </w:p>
    <w:p w:rsidR="009E4D3C" w:rsidRDefault="009E4D3C"/>
  </w:footnote>
  <w:footnote w:type="continuationNotice" w:id="1">
    <w:p w:rsidR="009E4D3C" w:rsidRDefault="009E4D3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6F7" w:rsidRDefault="005126F7">
    <w:pPr>
      <w:pStyle w:val="Kopfzeile"/>
    </w:pPr>
    <w:r>
      <w:rPr>
        <w:noProof/>
        <w:lang w:val="de-AT" w:eastAsia="de-AT"/>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anchor>
      </w:drawing>
    </w:r>
    <w:r w:rsidR="002E4931" w:rsidRPr="002E4931">
      <w:rPr>
        <w:noProof/>
        <w:lang w:eastAsia="en-GB"/>
      </w:rPr>
      <w:pict>
        <v:line id="Line 16" o:spid="_x0000_s4098" style="position:absolute;z-index:251656192;visibility:visible;mso-wrap-distance-left:3.17486mm;mso-wrap-distance-right:3.17486mm;mso-position-horizontal-relative:page;mso-position-vertical-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6F7" w:rsidRDefault="005126F7" w:rsidP="00013CCE">
    <w:pPr>
      <w:pStyle w:val="Kopfzeile"/>
      <w:jc w:val="right"/>
    </w:pPr>
    <w:r>
      <w:rPr>
        <w:noProof/>
        <w:lang w:val="de-AT" w:eastAsia="de-AT"/>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anchor>
      </w:drawing>
    </w:r>
    <w:r>
      <w:rPr>
        <w:noProof/>
        <w:lang w:val="de-AT" w:eastAsia="de-AT"/>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anchor>
      </w:drawing>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6F7" w:rsidRDefault="005126F7"/>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5126F7" w:rsidRPr="002F4496" w:rsidTr="000C06C9">
      <w:trPr>
        <w:trHeight w:val="284"/>
      </w:trPr>
      <w:tc>
        <w:tcPr>
          <w:tcW w:w="8460" w:type="dxa"/>
        </w:tcPr>
        <w:p w:rsidR="005126F7" w:rsidRPr="000C3B6D" w:rsidRDefault="005126F7" w:rsidP="000C06C9">
          <w:pPr>
            <w:pStyle w:val="00Footer"/>
            <w:rPr>
              <w:lang w:val="fr-FR"/>
            </w:rPr>
          </w:pPr>
        </w:p>
      </w:tc>
      <w:tc>
        <w:tcPr>
          <w:tcW w:w="952" w:type="dxa"/>
        </w:tcPr>
        <w:p w:rsidR="005126F7" w:rsidRPr="00146B34" w:rsidRDefault="005126F7" w:rsidP="000C06C9">
          <w:pPr>
            <w:pStyle w:val="00aPagenumber"/>
            <w:rPr>
              <w:lang w:val="fr-FR"/>
            </w:rPr>
          </w:pPr>
        </w:p>
      </w:tc>
    </w:tr>
  </w:tbl>
  <w:p w:rsidR="005126F7" w:rsidRPr="00DB46C3" w:rsidRDefault="005126F7">
    <w:pPr>
      <w:rPr>
        <w:lang w:val="fr-FR"/>
      </w:rPr>
    </w:pPr>
  </w:p>
  <w:p w:rsidR="005126F7" w:rsidRPr="002F4496" w:rsidRDefault="005126F7">
    <w:pPr>
      <w:pStyle w:val="Kopfzeile"/>
      <w:rPr>
        <w:lang w:val="fr-FR"/>
      </w:rPr>
    </w:pPr>
  </w:p>
  <w:p w:rsidR="005126F7" w:rsidRPr="002F4496" w:rsidRDefault="005126F7" w:rsidP="000C06C9">
    <w:pPr>
      <w:pStyle w:val="Kopfzeile"/>
      <w:tabs>
        <w:tab w:val="clear" w:pos="4536"/>
        <w:tab w:val="clear" w:pos="9072"/>
        <w:tab w:val="left" w:pos="8227"/>
      </w:tabs>
      <w:rPr>
        <w:lang w:val="fr-FR"/>
      </w:rPr>
    </w:pPr>
  </w:p>
  <w:p w:rsidR="005126F7" w:rsidRPr="002F4496" w:rsidRDefault="005126F7" w:rsidP="000C06C9">
    <w:pPr>
      <w:pStyle w:val="Kopfzeile"/>
      <w:tabs>
        <w:tab w:val="clear" w:pos="4536"/>
        <w:tab w:val="clear" w:pos="9072"/>
        <w:tab w:val="left" w:pos="8227"/>
      </w:tabs>
      <w:rPr>
        <w:lang w:val="fr-FR"/>
      </w:rPr>
    </w:pPr>
  </w:p>
  <w:p w:rsidR="005126F7" w:rsidRPr="002F4496" w:rsidRDefault="005126F7">
    <w:pPr>
      <w:pStyle w:val="Kopfzeile"/>
      <w:rPr>
        <w:lang w:val="fr-FR"/>
      </w:rPr>
    </w:pPr>
  </w:p>
  <w:p w:rsidR="005126F7" w:rsidRPr="002F4496" w:rsidRDefault="005126F7">
    <w:pPr>
      <w:pStyle w:val="Kopfzeile"/>
      <w:rPr>
        <w:lang w:val="fr-FR"/>
      </w:rPr>
    </w:pPr>
  </w:p>
  <w:p w:rsidR="005126F7" w:rsidRPr="002F4496" w:rsidRDefault="005126F7">
    <w:pPr>
      <w:pStyle w:val="Kopfzeile"/>
      <w:rPr>
        <w:lang w:val="fr-FR"/>
      </w:rPr>
    </w:pPr>
  </w:p>
  <w:p w:rsidR="005126F7" w:rsidRPr="002F4496" w:rsidRDefault="005126F7">
    <w:pPr>
      <w:pStyle w:val="Kopfzeile"/>
      <w:rPr>
        <w:lang w:val="fr-FR"/>
      </w:rPr>
    </w:pPr>
  </w:p>
  <w:p w:rsidR="005126F7" w:rsidRPr="002F4496" w:rsidRDefault="005126F7">
    <w:pPr>
      <w:pStyle w:val="Kopfzeile"/>
      <w:rPr>
        <w:highlight w:val="yellow"/>
        <w:lang w:val="fr-FR"/>
      </w:rPr>
    </w:pPr>
  </w:p>
  <w:p w:rsidR="005126F7" w:rsidRDefault="002E4931">
    <w:pPr>
      <w:pStyle w:val="Kopfzeile"/>
    </w:pPr>
    <w:r w:rsidRPr="002E4931">
      <w:rPr>
        <w:noProof/>
        <w:lang w:eastAsia="en-GB"/>
      </w:rPr>
      <w:pict>
        <v:line id="Straight Connector 138" o:spid="_x0000_s4097" style="position:absolute;z-index:251660288;visibility:visible;mso-wrap-distance-left:3.17497mm;mso-wrap-distance-right:3.17497mm;mso-position-horizontal-relative:page;mso-position-vertical-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w:r>
    <w:r w:rsidR="005126F7">
      <w:rPr>
        <w:noProof/>
        <w:lang w:val="de-AT" w:eastAsia="de-AT"/>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326A56F2"/>
    <w:multiLevelType w:val="hybridMultilevel"/>
    <w:tmpl w:val="9620AEFC"/>
    <w:lvl w:ilvl="0" w:tplc="9C447C3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nsid w:val="4C854A06"/>
    <w:multiLevelType w:val="hybridMultilevel"/>
    <w:tmpl w:val="216A5188"/>
    <w:lvl w:ilvl="0" w:tplc="6D3288D6">
      <w:start w:val="4"/>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nsid w:val="5822692C"/>
    <w:multiLevelType w:val="hybridMultilevel"/>
    <w:tmpl w:val="2E4ECB2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4">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6"/>
  </w:num>
  <w:num w:numId="2">
    <w:abstractNumId w:val="18"/>
  </w:num>
  <w:num w:numId="3">
    <w:abstractNumId w:val="12"/>
  </w:num>
  <w:num w:numId="4">
    <w:abstractNumId w:val="24"/>
  </w:num>
  <w:num w:numId="5">
    <w:abstractNumId w:val="26"/>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2"/>
  </w:num>
  <w:num w:numId="15">
    <w:abstractNumId w:val="10"/>
  </w:num>
  <w:num w:numId="16">
    <w:abstractNumId w:val="1"/>
  </w:num>
  <w:num w:numId="17">
    <w:abstractNumId w:val="14"/>
  </w:num>
  <w:num w:numId="18">
    <w:abstractNumId w:val="15"/>
  </w:num>
  <w:num w:numId="19">
    <w:abstractNumId w:val="17"/>
  </w:num>
  <w:num w:numId="20">
    <w:abstractNumId w:val="27"/>
  </w:num>
  <w:num w:numId="21">
    <w:abstractNumId w:val="37"/>
  </w:num>
  <w:num w:numId="22">
    <w:abstractNumId w:val="25"/>
  </w:num>
  <w:num w:numId="23">
    <w:abstractNumId w:val="9"/>
  </w:num>
  <w:num w:numId="24">
    <w:abstractNumId w:val="31"/>
  </w:num>
  <w:num w:numId="25">
    <w:abstractNumId w:val="30"/>
  </w:num>
  <w:num w:numId="26">
    <w:abstractNumId w:val="19"/>
  </w:num>
  <w:num w:numId="27">
    <w:abstractNumId w:val="34"/>
  </w:num>
  <w:num w:numId="28">
    <w:abstractNumId w:val="39"/>
  </w:num>
  <w:num w:numId="29">
    <w:abstractNumId w:val="7"/>
  </w:num>
  <w:num w:numId="30">
    <w:abstractNumId w:val="3"/>
  </w:num>
  <w:num w:numId="31">
    <w:abstractNumId w:val="21"/>
  </w:num>
  <w:num w:numId="32">
    <w:abstractNumId w:val="2"/>
  </w:num>
  <w:num w:numId="33">
    <w:abstractNumId w:val="6"/>
  </w:num>
  <w:num w:numId="34">
    <w:abstractNumId w:val="20"/>
  </w:num>
  <w:num w:numId="35">
    <w:abstractNumId w:val="36"/>
  </w:num>
  <w:num w:numId="36">
    <w:abstractNumId w:val="36"/>
    <w:lvlOverride w:ilvl="0">
      <w:startOverride w:val="1"/>
    </w:lvlOverride>
  </w:num>
  <w:num w:numId="37">
    <w:abstractNumId w:val="36"/>
    <w:lvlOverride w:ilvl="0">
      <w:startOverride w:val="1"/>
    </w:lvlOverride>
  </w:num>
  <w:num w:numId="38">
    <w:abstractNumId w:val="36"/>
    <w:lvlOverride w:ilvl="0">
      <w:startOverride w:val="1"/>
    </w:lvlOverride>
  </w:num>
  <w:num w:numId="39">
    <w:abstractNumId w:val="36"/>
    <w:lvlOverride w:ilvl="0">
      <w:startOverride w:val="1"/>
    </w:lvlOverride>
  </w:num>
  <w:num w:numId="40">
    <w:abstractNumId w:val="36"/>
    <w:lvlOverride w:ilvl="0">
      <w:startOverride w:val="1"/>
    </w:lvlOverride>
  </w:num>
  <w:num w:numId="41">
    <w:abstractNumId w:val="36"/>
  </w:num>
  <w:num w:numId="42">
    <w:abstractNumId w:val="36"/>
    <w:lvlOverride w:ilvl="0">
      <w:startOverride w:val="1"/>
    </w:lvlOverride>
  </w:num>
  <w:num w:numId="43">
    <w:abstractNumId w:val="36"/>
    <w:lvlOverride w:ilvl="0">
      <w:startOverride w:val="1"/>
    </w:lvlOverride>
  </w:num>
  <w:num w:numId="44">
    <w:abstractNumId w:val="36"/>
    <w:lvlOverride w:ilvl="0">
      <w:startOverride w:val="1"/>
    </w:lvlOverride>
  </w:num>
  <w:num w:numId="45">
    <w:abstractNumId w:val="36"/>
    <w:lvlOverride w:ilvl="0">
      <w:startOverride w:val="1"/>
    </w:lvlOverride>
  </w:num>
  <w:num w:numId="46">
    <w:abstractNumId w:val="36"/>
    <w:lvlOverride w:ilvl="0">
      <w:startOverride w:val="1"/>
    </w:lvlOverride>
  </w:num>
  <w:num w:numId="47">
    <w:abstractNumId w:val="35"/>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lvlOverride w:ilvl="0">
      <w:startOverride w:val="1"/>
    </w:lvlOverride>
  </w:num>
  <w:num w:numId="50">
    <w:abstractNumId w:val="11"/>
  </w:num>
  <w:num w:numId="51">
    <w:abstractNumId w:val="23"/>
  </w:num>
  <w:num w:numId="52">
    <w:abstractNumId w:val="28"/>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1F01"/>
  <w:documentProtection w:edit="readOnly" w:enforcement="1" w:cryptProviderType="rsaFull" w:cryptAlgorithmClass="hash" w:cryptAlgorithmType="typeAny" w:cryptAlgorithmSid="4" w:cryptSpinCount="100000" w:hash="E/ZP8VC2zlHFQ0S8M3Qv1WgyW1U=" w:salt="oWCwYHG06Bctdg9kefbggA=="/>
  <w:defaultTabStop w:val="709"/>
  <w:autoHyphenation/>
  <w:hyphenationZone w:val="567"/>
  <w:characterSpacingControl w:val="doNotCompress"/>
  <w:hdrShapeDefaults>
    <o:shapedefaults v:ext="edit" spidmax="7170">
      <o:colormru v:ext="edit" colors="#2d4491,#283583"/>
    </o:shapedefaults>
    <o:shapelayout v:ext="edit">
      <o:idmap v:ext="edit" data="4"/>
    </o:shapelayout>
  </w:hdrShapeDefaults>
  <w:footnotePr>
    <w:footnote w:id="-1"/>
    <w:footnote w:id="0"/>
    <w:footnote w:id="1"/>
  </w:footnotePr>
  <w:endnotePr>
    <w:endnote w:id="-1"/>
    <w:endnote w:id="0"/>
    <w:endnote w:id="1"/>
  </w:endnotePr>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6567"/>
    <w:rsid w:val="0001774B"/>
    <w:rsid w:val="00020D0F"/>
    <w:rsid w:val="000215EB"/>
    <w:rsid w:val="00021E83"/>
    <w:rsid w:val="00023713"/>
    <w:rsid w:val="00023C4D"/>
    <w:rsid w:val="00025E71"/>
    <w:rsid w:val="00026269"/>
    <w:rsid w:val="00027154"/>
    <w:rsid w:val="00027ECF"/>
    <w:rsid w:val="000303BE"/>
    <w:rsid w:val="00031AE0"/>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59B"/>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6770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97D55"/>
    <w:rsid w:val="001A1642"/>
    <w:rsid w:val="001A371B"/>
    <w:rsid w:val="001A4766"/>
    <w:rsid w:val="001A6A0D"/>
    <w:rsid w:val="001A6C51"/>
    <w:rsid w:val="001A6FAA"/>
    <w:rsid w:val="001A7D73"/>
    <w:rsid w:val="001B0363"/>
    <w:rsid w:val="001B1355"/>
    <w:rsid w:val="001B2FC1"/>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2E81"/>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57E54"/>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405D"/>
    <w:rsid w:val="00286064"/>
    <w:rsid w:val="002867B1"/>
    <w:rsid w:val="00287BBB"/>
    <w:rsid w:val="00287E3B"/>
    <w:rsid w:val="00290638"/>
    <w:rsid w:val="00291763"/>
    <w:rsid w:val="00291D80"/>
    <w:rsid w:val="00293156"/>
    <w:rsid w:val="00293BE7"/>
    <w:rsid w:val="002946DC"/>
    <w:rsid w:val="00296B26"/>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597F"/>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4931"/>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0B71"/>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344F"/>
    <w:rsid w:val="00424642"/>
    <w:rsid w:val="00425ABB"/>
    <w:rsid w:val="00425BB6"/>
    <w:rsid w:val="004261A0"/>
    <w:rsid w:val="004265AA"/>
    <w:rsid w:val="00426BC3"/>
    <w:rsid w:val="00426CE1"/>
    <w:rsid w:val="00427D52"/>
    <w:rsid w:val="00430412"/>
    <w:rsid w:val="00430497"/>
    <w:rsid w:val="0043173B"/>
    <w:rsid w:val="004329D7"/>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56A54"/>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A1"/>
    <w:rsid w:val="004D42C8"/>
    <w:rsid w:val="004D4F57"/>
    <w:rsid w:val="004D50F6"/>
    <w:rsid w:val="004D5A0D"/>
    <w:rsid w:val="004D7910"/>
    <w:rsid w:val="004D7DEA"/>
    <w:rsid w:val="004E0A28"/>
    <w:rsid w:val="004E1A0F"/>
    <w:rsid w:val="004E2C65"/>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58DD"/>
    <w:rsid w:val="00506331"/>
    <w:rsid w:val="00507D11"/>
    <w:rsid w:val="00510662"/>
    <w:rsid w:val="005109B7"/>
    <w:rsid w:val="00510A19"/>
    <w:rsid w:val="00511AAB"/>
    <w:rsid w:val="005126F7"/>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0B4"/>
    <w:rsid w:val="00532EF4"/>
    <w:rsid w:val="005347CE"/>
    <w:rsid w:val="00535477"/>
    <w:rsid w:val="00535DEA"/>
    <w:rsid w:val="0053723A"/>
    <w:rsid w:val="00537636"/>
    <w:rsid w:val="00537B1D"/>
    <w:rsid w:val="00540191"/>
    <w:rsid w:val="005409F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49B"/>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31FE"/>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380B"/>
    <w:rsid w:val="00605531"/>
    <w:rsid w:val="00606240"/>
    <w:rsid w:val="0060674A"/>
    <w:rsid w:val="00607832"/>
    <w:rsid w:val="0060784B"/>
    <w:rsid w:val="00610254"/>
    <w:rsid w:val="006105FB"/>
    <w:rsid w:val="00610F94"/>
    <w:rsid w:val="00611293"/>
    <w:rsid w:val="0061135E"/>
    <w:rsid w:val="0061263A"/>
    <w:rsid w:val="00612804"/>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A4D44"/>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4E1C"/>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5AA7"/>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6D8C"/>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69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1F72"/>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7625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02"/>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603"/>
    <w:rsid w:val="009C1CA4"/>
    <w:rsid w:val="009C2532"/>
    <w:rsid w:val="009C2BA4"/>
    <w:rsid w:val="009C2FCC"/>
    <w:rsid w:val="009C6091"/>
    <w:rsid w:val="009C634F"/>
    <w:rsid w:val="009D0219"/>
    <w:rsid w:val="009D0D55"/>
    <w:rsid w:val="009D2295"/>
    <w:rsid w:val="009D2511"/>
    <w:rsid w:val="009D3E7C"/>
    <w:rsid w:val="009D55CA"/>
    <w:rsid w:val="009D5EF0"/>
    <w:rsid w:val="009D6401"/>
    <w:rsid w:val="009E06FC"/>
    <w:rsid w:val="009E0711"/>
    <w:rsid w:val="009E1917"/>
    <w:rsid w:val="009E3594"/>
    <w:rsid w:val="009E4D3C"/>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B9E"/>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3588"/>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80B"/>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197"/>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53A7"/>
    <w:rsid w:val="00C777AD"/>
    <w:rsid w:val="00C80C53"/>
    <w:rsid w:val="00C81195"/>
    <w:rsid w:val="00C85387"/>
    <w:rsid w:val="00C85E52"/>
    <w:rsid w:val="00C86471"/>
    <w:rsid w:val="00C8677B"/>
    <w:rsid w:val="00C86F96"/>
    <w:rsid w:val="00C909C6"/>
    <w:rsid w:val="00C91B80"/>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0FA"/>
    <w:rsid w:val="00CF64A7"/>
    <w:rsid w:val="00CF6730"/>
    <w:rsid w:val="00CF70E5"/>
    <w:rsid w:val="00CF7CEC"/>
    <w:rsid w:val="00D00B0F"/>
    <w:rsid w:val="00D01BF4"/>
    <w:rsid w:val="00D0272C"/>
    <w:rsid w:val="00D045CE"/>
    <w:rsid w:val="00D05082"/>
    <w:rsid w:val="00D06163"/>
    <w:rsid w:val="00D07AFD"/>
    <w:rsid w:val="00D11749"/>
    <w:rsid w:val="00D11F16"/>
    <w:rsid w:val="00D1225E"/>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2905"/>
    <w:rsid w:val="00D54050"/>
    <w:rsid w:val="00D54362"/>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27A9"/>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56A"/>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9B"/>
    <w:rsid w:val="00ED19D7"/>
    <w:rsid w:val="00ED2167"/>
    <w:rsid w:val="00ED351E"/>
    <w:rsid w:val="00ED4B27"/>
    <w:rsid w:val="00ED543C"/>
    <w:rsid w:val="00ED6BA4"/>
    <w:rsid w:val="00ED7DA7"/>
    <w:rsid w:val="00EE0598"/>
    <w:rsid w:val="00EE311C"/>
    <w:rsid w:val="00EE50B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7FA"/>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4386"/>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D4"/>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colormru v:ext="edit" colors="#2d4491,#28358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99"/>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F0769"/>
    <w:rPr>
      <w:rFonts w:ascii="Arial" w:hAnsi="Arial"/>
      <w:szCs w:val="24"/>
      <w:lang w:eastAsia="de-DE"/>
    </w:rPr>
  </w:style>
  <w:style w:type="paragraph" w:styleId="berschrift1">
    <w:name w:val="heading 1"/>
    <w:basedOn w:val="Standard"/>
    <w:next w:val="Standard"/>
    <w:link w:val="berschrift1Zchn"/>
    <w:qFormat/>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rsid w:val="00886A60"/>
    <w:pPr>
      <w:keepNext/>
      <w:keepLines/>
      <w:spacing w:before="200" w:after="120"/>
      <w:outlineLvl w:val="1"/>
    </w:pPr>
    <w:rPr>
      <w:b/>
      <w:bCs/>
      <w:szCs w:val="26"/>
    </w:rPr>
  </w:style>
  <w:style w:type="paragraph" w:styleId="berschrift3">
    <w:name w:val="heading 3"/>
    <w:basedOn w:val="Standard"/>
    <w:next w:val="Standard"/>
    <w:link w:val="berschrift3Zchn"/>
    <w:qFormat/>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qFormat/>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B64CB"/>
    <w:pPr>
      <w:tabs>
        <w:tab w:val="center" w:pos="4536"/>
        <w:tab w:val="right" w:pos="9072"/>
      </w:tabs>
    </w:pPr>
  </w:style>
  <w:style w:type="paragraph" w:styleId="Fuzeile">
    <w:name w:val="footer"/>
    <w:basedOn w:val="Standard"/>
    <w:link w:val="FuzeileZchn"/>
    <w:uiPriority w:val="99"/>
    <w:rsid w:val="005B64CB"/>
    <w:pPr>
      <w:tabs>
        <w:tab w:val="center" w:pos="4536"/>
        <w:tab w:val="right" w:pos="9072"/>
      </w:tabs>
    </w:pPr>
  </w:style>
  <w:style w:type="table" w:styleId="Tabellengitternetz">
    <w:name w:val="Table Grid"/>
    <w:basedOn w:val="NormaleTabelle"/>
    <w:uiPriority w:val="59"/>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eitenzahl">
    <w:name w:val="page number"/>
    <w:basedOn w:val="Absatz-Standardschriftar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
    <w:basedOn w:val="Standard"/>
    <w:link w:val="FunotentextZchn"/>
    <w:qFormat/>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Verzeichnis2">
    <w:name w:val="toc 2"/>
    <w:basedOn w:val="Standard"/>
    <w:next w:val="Stand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zeichen">
    <w:name w:val="annotation reference"/>
    <w:rsid w:val="004B1E61"/>
    <w:rPr>
      <w:sz w:val="16"/>
      <w:szCs w:val="16"/>
    </w:rPr>
  </w:style>
  <w:style w:type="paragraph" w:styleId="Kommentartext">
    <w:name w:val="annotation text"/>
    <w:basedOn w:val="Standard"/>
    <w:link w:val="KommentartextZchn"/>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
    <w:basedOn w:val="Standard"/>
    <w:link w:val="ListenabsatzZchn"/>
    <w:uiPriority w:val="34"/>
    <w:qFormat/>
    <w:rsid w:val="002A0C82"/>
    <w:pPr>
      <w:ind w:left="720"/>
      <w:contextualSpacing/>
    </w:pPr>
  </w:style>
  <w:style w:type="paragraph" w:styleId="Inhaltsverzeichnisberschrift">
    <w:name w:val="TOC Heading"/>
    <w:basedOn w:val="berschrift1"/>
    <w:next w:val="Stand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w:link w:val="Funoten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rsid w:val="008E1B6A"/>
  </w:style>
  <w:style w:type="paragraph" w:customStyle="1" w:styleId="ManualNumPar1">
    <w:name w:val="Manual NumPar 1"/>
    <w:basedOn w:val="Standard"/>
    <w:next w:val="Stand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Hervorhebung">
    <w:name w:val="Emphasis"/>
    <w:uiPriority w:val="20"/>
    <w:qFormat/>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chriftung">
    <w:name w:val="caption"/>
    <w:basedOn w:val="Standard"/>
    <w:next w:val="Stand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struktur">
    <w:name w:val="Document Map"/>
    <w:basedOn w:val="Standard"/>
    <w:link w:val="DokumentstrukturZchn"/>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ett">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rsid w:val="002D6E1A"/>
  </w:style>
  <w:style w:type="character" w:styleId="BesuchterHyperlink">
    <w:name w:val="FollowedHyperlink"/>
    <w:unhideWhenUs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uiPriority w:val="99"/>
    <w:rsid w:val="002D6E1A"/>
    <w:rPr>
      <w:rFonts w:ascii="Georgia" w:hAnsi="Georgia"/>
      <w:sz w:val="22"/>
      <w:szCs w:val="24"/>
      <w:lang w:eastAsia="de-DE"/>
    </w:rPr>
  </w:style>
  <w:style w:type="paragraph" w:styleId="Endnotentext">
    <w:name w:val="endnote text"/>
    <w:basedOn w:val="Standard"/>
    <w:link w:val="EndnotentextZchn"/>
    <w:unhideWhenUs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
    <w:link w:val="Listenabsatz"/>
    <w:uiPriority w:val="34"/>
    <w:locked/>
    <w:rsid w:val="002D6E1A"/>
    <w:rPr>
      <w:rFonts w:ascii="Georgia" w:hAnsi="Georgia"/>
      <w:sz w:val="22"/>
      <w:szCs w:val="24"/>
      <w:lang w:eastAsia="de-DE"/>
    </w:rPr>
  </w:style>
  <w:style w:type="paragraph" w:customStyle="1" w:styleId="04anumbering0">
    <w:name w:val="04anumbering"/>
    <w:basedOn w:val="Stand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rsid w:val="002D6E1A"/>
    <w:pPr>
      <w:ind w:left="708"/>
      <w:contextualSpacing w:val="0"/>
      <w:jc w:val="both"/>
    </w:pPr>
    <w:rPr>
      <w:b/>
      <w:szCs w:val="20"/>
      <w:u w:val="single"/>
    </w:rPr>
  </w:style>
  <w:style w:type="paragraph" w:customStyle="1" w:styleId="Bullet">
    <w:name w:val="Bullet"/>
    <w:basedOn w:val="Standar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rsid w:val="002D6E1A"/>
    <w:rPr>
      <w:vertAlign w:val="superscript"/>
    </w:rPr>
  </w:style>
  <w:style w:type="character" w:styleId="Platzhalt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eTabelle"/>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Kei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rsid w:val="00952F2C"/>
  </w:style>
  <w:style w:type="paragraph" w:customStyle="1" w:styleId="aStyle">
    <w:name w:val="a) Style"/>
    <w:basedOn w:val="Stand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berschrift5Zchn">
    <w:name w:val="Überschrift 5 Zchn"/>
    <w:aliases w:val="Questions Zchn"/>
    <w:link w:val="berschrift5"/>
    <w:rsid w:val="00E9344E"/>
    <w:rPr>
      <w:rFonts w:ascii="Georgia" w:hAnsi="Georgia"/>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rsid w:val="000D2D0B"/>
    <w:pPr>
      <w:spacing w:after="250" w:line="276" w:lineRule="auto"/>
      <w:ind w:left="397" w:hanging="397"/>
      <w:jc w:val="both"/>
    </w:p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bersch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rPr>
  </w:style>
  <w:style w:type="character" w:customStyle="1" w:styleId="WW8Num4z1">
    <w:name w:val="WW8Num4z1"/>
    <w:rsid w:val="000D2D0B"/>
    <w:rPr>
      <w:rFonts w:ascii="Courier New" w:hAnsi="Courier New" w:cs="Courier New"/>
    </w:rPr>
  </w:style>
  <w:style w:type="paragraph" w:customStyle="1" w:styleId="TOCHeading1">
    <w:name w:val="TOC Heading1"/>
    <w:basedOn w:val="berschrift1"/>
    <w:next w:val="Stand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rsid w:val="000D2D0B"/>
    <w:pPr>
      <w:keepNext/>
      <w:spacing w:before="360" w:after="120"/>
      <w:jc w:val="center"/>
    </w:pPr>
    <w:rPr>
      <w:rFonts w:ascii="Times New Roman" w:hAnsi="Times New Roman"/>
      <w:i/>
      <w:sz w:val="24"/>
    </w:rPr>
  </w:style>
  <w:style w:type="paragraph" w:customStyle="1" w:styleId="Titreobjet">
    <w:name w:val="Titre objet"/>
    <w:basedOn w:val="Standard"/>
    <w:next w:val="Stand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rsid w:val="000D2D0B"/>
    <w:pPr>
      <w:spacing w:before="120" w:after="120"/>
      <w:ind w:left="850"/>
      <w:jc w:val="both"/>
    </w:pPr>
    <w:rPr>
      <w:rFonts w:ascii="Times New Roman" w:hAnsi="Times New Roman"/>
      <w:sz w:val="24"/>
      <w:lang w:eastAsia="en-US"/>
    </w:rPr>
  </w:style>
  <w:style w:type="paragraph" w:customStyle="1" w:styleId="Text2">
    <w:name w:val="Text 2"/>
    <w:basedOn w:val="Standard"/>
    <w:rsid w:val="000D2D0B"/>
    <w:pPr>
      <w:spacing w:before="120" w:after="120"/>
      <w:ind w:left="1417"/>
      <w:jc w:val="both"/>
    </w:pPr>
    <w:rPr>
      <w:rFonts w:ascii="Times New Roman" w:hAnsi="Times New Roman"/>
      <w:sz w:val="24"/>
      <w:lang w:eastAsia="en-US"/>
    </w:rPr>
  </w:style>
  <w:style w:type="paragraph" w:customStyle="1" w:styleId="Text3">
    <w:name w:val="Text 3"/>
    <w:basedOn w:val="Standard"/>
    <w:rsid w:val="000D2D0B"/>
    <w:pPr>
      <w:spacing w:before="120" w:after="120"/>
      <w:ind w:left="1984"/>
      <w:jc w:val="both"/>
    </w:pPr>
    <w:rPr>
      <w:rFonts w:ascii="Times New Roman" w:hAnsi="Times New Roman"/>
      <w:sz w:val="24"/>
      <w:lang w:eastAsia="en-US"/>
    </w:rPr>
  </w:style>
  <w:style w:type="paragraph" w:customStyle="1" w:styleId="Text4">
    <w:name w:val="Text 4"/>
    <w:basedOn w:val="Stand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rsid w:val="000D2D0B"/>
    <w:pPr>
      <w:spacing w:after="240"/>
    </w:pPr>
    <w:rPr>
      <w:rFonts w:ascii="Times New Roman" w:hAnsi="Times New Roman"/>
      <w:sz w:val="24"/>
      <w:lang w:eastAsia="en-US"/>
    </w:rPr>
  </w:style>
  <w:style w:type="paragraph" w:customStyle="1" w:styleId="Datedadoption">
    <w:name w:val="Date d'adoption"/>
    <w:basedOn w:val="Stand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rsid w:val="000D2D0B"/>
    <w:rPr>
      <w:rFonts w:cs="Arial"/>
      <w:sz w:val="24"/>
      <w:lang w:eastAsia="en-US"/>
    </w:rPr>
  </w:style>
  <w:style w:type="paragraph" w:customStyle="1" w:styleId="Rfrenceinstitutionnelle">
    <w:name w:val="Référence institutionnelle"/>
    <w:basedOn w:val="Stand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rd"/>
    <w:rsid w:val="000D2D0B"/>
    <w:pPr>
      <w:jc w:val="center"/>
    </w:pPr>
    <w:rPr>
      <w:rFonts w:ascii="Times New Roman" w:hAnsi="Times New Roman"/>
      <w:b/>
      <w:sz w:val="24"/>
      <w:lang w:eastAsia="en-US"/>
    </w:rPr>
  </w:style>
  <w:style w:type="paragraph" w:customStyle="1" w:styleId="Statut">
    <w:name w:val="Statut"/>
    <w:basedOn w:val="Stand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rd"/>
    <w:next w:val="Stand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rsid w:val="000D2D0B"/>
    <w:pPr>
      <w:spacing w:before="360"/>
      <w:jc w:val="center"/>
    </w:pPr>
    <w:rPr>
      <w:rFonts w:ascii="Times New Roman" w:hAnsi="Times New Roman"/>
      <w:sz w:val="24"/>
      <w:lang w:eastAsia="en-US"/>
    </w:rPr>
  </w:style>
  <w:style w:type="paragraph" w:customStyle="1" w:styleId="Rfrencecroise">
    <w:name w:val="Référence croisée"/>
    <w:basedOn w:val="Standar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rsid w:val="000D2D0B"/>
    <w:pPr>
      <w:spacing w:after="240"/>
    </w:pPr>
  </w:style>
  <w:style w:type="paragraph" w:customStyle="1" w:styleId="Accompagnant">
    <w:name w:val="Accompagnant"/>
    <w:basedOn w:val="Stand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rd"/>
    <w:next w:val="Standard"/>
    <w:rsid w:val="000D2D0B"/>
    <w:pPr>
      <w:spacing w:before="360"/>
      <w:jc w:val="center"/>
    </w:pPr>
    <w:rPr>
      <w:rFonts w:ascii="Times New Roman" w:hAnsi="Times New Roman"/>
      <w:sz w:val="24"/>
      <w:lang w:eastAsia="en-US"/>
    </w:rPr>
  </w:style>
  <w:style w:type="paragraph" w:styleId="Listennummer2">
    <w:name w:val="List Number 2"/>
    <w:basedOn w:val="Standar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rsid w:val="000D2D0B"/>
    <w:pPr>
      <w:ind w:left="720"/>
      <w:contextualSpacing/>
    </w:pPr>
    <w:rPr>
      <w:rFonts w:ascii="Cambria" w:hAnsi="Cambria"/>
      <w:sz w:val="24"/>
      <w:lang w:val="en-US" w:eastAsia="en-US"/>
    </w:rPr>
  </w:style>
  <w:style w:type="paragraph" w:customStyle="1" w:styleId="Listeavsnitt1">
    <w:name w:val="Listeavsnitt1"/>
    <w:basedOn w:val="Stand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rPr>
  </w:style>
  <w:style w:type="paragraph" w:customStyle="1" w:styleId="CODArticle12">
    <w:name w:val="COD Article + 12"/>
    <w:basedOn w:val="Stand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rPr>
  </w:style>
  <w:style w:type="paragraph" w:customStyle="1" w:styleId="04fBodytextline">
    <w:name w:val="04f_Body text line"/>
    <w:basedOn w:val="04BodyText"/>
    <w:rsid w:val="000D2D0B"/>
    <w:pPr>
      <w:pBdr>
        <w:bottom w:val="single" w:sz="4" w:space="12" w:color="000000"/>
      </w:pBdr>
      <w:tabs>
        <w:tab w:val="left" w:pos="454"/>
      </w:tabs>
    </w:pPr>
    <w:rPr>
      <w:color w:val="000000"/>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rPr>
  </w:style>
  <w:style w:type="character" w:customStyle="1" w:styleId="04RunningTextChar">
    <w:name w:val="04_Running Text Char"/>
    <w:link w:val="04RunningText"/>
    <w:rsid w:val="000D2D0B"/>
    <w:rPr>
      <w:rFonts w:ascii="Georgia" w:hAnsi="Georgia"/>
      <w:szCs w:val="24"/>
      <w:lang w:eastAsia="de-DE"/>
    </w:rPr>
  </w:style>
  <w:style w:type="character" w:customStyle="1" w:styleId="AnnexChar">
    <w:name w:val="Annex Char"/>
    <w:link w:val="Annex"/>
    <w:rsid w:val="000D2D0B"/>
    <w:rPr>
      <w:rFonts w:ascii="Georgia" w:hAnsi="Georgia"/>
      <w:b/>
      <w:color w:val="000000"/>
      <w:szCs w:val="24"/>
      <w:lang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rd"/>
    <w:link w:val="aStyle1Char"/>
    <w:qFormat/>
    <w:rsid w:val="000D2D0B"/>
    <w:pPr>
      <w:numPr>
        <w:numId w:val="29"/>
      </w:numPr>
      <w:suppressAutoHyphens/>
      <w:spacing w:after="250" w:line="276" w:lineRule="auto"/>
      <w:jc w:val="both"/>
    </w:pPr>
    <w:rPr>
      <w:szCs w:val="20"/>
    </w:rPr>
  </w:style>
  <w:style w:type="character" w:customStyle="1" w:styleId="aStyle1Char">
    <w:name w:val="a. Style1 Char"/>
    <w:link w:val="aStyle1"/>
    <w:rsid w:val="000D2D0B"/>
    <w:rPr>
      <w:rFonts w:ascii="Georgia" w:hAnsi="Georgia"/>
    </w:rPr>
  </w:style>
  <w:style w:type="paragraph" w:styleId="Titel">
    <w:name w:val="Title"/>
    <w:basedOn w:val="Standard"/>
    <w:next w:val="Standard"/>
    <w:link w:val="TitelZch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gitternetz"/>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chwacheHervorhebung">
    <w:name w:val="Subtle Emphasis"/>
    <w:aliases w:val="Question"/>
    <w:uiPriority w:val="19"/>
    <w:qFormat/>
    <w:rsid w:val="003A6E9A"/>
    <w:rPr>
      <w:b/>
      <w:i w:val="0"/>
      <w:iCs/>
      <w:sz w:val="20"/>
    </w:rPr>
  </w:style>
  <w:style w:type="paragraph" w:customStyle="1" w:styleId="NEW-Paragraph-Level1">
    <w:name w:val="NEW-Paragraph-Level1"/>
    <w:basedOn w:val="Stand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Stand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Stand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Stand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ST">
    <w:name w:val="QST"/>
    <w:basedOn w:val="Listenabsatz"/>
    <w:link w:val="QSTChar"/>
    <w:qFormat/>
    <w:rsid w:val="005D31FE"/>
    <w:pPr>
      <w:spacing w:after="250" w:line="276" w:lineRule="auto"/>
      <w:ind w:hanging="360"/>
      <w:contextualSpacing w:val="0"/>
      <w:jc w:val="both"/>
    </w:pPr>
    <w:rPr>
      <w:rFonts w:eastAsiaTheme="minorEastAsia" w:cstheme="minorBidi"/>
      <w:b/>
      <w:szCs w:val="20"/>
      <w:lang w:eastAsia="en-US"/>
    </w:rPr>
  </w:style>
  <w:style w:type="character" w:customStyle="1" w:styleId="QSTChar">
    <w:name w:val="QST Char"/>
    <w:basedOn w:val="Absatz-Standardschriftart"/>
    <w:link w:val="QST"/>
    <w:rsid w:val="005D31FE"/>
    <w:rPr>
      <w:rFonts w:ascii="Arial" w:eastAsiaTheme="minorEastAsia" w:hAnsi="Arial" w:cstheme="minorBidi"/>
      <w:b/>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99"/>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ST">
    <w:name w:val="QST"/>
    <w:basedOn w:val="ListParagraph"/>
    <w:link w:val="QSTChar"/>
    <w:qFormat/>
    <w:rsid w:val="005D31FE"/>
    <w:pPr>
      <w:spacing w:after="250" w:line="276" w:lineRule="auto"/>
      <w:ind w:hanging="360"/>
      <w:contextualSpacing w:val="0"/>
      <w:jc w:val="both"/>
    </w:pPr>
    <w:rPr>
      <w:rFonts w:eastAsiaTheme="minorEastAsia" w:cstheme="minorBidi"/>
      <w:b/>
      <w:szCs w:val="20"/>
      <w:lang w:eastAsia="en-US"/>
    </w:rPr>
  </w:style>
  <w:style w:type="character" w:customStyle="1" w:styleId="QSTChar">
    <w:name w:val="QST Char"/>
    <w:basedOn w:val="DefaultParagraphFont"/>
    <w:link w:val="QST"/>
    <w:rsid w:val="005D31FE"/>
    <w:rPr>
      <w:rFonts w:ascii="Arial" w:eastAsiaTheme="minorEastAsia" w:hAnsi="Arial" w:cstheme="minorBidi"/>
      <w:b/>
      <w:lang w:eastAsia="en-US"/>
    </w:rPr>
  </w:style>
</w:styles>
</file>

<file path=word/webSettings.xml><?xml version="1.0" encoding="utf-8"?>
<w:webSettings xmlns:r="http://schemas.openxmlformats.org/officeDocument/2006/relationships" xmlns:w="http://schemas.openxmlformats.org/wordprocessingml/2006/main">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9026F-60E6-4EFB-BADC-E3099CF0E251}">
  <ds:schemaRefs>
    <ds:schemaRef ds:uri="http://schemas.openxmlformats.org/officeDocument/2006/bibliography"/>
  </ds:schemaRefs>
</ds:datastoreItem>
</file>

<file path=customXml/itemProps2.xml><?xml version="1.0" encoding="utf-8"?>
<ds:datastoreItem xmlns:ds="http://schemas.openxmlformats.org/officeDocument/2006/customXml" ds:itemID="{A3DA2726-B8BD-4C3D-8119-D13320C66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2911</Words>
  <Characters>18346</Characters>
  <Application>Microsoft Office Word</Application>
  <DocSecurity>8</DocSecurity>
  <Lines>152</Lines>
  <Paragraphs>42</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21215</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Thomas Missong</cp:lastModifiedBy>
  <cp:revision>3</cp:revision>
  <cp:lastPrinted>2015-02-18T11:01:00Z</cp:lastPrinted>
  <dcterms:created xsi:type="dcterms:W3CDTF">2016-02-19T14:01:00Z</dcterms:created>
  <dcterms:modified xsi:type="dcterms:W3CDTF">2016-02-19T14:03:00Z</dcterms:modified>
</cp:coreProperties>
</file>