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olo1"/>
        <w:numPr>
          <w:ilvl w:val="0"/>
          <w:numId w:val="0"/>
        </w:numPr>
        <w:ind w:left="431" w:hanging="431"/>
      </w:pPr>
      <w:r>
        <w:t>Introduction</w:t>
      </w:r>
    </w:p>
    <w:p w:rsidR="00C33ACE" w:rsidRPr="00C33ACE" w:rsidRDefault="00C33ACE" w:rsidP="00C33ACE"/>
    <w:p w:rsidR="00D34282" w:rsidRDefault="00D34282" w:rsidP="00D34282">
      <w:pPr>
        <w:rPr>
          <w:rStyle w:val="Enfasiintensa"/>
        </w:rPr>
      </w:pPr>
      <w:r w:rsidRPr="001D47A5">
        <w:rPr>
          <w:rStyle w:val="Enfasiintensa"/>
        </w:rPr>
        <w:t>Please make your introductory comments below, if any:</w:t>
      </w:r>
    </w:p>
    <w:p w:rsidR="002E2BC1" w:rsidRPr="001D47A5" w:rsidRDefault="002E2BC1" w:rsidP="00D34282">
      <w:pPr>
        <w:rPr>
          <w:rStyle w:val="Enfasiintensa"/>
        </w:rPr>
      </w:pPr>
    </w:p>
    <w:p w:rsidR="00D34282" w:rsidRPr="00C25863" w:rsidRDefault="00D34282" w:rsidP="00D34282">
      <w:r w:rsidRPr="00C25863">
        <w:t>&lt;</w:t>
      </w:r>
      <w:r>
        <w:t>ESMA_COMMENT</w:t>
      </w:r>
      <w:r w:rsidRPr="00C25863">
        <w:t>_</w:t>
      </w:r>
      <w:r w:rsidR="000E35CB">
        <w:rPr>
          <w:rFonts w:cs="Arial"/>
        </w:rPr>
        <w:t>PRIIPS</w:t>
      </w:r>
      <w:r w:rsidRPr="00C25863">
        <w:t>_1&gt;</w:t>
      </w:r>
    </w:p>
    <w:p w:rsidR="00790116" w:rsidRPr="008542F3" w:rsidRDefault="00790116" w:rsidP="00790116">
      <w:pPr>
        <w:jc w:val="both"/>
        <w:rPr>
          <w:rFonts w:cs="Arial"/>
          <w:b/>
          <w:szCs w:val="20"/>
          <w:lang w:val="en-US"/>
        </w:rPr>
      </w:pPr>
      <w:permStart w:id="1761937283" w:edGrp="everyone"/>
      <w:r w:rsidRPr="008542F3">
        <w:rPr>
          <w:rFonts w:cs="Arial"/>
          <w:b/>
          <w:szCs w:val="20"/>
          <w:lang w:val="en-US"/>
        </w:rPr>
        <w:t>Introduction</w:t>
      </w:r>
    </w:p>
    <w:p w:rsidR="00790116" w:rsidRPr="008542F3" w:rsidRDefault="00790116" w:rsidP="00790116">
      <w:pPr>
        <w:jc w:val="both"/>
        <w:rPr>
          <w:rFonts w:cs="Arial"/>
          <w:szCs w:val="20"/>
          <w:lang w:val="en-US"/>
        </w:rPr>
      </w:pPr>
    </w:p>
    <w:p w:rsidR="00790116" w:rsidRDefault="00790116" w:rsidP="00790116">
      <w:pPr>
        <w:jc w:val="both"/>
        <w:rPr>
          <w:rFonts w:cs="Arial"/>
          <w:szCs w:val="20"/>
          <w:lang w:val="en-US"/>
        </w:rPr>
      </w:pPr>
      <w:proofErr w:type="gramStart"/>
      <w:r w:rsidRPr="008542F3">
        <w:rPr>
          <w:rFonts w:cs="Arial"/>
          <w:szCs w:val="20"/>
          <w:lang w:val="en-US"/>
        </w:rPr>
        <w:t xml:space="preserve">Before </w:t>
      </w:r>
      <w:r w:rsidR="001106C9">
        <w:rPr>
          <w:rFonts w:cs="Arial"/>
          <w:szCs w:val="20"/>
          <w:lang w:val="en-US"/>
        </w:rPr>
        <w:t xml:space="preserve">proceeding to </w:t>
      </w:r>
      <w:r w:rsidRPr="008542F3">
        <w:rPr>
          <w:rFonts w:cs="Arial"/>
          <w:szCs w:val="20"/>
          <w:lang w:val="en-US"/>
        </w:rPr>
        <w:t xml:space="preserve">comment </w:t>
      </w:r>
      <w:r w:rsidR="001106C9">
        <w:rPr>
          <w:rFonts w:cs="Arial"/>
          <w:szCs w:val="20"/>
          <w:lang w:val="en-US"/>
        </w:rPr>
        <w:t xml:space="preserve">on </w:t>
      </w:r>
      <w:r w:rsidRPr="008542F3">
        <w:rPr>
          <w:rFonts w:cs="Arial"/>
          <w:szCs w:val="20"/>
          <w:lang w:val="en-US"/>
        </w:rPr>
        <w:t xml:space="preserve">specific items </w:t>
      </w:r>
      <w:r w:rsidR="001106C9">
        <w:rPr>
          <w:rFonts w:cs="Arial"/>
          <w:szCs w:val="20"/>
          <w:lang w:val="en-US"/>
        </w:rPr>
        <w:t xml:space="preserve">on </w:t>
      </w:r>
      <w:r w:rsidRPr="008542F3">
        <w:rPr>
          <w:rFonts w:cs="Arial"/>
          <w:szCs w:val="20"/>
          <w:lang w:val="en-US"/>
        </w:rPr>
        <w:t xml:space="preserve">the Consultation Paper, we </w:t>
      </w:r>
      <w:r w:rsidR="001106C9">
        <w:rPr>
          <w:rFonts w:cs="Arial"/>
          <w:szCs w:val="20"/>
          <w:lang w:val="en-US"/>
        </w:rPr>
        <w:t xml:space="preserve">feel it must be </w:t>
      </w:r>
      <w:r w:rsidRPr="008542F3">
        <w:rPr>
          <w:rFonts w:cs="Arial"/>
          <w:szCs w:val="20"/>
          <w:lang w:val="en-US"/>
        </w:rPr>
        <w:t>highlight</w:t>
      </w:r>
      <w:r w:rsidR="001106C9">
        <w:rPr>
          <w:rFonts w:cs="Arial"/>
          <w:szCs w:val="20"/>
          <w:lang w:val="en-US"/>
        </w:rPr>
        <w:t>ed</w:t>
      </w:r>
      <w:r w:rsidRPr="008542F3">
        <w:rPr>
          <w:rFonts w:cs="Arial"/>
          <w:szCs w:val="20"/>
          <w:lang w:val="en-US"/>
        </w:rPr>
        <w:t xml:space="preserve"> that the PRIIPS Regulation Level 1 </w:t>
      </w:r>
      <w:r w:rsidR="001106C9">
        <w:rPr>
          <w:rFonts w:cs="Arial"/>
          <w:szCs w:val="20"/>
          <w:lang w:val="en-US"/>
        </w:rPr>
        <w:t xml:space="preserve">has </w:t>
      </w:r>
      <w:r w:rsidRPr="008542F3">
        <w:rPr>
          <w:rFonts w:cs="Arial"/>
          <w:szCs w:val="20"/>
          <w:lang w:val="en-US"/>
        </w:rPr>
        <w:t>raise</w:t>
      </w:r>
      <w:r w:rsidR="001106C9">
        <w:rPr>
          <w:rFonts w:cs="Arial"/>
          <w:szCs w:val="20"/>
          <w:lang w:val="en-US"/>
        </w:rPr>
        <w:t>d</w:t>
      </w:r>
      <w:r w:rsidRPr="008542F3">
        <w:rPr>
          <w:rFonts w:cs="Arial"/>
          <w:szCs w:val="20"/>
          <w:lang w:val="en-US"/>
        </w:rPr>
        <w:t xml:space="preserve"> many doubts </w:t>
      </w:r>
      <w:r w:rsidR="001106C9">
        <w:rPr>
          <w:rFonts w:cs="Arial"/>
          <w:szCs w:val="20"/>
          <w:lang w:val="en-US"/>
        </w:rPr>
        <w:t xml:space="preserve">both in terms of the </w:t>
      </w:r>
      <w:r w:rsidRPr="008542F3">
        <w:rPr>
          <w:rFonts w:cs="Arial"/>
          <w:szCs w:val="20"/>
          <w:lang w:val="en-US"/>
        </w:rPr>
        <w:t xml:space="preserve">products to be considered in scope </w:t>
      </w:r>
      <w:r w:rsidR="001106C9">
        <w:rPr>
          <w:rFonts w:cs="Arial"/>
          <w:szCs w:val="20"/>
          <w:lang w:val="en-US"/>
        </w:rPr>
        <w:t xml:space="preserve">and in terms of required </w:t>
      </w:r>
      <w:proofErr w:type="spellStart"/>
      <w:r w:rsidRPr="008542F3">
        <w:rPr>
          <w:rFonts w:cs="Arial"/>
          <w:szCs w:val="20"/>
          <w:lang w:val="en-US"/>
        </w:rPr>
        <w:t>behaviour</w:t>
      </w:r>
      <w:proofErr w:type="spellEnd"/>
      <w:r w:rsidRPr="008542F3">
        <w:rPr>
          <w:rFonts w:cs="Arial"/>
          <w:szCs w:val="20"/>
          <w:lang w:val="en-US"/>
        </w:rPr>
        <w:t xml:space="preserve"> </w:t>
      </w:r>
      <w:r w:rsidR="001106C9">
        <w:rPr>
          <w:rFonts w:cs="Arial"/>
          <w:szCs w:val="20"/>
          <w:lang w:val="en-US"/>
        </w:rPr>
        <w:t>by</w:t>
      </w:r>
      <w:r w:rsidRPr="008542F3">
        <w:rPr>
          <w:rFonts w:cs="Arial"/>
          <w:szCs w:val="20"/>
          <w:lang w:val="en-US"/>
        </w:rPr>
        <w:t xml:space="preserve"> manufacturers and </w:t>
      </w:r>
      <w:proofErr w:type="spellStart"/>
      <w:r w:rsidRPr="008542F3">
        <w:rPr>
          <w:rFonts w:cs="Arial"/>
          <w:szCs w:val="20"/>
          <w:lang w:val="en-US"/>
        </w:rPr>
        <w:t>distributors.Therefore</w:t>
      </w:r>
      <w:proofErr w:type="spellEnd"/>
      <w:r w:rsidRPr="008542F3">
        <w:rPr>
          <w:rFonts w:cs="Arial"/>
          <w:szCs w:val="20"/>
          <w:lang w:val="en-US"/>
        </w:rPr>
        <w:t xml:space="preserve"> it is </w:t>
      </w:r>
      <w:r w:rsidR="001106C9">
        <w:rPr>
          <w:rFonts w:cs="Arial"/>
          <w:szCs w:val="20"/>
          <w:lang w:val="en-US"/>
        </w:rPr>
        <w:t xml:space="preserve">pressingly </w:t>
      </w:r>
      <w:r w:rsidRPr="008542F3">
        <w:rPr>
          <w:rFonts w:cs="Arial"/>
          <w:szCs w:val="20"/>
          <w:lang w:val="en-US"/>
        </w:rPr>
        <w:t xml:space="preserve"> urgent that the European Commission and the Joint Committee of the European Supervisory Authorities </w:t>
      </w:r>
      <w:r w:rsidR="001106C9">
        <w:rPr>
          <w:rFonts w:cs="Arial"/>
          <w:szCs w:val="20"/>
          <w:lang w:val="en-US"/>
        </w:rPr>
        <w:t xml:space="preserve">provide greater </w:t>
      </w:r>
      <w:r w:rsidRPr="008542F3">
        <w:rPr>
          <w:rFonts w:cs="Arial"/>
          <w:szCs w:val="20"/>
          <w:lang w:val="en-US"/>
        </w:rPr>
        <w:t xml:space="preserve">clarity on the following aspects </w:t>
      </w:r>
      <w:r w:rsidR="001106C9">
        <w:rPr>
          <w:rFonts w:cs="Arial"/>
          <w:szCs w:val="20"/>
          <w:lang w:val="en-US"/>
        </w:rPr>
        <w:t xml:space="preserve">through </w:t>
      </w:r>
      <w:r w:rsidRPr="008542F3">
        <w:rPr>
          <w:rFonts w:cs="Arial"/>
          <w:szCs w:val="20"/>
          <w:lang w:val="en-US"/>
        </w:rPr>
        <w:t xml:space="preserve">the final version of the RTS and </w:t>
      </w:r>
      <w:r w:rsidR="001106C9">
        <w:rPr>
          <w:rFonts w:cs="Arial"/>
          <w:szCs w:val="20"/>
          <w:lang w:val="en-US"/>
        </w:rPr>
        <w:t>s</w:t>
      </w:r>
      <w:r w:rsidRPr="008542F3">
        <w:rPr>
          <w:rFonts w:cs="Arial"/>
          <w:szCs w:val="20"/>
          <w:lang w:val="en-US"/>
        </w:rPr>
        <w:t>pecific “Questions and answers (Q&amp;A)”.</w:t>
      </w:r>
      <w:proofErr w:type="gramEnd"/>
    </w:p>
    <w:p w:rsidR="00000A02" w:rsidRPr="008542F3" w:rsidRDefault="00000A02" w:rsidP="00790116">
      <w:pPr>
        <w:jc w:val="both"/>
        <w:rPr>
          <w:rFonts w:cs="Arial"/>
          <w:szCs w:val="20"/>
          <w:lang w:val="en-US"/>
        </w:rPr>
      </w:pPr>
    </w:p>
    <w:p w:rsidR="00790116" w:rsidRDefault="00790116" w:rsidP="00790116">
      <w:pPr>
        <w:jc w:val="both"/>
        <w:rPr>
          <w:b/>
        </w:rPr>
      </w:pPr>
    </w:p>
    <w:p w:rsidR="00790116" w:rsidRPr="00790116" w:rsidRDefault="00790116" w:rsidP="00C3542E">
      <w:pPr>
        <w:pStyle w:val="Paragrafoelenco"/>
        <w:numPr>
          <w:ilvl w:val="0"/>
          <w:numId w:val="42"/>
        </w:numPr>
        <w:jc w:val="both"/>
        <w:rPr>
          <w:b/>
        </w:rPr>
      </w:pPr>
      <w:r w:rsidRPr="00790116">
        <w:rPr>
          <w:b/>
        </w:rPr>
        <w:t>L1 PRIIPS Regulation: scope</w:t>
      </w:r>
    </w:p>
    <w:p w:rsidR="00790116" w:rsidRDefault="00790116" w:rsidP="00790116">
      <w:pPr>
        <w:jc w:val="both"/>
        <w:rPr>
          <w:b/>
        </w:rPr>
      </w:pPr>
    </w:p>
    <w:p w:rsidR="00790116" w:rsidRPr="008542F3" w:rsidRDefault="00790116" w:rsidP="00790116">
      <w:pPr>
        <w:jc w:val="both"/>
        <w:rPr>
          <w:rFonts w:cs="Arial"/>
          <w:szCs w:val="20"/>
          <w:lang w:val="en-US"/>
        </w:rPr>
      </w:pPr>
      <w:r w:rsidRPr="008542F3">
        <w:rPr>
          <w:rFonts w:cs="Arial"/>
          <w:szCs w:val="20"/>
          <w:lang w:val="en-US"/>
        </w:rPr>
        <w:t>1.</w:t>
      </w:r>
      <w:r w:rsidRPr="008542F3">
        <w:rPr>
          <w:rFonts w:cs="Arial"/>
          <w:szCs w:val="20"/>
          <w:lang w:val="en-US"/>
        </w:rPr>
        <w:tab/>
        <w:t xml:space="preserve">Will the Regulation requirements apply only to those PRIIPs that </w:t>
      </w:r>
      <w:proofErr w:type="gramStart"/>
      <w:r w:rsidRPr="008542F3">
        <w:rPr>
          <w:rFonts w:cs="Arial"/>
          <w:szCs w:val="20"/>
          <w:lang w:val="en-US"/>
        </w:rPr>
        <w:t>are issued</w:t>
      </w:r>
      <w:proofErr w:type="gramEnd"/>
      <w:r w:rsidRPr="008542F3">
        <w:rPr>
          <w:rFonts w:cs="Arial"/>
          <w:szCs w:val="20"/>
          <w:lang w:val="en-US"/>
        </w:rPr>
        <w:t xml:space="preserve"> on or after the date of its application (i.e. PRIIPs issued on or after December 31, 2016)? </w:t>
      </w:r>
      <w:r w:rsidR="001106C9">
        <w:rPr>
          <w:rFonts w:cs="Arial"/>
          <w:szCs w:val="20"/>
          <w:lang w:val="en-US"/>
        </w:rPr>
        <w:t xml:space="preserve">It is our expectation </w:t>
      </w:r>
      <w:r w:rsidRPr="008542F3">
        <w:rPr>
          <w:rFonts w:cs="Arial"/>
          <w:szCs w:val="20"/>
          <w:lang w:val="en-US"/>
        </w:rPr>
        <w:t xml:space="preserve">that </w:t>
      </w:r>
      <w:r w:rsidR="001106C9">
        <w:rPr>
          <w:rFonts w:cs="Arial"/>
          <w:szCs w:val="20"/>
          <w:lang w:val="en-US"/>
        </w:rPr>
        <w:t xml:space="preserve">particularly </w:t>
      </w:r>
      <w:r w:rsidRPr="008542F3">
        <w:rPr>
          <w:rFonts w:cs="Arial"/>
          <w:szCs w:val="20"/>
          <w:lang w:val="en-US"/>
        </w:rPr>
        <w:t xml:space="preserve">PRIIPS with a fixed tenor issued </w:t>
      </w:r>
      <w:r w:rsidR="001106C9">
        <w:rPr>
          <w:rFonts w:cs="Arial"/>
          <w:szCs w:val="20"/>
          <w:lang w:val="en-US"/>
        </w:rPr>
        <w:t>prior to</w:t>
      </w:r>
      <w:r w:rsidRPr="008542F3">
        <w:rPr>
          <w:rFonts w:cs="Arial"/>
          <w:szCs w:val="20"/>
          <w:lang w:val="en-US"/>
        </w:rPr>
        <w:t xml:space="preserve"> December 31, 2016 can be exempted from having the KID.</w:t>
      </w:r>
    </w:p>
    <w:p w:rsidR="00790116" w:rsidRPr="008542F3" w:rsidRDefault="00790116" w:rsidP="00790116">
      <w:pPr>
        <w:jc w:val="both"/>
        <w:rPr>
          <w:rFonts w:cs="Arial"/>
          <w:szCs w:val="20"/>
          <w:lang w:val="en-US"/>
        </w:rPr>
      </w:pPr>
    </w:p>
    <w:p w:rsidR="00790116" w:rsidRPr="008542F3" w:rsidRDefault="00790116" w:rsidP="00790116">
      <w:pPr>
        <w:jc w:val="both"/>
        <w:rPr>
          <w:rFonts w:cs="Arial"/>
          <w:szCs w:val="20"/>
          <w:lang w:val="en-US"/>
        </w:rPr>
      </w:pPr>
      <w:r w:rsidRPr="008542F3">
        <w:rPr>
          <w:rFonts w:cs="Arial"/>
          <w:szCs w:val="20"/>
          <w:lang w:val="en-US"/>
        </w:rPr>
        <w:t>2.</w:t>
      </w:r>
      <w:r w:rsidRPr="008542F3">
        <w:rPr>
          <w:rFonts w:cs="Arial"/>
          <w:szCs w:val="20"/>
          <w:lang w:val="en-US"/>
        </w:rPr>
        <w:tab/>
        <w:t xml:space="preserve">Will the Regulation </w:t>
      </w:r>
      <w:r w:rsidR="001106C9">
        <w:rPr>
          <w:rFonts w:cs="Arial"/>
          <w:szCs w:val="20"/>
          <w:lang w:val="en-US"/>
        </w:rPr>
        <w:t xml:space="preserve">only </w:t>
      </w:r>
      <w:r w:rsidRPr="008542F3">
        <w:rPr>
          <w:rFonts w:cs="Arial"/>
          <w:szCs w:val="20"/>
          <w:lang w:val="en-US"/>
        </w:rPr>
        <w:t>apply to PRIIPs manufactured by EU entities</w:t>
      </w:r>
      <w:r w:rsidR="001106C9">
        <w:rPr>
          <w:rFonts w:cs="Arial"/>
          <w:szCs w:val="20"/>
          <w:lang w:val="en-US"/>
        </w:rPr>
        <w:t>,</w:t>
      </w:r>
      <w:r w:rsidRPr="008542F3">
        <w:rPr>
          <w:rFonts w:cs="Arial"/>
          <w:szCs w:val="20"/>
          <w:lang w:val="en-US"/>
        </w:rPr>
        <w:t xml:space="preserve"> or </w:t>
      </w:r>
      <w:proofErr w:type="gramStart"/>
      <w:r w:rsidR="001106C9">
        <w:rPr>
          <w:rFonts w:cs="Arial"/>
          <w:szCs w:val="20"/>
          <w:lang w:val="en-US"/>
        </w:rPr>
        <w:t xml:space="preserve">are </w:t>
      </w:r>
      <w:r w:rsidRPr="008542F3">
        <w:rPr>
          <w:rFonts w:cs="Arial"/>
          <w:szCs w:val="20"/>
          <w:lang w:val="en-US"/>
        </w:rPr>
        <w:t>its requirements intended</w:t>
      </w:r>
      <w:proofErr w:type="gramEnd"/>
      <w:r w:rsidRPr="008542F3">
        <w:rPr>
          <w:rFonts w:cs="Arial"/>
          <w:szCs w:val="20"/>
          <w:lang w:val="en-US"/>
        </w:rPr>
        <w:t xml:space="preserve"> to be binding </w:t>
      </w:r>
      <w:r w:rsidR="00035F5A">
        <w:rPr>
          <w:rFonts w:cs="Arial"/>
          <w:szCs w:val="20"/>
          <w:lang w:val="en-US"/>
        </w:rPr>
        <w:t xml:space="preserve">also on </w:t>
      </w:r>
      <w:r w:rsidRPr="008542F3">
        <w:rPr>
          <w:rFonts w:cs="Arial"/>
          <w:szCs w:val="20"/>
          <w:lang w:val="en-US"/>
        </w:rPr>
        <w:t>products manufactured by third</w:t>
      </w:r>
      <w:r w:rsidR="00035F5A">
        <w:rPr>
          <w:rFonts w:cs="Arial"/>
          <w:szCs w:val="20"/>
          <w:lang w:val="en-US"/>
        </w:rPr>
        <w:t>-</w:t>
      </w:r>
      <w:r w:rsidRPr="008542F3">
        <w:rPr>
          <w:rFonts w:cs="Arial"/>
          <w:szCs w:val="20"/>
          <w:lang w:val="en-US"/>
        </w:rPr>
        <w:t>country fir</w:t>
      </w:r>
      <w:r w:rsidR="00035F5A">
        <w:rPr>
          <w:rFonts w:cs="Arial"/>
          <w:szCs w:val="20"/>
          <w:lang w:val="en-US"/>
        </w:rPr>
        <w:t xml:space="preserve">ms and </w:t>
      </w:r>
      <w:r w:rsidRPr="008542F3">
        <w:rPr>
          <w:rFonts w:cs="Arial"/>
          <w:szCs w:val="20"/>
          <w:lang w:val="en-US"/>
        </w:rPr>
        <w:t>distributed/traded in the EU, as well? In this lat</w:t>
      </w:r>
      <w:r w:rsidR="00035F5A">
        <w:rPr>
          <w:rFonts w:cs="Arial"/>
          <w:szCs w:val="20"/>
          <w:lang w:val="en-US"/>
        </w:rPr>
        <w:t>ter</w:t>
      </w:r>
      <w:r w:rsidRPr="008542F3">
        <w:rPr>
          <w:rFonts w:cs="Arial"/>
          <w:szCs w:val="20"/>
          <w:lang w:val="en-US"/>
        </w:rPr>
        <w:t xml:space="preserve"> </w:t>
      </w:r>
      <w:proofErr w:type="gramStart"/>
      <w:r w:rsidRPr="008542F3">
        <w:rPr>
          <w:rFonts w:cs="Arial"/>
          <w:szCs w:val="20"/>
          <w:lang w:val="en-US"/>
        </w:rPr>
        <w:t>case</w:t>
      </w:r>
      <w:proofErr w:type="gramEnd"/>
      <w:r w:rsidRPr="008542F3">
        <w:rPr>
          <w:rFonts w:cs="Arial"/>
          <w:szCs w:val="20"/>
          <w:lang w:val="en-US"/>
        </w:rPr>
        <w:t xml:space="preserve"> will it be mandatory to </w:t>
      </w:r>
      <w:r w:rsidR="00035F5A">
        <w:rPr>
          <w:rFonts w:cs="Arial"/>
          <w:szCs w:val="20"/>
          <w:lang w:val="en-US"/>
        </w:rPr>
        <w:t xml:space="preserve">arrive at </w:t>
      </w:r>
      <w:r w:rsidRPr="008542F3">
        <w:rPr>
          <w:rFonts w:cs="Arial"/>
          <w:szCs w:val="20"/>
          <w:lang w:val="en-US"/>
        </w:rPr>
        <w:t xml:space="preserve">a written agreement between the </w:t>
      </w:r>
      <w:r w:rsidR="00035F5A">
        <w:rPr>
          <w:rFonts w:cs="Arial"/>
          <w:szCs w:val="20"/>
          <w:lang w:val="en-US"/>
        </w:rPr>
        <w:t xml:space="preserve">third-country </w:t>
      </w:r>
      <w:r w:rsidRPr="008542F3">
        <w:rPr>
          <w:rFonts w:cs="Arial"/>
          <w:szCs w:val="20"/>
          <w:lang w:val="en-US"/>
        </w:rPr>
        <w:t xml:space="preserve">PRIIP manufacturer and the EU distributor, especially when distributing products </w:t>
      </w:r>
      <w:r w:rsidR="00035F5A">
        <w:rPr>
          <w:rFonts w:cs="Arial"/>
          <w:szCs w:val="20"/>
          <w:lang w:val="en-US"/>
        </w:rPr>
        <w:t xml:space="preserve">devoid of </w:t>
      </w:r>
      <w:r w:rsidRPr="008542F3">
        <w:rPr>
          <w:rFonts w:cs="Arial"/>
          <w:szCs w:val="20"/>
          <w:lang w:val="en-US"/>
        </w:rPr>
        <w:t xml:space="preserve">reliable </w:t>
      </w:r>
      <w:r w:rsidR="00035F5A">
        <w:rPr>
          <w:rFonts w:cs="Arial"/>
          <w:szCs w:val="20"/>
          <w:lang w:val="en-US"/>
        </w:rPr>
        <w:t xml:space="preserve">and publicly available </w:t>
      </w:r>
      <w:r w:rsidRPr="008542F3">
        <w:rPr>
          <w:rFonts w:cs="Arial"/>
          <w:szCs w:val="20"/>
          <w:lang w:val="en-US"/>
        </w:rPr>
        <w:t xml:space="preserve">information? </w:t>
      </w:r>
      <w:r w:rsidR="00035F5A">
        <w:rPr>
          <w:rFonts w:cs="Arial"/>
          <w:szCs w:val="20"/>
          <w:lang w:val="en-US"/>
        </w:rPr>
        <w:t>[</w:t>
      </w:r>
      <w:r w:rsidRPr="008542F3">
        <w:rPr>
          <w:rFonts w:cs="Arial"/>
          <w:szCs w:val="20"/>
          <w:lang w:val="en-US"/>
        </w:rPr>
        <w:t xml:space="preserve">As suggested by the ESMA’s Final Report: Technical Advice to the commission on MiFID II and </w:t>
      </w:r>
      <w:proofErr w:type="spellStart"/>
      <w:r w:rsidRPr="008542F3">
        <w:rPr>
          <w:rFonts w:cs="Arial"/>
          <w:szCs w:val="20"/>
          <w:lang w:val="en-US"/>
        </w:rPr>
        <w:t>MiFIR</w:t>
      </w:r>
      <w:proofErr w:type="spellEnd"/>
      <w:r w:rsidRPr="008542F3">
        <w:rPr>
          <w:rFonts w:cs="Arial"/>
          <w:szCs w:val="20"/>
          <w:lang w:val="en-US"/>
        </w:rPr>
        <w:t xml:space="preserve">, which requires distributors to set a written agreement with non-MiFID entities (third country issuers) </w:t>
      </w:r>
      <w:r w:rsidR="00035F5A">
        <w:rPr>
          <w:rFonts w:cs="Arial"/>
          <w:szCs w:val="20"/>
          <w:lang w:val="en-US"/>
        </w:rPr>
        <w:t xml:space="preserve">specifying </w:t>
      </w:r>
      <w:r w:rsidRPr="008542F3">
        <w:rPr>
          <w:rFonts w:cs="Arial"/>
          <w:szCs w:val="20"/>
          <w:lang w:val="en-US"/>
        </w:rPr>
        <w:t>that the manufacturer will provide all relevant information)?”</w:t>
      </w:r>
    </w:p>
    <w:p w:rsidR="00790116" w:rsidRPr="008542F3" w:rsidRDefault="00790116" w:rsidP="00790116">
      <w:pPr>
        <w:jc w:val="both"/>
        <w:rPr>
          <w:rFonts w:cs="Arial"/>
          <w:szCs w:val="20"/>
          <w:lang w:val="en-US"/>
        </w:rPr>
      </w:pPr>
    </w:p>
    <w:p w:rsidR="00790116" w:rsidRPr="00800731" w:rsidRDefault="00800731" w:rsidP="00790116">
      <w:pPr>
        <w:jc w:val="both"/>
        <w:rPr>
          <w:rFonts w:cs="Arial"/>
          <w:szCs w:val="20"/>
          <w:lang w:val="en-US"/>
        </w:rPr>
      </w:pPr>
      <w:r w:rsidRPr="00800731">
        <w:rPr>
          <w:rFonts w:cs="Arial"/>
          <w:szCs w:val="20"/>
          <w:lang w:val="en-US"/>
        </w:rPr>
        <w:t>3</w:t>
      </w:r>
      <w:r w:rsidR="00790116" w:rsidRPr="00800731">
        <w:rPr>
          <w:rFonts w:cs="Arial"/>
          <w:szCs w:val="20"/>
          <w:lang w:val="en-US"/>
        </w:rPr>
        <w:t>.</w:t>
      </w:r>
      <w:r w:rsidR="00790116" w:rsidRPr="00800731">
        <w:rPr>
          <w:rFonts w:cs="Arial"/>
          <w:szCs w:val="20"/>
          <w:lang w:val="en-US"/>
        </w:rPr>
        <w:tab/>
      </w:r>
      <w:r w:rsidR="00035F5A">
        <w:rPr>
          <w:rFonts w:cs="Arial"/>
          <w:szCs w:val="20"/>
          <w:lang w:val="en-US"/>
        </w:rPr>
        <w:t xml:space="preserve">It is our </w:t>
      </w:r>
      <w:r w:rsidR="00790116" w:rsidRPr="00800731">
        <w:rPr>
          <w:rFonts w:cs="Arial"/>
          <w:szCs w:val="20"/>
          <w:lang w:val="en-US"/>
        </w:rPr>
        <w:t>expect</w:t>
      </w:r>
      <w:r w:rsidR="00035F5A">
        <w:rPr>
          <w:rFonts w:cs="Arial"/>
          <w:szCs w:val="20"/>
          <w:lang w:val="en-US"/>
        </w:rPr>
        <w:t>ation</w:t>
      </w:r>
      <w:r w:rsidR="00790116" w:rsidRPr="00800731">
        <w:rPr>
          <w:rFonts w:cs="Arial"/>
          <w:szCs w:val="20"/>
          <w:lang w:val="en-US"/>
        </w:rPr>
        <w:t xml:space="preserve"> </w:t>
      </w:r>
      <w:r w:rsidR="000747F1" w:rsidRPr="00800731">
        <w:rPr>
          <w:rFonts w:cs="Arial"/>
          <w:szCs w:val="20"/>
          <w:lang w:val="en-US"/>
        </w:rPr>
        <w:t xml:space="preserve">that floating rate </w:t>
      </w:r>
      <w:proofErr w:type="gramStart"/>
      <w:r w:rsidR="000747F1" w:rsidRPr="00800731">
        <w:rPr>
          <w:rFonts w:cs="Arial"/>
          <w:szCs w:val="20"/>
          <w:lang w:val="en-US"/>
        </w:rPr>
        <w:t xml:space="preserve">bonds </w:t>
      </w:r>
      <w:r w:rsidR="00035F5A">
        <w:rPr>
          <w:rFonts w:cs="Arial"/>
          <w:szCs w:val="20"/>
          <w:lang w:val="en-US"/>
        </w:rPr>
        <w:t xml:space="preserve">which do not </w:t>
      </w:r>
      <w:proofErr w:type="spellStart"/>
      <w:r w:rsidR="000747F1" w:rsidRPr="00800731">
        <w:rPr>
          <w:rFonts w:cs="Arial"/>
          <w:szCs w:val="20"/>
          <w:lang w:val="en-US"/>
        </w:rPr>
        <w:t>not</w:t>
      </w:r>
      <w:proofErr w:type="spellEnd"/>
      <w:r w:rsidR="000747F1" w:rsidRPr="00800731">
        <w:rPr>
          <w:rFonts w:cs="Arial"/>
          <w:szCs w:val="20"/>
          <w:lang w:val="en-US"/>
        </w:rPr>
        <w:t xml:space="preserve"> embed any derivative component but that</w:t>
      </w:r>
      <w:proofErr w:type="gramEnd"/>
      <w:r w:rsidR="000747F1" w:rsidRPr="00800731">
        <w:rPr>
          <w:rFonts w:cs="Arial"/>
          <w:szCs w:val="20"/>
          <w:lang w:val="en-US"/>
        </w:rPr>
        <w:t xml:space="preserve"> are linked directly to interest rate such as Libor and </w:t>
      </w:r>
      <w:proofErr w:type="spellStart"/>
      <w:r w:rsidR="000747F1" w:rsidRPr="00800731">
        <w:rPr>
          <w:rFonts w:cs="Arial"/>
          <w:szCs w:val="20"/>
          <w:lang w:val="en-US"/>
        </w:rPr>
        <w:t>Euribor</w:t>
      </w:r>
      <w:proofErr w:type="spellEnd"/>
      <w:r w:rsidR="000747F1" w:rsidRPr="00800731">
        <w:rPr>
          <w:rFonts w:cs="Arial"/>
          <w:szCs w:val="20"/>
          <w:lang w:val="en-US"/>
        </w:rPr>
        <w:t xml:space="preserve"> </w:t>
      </w:r>
      <w:r w:rsidR="00035F5A">
        <w:rPr>
          <w:rFonts w:cs="Arial"/>
          <w:szCs w:val="20"/>
          <w:lang w:val="en-US"/>
        </w:rPr>
        <w:t xml:space="preserve">fall </w:t>
      </w:r>
      <w:r w:rsidR="000747F1" w:rsidRPr="00800731">
        <w:rPr>
          <w:rFonts w:cs="Arial"/>
          <w:szCs w:val="20"/>
          <w:lang w:val="en-US"/>
        </w:rPr>
        <w:t>out of the Regulation scope</w:t>
      </w:r>
      <w:r w:rsidR="00035F5A">
        <w:rPr>
          <w:rFonts w:cs="Arial"/>
          <w:szCs w:val="20"/>
          <w:lang w:val="en-US"/>
        </w:rPr>
        <w:t xml:space="preserve">. </w:t>
      </w:r>
      <w:proofErr w:type="gramStart"/>
      <w:r w:rsidR="00035F5A">
        <w:rPr>
          <w:rFonts w:cs="Arial"/>
          <w:szCs w:val="20"/>
          <w:lang w:val="en-US"/>
        </w:rPr>
        <w:t>T</w:t>
      </w:r>
      <w:r w:rsidR="000747F1" w:rsidRPr="00800731">
        <w:rPr>
          <w:rFonts w:cs="Arial"/>
          <w:szCs w:val="20"/>
          <w:lang w:val="en-US"/>
        </w:rPr>
        <w:t>herefore</w:t>
      </w:r>
      <w:proofErr w:type="gramEnd"/>
      <w:r w:rsidR="000747F1" w:rsidRPr="00800731">
        <w:rPr>
          <w:rFonts w:cs="Arial"/>
          <w:szCs w:val="20"/>
          <w:lang w:val="en-US"/>
        </w:rPr>
        <w:t xml:space="preserve"> we </w:t>
      </w:r>
      <w:r w:rsidR="00035F5A">
        <w:rPr>
          <w:rFonts w:cs="Arial"/>
          <w:szCs w:val="20"/>
          <w:lang w:val="en-US"/>
        </w:rPr>
        <w:t xml:space="preserve">feel </w:t>
      </w:r>
      <w:r w:rsidR="000747F1" w:rsidRPr="00800731">
        <w:rPr>
          <w:rFonts w:cs="Arial"/>
          <w:szCs w:val="20"/>
          <w:lang w:val="en-US"/>
        </w:rPr>
        <w:t xml:space="preserve">that </w:t>
      </w:r>
      <w:r w:rsidR="00035F5A">
        <w:rPr>
          <w:rFonts w:cs="Arial"/>
          <w:szCs w:val="20"/>
          <w:lang w:val="en-US"/>
        </w:rPr>
        <w:t>some form of</w:t>
      </w:r>
      <w:r w:rsidR="000747F1" w:rsidRPr="00800731">
        <w:rPr>
          <w:rFonts w:cs="Arial"/>
          <w:szCs w:val="20"/>
          <w:lang w:val="en-US"/>
        </w:rPr>
        <w:t xml:space="preserve"> clarification on this point is necessary and useful</w:t>
      </w:r>
      <w:r w:rsidR="00CB7E0C" w:rsidRPr="00800731">
        <w:rPr>
          <w:rFonts w:cs="Arial"/>
          <w:szCs w:val="20"/>
          <w:lang w:val="en-US"/>
        </w:rPr>
        <w:t>.</w:t>
      </w:r>
      <w:r w:rsidR="000747F1" w:rsidRPr="00800731">
        <w:rPr>
          <w:rFonts w:cs="Arial"/>
          <w:szCs w:val="20"/>
          <w:lang w:val="en-US"/>
        </w:rPr>
        <w:t xml:space="preserve"> </w:t>
      </w:r>
    </w:p>
    <w:p w:rsidR="001C7F43" w:rsidRPr="00800731" w:rsidRDefault="001C7F43" w:rsidP="00790116">
      <w:pPr>
        <w:jc w:val="both"/>
        <w:rPr>
          <w:rFonts w:cs="Arial"/>
          <w:szCs w:val="20"/>
          <w:lang w:val="en-US"/>
        </w:rPr>
      </w:pPr>
    </w:p>
    <w:p w:rsidR="00790116" w:rsidRPr="000747F1" w:rsidRDefault="00800731" w:rsidP="00790116">
      <w:pPr>
        <w:jc w:val="both"/>
        <w:rPr>
          <w:rFonts w:cs="Arial"/>
          <w:strike/>
          <w:szCs w:val="20"/>
          <w:lang w:val="en-US"/>
        </w:rPr>
      </w:pPr>
      <w:r w:rsidRPr="00800731">
        <w:rPr>
          <w:rFonts w:cs="Arial"/>
          <w:szCs w:val="20"/>
          <w:lang w:val="en-US"/>
        </w:rPr>
        <w:t>4</w:t>
      </w:r>
      <w:r w:rsidR="00790116" w:rsidRPr="00800731">
        <w:rPr>
          <w:rFonts w:cs="Arial"/>
          <w:szCs w:val="20"/>
          <w:lang w:val="en-US"/>
        </w:rPr>
        <w:t>.</w:t>
      </w:r>
      <w:r w:rsidR="00790116" w:rsidRPr="00800731">
        <w:rPr>
          <w:rFonts w:cs="Arial"/>
          <w:szCs w:val="20"/>
          <w:lang w:val="en-US"/>
        </w:rPr>
        <w:tab/>
      </w:r>
      <w:r w:rsidR="00035F5A">
        <w:rPr>
          <w:rFonts w:cs="Arial"/>
          <w:szCs w:val="20"/>
          <w:lang w:val="en-US"/>
        </w:rPr>
        <w:t xml:space="preserve">Bearing in mind </w:t>
      </w:r>
      <w:r w:rsidR="00790116" w:rsidRPr="00800731">
        <w:rPr>
          <w:rFonts w:cs="Arial"/>
          <w:szCs w:val="20"/>
          <w:lang w:val="en-US"/>
        </w:rPr>
        <w:t xml:space="preserve">the fact that in defining its scope of application </w:t>
      </w:r>
      <w:r w:rsidR="00035F5A">
        <w:rPr>
          <w:rFonts w:cs="Arial"/>
          <w:szCs w:val="20"/>
          <w:lang w:val="en-US"/>
        </w:rPr>
        <w:t xml:space="preserve">PRIIPS Regulation </w:t>
      </w:r>
      <w:r w:rsidR="00790116" w:rsidRPr="00800731">
        <w:rPr>
          <w:rFonts w:cs="Arial"/>
          <w:szCs w:val="20"/>
          <w:lang w:val="en-US"/>
        </w:rPr>
        <w:t xml:space="preserve">refers to the PRIIP as an investment, </w:t>
      </w:r>
      <w:r w:rsidR="00035F5A">
        <w:rPr>
          <w:rFonts w:cs="Arial"/>
          <w:szCs w:val="20"/>
          <w:lang w:val="en-US"/>
        </w:rPr>
        <w:t xml:space="preserve">it is our </w:t>
      </w:r>
      <w:r w:rsidR="000747F1" w:rsidRPr="00800731">
        <w:rPr>
          <w:rFonts w:cs="Arial"/>
          <w:szCs w:val="20"/>
          <w:lang w:val="en-US"/>
        </w:rPr>
        <w:t>expect</w:t>
      </w:r>
      <w:r w:rsidR="00035F5A">
        <w:rPr>
          <w:rFonts w:cs="Arial"/>
          <w:szCs w:val="20"/>
          <w:lang w:val="en-US"/>
        </w:rPr>
        <w:t>ation</w:t>
      </w:r>
      <w:r w:rsidR="000747F1" w:rsidRPr="00800731">
        <w:rPr>
          <w:rFonts w:cs="Arial"/>
          <w:szCs w:val="20"/>
          <w:lang w:val="en-US"/>
        </w:rPr>
        <w:t xml:space="preserve"> that </w:t>
      </w:r>
      <w:r w:rsidR="00790116" w:rsidRPr="00800731">
        <w:rPr>
          <w:rFonts w:cs="Arial"/>
          <w:szCs w:val="20"/>
          <w:lang w:val="en-US"/>
        </w:rPr>
        <w:t xml:space="preserve">derivatives for hedging purposes </w:t>
      </w:r>
      <w:r w:rsidR="00035F5A">
        <w:rPr>
          <w:rFonts w:cs="Arial"/>
          <w:szCs w:val="20"/>
          <w:lang w:val="en-US"/>
        </w:rPr>
        <w:t>fall</w:t>
      </w:r>
      <w:r w:rsidR="000747F1" w:rsidRPr="00800731">
        <w:rPr>
          <w:rFonts w:cs="Arial"/>
          <w:szCs w:val="20"/>
          <w:lang w:val="en-US"/>
        </w:rPr>
        <w:t xml:space="preserve"> out of the </w:t>
      </w:r>
      <w:r w:rsidR="00790116" w:rsidRPr="00800731">
        <w:rPr>
          <w:rFonts w:cs="Arial"/>
          <w:szCs w:val="20"/>
          <w:lang w:val="en-US"/>
        </w:rPr>
        <w:t>Regulation scope</w:t>
      </w:r>
      <w:r w:rsidR="000747F1" w:rsidRPr="00800731">
        <w:rPr>
          <w:rFonts w:cs="Arial"/>
          <w:szCs w:val="20"/>
          <w:lang w:val="en-US"/>
        </w:rPr>
        <w:t xml:space="preserve">; we </w:t>
      </w:r>
      <w:r w:rsidR="00035F5A">
        <w:rPr>
          <w:rFonts w:cs="Arial"/>
          <w:szCs w:val="20"/>
          <w:lang w:val="en-US"/>
        </w:rPr>
        <w:t>feel that some form</w:t>
      </w:r>
      <w:r w:rsidR="000747F1" w:rsidRPr="00800731">
        <w:rPr>
          <w:rFonts w:cs="Arial"/>
          <w:szCs w:val="20"/>
          <w:lang w:val="en-US"/>
        </w:rPr>
        <w:t xml:space="preserve"> </w:t>
      </w:r>
      <w:r w:rsidR="00035F5A">
        <w:rPr>
          <w:rFonts w:cs="Arial"/>
          <w:szCs w:val="20"/>
          <w:lang w:val="en-US"/>
        </w:rPr>
        <w:t xml:space="preserve">of </w:t>
      </w:r>
      <w:r w:rsidR="000747F1" w:rsidRPr="00800731">
        <w:rPr>
          <w:rFonts w:cs="Arial"/>
          <w:szCs w:val="20"/>
          <w:lang w:val="en-US"/>
        </w:rPr>
        <w:t xml:space="preserve">clarification on this point is </w:t>
      </w:r>
      <w:r w:rsidR="00035F5A">
        <w:rPr>
          <w:rFonts w:cs="Arial"/>
          <w:szCs w:val="20"/>
          <w:lang w:val="en-US"/>
        </w:rPr>
        <w:t xml:space="preserve">both </w:t>
      </w:r>
      <w:r w:rsidR="000747F1" w:rsidRPr="00800731">
        <w:rPr>
          <w:rFonts w:cs="Arial"/>
          <w:szCs w:val="20"/>
          <w:lang w:val="en-US"/>
        </w:rPr>
        <w:t>necessary and useful</w:t>
      </w:r>
      <w:r w:rsidR="00CB7E0C" w:rsidRPr="00800731">
        <w:rPr>
          <w:rFonts w:cs="Arial"/>
          <w:szCs w:val="20"/>
          <w:lang w:val="en-US"/>
        </w:rPr>
        <w:t>.</w:t>
      </w:r>
      <w:r w:rsidR="000747F1" w:rsidRPr="00800731">
        <w:rPr>
          <w:rFonts w:cs="Arial"/>
          <w:szCs w:val="20"/>
          <w:lang w:val="en-US"/>
        </w:rPr>
        <w:t xml:space="preserve"> </w:t>
      </w:r>
    </w:p>
    <w:p w:rsidR="00790116" w:rsidRPr="008542F3" w:rsidRDefault="00790116" w:rsidP="00790116">
      <w:pPr>
        <w:jc w:val="both"/>
        <w:rPr>
          <w:rFonts w:cs="Arial"/>
          <w:szCs w:val="20"/>
          <w:lang w:val="en-US"/>
        </w:rPr>
      </w:pPr>
    </w:p>
    <w:p w:rsidR="00790116" w:rsidRPr="008542F3" w:rsidRDefault="00800731" w:rsidP="00790116">
      <w:pPr>
        <w:jc w:val="both"/>
        <w:rPr>
          <w:rFonts w:cs="Arial"/>
          <w:szCs w:val="20"/>
          <w:lang w:val="en-US"/>
        </w:rPr>
      </w:pPr>
      <w:r>
        <w:rPr>
          <w:rFonts w:cs="Arial"/>
          <w:szCs w:val="20"/>
          <w:lang w:val="en-US"/>
        </w:rPr>
        <w:t>5</w:t>
      </w:r>
      <w:r w:rsidR="00790116" w:rsidRPr="008542F3">
        <w:rPr>
          <w:rFonts w:cs="Arial"/>
          <w:szCs w:val="20"/>
          <w:lang w:val="en-US"/>
        </w:rPr>
        <w:t>.</w:t>
      </w:r>
      <w:r w:rsidR="00790116" w:rsidRPr="008542F3">
        <w:rPr>
          <w:rFonts w:cs="Arial"/>
          <w:szCs w:val="20"/>
          <w:lang w:val="en-US"/>
        </w:rPr>
        <w:tab/>
        <w:t xml:space="preserve">Does the Regulation </w:t>
      </w:r>
      <w:r w:rsidR="00B07340">
        <w:rPr>
          <w:rFonts w:cs="Arial"/>
          <w:szCs w:val="20"/>
          <w:lang w:val="en-US"/>
        </w:rPr>
        <w:t xml:space="preserve">only </w:t>
      </w:r>
      <w:r w:rsidR="00790116" w:rsidRPr="008542F3">
        <w:rPr>
          <w:rFonts w:cs="Arial"/>
          <w:szCs w:val="20"/>
          <w:lang w:val="en-US"/>
        </w:rPr>
        <w:t>apply to standardized financial derivative instruments?</w:t>
      </w:r>
      <w:r w:rsidR="00AC4FA8">
        <w:rPr>
          <w:rFonts w:cs="Arial"/>
          <w:szCs w:val="20"/>
          <w:lang w:val="en-US"/>
        </w:rPr>
        <w:t xml:space="preserve"> </w:t>
      </w:r>
      <w:r w:rsidR="00AC4FA8" w:rsidRPr="00AC4FA8">
        <w:rPr>
          <w:rFonts w:cs="Arial"/>
          <w:szCs w:val="20"/>
          <w:lang w:val="en-US"/>
        </w:rPr>
        <w:t>How should standardized KID be reconciled with the OTC derivatives nature strictly based on customized, bilateral agreements? We fear that imposing a KID for OTC derivatives will simply not be a workable, practical</w:t>
      </w:r>
      <w:r w:rsidR="00AC4FA8">
        <w:rPr>
          <w:rFonts w:cs="Arial"/>
          <w:szCs w:val="20"/>
          <w:lang w:val="en-US"/>
        </w:rPr>
        <w:t xml:space="preserve"> solution</w:t>
      </w:r>
      <w:r w:rsidR="00AC4FA8" w:rsidRPr="00AC4FA8">
        <w:rPr>
          <w:rFonts w:cs="Arial"/>
          <w:szCs w:val="20"/>
          <w:lang w:val="en-US"/>
        </w:rPr>
        <w:t>.</w:t>
      </w:r>
    </w:p>
    <w:p w:rsidR="00790116" w:rsidRPr="008542F3" w:rsidRDefault="00790116" w:rsidP="00790116">
      <w:pPr>
        <w:jc w:val="both"/>
        <w:rPr>
          <w:rFonts w:cs="Arial"/>
          <w:szCs w:val="20"/>
          <w:lang w:val="en-US"/>
        </w:rPr>
      </w:pPr>
    </w:p>
    <w:p w:rsidR="00790116" w:rsidRPr="00CB7E0C" w:rsidRDefault="00800731" w:rsidP="00790116">
      <w:pPr>
        <w:jc w:val="both"/>
        <w:rPr>
          <w:rFonts w:cs="Arial"/>
          <w:szCs w:val="20"/>
          <w:lang w:val="en-US"/>
        </w:rPr>
      </w:pPr>
      <w:r>
        <w:rPr>
          <w:rFonts w:cs="Arial"/>
          <w:szCs w:val="20"/>
          <w:highlight w:val="yellow"/>
          <w:lang w:val="en-US"/>
        </w:rPr>
        <w:t>6</w:t>
      </w:r>
      <w:r w:rsidR="00790116" w:rsidRPr="004A2128">
        <w:rPr>
          <w:rFonts w:cs="Arial"/>
          <w:szCs w:val="20"/>
          <w:highlight w:val="yellow"/>
          <w:lang w:val="en-US"/>
        </w:rPr>
        <w:t>.</w:t>
      </w:r>
      <w:r w:rsidR="00790116" w:rsidRPr="004A2128">
        <w:rPr>
          <w:rFonts w:cs="Arial"/>
          <w:szCs w:val="20"/>
          <w:highlight w:val="yellow"/>
          <w:lang w:val="en-US"/>
        </w:rPr>
        <w:tab/>
      </w:r>
      <w:r w:rsidR="004A432B" w:rsidRPr="004A432B">
        <w:rPr>
          <w:rFonts w:cs="Arial"/>
          <w:szCs w:val="20"/>
          <w:lang w:val="en-US"/>
        </w:rPr>
        <w:t xml:space="preserve">We expect FX forward contracts to </w:t>
      </w:r>
      <w:proofErr w:type="gramStart"/>
      <w:r w:rsidR="004A432B" w:rsidRPr="004A432B">
        <w:rPr>
          <w:rFonts w:cs="Arial"/>
          <w:szCs w:val="20"/>
          <w:lang w:val="en-US"/>
        </w:rPr>
        <w:t>be kept</w:t>
      </w:r>
      <w:proofErr w:type="gramEnd"/>
      <w:r w:rsidR="004A432B" w:rsidRPr="004A432B">
        <w:rPr>
          <w:rFonts w:cs="Arial"/>
          <w:szCs w:val="20"/>
          <w:lang w:val="en-US"/>
        </w:rPr>
        <w:t xml:space="preserve"> out of the PRIIPs regulatio</w:t>
      </w:r>
      <w:r w:rsidR="0029693B">
        <w:rPr>
          <w:rFonts w:cs="Arial"/>
          <w:szCs w:val="20"/>
          <w:lang w:val="en-US"/>
        </w:rPr>
        <w:t>n scope given that these instru</w:t>
      </w:r>
      <w:r w:rsidR="004A432B" w:rsidRPr="004A432B">
        <w:rPr>
          <w:rFonts w:cs="Arial"/>
          <w:szCs w:val="20"/>
          <w:lang w:val="en-US"/>
        </w:rPr>
        <w:t>ments are not considered as derivative contracts under EMIR; we feel ther</w:t>
      </w:r>
      <w:r w:rsidR="0029693B">
        <w:rPr>
          <w:rFonts w:cs="Arial"/>
          <w:szCs w:val="20"/>
          <w:lang w:val="en-US"/>
        </w:rPr>
        <w:t>efore that some form of clarifi</w:t>
      </w:r>
      <w:r w:rsidR="004A432B" w:rsidRPr="004A432B">
        <w:rPr>
          <w:rFonts w:cs="Arial"/>
          <w:szCs w:val="20"/>
          <w:lang w:val="en-US"/>
        </w:rPr>
        <w:t>cation on this point is both necessary and useful</w:t>
      </w:r>
      <w:r w:rsidR="004A432B">
        <w:rPr>
          <w:rFonts w:cs="Arial"/>
          <w:szCs w:val="20"/>
          <w:lang w:val="en-US"/>
        </w:rPr>
        <w:t xml:space="preserve">. </w:t>
      </w:r>
    </w:p>
    <w:p w:rsidR="00CB7E0C" w:rsidRDefault="00CB7E0C" w:rsidP="00790116">
      <w:pPr>
        <w:jc w:val="both"/>
        <w:rPr>
          <w:rFonts w:cs="Arial"/>
          <w:szCs w:val="20"/>
          <w:lang w:val="en-US"/>
        </w:rPr>
      </w:pPr>
    </w:p>
    <w:p w:rsidR="00007E41" w:rsidRDefault="00800731" w:rsidP="00790116">
      <w:pPr>
        <w:jc w:val="both"/>
        <w:rPr>
          <w:rFonts w:cs="Arial"/>
          <w:szCs w:val="20"/>
          <w:lang w:val="en-US"/>
        </w:rPr>
      </w:pPr>
      <w:r>
        <w:rPr>
          <w:rFonts w:cs="Arial"/>
          <w:szCs w:val="20"/>
          <w:lang w:val="en-US"/>
        </w:rPr>
        <w:t>7</w:t>
      </w:r>
      <w:r w:rsidR="00790116" w:rsidRPr="008542F3">
        <w:rPr>
          <w:rFonts w:cs="Arial"/>
          <w:szCs w:val="20"/>
          <w:lang w:val="en-US"/>
        </w:rPr>
        <w:t>.</w:t>
      </w:r>
      <w:r w:rsidR="00790116" w:rsidRPr="008542F3">
        <w:rPr>
          <w:rFonts w:cs="Arial"/>
          <w:szCs w:val="20"/>
          <w:lang w:val="en-US"/>
        </w:rPr>
        <w:tab/>
        <w:t xml:space="preserve">Is securities lending considered </w:t>
      </w:r>
      <w:proofErr w:type="gramStart"/>
      <w:r w:rsidR="00790116" w:rsidRPr="008542F3">
        <w:rPr>
          <w:rFonts w:cs="Arial"/>
          <w:szCs w:val="20"/>
          <w:lang w:val="en-US"/>
        </w:rPr>
        <w:t>to be an</w:t>
      </w:r>
      <w:proofErr w:type="gramEnd"/>
      <w:r w:rsidR="00790116" w:rsidRPr="008542F3">
        <w:rPr>
          <w:rFonts w:cs="Arial"/>
          <w:szCs w:val="20"/>
          <w:lang w:val="en-US"/>
        </w:rPr>
        <w:t xml:space="preserve"> activity out of the scope of the PRIIPs Regulation?</w:t>
      </w:r>
    </w:p>
    <w:p w:rsidR="00007E41" w:rsidRDefault="00007E41" w:rsidP="00790116">
      <w:pPr>
        <w:jc w:val="both"/>
        <w:rPr>
          <w:rFonts w:cs="Arial"/>
          <w:szCs w:val="20"/>
          <w:lang w:val="en-US"/>
        </w:rPr>
      </w:pPr>
    </w:p>
    <w:p w:rsidR="00790116" w:rsidRPr="008542F3" w:rsidRDefault="004A432B" w:rsidP="00790116">
      <w:pPr>
        <w:jc w:val="both"/>
        <w:rPr>
          <w:rFonts w:cs="Arial"/>
          <w:szCs w:val="20"/>
          <w:lang w:val="en-US"/>
        </w:rPr>
      </w:pPr>
      <w:r>
        <w:rPr>
          <w:rFonts w:cs="Arial"/>
          <w:szCs w:val="20"/>
          <w:lang w:val="en-US"/>
        </w:rPr>
        <w:t>8</w:t>
      </w:r>
      <w:r w:rsidR="00790116" w:rsidRPr="008542F3">
        <w:rPr>
          <w:rFonts w:cs="Arial"/>
          <w:szCs w:val="20"/>
          <w:lang w:val="en-US"/>
        </w:rPr>
        <w:t>.</w:t>
      </w:r>
      <w:r w:rsidR="00790116" w:rsidRPr="008542F3">
        <w:rPr>
          <w:rFonts w:cs="Arial"/>
          <w:szCs w:val="20"/>
          <w:lang w:val="en-US"/>
        </w:rPr>
        <w:tab/>
        <w:t>Is it mandatory to draw up a KID whe</w:t>
      </w:r>
      <w:r w:rsidR="00C65BA3">
        <w:rPr>
          <w:rFonts w:cs="Arial"/>
          <w:szCs w:val="20"/>
          <w:lang w:val="en-US"/>
        </w:rPr>
        <w:t>never</w:t>
      </w:r>
      <w:r w:rsidR="00790116" w:rsidRPr="008542F3">
        <w:rPr>
          <w:rFonts w:cs="Arial"/>
          <w:szCs w:val="20"/>
          <w:lang w:val="en-US"/>
        </w:rPr>
        <w:t xml:space="preserve"> the issuance of bonds or the structuring of certificates</w:t>
      </w:r>
      <w:proofErr w:type="gramStart"/>
      <w:r w:rsidR="00C65BA3">
        <w:rPr>
          <w:rFonts w:cs="Arial"/>
          <w:szCs w:val="20"/>
          <w:lang w:val="en-US"/>
        </w:rPr>
        <w:t>,</w:t>
      </w:r>
      <w:r w:rsidR="00790116" w:rsidRPr="008542F3">
        <w:rPr>
          <w:rFonts w:cs="Arial"/>
          <w:szCs w:val="20"/>
          <w:lang w:val="en-US"/>
        </w:rPr>
        <w:t xml:space="preserve">  addresses</w:t>
      </w:r>
      <w:proofErr w:type="gramEnd"/>
      <w:r w:rsidR="00790116" w:rsidRPr="008542F3">
        <w:rPr>
          <w:rFonts w:cs="Arial"/>
          <w:szCs w:val="20"/>
          <w:lang w:val="en-US"/>
        </w:rPr>
        <w:t xml:space="preserve"> a specific client, either upon request of the client himself (rever</w:t>
      </w:r>
      <w:r w:rsidR="00007E41">
        <w:rPr>
          <w:rFonts w:cs="Arial"/>
          <w:szCs w:val="20"/>
          <w:lang w:val="en-US"/>
        </w:rPr>
        <w:t xml:space="preserve">se inquiry) or </w:t>
      </w:r>
      <w:r w:rsidR="00C65BA3">
        <w:rPr>
          <w:rFonts w:cs="Arial"/>
          <w:szCs w:val="20"/>
          <w:lang w:val="en-US"/>
        </w:rPr>
        <w:t xml:space="preserve">upon initiative of the </w:t>
      </w:r>
      <w:r w:rsidR="00007E41">
        <w:rPr>
          <w:rFonts w:cs="Arial"/>
          <w:szCs w:val="20"/>
          <w:lang w:val="en-US"/>
        </w:rPr>
        <w:t xml:space="preserve"> </w:t>
      </w:r>
      <w:r w:rsidR="00C65BA3">
        <w:rPr>
          <w:rFonts w:cs="Arial"/>
          <w:szCs w:val="20"/>
          <w:lang w:val="en-US"/>
        </w:rPr>
        <w:t>i</w:t>
      </w:r>
      <w:r w:rsidR="00007E41">
        <w:rPr>
          <w:rFonts w:cs="Arial"/>
          <w:szCs w:val="20"/>
          <w:lang w:val="en-US"/>
        </w:rPr>
        <w:t>ntermedi</w:t>
      </w:r>
      <w:r w:rsidR="00790116" w:rsidRPr="008542F3">
        <w:rPr>
          <w:rFonts w:cs="Arial"/>
          <w:szCs w:val="20"/>
          <w:lang w:val="en-US"/>
        </w:rPr>
        <w:t>ary (private placement)?</w:t>
      </w:r>
    </w:p>
    <w:p w:rsidR="00790116" w:rsidRPr="008542F3" w:rsidRDefault="00790116" w:rsidP="00790116">
      <w:pPr>
        <w:jc w:val="both"/>
        <w:rPr>
          <w:rFonts w:cs="Arial"/>
          <w:szCs w:val="20"/>
          <w:lang w:val="en-US"/>
        </w:rPr>
      </w:pPr>
    </w:p>
    <w:p w:rsidR="00790116" w:rsidRPr="008542F3" w:rsidRDefault="004A432B" w:rsidP="00790116">
      <w:pPr>
        <w:jc w:val="both"/>
        <w:rPr>
          <w:rFonts w:cs="Arial"/>
          <w:szCs w:val="20"/>
          <w:lang w:val="en-US"/>
        </w:rPr>
      </w:pPr>
      <w:proofErr w:type="gramStart"/>
      <w:r>
        <w:rPr>
          <w:rFonts w:cs="Arial"/>
          <w:szCs w:val="20"/>
          <w:lang w:val="en-US"/>
        </w:rPr>
        <w:t>9</w:t>
      </w:r>
      <w:r w:rsidR="00790116" w:rsidRPr="008542F3">
        <w:rPr>
          <w:rFonts w:cs="Arial"/>
          <w:szCs w:val="20"/>
          <w:lang w:val="en-US"/>
        </w:rPr>
        <w:t>.</w:t>
      </w:r>
      <w:r w:rsidR="00790116" w:rsidRPr="008542F3">
        <w:rPr>
          <w:rFonts w:cs="Arial"/>
          <w:szCs w:val="20"/>
          <w:lang w:val="en-US"/>
        </w:rPr>
        <w:tab/>
      </w:r>
      <w:r w:rsidR="00C65BA3">
        <w:rPr>
          <w:rFonts w:cs="Arial"/>
          <w:szCs w:val="20"/>
          <w:lang w:val="en-US"/>
        </w:rPr>
        <w:t xml:space="preserve">In the case of </w:t>
      </w:r>
      <w:r w:rsidR="00790116" w:rsidRPr="008542F3">
        <w:rPr>
          <w:rFonts w:cs="Arial"/>
          <w:szCs w:val="20"/>
          <w:lang w:val="en-US"/>
        </w:rPr>
        <w:t xml:space="preserve">financial or insurance-based products whose features match those of a PRIIP but </w:t>
      </w:r>
      <w:r w:rsidR="00C65BA3">
        <w:rPr>
          <w:rFonts w:cs="Arial"/>
          <w:szCs w:val="20"/>
          <w:lang w:val="en-US"/>
        </w:rPr>
        <w:t xml:space="preserve">which </w:t>
      </w:r>
      <w:r w:rsidR="00790116" w:rsidRPr="008542F3">
        <w:rPr>
          <w:rFonts w:cs="Arial"/>
          <w:szCs w:val="20"/>
          <w:lang w:val="en-US"/>
        </w:rPr>
        <w:t xml:space="preserve">are intended for initial distribution to professional investors and only </w:t>
      </w:r>
      <w:r w:rsidR="00C65BA3">
        <w:rPr>
          <w:rFonts w:cs="Arial"/>
          <w:szCs w:val="20"/>
          <w:lang w:val="en-US"/>
        </w:rPr>
        <w:t xml:space="preserve">subsequently </w:t>
      </w:r>
      <w:r w:rsidR="00790116" w:rsidRPr="008542F3">
        <w:rPr>
          <w:rFonts w:cs="Arial"/>
          <w:szCs w:val="20"/>
          <w:lang w:val="en-US"/>
        </w:rPr>
        <w:t xml:space="preserve">accepted for trading </w:t>
      </w:r>
      <w:r w:rsidR="00790116" w:rsidRPr="008542F3">
        <w:rPr>
          <w:rFonts w:cs="Arial"/>
          <w:szCs w:val="20"/>
          <w:lang w:val="en-US"/>
        </w:rPr>
        <w:lastRenderedPageBreak/>
        <w:t xml:space="preserve">on a secondary market and offered to retail clients as well, </w:t>
      </w:r>
      <w:r w:rsidR="00C65BA3">
        <w:rPr>
          <w:rFonts w:cs="Arial"/>
          <w:szCs w:val="20"/>
          <w:lang w:val="en-US"/>
        </w:rPr>
        <w:t xml:space="preserve">are we </w:t>
      </w:r>
      <w:r w:rsidR="00790116" w:rsidRPr="008542F3">
        <w:rPr>
          <w:rFonts w:cs="Arial"/>
          <w:szCs w:val="20"/>
          <w:lang w:val="en-US"/>
        </w:rPr>
        <w:t xml:space="preserve">correct </w:t>
      </w:r>
      <w:r w:rsidR="00C65BA3">
        <w:rPr>
          <w:rFonts w:cs="Arial"/>
          <w:szCs w:val="20"/>
          <w:lang w:val="en-US"/>
        </w:rPr>
        <w:t xml:space="preserve">assuming </w:t>
      </w:r>
      <w:r w:rsidR="00790116" w:rsidRPr="008542F3">
        <w:rPr>
          <w:rFonts w:cs="Arial"/>
          <w:szCs w:val="20"/>
          <w:lang w:val="en-US"/>
        </w:rPr>
        <w:t xml:space="preserve">that the PRIIPs Regulation requirements will </w:t>
      </w:r>
      <w:r w:rsidR="00C65BA3">
        <w:rPr>
          <w:rFonts w:cs="Arial"/>
          <w:szCs w:val="20"/>
          <w:lang w:val="en-US"/>
        </w:rPr>
        <w:t xml:space="preserve">only </w:t>
      </w:r>
      <w:r w:rsidR="00790116" w:rsidRPr="008542F3">
        <w:rPr>
          <w:rFonts w:cs="Arial"/>
          <w:szCs w:val="20"/>
          <w:lang w:val="en-US"/>
        </w:rPr>
        <w:t>start to apply from the moment the product is offered for trading on the secondary market?</w:t>
      </w:r>
      <w:proofErr w:type="gramEnd"/>
    </w:p>
    <w:p w:rsidR="00790116" w:rsidRPr="008542F3" w:rsidRDefault="00790116" w:rsidP="00790116">
      <w:pPr>
        <w:jc w:val="both"/>
        <w:rPr>
          <w:rFonts w:cs="Arial"/>
          <w:szCs w:val="20"/>
          <w:lang w:val="en-US"/>
        </w:rPr>
      </w:pPr>
    </w:p>
    <w:p w:rsidR="00790116" w:rsidRPr="008542F3" w:rsidRDefault="00800731" w:rsidP="00790116">
      <w:pPr>
        <w:jc w:val="both"/>
        <w:rPr>
          <w:rFonts w:cs="Arial"/>
          <w:szCs w:val="20"/>
          <w:lang w:val="en-US"/>
        </w:rPr>
      </w:pPr>
      <w:r>
        <w:rPr>
          <w:rFonts w:cs="Arial"/>
          <w:szCs w:val="20"/>
          <w:lang w:val="en-US"/>
        </w:rPr>
        <w:t>1</w:t>
      </w:r>
      <w:r w:rsidR="004A432B">
        <w:rPr>
          <w:rFonts w:cs="Arial"/>
          <w:szCs w:val="20"/>
          <w:lang w:val="en-US"/>
        </w:rPr>
        <w:t>0</w:t>
      </w:r>
      <w:r w:rsidR="00790116" w:rsidRPr="008542F3">
        <w:rPr>
          <w:rFonts w:cs="Arial"/>
          <w:szCs w:val="20"/>
          <w:lang w:val="en-US"/>
        </w:rPr>
        <w:t>.</w:t>
      </w:r>
      <w:r w:rsidR="00790116" w:rsidRPr="008542F3">
        <w:rPr>
          <w:rFonts w:cs="Arial"/>
          <w:szCs w:val="20"/>
          <w:lang w:val="en-US"/>
        </w:rPr>
        <w:tab/>
      </w:r>
      <w:r w:rsidR="00C65BA3">
        <w:rPr>
          <w:rFonts w:cs="Arial"/>
          <w:szCs w:val="20"/>
          <w:lang w:val="en-US"/>
        </w:rPr>
        <w:t xml:space="preserve">In the event that </w:t>
      </w:r>
      <w:r w:rsidR="00790116" w:rsidRPr="008542F3">
        <w:rPr>
          <w:rFonts w:cs="Arial"/>
          <w:szCs w:val="20"/>
          <w:lang w:val="en-US"/>
        </w:rPr>
        <w:t>manufacturers designate a third entity to structure a product</w:t>
      </w:r>
      <w:r w:rsidR="00C65BA3">
        <w:rPr>
          <w:rFonts w:cs="Arial"/>
          <w:szCs w:val="20"/>
          <w:lang w:val="en-US"/>
        </w:rPr>
        <w:t>,</w:t>
      </w:r>
      <w:r w:rsidR="00790116" w:rsidRPr="008542F3">
        <w:rPr>
          <w:rFonts w:cs="Arial"/>
          <w:szCs w:val="20"/>
          <w:lang w:val="en-US"/>
        </w:rPr>
        <w:t xml:space="preserve"> and whe</w:t>
      </w:r>
      <w:r w:rsidR="00C65BA3">
        <w:rPr>
          <w:rFonts w:cs="Arial"/>
          <w:szCs w:val="20"/>
          <w:lang w:val="en-US"/>
        </w:rPr>
        <w:t xml:space="preserve">never </w:t>
      </w:r>
      <w:r w:rsidR="00790116" w:rsidRPr="008542F3">
        <w:rPr>
          <w:rFonts w:cs="Arial"/>
          <w:szCs w:val="20"/>
          <w:lang w:val="en-US"/>
        </w:rPr>
        <w:t xml:space="preserve">the latter is a person </w:t>
      </w:r>
      <w:r w:rsidR="00C65BA3">
        <w:rPr>
          <w:rFonts w:cs="Arial"/>
          <w:szCs w:val="20"/>
          <w:lang w:val="en-US"/>
        </w:rPr>
        <w:t xml:space="preserve">other than </w:t>
      </w:r>
      <w:r w:rsidR="00790116" w:rsidRPr="008542F3">
        <w:rPr>
          <w:rFonts w:cs="Arial"/>
          <w:szCs w:val="20"/>
          <w:lang w:val="en-US"/>
        </w:rPr>
        <w:t xml:space="preserve">the issuer, who is to be considered PRIIP’s manufacturer and </w:t>
      </w:r>
      <w:r w:rsidR="00C65BA3">
        <w:rPr>
          <w:rFonts w:cs="Arial"/>
          <w:szCs w:val="20"/>
          <w:lang w:val="en-US"/>
        </w:rPr>
        <w:t xml:space="preserve">who in under the obligation </w:t>
      </w:r>
      <w:r w:rsidR="00790116" w:rsidRPr="008542F3">
        <w:rPr>
          <w:rFonts w:cs="Arial"/>
          <w:szCs w:val="20"/>
          <w:lang w:val="en-US"/>
        </w:rPr>
        <w:t xml:space="preserve">to comply with the relevant requirements on key information documents? </w:t>
      </w:r>
      <w:r w:rsidR="00C65BA3">
        <w:rPr>
          <w:rFonts w:cs="Arial"/>
          <w:szCs w:val="20"/>
          <w:lang w:val="en-US"/>
        </w:rPr>
        <w:t>To</w:t>
      </w:r>
      <w:r w:rsidR="00790116" w:rsidRPr="008542F3">
        <w:rPr>
          <w:rFonts w:cs="Arial"/>
          <w:szCs w:val="20"/>
          <w:lang w:val="en-US"/>
        </w:rPr>
        <w:t xml:space="preserve"> this regard</w:t>
      </w:r>
      <w:r w:rsidR="00C65BA3">
        <w:rPr>
          <w:rFonts w:cs="Arial"/>
          <w:szCs w:val="20"/>
          <w:lang w:val="en-US"/>
        </w:rPr>
        <w:t>,</w:t>
      </w:r>
      <w:r w:rsidR="00790116" w:rsidRPr="008542F3">
        <w:rPr>
          <w:rFonts w:cs="Arial"/>
          <w:szCs w:val="20"/>
          <w:lang w:val="en-US"/>
        </w:rPr>
        <w:t xml:space="preserve"> it must be noted that ESMA Opinion on “Structured Retail Products - Good practices for product governance arrangements”, dated 27 March 2014, within footnote n. 8 states that “It should be noted that where the wrapper is a bond, its issuer may be a third party, which receives the ultimate cash and where the credit risk lies. However, for the purpose of this document, ESMA considers the role of such a third par</w:t>
      </w:r>
      <w:r w:rsidR="00007E41">
        <w:rPr>
          <w:rFonts w:cs="Arial"/>
          <w:szCs w:val="20"/>
          <w:lang w:val="en-US"/>
        </w:rPr>
        <w:t>ty issuer in the product govern</w:t>
      </w:r>
      <w:r w:rsidR="00790116" w:rsidRPr="008542F3">
        <w:rPr>
          <w:rFonts w:cs="Arial"/>
          <w:szCs w:val="20"/>
          <w:lang w:val="en-US"/>
        </w:rPr>
        <w:t>ance arrangements to be a passive one and therefore we will not further address it in this opinion”</w:t>
      </w:r>
      <w:r w:rsidR="00C65BA3">
        <w:rPr>
          <w:rFonts w:cs="Arial"/>
          <w:szCs w:val="20"/>
          <w:lang w:val="en-US"/>
        </w:rPr>
        <w:t>.</w:t>
      </w:r>
      <w:r w:rsidR="00790116" w:rsidRPr="008542F3">
        <w:rPr>
          <w:rFonts w:cs="Arial"/>
          <w:szCs w:val="20"/>
          <w:lang w:val="en-US"/>
        </w:rPr>
        <w:t xml:space="preserve">  </w:t>
      </w:r>
    </w:p>
    <w:p w:rsidR="00790116" w:rsidRPr="008542F3" w:rsidRDefault="00790116" w:rsidP="00790116">
      <w:pPr>
        <w:jc w:val="both"/>
        <w:rPr>
          <w:rFonts w:cs="Arial"/>
          <w:szCs w:val="20"/>
          <w:lang w:val="en-US"/>
        </w:rPr>
      </w:pPr>
    </w:p>
    <w:p w:rsidR="00790116" w:rsidRPr="008542F3" w:rsidRDefault="004A432B" w:rsidP="00790116">
      <w:pPr>
        <w:jc w:val="both"/>
        <w:rPr>
          <w:rFonts w:cs="Arial"/>
          <w:szCs w:val="20"/>
          <w:lang w:val="en-US"/>
        </w:rPr>
      </w:pPr>
      <w:r>
        <w:rPr>
          <w:rFonts w:cs="Arial"/>
          <w:szCs w:val="20"/>
          <w:lang w:val="en-US"/>
        </w:rPr>
        <w:t>11</w:t>
      </w:r>
      <w:r w:rsidR="00790116" w:rsidRPr="008542F3">
        <w:rPr>
          <w:rFonts w:cs="Arial"/>
          <w:szCs w:val="20"/>
          <w:lang w:val="en-US"/>
        </w:rPr>
        <w:t>.</w:t>
      </w:r>
      <w:r w:rsidR="00790116" w:rsidRPr="008542F3">
        <w:rPr>
          <w:rFonts w:cs="Arial"/>
          <w:szCs w:val="20"/>
          <w:lang w:val="en-US"/>
        </w:rPr>
        <w:tab/>
        <w:t>In case of regulated derivatives not represented by transferable</w:t>
      </w:r>
      <w:r w:rsidR="00007E41">
        <w:rPr>
          <w:rFonts w:cs="Arial"/>
          <w:szCs w:val="20"/>
          <w:lang w:val="en-US"/>
        </w:rPr>
        <w:t xml:space="preserve"> securities who is to be consid</w:t>
      </w:r>
      <w:r w:rsidR="00790116" w:rsidRPr="008542F3">
        <w:rPr>
          <w:rFonts w:cs="Arial"/>
          <w:szCs w:val="20"/>
          <w:lang w:val="en-US"/>
        </w:rPr>
        <w:t xml:space="preserve">ered the manufacturer obliged to draw up the </w:t>
      </w:r>
      <w:proofErr w:type="gramStart"/>
      <w:r w:rsidR="00790116" w:rsidRPr="008542F3">
        <w:rPr>
          <w:rFonts w:cs="Arial"/>
          <w:szCs w:val="20"/>
          <w:lang w:val="en-US"/>
        </w:rPr>
        <w:t>KID?</w:t>
      </w:r>
      <w:proofErr w:type="gramEnd"/>
    </w:p>
    <w:p w:rsidR="00790116" w:rsidRPr="008542F3" w:rsidRDefault="00790116" w:rsidP="00790116">
      <w:pPr>
        <w:jc w:val="both"/>
        <w:rPr>
          <w:rFonts w:cs="Arial"/>
          <w:szCs w:val="20"/>
          <w:lang w:val="en-US"/>
        </w:rPr>
      </w:pPr>
    </w:p>
    <w:p w:rsidR="00790116" w:rsidRPr="008542F3" w:rsidRDefault="00800731" w:rsidP="00790116">
      <w:pPr>
        <w:jc w:val="both"/>
        <w:rPr>
          <w:rFonts w:cs="Arial"/>
          <w:szCs w:val="20"/>
          <w:lang w:val="en-US"/>
        </w:rPr>
      </w:pPr>
      <w:proofErr w:type="gramStart"/>
      <w:r>
        <w:rPr>
          <w:rFonts w:cs="Arial"/>
          <w:szCs w:val="20"/>
          <w:lang w:val="en-US"/>
        </w:rPr>
        <w:t>1</w:t>
      </w:r>
      <w:r w:rsidR="004A432B">
        <w:rPr>
          <w:rFonts w:cs="Arial"/>
          <w:szCs w:val="20"/>
          <w:lang w:val="en-US"/>
        </w:rPr>
        <w:t>2</w:t>
      </w:r>
      <w:r w:rsidR="00790116" w:rsidRPr="008542F3">
        <w:rPr>
          <w:rFonts w:cs="Arial"/>
          <w:szCs w:val="20"/>
          <w:lang w:val="en-US"/>
        </w:rPr>
        <w:t>.</w:t>
      </w:r>
      <w:r w:rsidR="00790116" w:rsidRPr="008542F3">
        <w:rPr>
          <w:rFonts w:cs="Arial"/>
          <w:szCs w:val="20"/>
          <w:lang w:val="en-US"/>
        </w:rPr>
        <w:tab/>
      </w:r>
      <w:r w:rsidR="00C65BA3">
        <w:rPr>
          <w:rFonts w:cs="Arial"/>
          <w:szCs w:val="20"/>
          <w:lang w:val="en-US"/>
        </w:rPr>
        <w:t xml:space="preserve">As </w:t>
      </w:r>
      <w:r w:rsidR="00790116" w:rsidRPr="008542F3">
        <w:rPr>
          <w:rFonts w:cs="Arial"/>
          <w:szCs w:val="20"/>
          <w:lang w:val="en-US"/>
        </w:rPr>
        <w:t>the PRIIPs</w:t>
      </w:r>
      <w:proofErr w:type="gramEnd"/>
      <w:r w:rsidR="00790116" w:rsidRPr="008542F3">
        <w:rPr>
          <w:rFonts w:cs="Arial"/>
          <w:szCs w:val="20"/>
          <w:lang w:val="en-US"/>
        </w:rPr>
        <w:t xml:space="preserve"> definition </w:t>
      </w:r>
      <w:r w:rsidR="00C65BA3">
        <w:rPr>
          <w:rFonts w:cs="Arial"/>
          <w:szCs w:val="20"/>
          <w:lang w:val="en-US"/>
        </w:rPr>
        <w:t xml:space="preserve">is </w:t>
      </w:r>
      <w:r w:rsidR="00790116" w:rsidRPr="008542F3">
        <w:rPr>
          <w:rFonts w:cs="Arial"/>
          <w:szCs w:val="20"/>
          <w:lang w:val="en-US"/>
        </w:rPr>
        <w:t>sufficiently large in scope to leave PRIIPs manufacturers with a certain level of discretion when evaluating whether a specific product be defined a PRIIP or not, to what exten</w:t>
      </w:r>
      <w:r w:rsidR="00C65BA3">
        <w:rPr>
          <w:rFonts w:cs="Arial"/>
          <w:szCs w:val="20"/>
          <w:lang w:val="en-US"/>
        </w:rPr>
        <w:t>t</w:t>
      </w:r>
      <w:r w:rsidR="00790116" w:rsidRPr="008542F3">
        <w:rPr>
          <w:rFonts w:cs="Arial"/>
          <w:szCs w:val="20"/>
          <w:lang w:val="en-US"/>
        </w:rPr>
        <w:t xml:space="preserve"> are manufacturers and distributors held legally responsible for the assessment</w:t>
      </w:r>
      <w:r w:rsidR="001B6BBB">
        <w:rPr>
          <w:rFonts w:cs="Arial"/>
          <w:szCs w:val="20"/>
          <w:lang w:val="en-US"/>
        </w:rPr>
        <w:t>?</w:t>
      </w:r>
    </w:p>
    <w:p w:rsidR="00790116" w:rsidRPr="008542F3" w:rsidRDefault="00790116" w:rsidP="00790116">
      <w:pPr>
        <w:jc w:val="both"/>
        <w:rPr>
          <w:rFonts w:cs="Arial"/>
          <w:szCs w:val="20"/>
          <w:lang w:val="en-US"/>
        </w:rPr>
      </w:pPr>
    </w:p>
    <w:p w:rsidR="00790116" w:rsidRPr="008542F3" w:rsidRDefault="00800731" w:rsidP="00790116">
      <w:pPr>
        <w:jc w:val="both"/>
        <w:rPr>
          <w:rFonts w:cs="Arial"/>
          <w:szCs w:val="20"/>
          <w:lang w:val="en-US"/>
        </w:rPr>
      </w:pPr>
      <w:r>
        <w:rPr>
          <w:rFonts w:cs="Arial"/>
          <w:szCs w:val="20"/>
          <w:lang w:val="en-US"/>
        </w:rPr>
        <w:t>1</w:t>
      </w:r>
      <w:r w:rsidR="004A432B">
        <w:rPr>
          <w:rFonts w:cs="Arial"/>
          <w:szCs w:val="20"/>
          <w:lang w:val="en-US"/>
        </w:rPr>
        <w:t>3</w:t>
      </w:r>
      <w:r w:rsidR="00790116" w:rsidRPr="008542F3">
        <w:rPr>
          <w:rFonts w:cs="Arial"/>
          <w:szCs w:val="20"/>
          <w:lang w:val="en-US"/>
        </w:rPr>
        <w:t>.</w:t>
      </w:r>
      <w:r w:rsidR="00790116" w:rsidRPr="008542F3">
        <w:rPr>
          <w:rFonts w:cs="Arial"/>
          <w:szCs w:val="20"/>
          <w:lang w:val="en-US"/>
        </w:rPr>
        <w:tab/>
        <w:t xml:space="preserve">Will distributors incur any liability for the distribution of a PRIIP </w:t>
      </w:r>
      <w:r w:rsidR="001B6BBB">
        <w:rPr>
          <w:rFonts w:cs="Arial"/>
          <w:szCs w:val="20"/>
          <w:lang w:val="en-US"/>
        </w:rPr>
        <w:t xml:space="preserve">devoid of </w:t>
      </w:r>
      <w:r w:rsidR="00790116" w:rsidRPr="008542F3">
        <w:rPr>
          <w:rFonts w:cs="Arial"/>
          <w:szCs w:val="20"/>
          <w:lang w:val="en-US"/>
        </w:rPr>
        <w:t>a KID? Are distributors required to abstain from distributing such PRIIPs to clients?</w:t>
      </w:r>
    </w:p>
    <w:p w:rsidR="00790116" w:rsidRPr="008542F3" w:rsidRDefault="00790116" w:rsidP="00790116">
      <w:pPr>
        <w:jc w:val="both"/>
        <w:rPr>
          <w:rFonts w:cs="Arial"/>
          <w:szCs w:val="20"/>
          <w:lang w:val="en-US"/>
        </w:rPr>
      </w:pPr>
      <w:r w:rsidRPr="008542F3">
        <w:rPr>
          <w:rFonts w:cs="Arial"/>
          <w:szCs w:val="20"/>
          <w:lang w:val="en-US"/>
        </w:rPr>
        <w:tab/>
      </w:r>
    </w:p>
    <w:p w:rsidR="00790116" w:rsidRDefault="00800731" w:rsidP="00790116">
      <w:pPr>
        <w:jc w:val="both"/>
        <w:rPr>
          <w:rFonts w:cs="Arial"/>
          <w:szCs w:val="20"/>
          <w:lang w:val="en-US"/>
        </w:rPr>
      </w:pPr>
      <w:r>
        <w:rPr>
          <w:rFonts w:cs="Arial"/>
          <w:szCs w:val="20"/>
          <w:lang w:val="en-US"/>
        </w:rPr>
        <w:t>1</w:t>
      </w:r>
      <w:r w:rsidR="004A432B">
        <w:rPr>
          <w:rFonts w:cs="Arial"/>
          <w:szCs w:val="20"/>
          <w:lang w:val="en-US"/>
        </w:rPr>
        <w:t>4</w:t>
      </w:r>
      <w:r w:rsidR="00790116" w:rsidRPr="008542F3">
        <w:rPr>
          <w:rFonts w:cs="Arial"/>
          <w:szCs w:val="20"/>
          <w:lang w:val="en-US"/>
        </w:rPr>
        <w:t xml:space="preserve">. </w:t>
      </w:r>
      <w:r w:rsidR="00790116" w:rsidRPr="008542F3">
        <w:rPr>
          <w:rFonts w:cs="Arial"/>
          <w:szCs w:val="20"/>
          <w:lang w:val="en-US"/>
        </w:rPr>
        <w:tab/>
        <w:t xml:space="preserve">Who is </w:t>
      </w:r>
      <w:r w:rsidR="001B6BBB">
        <w:rPr>
          <w:rFonts w:cs="Arial"/>
          <w:szCs w:val="20"/>
          <w:lang w:val="en-US"/>
        </w:rPr>
        <w:t xml:space="preserve">under the </w:t>
      </w:r>
      <w:r w:rsidR="00790116" w:rsidRPr="008542F3">
        <w:rPr>
          <w:rFonts w:cs="Arial"/>
          <w:szCs w:val="20"/>
          <w:lang w:val="en-US"/>
        </w:rPr>
        <w:t>oblig</w:t>
      </w:r>
      <w:r w:rsidR="001B6BBB">
        <w:rPr>
          <w:rFonts w:cs="Arial"/>
          <w:szCs w:val="20"/>
          <w:lang w:val="en-US"/>
        </w:rPr>
        <w:t xml:space="preserve">ation </w:t>
      </w:r>
      <w:r w:rsidR="00790116" w:rsidRPr="008542F3">
        <w:rPr>
          <w:rFonts w:cs="Arial"/>
          <w:szCs w:val="20"/>
          <w:lang w:val="en-US"/>
        </w:rPr>
        <w:t>to translate the KID a</w:t>
      </w:r>
      <w:r w:rsidR="001B6BBB">
        <w:rPr>
          <w:rFonts w:cs="Arial"/>
          <w:szCs w:val="20"/>
          <w:lang w:val="en-US"/>
        </w:rPr>
        <w:t xml:space="preserve">s per </w:t>
      </w:r>
      <w:r w:rsidR="00790116" w:rsidRPr="008542F3">
        <w:rPr>
          <w:rFonts w:cs="Arial"/>
          <w:szCs w:val="20"/>
          <w:lang w:val="en-US"/>
        </w:rPr>
        <w:t xml:space="preserve">article 7 of the PRIIPS Regulation? We </w:t>
      </w:r>
      <w:r w:rsidR="001B6BBB">
        <w:rPr>
          <w:rFonts w:cs="Arial"/>
          <w:szCs w:val="20"/>
          <w:lang w:val="en-US"/>
        </w:rPr>
        <w:t xml:space="preserve">feel </w:t>
      </w:r>
      <w:r w:rsidR="00790116" w:rsidRPr="008542F3">
        <w:rPr>
          <w:rFonts w:cs="Arial"/>
          <w:szCs w:val="20"/>
          <w:lang w:val="en-US"/>
        </w:rPr>
        <w:t xml:space="preserve">the manufacturer </w:t>
      </w:r>
      <w:r w:rsidR="001B6BBB">
        <w:rPr>
          <w:rFonts w:cs="Arial"/>
          <w:szCs w:val="20"/>
          <w:lang w:val="en-US"/>
        </w:rPr>
        <w:t xml:space="preserve">should be </w:t>
      </w:r>
      <w:r w:rsidR="00790116" w:rsidRPr="008542F3">
        <w:rPr>
          <w:rFonts w:cs="Arial"/>
          <w:szCs w:val="20"/>
          <w:lang w:val="en-US"/>
        </w:rPr>
        <w:t>obliged to translate the KID</w:t>
      </w:r>
      <w:r w:rsidR="00790116">
        <w:rPr>
          <w:rFonts w:cs="Arial"/>
          <w:szCs w:val="20"/>
          <w:lang w:val="en-US"/>
        </w:rPr>
        <w:t xml:space="preserve">. </w:t>
      </w:r>
      <w:proofErr w:type="gramStart"/>
      <w:r w:rsidR="00790116">
        <w:rPr>
          <w:rFonts w:cs="Arial"/>
          <w:szCs w:val="20"/>
          <w:lang w:val="en-US"/>
        </w:rPr>
        <w:t xml:space="preserve">In order to </w:t>
      </w:r>
      <w:r w:rsidR="001B6BBB">
        <w:rPr>
          <w:rFonts w:cs="Arial"/>
          <w:szCs w:val="20"/>
          <w:lang w:val="en-US"/>
        </w:rPr>
        <w:t xml:space="preserve">comprehend </w:t>
      </w:r>
      <w:r w:rsidR="00790116">
        <w:rPr>
          <w:rFonts w:cs="Arial"/>
          <w:szCs w:val="20"/>
          <w:lang w:val="en-US"/>
        </w:rPr>
        <w:t xml:space="preserve">the full scope of manufacturer obligation </w:t>
      </w:r>
      <w:r w:rsidR="001B6BBB">
        <w:rPr>
          <w:rFonts w:cs="Arial"/>
          <w:szCs w:val="20"/>
          <w:lang w:val="en-US"/>
        </w:rPr>
        <w:t>with regard</w:t>
      </w:r>
      <w:r w:rsidR="00790116">
        <w:rPr>
          <w:rFonts w:cs="Arial"/>
          <w:szCs w:val="20"/>
          <w:lang w:val="en-US"/>
        </w:rPr>
        <w:t xml:space="preserve"> to the translation of the KID it </w:t>
      </w:r>
      <w:r w:rsidR="007A573C">
        <w:rPr>
          <w:rFonts w:cs="Arial"/>
          <w:szCs w:val="20"/>
          <w:lang w:val="en-US"/>
        </w:rPr>
        <w:t xml:space="preserve">must be </w:t>
      </w:r>
      <w:r w:rsidR="00790116">
        <w:rPr>
          <w:rFonts w:cs="Arial"/>
          <w:szCs w:val="20"/>
          <w:lang w:val="en-US"/>
        </w:rPr>
        <w:t>consider</w:t>
      </w:r>
      <w:r w:rsidR="007A573C">
        <w:rPr>
          <w:rFonts w:cs="Arial"/>
          <w:szCs w:val="20"/>
          <w:lang w:val="en-US"/>
        </w:rPr>
        <w:t xml:space="preserve">ed </w:t>
      </w:r>
      <w:r w:rsidR="00790116">
        <w:rPr>
          <w:rFonts w:cs="Arial"/>
          <w:szCs w:val="20"/>
          <w:lang w:val="en-US"/>
        </w:rPr>
        <w:t xml:space="preserve">that PRIIPS can be distributed not only on the primary market (either directly by </w:t>
      </w:r>
      <w:r w:rsidR="007A573C">
        <w:rPr>
          <w:rFonts w:cs="Arial"/>
          <w:szCs w:val="20"/>
          <w:lang w:val="en-US"/>
        </w:rPr>
        <w:t xml:space="preserve">the </w:t>
      </w:r>
      <w:r w:rsidR="00790116">
        <w:rPr>
          <w:rFonts w:cs="Arial"/>
          <w:szCs w:val="20"/>
          <w:lang w:val="en-US"/>
        </w:rPr>
        <w:t xml:space="preserve">manufacturer itself </w:t>
      </w:r>
      <w:r w:rsidR="00AE5DE2">
        <w:rPr>
          <w:rFonts w:cs="Arial"/>
          <w:szCs w:val="20"/>
          <w:lang w:val="en-US"/>
        </w:rPr>
        <w:t xml:space="preserve">or </w:t>
      </w:r>
      <w:r w:rsidR="00790116">
        <w:rPr>
          <w:rFonts w:cs="Arial"/>
          <w:szCs w:val="20"/>
          <w:lang w:val="en-US"/>
        </w:rPr>
        <w:t xml:space="preserve">by intermediaries appointed through distribution agreements </w:t>
      </w:r>
      <w:r w:rsidR="00AE5DE2">
        <w:rPr>
          <w:rFonts w:cs="Arial"/>
          <w:szCs w:val="20"/>
          <w:lang w:val="en-US"/>
        </w:rPr>
        <w:t xml:space="preserve">or </w:t>
      </w:r>
      <w:r w:rsidR="00790116">
        <w:rPr>
          <w:rFonts w:cs="Arial"/>
          <w:szCs w:val="20"/>
          <w:lang w:val="en-US"/>
        </w:rPr>
        <w:t xml:space="preserve">sometimes by direct listing) but also on the secondary market through negotiations on trading </w:t>
      </w:r>
      <w:r w:rsidR="00A77ED3">
        <w:rPr>
          <w:rFonts w:cs="Arial"/>
          <w:szCs w:val="20"/>
          <w:lang w:val="en-US"/>
        </w:rPr>
        <w:t>venues.</w:t>
      </w:r>
      <w:proofErr w:type="gramEnd"/>
      <w:r w:rsidR="00A77ED3">
        <w:rPr>
          <w:rFonts w:cs="Arial"/>
          <w:szCs w:val="20"/>
          <w:lang w:val="en-US"/>
        </w:rPr>
        <w:t xml:space="preserve"> </w:t>
      </w:r>
      <w:proofErr w:type="gramStart"/>
      <w:r w:rsidR="00A77ED3">
        <w:rPr>
          <w:rFonts w:cs="Arial"/>
          <w:szCs w:val="20"/>
          <w:lang w:val="en-US"/>
        </w:rPr>
        <w:t>Therefore</w:t>
      </w:r>
      <w:proofErr w:type="gramEnd"/>
      <w:r w:rsidR="00790116">
        <w:rPr>
          <w:rFonts w:cs="Arial"/>
          <w:szCs w:val="20"/>
          <w:lang w:val="en-US"/>
        </w:rPr>
        <w:t xml:space="preserve"> it is essential to </w:t>
      </w:r>
      <w:r w:rsidR="00AE5DE2">
        <w:rPr>
          <w:rFonts w:cs="Arial"/>
          <w:szCs w:val="20"/>
          <w:lang w:val="en-US"/>
        </w:rPr>
        <w:t>formulate in detail</w:t>
      </w:r>
      <w:r w:rsidR="00790116">
        <w:rPr>
          <w:rFonts w:cs="Arial"/>
          <w:szCs w:val="20"/>
          <w:lang w:val="en-US"/>
        </w:rPr>
        <w:t xml:space="preserve"> the expected </w:t>
      </w:r>
      <w:r w:rsidR="00A77ED3">
        <w:rPr>
          <w:rFonts w:cs="Arial"/>
          <w:szCs w:val="20"/>
          <w:lang w:val="en-US"/>
        </w:rPr>
        <w:t>behavior</w:t>
      </w:r>
      <w:r w:rsidR="00790116">
        <w:rPr>
          <w:rFonts w:cs="Arial"/>
          <w:szCs w:val="20"/>
          <w:lang w:val="en-US"/>
        </w:rPr>
        <w:t xml:space="preserve"> from manufacturers </w:t>
      </w:r>
      <w:r w:rsidR="00AE5DE2">
        <w:rPr>
          <w:rFonts w:cs="Arial"/>
          <w:szCs w:val="20"/>
          <w:lang w:val="en-US"/>
        </w:rPr>
        <w:t xml:space="preserve">with </w:t>
      </w:r>
      <w:r w:rsidR="00790116">
        <w:rPr>
          <w:rFonts w:cs="Arial"/>
          <w:szCs w:val="20"/>
          <w:lang w:val="en-US"/>
        </w:rPr>
        <w:t>regard</w:t>
      </w:r>
      <w:r w:rsidR="00AE5DE2">
        <w:rPr>
          <w:rFonts w:cs="Arial"/>
          <w:szCs w:val="20"/>
          <w:lang w:val="en-US"/>
        </w:rPr>
        <w:t xml:space="preserve"> to </w:t>
      </w:r>
      <w:r w:rsidR="00790116">
        <w:rPr>
          <w:rFonts w:cs="Arial"/>
          <w:szCs w:val="20"/>
          <w:lang w:val="en-US"/>
        </w:rPr>
        <w:t xml:space="preserve">the translation of the KID </w:t>
      </w:r>
      <w:r w:rsidR="00AE5DE2">
        <w:rPr>
          <w:rFonts w:cs="Arial"/>
          <w:szCs w:val="20"/>
          <w:lang w:val="en-US"/>
        </w:rPr>
        <w:t>bearing</w:t>
      </w:r>
      <w:r w:rsidR="00790116">
        <w:rPr>
          <w:rFonts w:cs="Arial"/>
          <w:szCs w:val="20"/>
          <w:lang w:val="en-US"/>
        </w:rPr>
        <w:t xml:space="preserve"> in mind the m</w:t>
      </w:r>
      <w:r w:rsidR="00F22D64">
        <w:rPr>
          <w:rFonts w:cs="Arial"/>
          <w:szCs w:val="20"/>
          <w:lang w:val="en-US"/>
        </w:rPr>
        <w:t>yriad</w:t>
      </w:r>
      <w:r w:rsidR="00790116">
        <w:rPr>
          <w:rFonts w:cs="Arial"/>
          <w:szCs w:val="20"/>
          <w:lang w:val="en-US"/>
        </w:rPr>
        <w:t xml:space="preserve"> ways that PRIIPS can be distributed on the primary and secondary markets</w:t>
      </w:r>
      <w:r w:rsidR="00790116" w:rsidRPr="008542F3">
        <w:rPr>
          <w:rFonts w:cs="Arial"/>
          <w:szCs w:val="20"/>
          <w:lang w:val="en-US"/>
        </w:rPr>
        <w:t>.</w:t>
      </w:r>
    </w:p>
    <w:p w:rsidR="00000A02" w:rsidRDefault="00000A02" w:rsidP="00790116">
      <w:pPr>
        <w:jc w:val="both"/>
        <w:rPr>
          <w:rFonts w:cs="Arial"/>
          <w:szCs w:val="20"/>
          <w:lang w:val="en-US"/>
        </w:rPr>
      </w:pPr>
    </w:p>
    <w:p w:rsidR="00790116" w:rsidRDefault="00790116" w:rsidP="00790116">
      <w:pPr>
        <w:jc w:val="both"/>
        <w:rPr>
          <w:rFonts w:cs="Arial"/>
          <w:szCs w:val="20"/>
          <w:lang w:val="en-US"/>
        </w:rPr>
      </w:pPr>
    </w:p>
    <w:p w:rsidR="00790116" w:rsidRPr="00790116" w:rsidRDefault="00790116" w:rsidP="00C3542E">
      <w:pPr>
        <w:pStyle w:val="Paragrafoelenco"/>
        <w:numPr>
          <w:ilvl w:val="0"/>
          <w:numId w:val="42"/>
        </w:numPr>
        <w:jc w:val="both"/>
        <w:rPr>
          <w:rFonts w:cs="Arial"/>
          <w:b/>
          <w:szCs w:val="20"/>
          <w:lang w:val="en-US"/>
        </w:rPr>
      </w:pPr>
      <w:r w:rsidRPr="00790116">
        <w:rPr>
          <w:rFonts w:cs="Arial"/>
          <w:b/>
          <w:szCs w:val="20"/>
          <w:lang w:val="en-US"/>
        </w:rPr>
        <w:t>Interaction of PRIIPS with MiFID</w:t>
      </w:r>
    </w:p>
    <w:p w:rsidR="00790116" w:rsidRPr="008542F3" w:rsidRDefault="00790116" w:rsidP="00790116">
      <w:pPr>
        <w:jc w:val="both"/>
        <w:rPr>
          <w:rFonts w:cs="Arial"/>
          <w:szCs w:val="20"/>
          <w:lang w:val="en-US"/>
        </w:rPr>
      </w:pPr>
    </w:p>
    <w:p w:rsidR="00790116" w:rsidRPr="008542F3" w:rsidRDefault="00790116" w:rsidP="00790116">
      <w:pPr>
        <w:jc w:val="both"/>
        <w:rPr>
          <w:rFonts w:cs="Arial"/>
          <w:szCs w:val="20"/>
          <w:lang w:val="en-US"/>
        </w:rPr>
      </w:pPr>
      <w:r w:rsidRPr="008542F3">
        <w:rPr>
          <w:rFonts w:cs="Arial"/>
          <w:szCs w:val="20"/>
          <w:lang w:val="en-US"/>
        </w:rPr>
        <w:t>1.</w:t>
      </w:r>
      <w:r w:rsidRPr="008542F3">
        <w:rPr>
          <w:rFonts w:cs="Arial"/>
          <w:szCs w:val="20"/>
          <w:lang w:val="en-US"/>
        </w:rPr>
        <w:tab/>
        <w:t xml:space="preserve">Should investment firms be exempted from providing clients with the KID when offering individual portfolio management </w:t>
      </w:r>
      <w:r w:rsidR="00F22D64">
        <w:rPr>
          <w:rFonts w:cs="Arial"/>
          <w:szCs w:val="20"/>
          <w:lang w:val="en-US"/>
        </w:rPr>
        <w:t xml:space="preserve">service given that </w:t>
      </w:r>
      <w:r w:rsidRPr="008542F3">
        <w:rPr>
          <w:rFonts w:cs="Arial"/>
          <w:szCs w:val="20"/>
          <w:lang w:val="en-US"/>
        </w:rPr>
        <w:t xml:space="preserve">investment decisions </w:t>
      </w:r>
      <w:r w:rsidR="00F22D64">
        <w:rPr>
          <w:rFonts w:cs="Arial"/>
          <w:szCs w:val="20"/>
          <w:lang w:val="en-US"/>
        </w:rPr>
        <w:t xml:space="preserve">are </w:t>
      </w:r>
      <w:r w:rsidRPr="008542F3">
        <w:rPr>
          <w:rFonts w:cs="Arial"/>
          <w:szCs w:val="20"/>
          <w:lang w:val="en-US"/>
        </w:rPr>
        <w:t xml:space="preserve">entirely taken by investment firms and </w:t>
      </w:r>
      <w:r w:rsidR="00F22D64">
        <w:rPr>
          <w:rFonts w:cs="Arial"/>
          <w:szCs w:val="20"/>
          <w:lang w:val="en-US"/>
        </w:rPr>
        <w:t xml:space="preserve">bearing in mind </w:t>
      </w:r>
      <w:r w:rsidRPr="008542F3">
        <w:rPr>
          <w:rFonts w:cs="Arial"/>
          <w:szCs w:val="20"/>
          <w:lang w:val="en-US"/>
        </w:rPr>
        <w:t>t</w:t>
      </w:r>
      <w:r w:rsidR="00F22D64">
        <w:rPr>
          <w:rFonts w:cs="Arial"/>
          <w:szCs w:val="20"/>
          <w:lang w:val="en-US"/>
        </w:rPr>
        <w:t xml:space="preserve">hat </w:t>
      </w:r>
      <w:r w:rsidRPr="008542F3">
        <w:rPr>
          <w:rFonts w:cs="Arial"/>
          <w:szCs w:val="20"/>
          <w:lang w:val="en-US"/>
        </w:rPr>
        <w:t>an investment service</w:t>
      </w:r>
      <w:r w:rsidR="00F22D64">
        <w:rPr>
          <w:rFonts w:cs="Arial"/>
          <w:szCs w:val="20"/>
          <w:lang w:val="en-US"/>
        </w:rPr>
        <w:t xml:space="preserve">, </w:t>
      </w:r>
      <w:r w:rsidRPr="008542F3">
        <w:rPr>
          <w:rFonts w:cs="Arial"/>
          <w:szCs w:val="20"/>
          <w:lang w:val="en-US"/>
        </w:rPr>
        <w:t>and not a product</w:t>
      </w:r>
      <w:r w:rsidR="00F22D64">
        <w:rPr>
          <w:rFonts w:cs="Arial"/>
          <w:szCs w:val="20"/>
          <w:lang w:val="en-US"/>
        </w:rPr>
        <w:t>, is on offer</w:t>
      </w:r>
      <w:r w:rsidRPr="008542F3">
        <w:rPr>
          <w:rFonts w:cs="Arial"/>
          <w:szCs w:val="20"/>
          <w:lang w:val="en-US"/>
        </w:rPr>
        <w:t>?</w:t>
      </w:r>
    </w:p>
    <w:p w:rsidR="00790116" w:rsidRPr="008542F3" w:rsidRDefault="00790116" w:rsidP="00790116">
      <w:pPr>
        <w:jc w:val="both"/>
        <w:rPr>
          <w:rFonts w:cs="Arial"/>
          <w:szCs w:val="20"/>
          <w:lang w:val="en-US"/>
        </w:rPr>
      </w:pPr>
    </w:p>
    <w:p w:rsidR="00790116" w:rsidRPr="00C815C7" w:rsidRDefault="00790116" w:rsidP="00790116">
      <w:pPr>
        <w:jc w:val="both"/>
      </w:pPr>
      <w:proofErr w:type="gramStart"/>
      <w:r w:rsidRPr="008542F3">
        <w:rPr>
          <w:rFonts w:cs="Arial"/>
          <w:szCs w:val="20"/>
          <w:lang w:val="en-US"/>
        </w:rPr>
        <w:t>2.</w:t>
      </w:r>
      <w:r w:rsidRPr="008542F3">
        <w:rPr>
          <w:rFonts w:cs="Arial"/>
          <w:szCs w:val="20"/>
          <w:lang w:val="en-US"/>
        </w:rPr>
        <w:tab/>
      </w:r>
      <w:r w:rsidRPr="00800731">
        <w:rPr>
          <w:rFonts w:cs="Arial"/>
          <w:szCs w:val="20"/>
          <w:lang w:val="en-US"/>
        </w:rPr>
        <w:t xml:space="preserve">It </w:t>
      </w:r>
      <w:r w:rsidR="00585E3E">
        <w:rPr>
          <w:rFonts w:cs="Arial"/>
          <w:szCs w:val="20"/>
          <w:lang w:val="en-US"/>
        </w:rPr>
        <w:t xml:space="preserve">should be </w:t>
      </w:r>
      <w:r w:rsidRPr="00800731">
        <w:rPr>
          <w:rFonts w:cs="Arial"/>
          <w:szCs w:val="20"/>
          <w:lang w:val="en-US"/>
        </w:rPr>
        <w:t>consider</w:t>
      </w:r>
      <w:r w:rsidR="00585E3E">
        <w:rPr>
          <w:rFonts w:cs="Arial"/>
          <w:szCs w:val="20"/>
          <w:lang w:val="en-US"/>
        </w:rPr>
        <w:t xml:space="preserve">ed that </w:t>
      </w:r>
      <w:r w:rsidRPr="00800731">
        <w:rPr>
          <w:rFonts w:cs="Arial"/>
          <w:szCs w:val="20"/>
          <w:lang w:val="en-US"/>
        </w:rPr>
        <w:t xml:space="preserve">intermediaries </w:t>
      </w:r>
      <w:r w:rsidR="00585E3E">
        <w:rPr>
          <w:rFonts w:cs="Arial"/>
          <w:szCs w:val="20"/>
          <w:lang w:val="en-US"/>
        </w:rPr>
        <w:t>might prove un</w:t>
      </w:r>
      <w:r w:rsidRPr="00800731">
        <w:rPr>
          <w:rFonts w:cs="Arial"/>
          <w:szCs w:val="20"/>
          <w:lang w:val="en-US"/>
        </w:rPr>
        <w:t xml:space="preserve">able to </w:t>
      </w:r>
      <w:r w:rsidR="00585E3E">
        <w:rPr>
          <w:rFonts w:cs="Arial"/>
          <w:szCs w:val="20"/>
          <w:lang w:val="en-US"/>
        </w:rPr>
        <w:t xml:space="preserve">meet </w:t>
      </w:r>
      <w:r w:rsidRPr="00800731">
        <w:rPr>
          <w:rFonts w:cs="Arial"/>
          <w:szCs w:val="20"/>
          <w:lang w:val="en-US"/>
        </w:rPr>
        <w:t>their obligation to provide retail clients with the KID (PRIIPS purchased on the secondary market by the clients in the context of reception and transmission of orders</w:t>
      </w:r>
      <w:r w:rsidR="00C21AA0" w:rsidRPr="00800731">
        <w:rPr>
          <w:rFonts w:cs="Arial"/>
          <w:szCs w:val="20"/>
          <w:lang w:val="en-US"/>
        </w:rPr>
        <w:t>,</w:t>
      </w:r>
      <w:r w:rsidRPr="00800731">
        <w:rPr>
          <w:rFonts w:cs="Arial"/>
          <w:szCs w:val="20"/>
          <w:lang w:val="en-US"/>
        </w:rPr>
        <w:t xml:space="preserve"> </w:t>
      </w:r>
      <w:r w:rsidRPr="00800731">
        <w:rPr>
          <w:rFonts w:cs="Arial"/>
          <w:strike/>
          <w:szCs w:val="20"/>
          <w:lang w:val="en-US"/>
        </w:rPr>
        <w:t>or</w:t>
      </w:r>
      <w:r w:rsidRPr="00800731">
        <w:rPr>
          <w:rFonts w:cs="Arial"/>
          <w:szCs w:val="20"/>
          <w:lang w:val="en-US"/>
        </w:rPr>
        <w:t xml:space="preserve"> execution of orders on behalf of clients</w:t>
      </w:r>
      <w:r w:rsidR="00C21AA0" w:rsidRPr="00800731">
        <w:rPr>
          <w:rFonts w:cs="Arial"/>
          <w:szCs w:val="20"/>
          <w:lang w:val="en-US"/>
        </w:rPr>
        <w:t xml:space="preserve"> or </w:t>
      </w:r>
      <w:r w:rsidRPr="00800731">
        <w:rPr>
          <w:rFonts w:cs="Arial"/>
          <w:szCs w:val="20"/>
          <w:lang w:val="en-US"/>
        </w:rPr>
        <w:t xml:space="preserve"> execution of orders on behalf of clients through dealing on own account) </w:t>
      </w:r>
      <w:r w:rsidR="00585E3E">
        <w:rPr>
          <w:rFonts w:cs="Arial"/>
          <w:szCs w:val="20"/>
          <w:lang w:val="en-US"/>
        </w:rPr>
        <w:t>because of a</w:t>
      </w:r>
      <w:r w:rsidRPr="00800731">
        <w:rPr>
          <w:rFonts w:cs="Arial"/>
          <w:szCs w:val="20"/>
          <w:lang w:val="en-US"/>
        </w:rPr>
        <w:t xml:space="preserve"> lack of proactive initiative towards clients and/or  distribution agreement</w:t>
      </w:r>
      <w:r w:rsidR="00585E3E">
        <w:rPr>
          <w:rFonts w:cs="Arial"/>
          <w:szCs w:val="20"/>
          <w:lang w:val="en-US"/>
        </w:rPr>
        <w:t>s</w:t>
      </w:r>
      <w:r w:rsidRPr="00800731">
        <w:rPr>
          <w:rFonts w:cs="Arial"/>
          <w:szCs w:val="20"/>
          <w:lang w:val="en-US"/>
        </w:rPr>
        <w:t xml:space="preserve"> with the product manufacturer.</w:t>
      </w:r>
      <w:proofErr w:type="gramEnd"/>
      <w:r w:rsidRPr="00800731">
        <w:rPr>
          <w:rFonts w:cs="Arial"/>
          <w:szCs w:val="20"/>
          <w:lang w:val="en-US"/>
        </w:rPr>
        <w:t xml:space="preserve"> </w:t>
      </w:r>
      <w:proofErr w:type="gramStart"/>
      <w:r w:rsidRPr="00800731">
        <w:rPr>
          <w:rFonts w:cs="Arial"/>
          <w:szCs w:val="20"/>
          <w:lang w:val="en-US"/>
        </w:rPr>
        <w:t xml:space="preserve">In </w:t>
      </w:r>
      <w:r w:rsidR="00585E3E">
        <w:rPr>
          <w:rFonts w:cs="Arial"/>
          <w:szCs w:val="20"/>
          <w:lang w:val="en-US"/>
        </w:rPr>
        <w:t>such circumstances</w:t>
      </w:r>
      <w:r w:rsidR="00C21AA0" w:rsidRPr="00800731">
        <w:rPr>
          <w:rFonts w:cs="Arial"/>
          <w:szCs w:val="20"/>
          <w:lang w:val="en-US"/>
        </w:rPr>
        <w:t>, due to the huge number of financial instruments which the clients c</w:t>
      </w:r>
      <w:r w:rsidR="00585E3E">
        <w:rPr>
          <w:rFonts w:cs="Arial"/>
          <w:szCs w:val="20"/>
          <w:lang w:val="en-US"/>
        </w:rPr>
        <w:t>ould</w:t>
      </w:r>
      <w:r w:rsidR="00C21AA0" w:rsidRPr="00800731">
        <w:rPr>
          <w:rFonts w:cs="Arial"/>
          <w:szCs w:val="20"/>
          <w:lang w:val="en-US"/>
        </w:rPr>
        <w:t xml:space="preserve"> </w:t>
      </w:r>
      <w:r w:rsidR="00043551" w:rsidRPr="00800731">
        <w:rPr>
          <w:rFonts w:cs="Arial"/>
          <w:szCs w:val="20"/>
          <w:lang w:val="en-US"/>
        </w:rPr>
        <w:t xml:space="preserve">potentially </w:t>
      </w:r>
      <w:r w:rsidR="00C21AA0" w:rsidRPr="00800731">
        <w:rPr>
          <w:rFonts w:cs="Arial"/>
          <w:szCs w:val="20"/>
          <w:lang w:val="en-US"/>
        </w:rPr>
        <w:t xml:space="preserve">require to trade </w:t>
      </w:r>
      <w:r w:rsidR="00043551" w:rsidRPr="00800731">
        <w:rPr>
          <w:rFonts w:cs="Arial"/>
          <w:szCs w:val="20"/>
          <w:lang w:val="en-US"/>
        </w:rPr>
        <w:t>(generally in a range between 2.000-4.000 ISIN</w:t>
      </w:r>
      <w:r w:rsidR="00AE411E" w:rsidRPr="00800731">
        <w:rPr>
          <w:rFonts w:cs="Arial"/>
          <w:szCs w:val="20"/>
          <w:lang w:val="en-US"/>
        </w:rPr>
        <w:t>, in some cases not listed on regulated markets/MTF but only OTC like Bloomberg</w:t>
      </w:r>
      <w:r w:rsidR="00043551" w:rsidRPr="00800731">
        <w:rPr>
          <w:rFonts w:cs="Arial"/>
          <w:szCs w:val="20"/>
          <w:lang w:val="en-US"/>
        </w:rPr>
        <w:t xml:space="preserve">) and the </w:t>
      </w:r>
      <w:r w:rsidR="00585E3E">
        <w:rPr>
          <w:rFonts w:cs="Arial"/>
          <w:szCs w:val="20"/>
          <w:lang w:val="en-US"/>
        </w:rPr>
        <w:t xml:space="preserve">massive and disproportionate </w:t>
      </w:r>
      <w:r w:rsidR="00043551" w:rsidRPr="00800731">
        <w:rPr>
          <w:rFonts w:cs="Arial"/>
          <w:szCs w:val="20"/>
          <w:lang w:val="en-US"/>
        </w:rPr>
        <w:t xml:space="preserve">potential effort </w:t>
      </w:r>
      <w:r w:rsidR="00895452">
        <w:rPr>
          <w:rFonts w:cs="Arial"/>
          <w:szCs w:val="20"/>
          <w:lang w:val="en-US"/>
        </w:rPr>
        <w:t>expended by</w:t>
      </w:r>
      <w:r w:rsidR="00043551" w:rsidRPr="00800731">
        <w:rPr>
          <w:rFonts w:cs="Arial"/>
          <w:szCs w:val="20"/>
          <w:lang w:val="en-US"/>
        </w:rPr>
        <w:t xml:space="preserve"> the distributor to collect and deliver the KID to the clients,</w:t>
      </w:r>
      <w:r w:rsidRPr="00800731">
        <w:rPr>
          <w:rFonts w:cs="Arial"/>
          <w:szCs w:val="20"/>
          <w:lang w:val="en-US"/>
        </w:rPr>
        <w:t xml:space="preserve"> it would be </w:t>
      </w:r>
      <w:r w:rsidR="00895452">
        <w:rPr>
          <w:rFonts w:cs="Arial"/>
          <w:szCs w:val="20"/>
          <w:lang w:val="en-US"/>
        </w:rPr>
        <w:t xml:space="preserve">fairer </w:t>
      </w:r>
      <w:r w:rsidR="00043551" w:rsidRPr="00800731">
        <w:rPr>
          <w:rFonts w:cs="Arial"/>
          <w:szCs w:val="20"/>
          <w:lang w:val="en-US"/>
        </w:rPr>
        <w:t xml:space="preserve">and </w:t>
      </w:r>
      <w:r w:rsidR="00895452">
        <w:rPr>
          <w:rFonts w:cs="Arial"/>
          <w:szCs w:val="20"/>
          <w:lang w:val="en-US"/>
        </w:rPr>
        <w:t xml:space="preserve">more </w:t>
      </w:r>
      <w:r w:rsidR="00043551" w:rsidRPr="00800731">
        <w:rPr>
          <w:rFonts w:cs="Arial"/>
          <w:szCs w:val="20"/>
          <w:lang w:val="en-US"/>
        </w:rPr>
        <w:t>efficient</w:t>
      </w:r>
      <w:r w:rsidRPr="00800731">
        <w:rPr>
          <w:rFonts w:cs="Arial"/>
          <w:szCs w:val="20"/>
          <w:lang w:val="en-US"/>
        </w:rPr>
        <w:t xml:space="preserve"> to require the KID </w:t>
      </w:r>
      <w:r w:rsidR="00895452">
        <w:rPr>
          <w:rFonts w:cs="Arial"/>
          <w:szCs w:val="20"/>
          <w:lang w:val="en-US"/>
        </w:rPr>
        <w:t>to</w:t>
      </w:r>
      <w:r w:rsidRPr="00800731">
        <w:rPr>
          <w:rFonts w:cs="Arial"/>
          <w:szCs w:val="20"/>
          <w:lang w:val="en-US"/>
        </w:rPr>
        <w:t xml:space="preserve"> </w:t>
      </w:r>
      <w:r w:rsidR="00895452">
        <w:rPr>
          <w:rFonts w:cs="Arial"/>
          <w:szCs w:val="20"/>
          <w:lang w:val="en-US"/>
        </w:rPr>
        <w:t xml:space="preserve">be </w:t>
      </w:r>
      <w:r w:rsidRPr="00800731">
        <w:rPr>
          <w:rFonts w:cs="Arial"/>
          <w:szCs w:val="20"/>
          <w:lang w:val="en-US"/>
        </w:rPr>
        <w:t xml:space="preserve">made available by </w:t>
      </w:r>
      <w:r w:rsidR="00895452">
        <w:rPr>
          <w:rFonts w:cs="Arial"/>
          <w:szCs w:val="20"/>
          <w:lang w:val="en-US"/>
        </w:rPr>
        <w:t xml:space="preserve">the </w:t>
      </w:r>
      <w:r w:rsidRPr="00800731">
        <w:rPr>
          <w:rFonts w:cs="Arial"/>
          <w:szCs w:val="20"/>
          <w:lang w:val="en-US"/>
        </w:rPr>
        <w:t>trading</w:t>
      </w:r>
      <w:r w:rsidR="00AE411E" w:rsidRPr="00800731">
        <w:rPr>
          <w:rFonts w:cs="Arial"/>
          <w:szCs w:val="20"/>
          <w:lang w:val="en-US"/>
        </w:rPr>
        <w:t>/execution</w:t>
      </w:r>
      <w:r w:rsidRPr="00800731">
        <w:rPr>
          <w:rFonts w:cs="Arial"/>
          <w:szCs w:val="20"/>
          <w:lang w:val="en-US"/>
        </w:rPr>
        <w:t xml:space="preserve"> venues where the PRIIPS are traded or, alternatively, to refer to the KID available on the </w:t>
      </w:r>
      <w:r w:rsidR="00895452">
        <w:rPr>
          <w:rFonts w:cs="Arial"/>
          <w:szCs w:val="20"/>
          <w:lang w:val="en-US"/>
        </w:rPr>
        <w:t xml:space="preserve">manufacturer‘s </w:t>
      </w:r>
      <w:r w:rsidRPr="00800731">
        <w:rPr>
          <w:rFonts w:cs="Arial"/>
          <w:szCs w:val="20"/>
          <w:lang w:val="en-US"/>
        </w:rPr>
        <w:t xml:space="preserve">internet site </w:t>
      </w:r>
      <w:r w:rsidR="00043551" w:rsidRPr="00800731">
        <w:rPr>
          <w:rFonts w:cs="Arial"/>
          <w:szCs w:val="20"/>
          <w:lang w:val="en-US"/>
        </w:rPr>
        <w:t xml:space="preserve">without directly </w:t>
      </w:r>
      <w:r w:rsidR="00895452">
        <w:rPr>
          <w:rFonts w:cs="Arial"/>
          <w:szCs w:val="20"/>
          <w:lang w:val="en-US"/>
        </w:rPr>
        <w:t xml:space="preserve">providing the KID to </w:t>
      </w:r>
      <w:r w:rsidR="00043551" w:rsidRPr="00800731">
        <w:rPr>
          <w:rFonts w:cs="Arial"/>
          <w:szCs w:val="20"/>
          <w:lang w:val="en-US"/>
        </w:rPr>
        <w:t>retail investors</w:t>
      </w:r>
      <w:r w:rsidR="00895452">
        <w:rPr>
          <w:rFonts w:cs="Arial"/>
          <w:szCs w:val="20"/>
          <w:lang w:val="en-US"/>
        </w:rPr>
        <w:t>.</w:t>
      </w:r>
      <w:proofErr w:type="gramEnd"/>
    </w:p>
    <w:p w:rsidR="00C90B16" w:rsidRPr="00C815C7" w:rsidRDefault="0059399C" w:rsidP="00790116">
      <w:pPr>
        <w:pStyle w:val="Paragrafoelenco"/>
        <w:ind w:left="360"/>
        <w:jc w:val="both"/>
      </w:pPr>
      <w:r w:rsidRPr="00C815C7">
        <w:t xml:space="preserve"> </w:t>
      </w:r>
    </w:p>
    <w:p w:rsidR="00C815C7" w:rsidRDefault="00C815C7" w:rsidP="00C815C7">
      <w:pPr>
        <w:pStyle w:val="Paragrafoelenco"/>
        <w:ind w:left="0"/>
        <w:jc w:val="both"/>
        <w:rPr>
          <w:rFonts w:cs="Arial"/>
          <w:szCs w:val="20"/>
          <w:lang w:val="en-US"/>
        </w:rPr>
      </w:pPr>
    </w:p>
    <w:p w:rsidR="00C2537F" w:rsidRPr="00800731" w:rsidRDefault="004646FD" w:rsidP="00C815C7">
      <w:pPr>
        <w:pStyle w:val="Paragrafoelenco"/>
        <w:ind w:left="0"/>
        <w:jc w:val="both"/>
        <w:rPr>
          <w:rFonts w:cs="Arial"/>
          <w:szCs w:val="20"/>
          <w:lang w:val="en-US"/>
        </w:rPr>
      </w:pPr>
      <w:r>
        <w:rPr>
          <w:rFonts w:cs="Arial"/>
          <w:szCs w:val="20"/>
          <w:lang w:val="en-US"/>
        </w:rPr>
        <w:t>3</w:t>
      </w:r>
      <w:r w:rsidR="00C815C7" w:rsidRPr="00800731">
        <w:rPr>
          <w:rFonts w:cs="Arial"/>
          <w:szCs w:val="20"/>
          <w:lang w:val="en-US"/>
        </w:rPr>
        <w:t>.</w:t>
      </w:r>
      <w:r w:rsidR="00C815C7" w:rsidRPr="00800731">
        <w:rPr>
          <w:rFonts w:cs="Arial"/>
          <w:szCs w:val="20"/>
          <w:lang w:val="en-US"/>
        </w:rPr>
        <w:tab/>
      </w:r>
      <w:r w:rsidR="00790116" w:rsidRPr="00800731">
        <w:rPr>
          <w:rFonts w:cs="Arial"/>
          <w:szCs w:val="20"/>
          <w:lang w:val="en-US"/>
        </w:rPr>
        <w:t xml:space="preserve">It must </w:t>
      </w:r>
      <w:r w:rsidR="007421A0">
        <w:rPr>
          <w:rFonts w:cs="Arial"/>
          <w:szCs w:val="20"/>
          <w:lang w:val="en-US"/>
        </w:rPr>
        <w:t xml:space="preserve">likewise </w:t>
      </w:r>
      <w:r w:rsidR="00790116" w:rsidRPr="00800731">
        <w:rPr>
          <w:rFonts w:cs="Arial"/>
          <w:szCs w:val="20"/>
          <w:lang w:val="en-US"/>
        </w:rPr>
        <w:t>be consider</w:t>
      </w:r>
      <w:r w:rsidR="007421A0">
        <w:rPr>
          <w:rFonts w:cs="Arial"/>
          <w:szCs w:val="20"/>
          <w:lang w:val="en-US"/>
        </w:rPr>
        <w:t xml:space="preserve">ed </w:t>
      </w:r>
      <w:r w:rsidR="00790116" w:rsidRPr="00800731">
        <w:rPr>
          <w:rFonts w:cs="Arial"/>
          <w:szCs w:val="20"/>
          <w:lang w:val="en-US"/>
        </w:rPr>
        <w:t xml:space="preserve">that clients </w:t>
      </w:r>
      <w:r w:rsidR="007421A0">
        <w:rPr>
          <w:rFonts w:cs="Arial"/>
          <w:szCs w:val="20"/>
          <w:lang w:val="en-US"/>
        </w:rPr>
        <w:t xml:space="preserve">might spontaneously </w:t>
      </w:r>
      <w:r w:rsidR="00790116" w:rsidRPr="00800731">
        <w:rPr>
          <w:rFonts w:cs="Arial"/>
          <w:szCs w:val="20"/>
          <w:lang w:val="en-US"/>
        </w:rPr>
        <w:t>decide to invest in PRIIPS traded in foreign trading</w:t>
      </w:r>
      <w:r w:rsidR="00AE411E" w:rsidRPr="00800731">
        <w:rPr>
          <w:rFonts w:cs="Arial"/>
          <w:szCs w:val="20"/>
          <w:lang w:val="en-US"/>
        </w:rPr>
        <w:t>/execution</w:t>
      </w:r>
      <w:r w:rsidR="00790116" w:rsidRPr="00800731">
        <w:rPr>
          <w:rFonts w:cs="Arial"/>
          <w:szCs w:val="20"/>
          <w:lang w:val="en-US"/>
        </w:rPr>
        <w:t xml:space="preserve"> venues</w:t>
      </w:r>
      <w:r w:rsidR="007421A0">
        <w:rPr>
          <w:rFonts w:cs="Arial"/>
          <w:szCs w:val="20"/>
          <w:lang w:val="en-US"/>
        </w:rPr>
        <w:t xml:space="preserve"> and might</w:t>
      </w:r>
      <w:r w:rsidR="00790116" w:rsidRPr="00800731">
        <w:rPr>
          <w:rFonts w:cs="Arial"/>
          <w:szCs w:val="20"/>
          <w:lang w:val="en-US"/>
        </w:rPr>
        <w:t xml:space="preserve"> transmit their orders to intermediaries f</w:t>
      </w:r>
      <w:r w:rsidR="007421A0">
        <w:rPr>
          <w:rFonts w:cs="Arial"/>
          <w:szCs w:val="20"/>
          <w:lang w:val="en-US"/>
        </w:rPr>
        <w:t>or</w:t>
      </w:r>
      <w:r w:rsidR="00790116" w:rsidRPr="00800731">
        <w:rPr>
          <w:rFonts w:cs="Arial"/>
          <w:szCs w:val="20"/>
          <w:lang w:val="en-US"/>
        </w:rPr>
        <w:t xml:space="preserve"> </w:t>
      </w:r>
      <w:r w:rsidR="007421A0">
        <w:rPr>
          <w:rFonts w:cs="Arial"/>
          <w:szCs w:val="20"/>
          <w:lang w:val="en-US"/>
        </w:rPr>
        <w:t xml:space="preserve">order </w:t>
      </w:r>
      <w:r w:rsidR="00790116" w:rsidRPr="00800731">
        <w:rPr>
          <w:rFonts w:cs="Arial"/>
          <w:szCs w:val="20"/>
          <w:lang w:val="en-US"/>
        </w:rPr>
        <w:t>reception and transmission</w:t>
      </w:r>
      <w:r w:rsidR="00043551" w:rsidRPr="00800731">
        <w:rPr>
          <w:rFonts w:cs="Arial"/>
          <w:szCs w:val="20"/>
          <w:lang w:val="en-US"/>
        </w:rPr>
        <w:t>,</w:t>
      </w:r>
      <w:r w:rsidR="00790116" w:rsidRPr="00800731">
        <w:rPr>
          <w:rFonts w:cs="Arial"/>
          <w:szCs w:val="20"/>
          <w:lang w:val="en-US"/>
        </w:rPr>
        <w:t xml:space="preserve"> execution of orders on </w:t>
      </w:r>
      <w:r w:rsidR="007421A0" w:rsidRPr="007421A0">
        <w:rPr>
          <w:rFonts w:cs="Arial"/>
          <w:szCs w:val="20"/>
          <w:lang w:val="en-US"/>
        </w:rPr>
        <w:t xml:space="preserve">clients </w:t>
      </w:r>
      <w:r w:rsidR="007421A0">
        <w:rPr>
          <w:rFonts w:cs="Arial"/>
          <w:szCs w:val="20"/>
          <w:lang w:val="en-US"/>
        </w:rPr>
        <w:t>b</w:t>
      </w:r>
      <w:r w:rsidR="00790116" w:rsidRPr="00800731">
        <w:rPr>
          <w:rFonts w:cs="Arial"/>
          <w:szCs w:val="20"/>
          <w:lang w:val="en-US"/>
        </w:rPr>
        <w:t xml:space="preserve">ehalf through dealing on own account. </w:t>
      </w:r>
      <w:proofErr w:type="gramStart"/>
      <w:r w:rsidR="00790116" w:rsidRPr="00800731">
        <w:rPr>
          <w:rFonts w:cs="Arial"/>
          <w:szCs w:val="20"/>
          <w:lang w:val="en-US"/>
        </w:rPr>
        <w:t xml:space="preserve">In </w:t>
      </w:r>
      <w:r w:rsidR="007421A0">
        <w:rPr>
          <w:rFonts w:cs="Arial"/>
          <w:szCs w:val="20"/>
          <w:lang w:val="en-US"/>
        </w:rPr>
        <w:t xml:space="preserve">such circumstances </w:t>
      </w:r>
      <w:r w:rsidR="00790116" w:rsidRPr="00800731">
        <w:rPr>
          <w:rFonts w:cs="Arial"/>
          <w:szCs w:val="20"/>
          <w:lang w:val="en-US"/>
        </w:rPr>
        <w:lastRenderedPageBreak/>
        <w:t xml:space="preserve">the proposal </w:t>
      </w:r>
      <w:r w:rsidR="007421A0">
        <w:rPr>
          <w:rFonts w:cs="Arial"/>
          <w:szCs w:val="20"/>
          <w:lang w:val="en-US"/>
        </w:rPr>
        <w:t>to</w:t>
      </w:r>
      <w:r w:rsidR="00790116" w:rsidRPr="00800731">
        <w:rPr>
          <w:rFonts w:cs="Arial"/>
          <w:szCs w:val="20"/>
          <w:lang w:val="en-US"/>
        </w:rPr>
        <w:t xml:space="preserve"> mak</w:t>
      </w:r>
      <w:r w:rsidR="007421A0">
        <w:rPr>
          <w:rFonts w:cs="Arial"/>
          <w:szCs w:val="20"/>
          <w:lang w:val="en-US"/>
        </w:rPr>
        <w:t>e</w:t>
      </w:r>
      <w:r w:rsidR="00790116" w:rsidRPr="00800731">
        <w:rPr>
          <w:rFonts w:cs="Arial"/>
          <w:szCs w:val="20"/>
          <w:lang w:val="en-US"/>
        </w:rPr>
        <w:t xml:space="preserve"> the KID available </w:t>
      </w:r>
      <w:r w:rsidR="007421A0">
        <w:rPr>
          <w:rFonts w:cs="Arial"/>
          <w:szCs w:val="20"/>
          <w:lang w:val="en-US"/>
        </w:rPr>
        <w:t>on</w:t>
      </w:r>
      <w:r w:rsidR="00790116" w:rsidRPr="00800731">
        <w:rPr>
          <w:rFonts w:cs="Arial"/>
          <w:szCs w:val="20"/>
          <w:lang w:val="en-US"/>
        </w:rPr>
        <w:t xml:space="preserve"> the trading venues where the PRIIPS are traded could </w:t>
      </w:r>
      <w:r w:rsidR="007421A0">
        <w:rPr>
          <w:rFonts w:cs="Arial"/>
          <w:szCs w:val="20"/>
          <w:lang w:val="en-US"/>
        </w:rPr>
        <w:t xml:space="preserve">lead to </w:t>
      </w:r>
      <w:r w:rsidR="00790116" w:rsidRPr="00800731">
        <w:rPr>
          <w:rFonts w:cs="Arial"/>
          <w:szCs w:val="20"/>
          <w:lang w:val="en-US"/>
        </w:rPr>
        <w:t xml:space="preserve">the KID </w:t>
      </w:r>
      <w:r w:rsidR="007421A0">
        <w:rPr>
          <w:rFonts w:cs="Arial"/>
          <w:szCs w:val="20"/>
          <w:lang w:val="en-US"/>
        </w:rPr>
        <w:t xml:space="preserve">being </w:t>
      </w:r>
      <w:r w:rsidR="00790116" w:rsidRPr="00800731">
        <w:rPr>
          <w:rFonts w:cs="Arial"/>
          <w:szCs w:val="20"/>
          <w:lang w:val="en-US"/>
        </w:rPr>
        <w:t>translated in the official language of the clients’ Member State</w:t>
      </w:r>
      <w:r w:rsidR="007421A0">
        <w:rPr>
          <w:rFonts w:cs="Arial"/>
          <w:szCs w:val="20"/>
          <w:lang w:val="en-US"/>
        </w:rPr>
        <w:t xml:space="preserve">; on the other hand </w:t>
      </w:r>
      <w:r w:rsidR="00790116" w:rsidRPr="00800731">
        <w:rPr>
          <w:rFonts w:cs="Arial"/>
          <w:szCs w:val="20"/>
          <w:lang w:val="en-US"/>
        </w:rPr>
        <w:t>the proposal of referring to the KID available on the</w:t>
      </w:r>
      <w:r w:rsidR="007421A0">
        <w:rPr>
          <w:rFonts w:cs="Arial"/>
          <w:szCs w:val="20"/>
          <w:lang w:val="en-US"/>
        </w:rPr>
        <w:t xml:space="preserve"> </w:t>
      </w:r>
      <w:r w:rsidR="007421A0" w:rsidRPr="007421A0">
        <w:rPr>
          <w:rFonts w:cs="Arial"/>
          <w:szCs w:val="20"/>
          <w:lang w:val="en-US"/>
        </w:rPr>
        <w:t>manufacturer</w:t>
      </w:r>
      <w:r w:rsidR="007421A0">
        <w:rPr>
          <w:rFonts w:cs="Arial"/>
          <w:szCs w:val="20"/>
          <w:lang w:val="en-US"/>
        </w:rPr>
        <w:t>’s</w:t>
      </w:r>
      <w:r w:rsidR="00790116" w:rsidRPr="00800731">
        <w:rPr>
          <w:rFonts w:cs="Arial"/>
          <w:szCs w:val="20"/>
          <w:lang w:val="en-US"/>
        </w:rPr>
        <w:t xml:space="preserve"> internet site </w:t>
      </w:r>
      <w:r>
        <w:rPr>
          <w:rFonts w:cs="Arial"/>
          <w:szCs w:val="20"/>
          <w:lang w:val="en-US"/>
        </w:rPr>
        <w:t xml:space="preserve">(as mentioned </w:t>
      </w:r>
      <w:r w:rsidR="00AE411E" w:rsidRPr="00800731">
        <w:rPr>
          <w:rFonts w:cs="Arial"/>
          <w:szCs w:val="20"/>
          <w:lang w:val="en-US"/>
        </w:rPr>
        <w:t xml:space="preserve">in previous point </w:t>
      </w:r>
      <w:r>
        <w:rPr>
          <w:rFonts w:cs="Arial"/>
          <w:szCs w:val="20"/>
          <w:lang w:val="en-US"/>
        </w:rPr>
        <w:t>2)</w:t>
      </w:r>
      <w:r w:rsidR="00AE411E" w:rsidRPr="00800731">
        <w:rPr>
          <w:rFonts w:cs="Arial"/>
          <w:szCs w:val="20"/>
          <w:lang w:val="en-US"/>
        </w:rPr>
        <w:t>,</w:t>
      </w:r>
      <w:r w:rsidR="00790116" w:rsidRPr="00800731">
        <w:rPr>
          <w:rFonts w:cs="Arial"/>
          <w:szCs w:val="20"/>
          <w:lang w:val="en-US"/>
        </w:rPr>
        <w:t xml:space="preserve"> could </w:t>
      </w:r>
      <w:r>
        <w:rPr>
          <w:rFonts w:cs="Arial"/>
          <w:szCs w:val="20"/>
          <w:lang w:val="en-US"/>
        </w:rPr>
        <w:t>be a</w:t>
      </w:r>
      <w:r w:rsidR="00790116" w:rsidRPr="00800731">
        <w:rPr>
          <w:rFonts w:cs="Arial"/>
          <w:szCs w:val="20"/>
          <w:lang w:val="en-US"/>
        </w:rPr>
        <w:t xml:space="preserve"> better </w:t>
      </w:r>
      <w:r>
        <w:rPr>
          <w:rFonts w:cs="Arial"/>
          <w:szCs w:val="20"/>
          <w:lang w:val="en-US"/>
        </w:rPr>
        <w:t>solutio</w:t>
      </w:r>
      <w:r w:rsidR="00790116" w:rsidRPr="00800731">
        <w:rPr>
          <w:rFonts w:cs="Arial"/>
          <w:szCs w:val="20"/>
          <w:lang w:val="en-US"/>
        </w:rPr>
        <w:t xml:space="preserve">n </w:t>
      </w:r>
      <w:r>
        <w:rPr>
          <w:rFonts w:cs="Arial"/>
          <w:szCs w:val="20"/>
          <w:lang w:val="en-US"/>
        </w:rPr>
        <w:t>be</w:t>
      </w:r>
      <w:r w:rsidR="00790116" w:rsidRPr="00800731">
        <w:rPr>
          <w:rFonts w:cs="Arial"/>
          <w:szCs w:val="20"/>
          <w:lang w:val="en-US"/>
        </w:rPr>
        <w:t>ca</w:t>
      </w:r>
      <w:r>
        <w:rPr>
          <w:rFonts w:cs="Arial"/>
          <w:szCs w:val="20"/>
          <w:lang w:val="en-US"/>
        </w:rPr>
        <w:t>u</w:t>
      </w:r>
      <w:r w:rsidR="00790116" w:rsidRPr="00800731">
        <w:rPr>
          <w:rFonts w:cs="Arial"/>
          <w:szCs w:val="20"/>
          <w:lang w:val="en-US"/>
        </w:rPr>
        <w:t xml:space="preserve">se manufacturer </w:t>
      </w:r>
      <w:r>
        <w:rPr>
          <w:rFonts w:cs="Arial"/>
          <w:szCs w:val="20"/>
          <w:lang w:val="en-US"/>
        </w:rPr>
        <w:t>would be</w:t>
      </w:r>
      <w:r w:rsidR="00C52341" w:rsidRPr="00800731">
        <w:rPr>
          <w:rFonts w:cs="Arial"/>
          <w:szCs w:val="20"/>
          <w:lang w:val="en-US"/>
        </w:rPr>
        <w:t xml:space="preserve"> </w:t>
      </w:r>
      <w:r w:rsidR="00AE411E" w:rsidRPr="00800731">
        <w:rPr>
          <w:rFonts w:cs="Arial"/>
          <w:szCs w:val="20"/>
          <w:lang w:val="en-US"/>
        </w:rPr>
        <w:t xml:space="preserve">obliged to </w:t>
      </w:r>
      <w:r w:rsidR="00790116" w:rsidRPr="00800731">
        <w:rPr>
          <w:rFonts w:cs="Arial"/>
          <w:szCs w:val="20"/>
          <w:lang w:val="en-US"/>
        </w:rPr>
        <w:t xml:space="preserve">publish </w:t>
      </w:r>
      <w:r w:rsidRPr="004646FD">
        <w:rPr>
          <w:rFonts w:cs="Arial"/>
          <w:szCs w:val="20"/>
          <w:lang w:val="en-US"/>
        </w:rPr>
        <w:t xml:space="preserve">the KID </w:t>
      </w:r>
      <w:r>
        <w:rPr>
          <w:rFonts w:cs="Arial"/>
          <w:szCs w:val="20"/>
          <w:lang w:val="en-US"/>
        </w:rPr>
        <w:t xml:space="preserve">in a range of EU </w:t>
      </w:r>
      <w:r w:rsidRPr="004646FD">
        <w:rPr>
          <w:rFonts w:cs="Arial"/>
          <w:szCs w:val="20"/>
          <w:lang w:val="en-US"/>
        </w:rPr>
        <w:t xml:space="preserve">languages </w:t>
      </w:r>
      <w:r>
        <w:rPr>
          <w:rFonts w:cs="Arial"/>
          <w:szCs w:val="20"/>
          <w:lang w:val="en-US"/>
        </w:rPr>
        <w:t>on their internet site</w:t>
      </w:r>
      <w:r w:rsidR="00790116" w:rsidRPr="00800731">
        <w:rPr>
          <w:rFonts w:cs="Arial"/>
          <w:szCs w:val="20"/>
          <w:lang w:val="en-US"/>
        </w:rPr>
        <w:t>.</w:t>
      </w:r>
      <w:proofErr w:type="gramEnd"/>
    </w:p>
    <w:p w:rsidR="00AE411E" w:rsidRPr="00800731" w:rsidRDefault="00AE411E" w:rsidP="00AE411E">
      <w:pPr>
        <w:jc w:val="both"/>
        <w:rPr>
          <w:rFonts w:cs="Arial"/>
          <w:szCs w:val="20"/>
          <w:lang w:val="en-US"/>
        </w:rPr>
      </w:pPr>
    </w:p>
    <w:p w:rsidR="00AE411E" w:rsidRPr="00C52341" w:rsidRDefault="00F35DBD" w:rsidP="00AE411E">
      <w:pPr>
        <w:jc w:val="both"/>
        <w:rPr>
          <w:rFonts w:cs="Arial"/>
          <w:szCs w:val="20"/>
          <w:lang w:val="en-US"/>
        </w:rPr>
      </w:pPr>
      <w:proofErr w:type="gramStart"/>
      <w:r w:rsidRPr="00F35DBD">
        <w:rPr>
          <w:rFonts w:cs="Arial"/>
          <w:szCs w:val="20"/>
          <w:lang w:val="en-US"/>
        </w:rPr>
        <w:t>If we are to plot and maintain a workable and consistent course of action, it is fundamental to work through all issues and obtain the clarifications on</w:t>
      </w:r>
      <w:r>
        <w:rPr>
          <w:rFonts w:cs="Arial"/>
          <w:szCs w:val="20"/>
          <w:lang w:val="en-US"/>
        </w:rPr>
        <w:t xml:space="preserve"> </w:t>
      </w:r>
      <w:r w:rsidRPr="00F35DBD">
        <w:rPr>
          <w:rFonts w:cs="Arial"/>
          <w:szCs w:val="20"/>
          <w:lang w:val="en-US"/>
        </w:rPr>
        <w:t xml:space="preserve">requested in point </w:t>
      </w:r>
      <w:r>
        <w:rPr>
          <w:rFonts w:cs="Arial"/>
          <w:szCs w:val="20"/>
          <w:lang w:val="en-US"/>
        </w:rPr>
        <w:t>2</w:t>
      </w:r>
      <w:r w:rsidRPr="00F35DBD">
        <w:rPr>
          <w:rFonts w:cs="Arial"/>
          <w:szCs w:val="20"/>
          <w:lang w:val="en-US"/>
        </w:rPr>
        <w:t xml:space="preserve"> and </w:t>
      </w:r>
      <w:r>
        <w:rPr>
          <w:rFonts w:cs="Arial"/>
          <w:szCs w:val="20"/>
          <w:lang w:val="en-US"/>
        </w:rPr>
        <w:t>3</w:t>
      </w:r>
      <w:r w:rsidRPr="00F35DBD">
        <w:rPr>
          <w:rFonts w:cs="Arial"/>
          <w:szCs w:val="20"/>
          <w:lang w:val="en-US"/>
        </w:rPr>
        <w:t>, and to simplify distributors' duty to provide investors</w:t>
      </w:r>
      <w:r>
        <w:rPr>
          <w:rFonts w:cs="Arial"/>
          <w:szCs w:val="20"/>
          <w:lang w:val="en-US"/>
        </w:rPr>
        <w:t xml:space="preserve"> </w:t>
      </w:r>
      <w:r w:rsidRPr="00F35DBD">
        <w:rPr>
          <w:rFonts w:cs="Arial"/>
          <w:szCs w:val="20"/>
          <w:lang w:val="en-US"/>
        </w:rPr>
        <w:t xml:space="preserve">with the KID in </w:t>
      </w:r>
      <w:r>
        <w:rPr>
          <w:rFonts w:cs="Arial"/>
          <w:szCs w:val="20"/>
          <w:lang w:val="en-US"/>
        </w:rPr>
        <w:t xml:space="preserve">the various </w:t>
      </w:r>
      <w:r w:rsidRPr="00F35DBD">
        <w:rPr>
          <w:rFonts w:cs="Arial"/>
          <w:szCs w:val="20"/>
          <w:lang w:val="en-US"/>
        </w:rPr>
        <w:t>possible scenarios (e.g. products non traded in regulated market/MTF, foreign products, products required by the clients) it is fundamental to ensure a consistent and feasible approach.</w:t>
      </w:r>
      <w:proofErr w:type="gramEnd"/>
      <w:r w:rsidRPr="00F35DBD">
        <w:rPr>
          <w:rFonts w:cs="Arial"/>
          <w:szCs w:val="20"/>
          <w:lang w:val="en-US"/>
        </w:rPr>
        <w:t xml:space="preserve">  </w:t>
      </w:r>
      <w:r w:rsidR="00AE411E" w:rsidRPr="00C52341">
        <w:rPr>
          <w:rFonts w:cs="Arial"/>
          <w:szCs w:val="20"/>
          <w:lang w:val="en-US"/>
        </w:rPr>
        <w:t xml:space="preserve">  </w:t>
      </w:r>
    </w:p>
    <w:p w:rsidR="00EC1746" w:rsidRPr="00790116" w:rsidRDefault="00EC1746" w:rsidP="00EC1746">
      <w:pPr>
        <w:pStyle w:val="Paragrafoelenco"/>
        <w:ind w:left="0"/>
        <w:jc w:val="both"/>
        <w:rPr>
          <w:rFonts w:cs="Arial"/>
          <w:szCs w:val="20"/>
          <w:lang w:val="en-US"/>
        </w:rPr>
      </w:pPr>
    </w:p>
    <w:p w:rsidR="00790116" w:rsidRDefault="00790116" w:rsidP="00790116">
      <w:pPr>
        <w:jc w:val="both"/>
      </w:pPr>
    </w:p>
    <w:p w:rsidR="00790116" w:rsidRDefault="00790116" w:rsidP="00C3542E">
      <w:pPr>
        <w:pStyle w:val="Paragrafoelenco"/>
        <w:numPr>
          <w:ilvl w:val="0"/>
          <w:numId w:val="42"/>
        </w:numPr>
        <w:jc w:val="both"/>
        <w:rPr>
          <w:b/>
        </w:rPr>
      </w:pPr>
      <w:r>
        <w:rPr>
          <w:b/>
        </w:rPr>
        <w:t>Consideration</w:t>
      </w:r>
      <w:r w:rsidR="00F35DBD">
        <w:rPr>
          <w:b/>
        </w:rPr>
        <w:t>s</w:t>
      </w:r>
      <w:r>
        <w:rPr>
          <w:b/>
        </w:rPr>
        <w:t xml:space="preserve"> and suggestion</w:t>
      </w:r>
      <w:r w:rsidR="00F35DBD">
        <w:rPr>
          <w:b/>
        </w:rPr>
        <w:t>s</w:t>
      </w:r>
      <w:r>
        <w:rPr>
          <w:b/>
        </w:rPr>
        <w:t xml:space="preserve"> </w:t>
      </w:r>
      <w:r w:rsidR="00F35DBD">
        <w:rPr>
          <w:b/>
        </w:rPr>
        <w:t xml:space="preserve">on </w:t>
      </w:r>
      <w:r>
        <w:rPr>
          <w:b/>
        </w:rPr>
        <w:t>the risk model</w:t>
      </w:r>
    </w:p>
    <w:p w:rsidR="00790116" w:rsidRDefault="00790116" w:rsidP="00790116">
      <w:pPr>
        <w:jc w:val="both"/>
        <w:rPr>
          <w:b/>
        </w:rPr>
      </w:pPr>
    </w:p>
    <w:p w:rsidR="00790116" w:rsidRDefault="00F35DBD" w:rsidP="00790116">
      <w:pPr>
        <w:jc w:val="both"/>
        <w:rPr>
          <w:rFonts w:cs="Arial"/>
          <w:szCs w:val="20"/>
          <w:lang w:val="en-US"/>
        </w:rPr>
      </w:pPr>
      <w:r>
        <w:rPr>
          <w:rFonts w:cs="Arial"/>
          <w:szCs w:val="20"/>
          <w:lang w:val="en-US"/>
        </w:rPr>
        <w:t xml:space="preserve">The </w:t>
      </w:r>
      <w:r w:rsidR="00790116" w:rsidRPr="00E67205">
        <w:rPr>
          <w:rFonts w:cs="Arial"/>
          <w:szCs w:val="20"/>
          <w:lang w:val="en-US"/>
        </w:rPr>
        <w:t xml:space="preserve">proposed </w:t>
      </w:r>
      <w:r>
        <w:rPr>
          <w:rFonts w:cs="Arial"/>
          <w:szCs w:val="20"/>
          <w:lang w:val="en-US"/>
        </w:rPr>
        <w:t xml:space="preserve">framework to </w:t>
      </w:r>
      <w:r w:rsidR="00790116" w:rsidRPr="00E67205">
        <w:rPr>
          <w:rFonts w:cs="Arial"/>
          <w:szCs w:val="20"/>
          <w:lang w:val="en-US"/>
        </w:rPr>
        <w:t>model P</w:t>
      </w:r>
      <w:r w:rsidR="00790116">
        <w:rPr>
          <w:rFonts w:cs="Arial"/>
          <w:szCs w:val="20"/>
          <w:lang w:val="en-US"/>
        </w:rPr>
        <w:t>RIIPS</w:t>
      </w:r>
      <w:r w:rsidR="00790116" w:rsidRPr="00E67205">
        <w:rPr>
          <w:rFonts w:cs="Arial"/>
          <w:szCs w:val="20"/>
          <w:lang w:val="en-US"/>
        </w:rPr>
        <w:t xml:space="preserve"> risk is a good and </w:t>
      </w:r>
      <w:r>
        <w:rPr>
          <w:rFonts w:cs="Arial"/>
          <w:szCs w:val="20"/>
          <w:lang w:val="en-US"/>
        </w:rPr>
        <w:t xml:space="preserve">intelligent </w:t>
      </w:r>
      <w:r w:rsidR="00790116" w:rsidRPr="00E67205">
        <w:rPr>
          <w:rFonts w:cs="Arial"/>
          <w:szCs w:val="20"/>
          <w:lang w:val="en-US"/>
        </w:rPr>
        <w:t xml:space="preserve">way to evaluate risk for </w:t>
      </w:r>
      <w:r w:rsidR="00790116" w:rsidRPr="00334F98">
        <w:rPr>
          <w:rFonts w:cs="Arial"/>
          <w:szCs w:val="20"/>
          <w:lang w:val="en-US"/>
        </w:rPr>
        <w:t xml:space="preserve">this product class. </w:t>
      </w:r>
      <w:r>
        <w:rPr>
          <w:rFonts w:cs="Arial"/>
          <w:szCs w:val="20"/>
          <w:lang w:val="en-US"/>
        </w:rPr>
        <w:t xml:space="preserve">However when we </w:t>
      </w:r>
      <w:r w:rsidR="00790116" w:rsidRPr="00334F98">
        <w:rPr>
          <w:rFonts w:cs="Arial"/>
          <w:szCs w:val="20"/>
          <w:lang w:val="en-US"/>
        </w:rPr>
        <w:t xml:space="preserve">look at the model </w:t>
      </w:r>
      <w:r>
        <w:rPr>
          <w:rFonts w:cs="Arial"/>
          <w:szCs w:val="20"/>
          <w:lang w:val="en-US"/>
        </w:rPr>
        <w:t xml:space="preserve">closely </w:t>
      </w:r>
      <w:r w:rsidR="00790116" w:rsidRPr="00334F98">
        <w:rPr>
          <w:rFonts w:cs="Arial"/>
          <w:szCs w:val="20"/>
          <w:lang w:val="en-US"/>
        </w:rPr>
        <w:t>some question</w:t>
      </w:r>
      <w:r w:rsidR="00790116" w:rsidRPr="00172091">
        <w:rPr>
          <w:rFonts w:cs="Arial"/>
          <w:szCs w:val="20"/>
          <w:lang w:val="en-US"/>
        </w:rPr>
        <w:t xml:space="preserve">s </w:t>
      </w:r>
      <w:r w:rsidR="00971D94">
        <w:rPr>
          <w:rFonts w:cs="Arial"/>
          <w:szCs w:val="20"/>
          <w:lang w:val="en-US"/>
        </w:rPr>
        <w:t>come to mind</w:t>
      </w:r>
      <w:r w:rsidR="00790116">
        <w:rPr>
          <w:rFonts w:cs="Arial"/>
          <w:szCs w:val="20"/>
          <w:lang w:val="en-US"/>
        </w:rPr>
        <w:t>.</w:t>
      </w:r>
    </w:p>
    <w:p w:rsidR="00790116" w:rsidRDefault="00790116" w:rsidP="00790116">
      <w:pPr>
        <w:jc w:val="both"/>
        <w:rPr>
          <w:rFonts w:cs="Arial"/>
          <w:szCs w:val="20"/>
          <w:lang w:val="en-US"/>
        </w:rPr>
      </w:pPr>
    </w:p>
    <w:p w:rsidR="00971D94" w:rsidRDefault="00790116" w:rsidP="00790116">
      <w:pPr>
        <w:jc w:val="both"/>
        <w:rPr>
          <w:rFonts w:cs="Arial"/>
          <w:szCs w:val="20"/>
          <w:lang w:val="en-US"/>
        </w:rPr>
      </w:pPr>
      <w:r>
        <w:rPr>
          <w:rFonts w:cs="Arial"/>
          <w:szCs w:val="20"/>
          <w:lang w:val="en-US"/>
        </w:rPr>
        <w:t xml:space="preserve">The Draft </w:t>
      </w:r>
      <w:r w:rsidR="00A77ED3">
        <w:rPr>
          <w:rFonts w:cs="Arial"/>
          <w:szCs w:val="20"/>
          <w:lang w:val="en-US"/>
        </w:rPr>
        <w:t xml:space="preserve">RTS </w:t>
      </w:r>
      <w:r w:rsidR="00A77ED3" w:rsidRPr="007C296A">
        <w:rPr>
          <w:rFonts w:cs="Arial"/>
          <w:szCs w:val="20"/>
          <w:lang w:val="en-US"/>
        </w:rPr>
        <w:t>indicate</w:t>
      </w:r>
      <w:r w:rsidRPr="007C296A">
        <w:rPr>
          <w:rFonts w:cs="Arial"/>
          <w:szCs w:val="20"/>
          <w:lang w:val="en-US"/>
        </w:rPr>
        <w:t xml:space="preserve"> a cut-off limit (5 year) </w:t>
      </w:r>
      <w:r w:rsidR="00971D94">
        <w:rPr>
          <w:rFonts w:cs="Arial"/>
          <w:szCs w:val="20"/>
          <w:lang w:val="en-US"/>
        </w:rPr>
        <w:t>for</w:t>
      </w:r>
      <w:r w:rsidRPr="007C296A">
        <w:rPr>
          <w:rFonts w:cs="Arial"/>
          <w:szCs w:val="20"/>
          <w:lang w:val="en-US"/>
        </w:rPr>
        <w:t xml:space="preserve"> apply</w:t>
      </w:r>
      <w:r w:rsidR="00971D94">
        <w:rPr>
          <w:rFonts w:cs="Arial"/>
          <w:szCs w:val="20"/>
          <w:lang w:val="en-US"/>
        </w:rPr>
        <w:t>ing</w:t>
      </w:r>
      <w:r w:rsidRPr="007C296A">
        <w:rPr>
          <w:rFonts w:cs="Arial"/>
          <w:szCs w:val="20"/>
          <w:lang w:val="en-US"/>
        </w:rPr>
        <w:t xml:space="preserve"> </w:t>
      </w:r>
      <w:r w:rsidR="00971D94">
        <w:rPr>
          <w:rFonts w:cs="Arial"/>
          <w:szCs w:val="20"/>
          <w:lang w:val="en-US"/>
        </w:rPr>
        <w:t xml:space="preserve">the </w:t>
      </w:r>
      <w:r w:rsidRPr="007C296A">
        <w:rPr>
          <w:rFonts w:cs="Arial"/>
          <w:szCs w:val="20"/>
          <w:lang w:val="en-US"/>
        </w:rPr>
        <w:t>Cornish Fisher or Bootst</w:t>
      </w:r>
      <w:r>
        <w:rPr>
          <w:rFonts w:cs="Arial"/>
          <w:szCs w:val="20"/>
          <w:lang w:val="en-US"/>
        </w:rPr>
        <w:t xml:space="preserve">rap approach to classify PRIIPS </w:t>
      </w:r>
      <w:r w:rsidRPr="007C296A">
        <w:rPr>
          <w:rFonts w:cs="Arial"/>
          <w:szCs w:val="20"/>
          <w:lang w:val="en-US"/>
        </w:rPr>
        <w:t>product</w:t>
      </w:r>
      <w:r>
        <w:rPr>
          <w:rFonts w:cs="Arial"/>
          <w:szCs w:val="20"/>
          <w:lang w:val="en-US"/>
        </w:rPr>
        <w:t>s</w:t>
      </w:r>
      <w:r w:rsidRPr="007C296A">
        <w:rPr>
          <w:rFonts w:cs="Arial"/>
          <w:szCs w:val="20"/>
          <w:lang w:val="en-US"/>
        </w:rPr>
        <w:t>. This limit could lead to some</w:t>
      </w:r>
      <w:r w:rsidR="00EC1746">
        <w:rPr>
          <w:rFonts w:cs="Arial"/>
          <w:szCs w:val="20"/>
          <w:lang w:val="en-US"/>
        </w:rPr>
        <w:t xml:space="preserve"> </w:t>
      </w:r>
      <w:r w:rsidR="00A77ED3">
        <w:rPr>
          <w:rFonts w:cs="Arial"/>
          <w:szCs w:val="20"/>
          <w:lang w:val="en-US"/>
        </w:rPr>
        <w:t>distortion</w:t>
      </w:r>
      <w:r w:rsidR="00EC1746">
        <w:rPr>
          <w:rFonts w:cs="Arial"/>
          <w:szCs w:val="20"/>
          <w:lang w:val="en-US"/>
        </w:rPr>
        <w:t xml:space="preserve"> in the RSI, when </w:t>
      </w:r>
      <w:r w:rsidRPr="007C296A">
        <w:rPr>
          <w:rFonts w:cs="Arial"/>
          <w:szCs w:val="20"/>
          <w:lang w:val="en-US"/>
        </w:rPr>
        <w:t>us</w:t>
      </w:r>
      <w:r w:rsidR="00EC1746">
        <w:rPr>
          <w:rFonts w:cs="Arial"/>
          <w:szCs w:val="20"/>
          <w:lang w:val="en-US"/>
        </w:rPr>
        <w:t>ing</w:t>
      </w:r>
      <w:r w:rsidRPr="007C296A">
        <w:rPr>
          <w:rFonts w:cs="Arial"/>
          <w:szCs w:val="20"/>
          <w:lang w:val="en-US"/>
        </w:rPr>
        <w:t xml:space="preserve"> bootstrapping</w:t>
      </w:r>
      <w:r w:rsidR="00971D94">
        <w:rPr>
          <w:rFonts w:cs="Arial"/>
          <w:szCs w:val="20"/>
          <w:lang w:val="en-US"/>
        </w:rPr>
        <w:t xml:space="preserve"> approach</w:t>
      </w:r>
      <w:r w:rsidRPr="007C296A">
        <w:rPr>
          <w:rFonts w:cs="Arial"/>
          <w:szCs w:val="20"/>
          <w:lang w:val="en-US"/>
        </w:rPr>
        <w:t xml:space="preserve">. </w:t>
      </w:r>
      <w:proofErr w:type="gramStart"/>
      <w:r w:rsidRPr="007C296A">
        <w:rPr>
          <w:rFonts w:cs="Arial"/>
          <w:szCs w:val="20"/>
          <w:lang w:val="en-US"/>
        </w:rPr>
        <w:t xml:space="preserve">Now, if we consider that payoff on time horizon is discounted back to the risk free rate (annex II, Part 1, 32), when we have two products which are equal, </w:t>
      </w:r>
      <w:r w:rsidR="00971D94">
        <w:rPr>
          <w:rFonts w:cs="Arial"/>
          <w:szCs w:val="20"/>
          <w:lang w:val="en-US"/>
        </w:rPr>
        <w:t xml:space="preserve">in terms </w:t>
      </w:r>
      <w:r w:rsidRPr="007C296A">
        <w:rPr>
          <w:rFonts w:cs="Arial"/>
          <w:szCs w:val="20"/>
          <w:lang w:val="en-US"/>
        </w:rPr>
        <w:t xml:space="preserve"> </w:t>
      </w:r>
      <w:r w:rsidR="00971D94">
        <w:rPr>
          <w:rFonts w:cs="Arial"/>
          <w:szCs w:val="20"/>
          <w:lang w:val="en-US"/>
        </w:rPr>
        <w:t xml:space="preserve">of </w:t>
      </w:r>
      <w:r w:rsidRPr="007C296A">
        <w:rPr>
          <w:rFonts w:cs="Arial"/>
          <w:szCs w:val="20"/>
          <w:lang w:val="en-US"/>
        </w:rPr>
        <w:t xml:space="preserve">protection level (for example, 100% of the notional) but different maturity (almost 5 year and 5 year and one day), the one </w:t>
      </w:r>
      <w:r w:rsidR="00971D94">
        <w:rPr>
          <w:rFonts w:cs="Arial"/>
          <w:szCs w:val="20"/>
          <w:lang w:val="en-US"/>
        </w:rPr>
        <w:t xml:space="preserve">over </w:t>
      </w:r>
      <w:r w:rsidRPr="007C296A">
        <w:rPr>
          <w:rFonts w:cs="Arial"/>
          <w:szCs w:val="20"/>
          <w:lang w:val="en-US"/>
        </w:rPr>
        <w:t>the limi</w:t>
      </w:r>
      <w:r w:rsidR="00971D94">
        <w:rPr>
          <w:rFonts w:cs="Arial"/>
          <w:szCs w:val="20"/>
          <w:lang w:val="en-US"/>
        </w:rPr>
        <w:t>t</w:t>
      </w:r>
      <w:r w:rsidRPr="007C296A">
        <w:rPr>
          <w:rFonts w:cs="Arial"/>
          <w:szCs w:val="20"/>
          <w:lang w:val="en-US"/>
        </w:rPr>
        <w:t xml:space="preserve"> will be discounted to the risk free rate, so the protection of 100% to the maturity will be reduce</w:t>
      </w:r>
      <w:r w:rsidR="00EC1746">
        <w:rPr>
          <w:rFonts w:cs="Arial"/>
          <w:szCs w:val="20"/>
          <w:lang w:val="en-US"/>
        </w:rPr>
        <w:t>d</w:t>
      </w:r>
      <w:r w:rsidRPr="007C296A">
        <w:rPr>
          <w:rFonts w:cs="Arial"/>
          <w:szCs w:val="20"/>
          <w:lang w:val="en-US"/>
        </w:rPr>
        <w:t xml:space="preserve"> to present by </w:t>
      </w:r>
      <w:r w:rsidR="00971D94">
        <w:rPr>
          <w:rFonts w:cs="Arial"/>
          <w:szCs w:val="20"/>
          <w:lang w:val="en-US"/>
        </w:rPr>
        <w:t>discounting.</w:t>
      </w:r>
      <w:proofErr w:type="gramEnd"/>
      <w:r w:rsidR="00971D94">
        <w:rPr>
          <w:rFonts w:cs="Arial"/>
          <w:szCs w:val="20"/>
          <w:lang w:val="en-US"/>
        </w:rPr>
        <w:t xml:space="preserve"> </w:t>
      </w:r>
      <w:r w:rsidR="00971D94" w:rsidRPr="00971D94">
        <w:rPr>
          <w:rFonts w:cs="Arial"/>
          <w:szCs w:val="20"/>
          <w:lang w:val="en-US"/>
        </w:rPr>
        <w:t>This will generate an artificial risk as compared to the initial investment.</w:t>
      </w:r>
      <w:r w:rsidRPr="007C296A">
        <w:rPr>
          <w:rFonts w:cs="Arial"/>
          <w:szCs w:val="20"/>
          <w:lang w:val="en-US"/>
        </w:rPr>
        <w:t xml:space="preserve"> </w:t>
      </w:r>
    </w:p>
    <w:p w:rsidR="00971D94" w:rsidRDefault="00971D94" w:rsidP="00790116">
      <w:pPr>
        <w:jc w:val="both"/>
        <w:rPr>
          <w:rFonts w:cs="Arial"/>
          <w:szCs w:val="20"/>
          <w:lang w:val="en-US"/>
        </w:rPr>
      </w:pPr>
    </w:p>
    <w:p w:rsidR="00790116" w:rsidRDefault="00971D94" w:rsidP="00790116">
      <w:pPr>
        <w:jc w:val="both"/>
        <w:rPr>
          <w:rFonts w:cs="Arial"/>
          <w:szCs w:val="20"/>
          <w:lang w:val="en-US"/>
        </w:rPr>
      </w:pPr>
      <w:r w:rsidRPr="00971D94">
        <w:rPr>
          <w:rFonts w:cs="Arial"/>
          <w:szCs w:val="20"/>
          <w:lang w:val="en-US"/>
        </w:rPr>
        <w:t xml:space="preserve">With very low rates such as our current ones, there would be a marginal effect, but with </w:t>
      </w:r>
      <w:proofErr w:type="gramStart"/>
      <w:r w:rsidRPr="00971D94">
        <w:rPr>
          <w:rFonts w:cs="Arial"/>
          <w:szCs w:val="20"/>
          <w:lang w:val="en-US"/>
        </w:rPr>
        <w:t>rates</w:t>
      </w:r>
      <w:proofErr w:type="gramEnd"/>
      <w:r w:rsidRPr="00971D94">
        <w:rPr>
          <w:rFonts w:cs="Arial"/>
          <w:szCs w:val="20"/>
          <w:lang w:val="en-US"/>
        </w:rPr>
        <w:t xml:space="preserve"> such as we have had in the past the difference would be anything but residual. Here are three possible solutions two of which present some flaw</w:t>
      </w:r>
      <w:r>
        <w:rPr>
          <w:rFonts w:cs="Arial"/>
          <w:szCs w:val="20"/>
          <w:lang w:val="en-US"/>
        </w:rPr>
        <w:t>s:</w:t>
      </w:r>
    </w:p>
    <w:p w:rsidR="00971D94" w:rsidRPr="007C296A" w:rsidRDefault="00971D94" w:rsidP="00790116">
      <w:pPr>
        <w:jc w:val="both"/>
        <w:rPr>
          <w:rFonts w:cs="Arial"/>
          <w:szCs w:val="20"/>
          <w:lang w:val="en-US"/>
        </w:rPr>
      </w:pPr>
    </w:p>
    <w:p w:rsidR="00790116" w:rsidRPr="007C296A" w:rsidRDefault="00790116" w:rsidP="00C3542E">
      <w:pPr>
        <w:pStyle w:val="Paragrafoelenco"/>
        <w:numPr>
          <w:ilvl w:val="0"/>
          <w:numId w:val="44"/>
        </w:numPr>
        <w:jc w:val="both"/>
        <w:rPr>
          <w:rFonts w:cs="Arial"/>
          <w:szCs w:val="20"/>
          <w:lang w:val="en-US"/>
        </w:rPr>
      </w:pPr>
      <w:r w:rsidRPr="007C296A">
        <w:rPr>
          <w:rFonts w:cs="Arial"/>
          <w:szCs w:val="20"/>
          <w:lang w:val="en-US"/>
        </w:rPr>
        <w:t xml:space="preserve">Reduce </w:t>
      </w:r>
      <w:r w:rsidR="00971D94">
        <w:rPr>
          <w:rFonts w:cs="Arial"/>
          <w:szCs w:val="20"/>
          <w:lang w:val="en-US"/>
        </w:rPr>
        <w:t xml:space="preserve">the </w:t>
      </w:r>
      <w:r w:rsidRPr="007C296A">
        <w:rPr>
          <w:rFonts w:cs="Arial"/>
          <w:szCs w:val="20"/>
          <w:lang w:val="en-US"/>
        </w:rPr>
        <w:t>threshold to a shorter horizon (</w:t>
      </w:r>
      <w:r w:rsidR="00971D94">
        <w:rPr>
          <w:rFonts w:cs="Arial"/>
          <w:szCs w:val="20"/>
          <w:lang w:val="en-US"/>
        </w:rPr>
        <w:t xml:space="preserve">to </w:t>
      </w:r>
      <w:r w:rsidRPr="007C296A">
        <w:rPr>
          <w:rFonts w:cs="Arial"/>
          <w:szCs w:val="20"/>
          <w:lang w:val="en-US"/>
        </w:rPr>
        <w:t>2 year</w:t>
      </w:r>
      <w:r w:rsidR="00971D94">
        <w:rPr>
          <w:rFonts w:cs="Arial"/>
          <w:szCs w:val="20"/>
          <w:lang w:val="en-US"/>
        </w:rPr>
        <w:t>s,</w:t>
      </w:r>
      <w:r w:rsidRPr="007C296A">
        <w:rPr>
          <w:rFonts w:cs="Arial"/>
          <w:szCs w:val="20"/>
          <w:lang w:val="en-US"/>
        </w:rPr>
        <w:t xml:space="preserve"> for </w:t>
      </w:r>
      <w:r w:rsidR="00971D94">
        <w:rPr>
          <w:rFonts w:cs="Arial"/>
          <w:szCs w:val="20"/>
          <w:lang w:val="en-US"/>
        </w:rPr>
        <w:t>instance</w:t>
      </w:r>
      <w:r w:rsidRPr="007C296A">
        <w:rPr>
          <w:rFonts w:cs="Arial"/>
          <w:szCs w:val="20"/>
          <w:lang w:val="en-US"/>
        </w:rPr>
        <w:t xml:space="preserve">). This </w:t>
      </w:r>
      <w:r w:rsidR="0063479A">
        <w:rPr>
          <w:rFonts w:cs="Arial"/>
          <w:szCs w:val="20"/>
          <w:lang w:val="en-US"/>
        </w:rPr>
        <w:t xml:space="preserve">would not overcome </w:t>
      </w:r>
      <w:r w:rsidRPr="007C296A">
        <w:rPr>
          <w:rFonts w:cs="Arial"/>
          <w:szCs w:val="20"/>
          <w:lang w:val="en-US"/>
        </w:rPr>
        <w:t xml:space="preserve">the problem but </w:t>
      </w:r>
      <w:r w:rsidR="0063479A">
        <w:rPr>
          <w:rFonts w:cs="Arial"/>
          <w:szCs w:val="20"/>
          <w:lang w:val="en-US"/>
        </w:rPr>
        <w:t xml:space="preserve">would alleviate its </w:t>
      </w:r>
      <w:r w:rsidRPr="007C296A">
        <w:rPr>
          <w:rFonts w:cs="Arial"/>
          <w:szCs w:val="20"/>
          <w:lang w:val="en-US"/>
        </w:rPr>
        <w:t xml:space="preserve">negative </w:t>
      </w:r>
      <w:r w:rsidR="00A77ED3" w:rsidRPr="007C296A">
        <w:rPr>
          <w:rFonts w:cs="Arial"/>
          <w:szCs w:val="20"/>
          <w:lang w:val="en-US"/>
        </w:rPr>
        <w:t>consequences</w:t>
      </w:r>
      <w:r w:rsidR="0063479A">
        <w:rPr>
          <w:rFonts w:cs="Arial"/>
          <w:szCs w:val="20"/>
          <w:lang w:val="en-US"/>
        </w:rPr>
        <w:t xml:space="preserve"> to an extent</w:t>
      </w:r>
      <w:r w:rsidRPr="007C296A">
        <w:rPr>
          <w:rFonts w:cs="Arial"/>
          <w:szCs w:val="20"/>
          <w:lang w:val="en-US"/>
        </w:rPr>
        <w:t>.</w:t>
      </w:r>
    </w:p>
    <w:p w:rsidR="00790116" w:rsidRPr="007C296A" w:rsidRDefault="00790116" w:rsidP="0063479A">
      <w:pPr>
        <w:pStyle w:val="Paragrafoelenco"/>
        <w:numPr>
          <w:ilvl w:val="0"/>
          <w:numId w:val="44"/>
        </w:numPr>
        <w:jc w:val="both"/>
        <w:rPr>
          <w:rFonts w:cs="Arial"/>
          <w:szCs w:val="20"/>
          <w:lang w:val="en-US"/>
        </w:rPr>
      </w:pPr>
      <w:r w:rsidRPr="007C296A">
        <w:rPr>
          <w:rFonts w:cs="Arial"/>
          <w:szCs w:val="20"/>
          <w:lang w:val="en-US"/>
        </w:rPr>
        <w:t xml:space="preserve">Eliminate </w:t>
      </w:r>
      <w:r w:rsidR="0063479A">
        <w:rPr>
          <w:rFonts w:cs="Arial"/>
          <w:szCs w:val="20"/>
          <w:lang w:val="en-US"/>
        </w:rPr>
        <w:t xml:space="preserve">the </w:t>
      </w:r>
      <w:r w:rsidRPr="007C296A">
        <w:rPr>
          <w:rFonts w:cs="Arial"/>
          <w:szCs w:val="20"/>
          <w:lang w:val="en-US"/>
        </w:rPr>
        <w:t xml:space="preserve">threshold, </w:t>
      </w:r>
      <w:r w:rsidR="0063479A">
        <w:rPr>
          <w:rFonts w:cs="Arial"/>
          <w:szCs w:val="20"/>
          <w:lang w:val="en-US"/>
        </w:rPr>
        <w:t xml:space="preserve">which would lead </w:t>
      </w:r>
      <w:r w:rsidRPr="007C296A">
        <w:rPr>
          <w:rFonts w:cs="Arial"/>
          <w:szCs w:val="20"/>
          <w:lang w:val="en-US"/>
        </w:rPr>
        <w:t xml:space="preserve">to an increase in </w:t>
      </w:r>
      <w:proofErr w:type="gramStart"/>
      <w:r w:rsidR="0063479A" w:rsidRPr="0063479A">
        <w:rPr>
          <w:rFonts w:cs="Arial"/>
          <w:szCs w:val="20"/>
          <w:lang w:val="en-US"/>
        </w:rPr>
        <w:t>manufacturers</w:t>
      </w:r>
      <w:proofErr w:type="gramEnd"/>
      <w:r w:rsidR="0063479A" w:rsidRPr="0063479A">
        <w:rPr>
          <w:rFonts w:cs="Arial"/>
          <w:szCs w:val="20"/>
          <w:lang w:val="en-US"/>
        </w:rPr>
        <w:t xml:space="preserve"> </w:t>
      </w:r>
      <w:r w:rsidRPr="007C296A">
        <w:rPr>
          <w:rFonts w:cs="Arial"/>
          <w:szCs w:val="20"/>
          <w:lang w:val="en-US"/>
        </w:rPr>
        <w:t>computational costs.</w:t>
      </w:r>
    </w:p>
    <w:p w:rsidR="00790116" w:rsidRPr="007C296A" w:rsidRDefault="00790116" w:rsidP="00C3542E">
      <w:pPr>
        <w:pStyle w:val="Paragrafoelenco"/>
        <w:numPr>
          <w:ilvl w:val="0"/>
          <w:numId w:val="44"/>
        </w:numPr>
        <w:jc w:val="both"/>
        <w:rPr>
          <w:rFonts w:cs="Arial"/>
          <w:szCs w:val="20"/>
          <w:lang w:val="en-US"/>
        </w:rPr>
      </w:pPr>
      <w:r w:rsidRPr="007C296A">
        <w:rPr>
          <w:rFonts w:cs="Arial"/>
          <w:szCs w:val="20"/>
          <w:lang w:val="en-US"/>
        </w:rPr>
        <w:t xml:space="preserve">Eliminate </w:t>
      </w:r>
      <w:r w:rsidR="00A806B5">
        <w:rPr>
          <w:rFonts w:cs="Arial"/>
          <w:szCs w:val="20"/>
          <w:lang w:val="en-US"/>
        </w:rPr>
        <w:t xml:space="preserve">any </w:t>
      </w:r>
      <w:r w:rsidRPr="007C296A">
        <w:rPr>
          <w:rFonts w:cs="Arial"/>
          <w:szCs w:val="20"/>
          <w:lang w:val="en-US"/>
        </w:rPr>
        <w:t xml:space="preserve">discounting in </w:t>
      </w:r>
      <w:r w:rsidR="00A806B5">
        <w:rPr>
          <w:rFonts w:cs="Arial"/>
          <w:szCs w:val="20"/>
          <w:lang w:val="en-US"/>
        </w:rPr>
        <w:t xml:space="preserve">the </w:t>
      </w:r>
      <w:r w:rsidRPr="007C296A">
        <w:rPr>
          <w:rFonts w:cs="Arial"/>
          <w:szCs w:val="20"/>
          <w:lang w:val="en-US"/>
        </w:rPr>
        <w:t>bootstrapping model (annex II, Part 1, 32), th</w:t>
      </w:r>
      <w:r w:rsidR="00A806B5">
        <w:rPr>
          <w:rFonts w:cs="Arial"/>
          <w:szCs w:val="20"/>
          <w:lang w:val="en-US"/>
        </w:rPr>
        <w:t>us removing the</w:t>
      </w:r>
      <w:r w:rsidRPr="007C296A">
        <w:rPr>
          <w:rFonts w:cs="Arial"/>
          <w:szCs w:val="20"/>
          <w:lang w:val="en-US"/>
        </w:rPr>
        <w:t xml:space="preserve"> source of </w:t>
      </w:r>
      <w:r w:rsidR="00A77ED3" w:rsidRPr="007C296A">
        <w:rPr>
          <w:rFonts w:cs="Arial"/>
          <w:szCs w:val="20"/>
          <w:lang w:val="en-US"/>
        </w:rPr>
        <w:t>distortion</w:t>
      </w:r>
      <w:r w:rsidRPr="007C296A">
        <w:rPr>
          <w:rFonts w:cs="Arial"/>
          <w:szCs w:val="20"/>
          <w:lang w:val="en-US"/>
        </w:rPr>
        <w:t xml:space="preserve">. </w:t>
      </w:r>
      <w:r w:rsidR="00A806B5">
        <w:rPr>
          <w:rFonts w:cs="Arial"/>
          <w:szCs w:val="20"/>
          <w:lang w:val="en-US"/>
        </w:rPr>
        <w:t>In addition p</w:t>
      </w:r>
      <w:r w:rsidRPr="007C296A">
        <w:rPr>
          <w:rFonts w:cs="Arial"/>
          <w:szCs w:val="20"/>
          <w:lang w:val="en-US"/>
        </w:rPr>
        <w:t xml:space="preserve">roduct maturity (duration) </w:t>
      </w:r>
      <w:r w:rsidR="00A806B5">
        <w:rPr>
          <w:rFonts w:cs="Arial"/>
          <w:szCs w:val="20"/>
          <w:lang w:val="en-US"/>
        </w:rPr>
        <w:t xml:space="preserve">would </w:t>
      </w:r>
      <w:r w:rsidRPr="007C296A">
        <w:rPr>
          <w:rFonts w:cs="Arial"/>
          <w:szCs w:val="20"/>
          <w:lang w:val="en-US"/>
        </w:rPr>
        <w:t>enter in</w:t>
      </w:r>
      <w:r w:rsidR="00A806B5">
        <w:rPr>
          <w:rFonts w:cs="Arial"/>
          <w:szCs w:val="20"/>
          <w:lang w:val="en-US"/>
        </w:rPr>
        <w:t>to</w:t>
      </w:r>
      <w:r w:rsidRPr="007C296A">
        <w:rPr>
          <w:rFonts w:cs="Arial"/>
          <w:szCs w:val="20"/>
          <w:lang w:val="en-US"/>
        </w:rPr>
        <w:t xml:space="preserve"> the RSI as a source of risk. This </w:t>
      </w:r>
      <w:r w:rsidR="00A806B5">
        <w:rPr>
          <w:rFonts w:cs="Arial"/>
          <w:szCs w:val="20"/>
          <w:lang w:val="en-US"/>
        </w:rPr>
        <w:t xml:space="preserve">would </w:t>
      </w:r>
      <w:proofErr w:type="spellStart"/>
      <w:proofErr w:type="gramStart"/>
      <w:r w:rsidR="00A806B5">
        <w:rPr>
          <w:rFonts w:cs="Arial"/>
          <w:szCs w:val="20"/>
          <w:lang w:val="en-US"/>
        </w:rPr>
        <w:t>be</w:t>
      </w:r>
      <w:r w:rsidRPr="007C296A">
        <w:rPr>
          <w:rFonts w:cs="Arial"/>
          <w:szCs w:val="20"/>
          <w:lang w:val="en-US"/>
        </w:rPr>
        <w:t>a</w:t>
      </w:r>
      <w:proofErr w:type="spellEnd"/>
      <w:proofErr w:type="gramEnd"/>
      <w:r w:rsidRPr="007C296A">
        <w:rPr>
          <w:rFonts w:cs="Arial"/>
          <w:szCs w:val="20"/>
          <w:lang w:val="en-US"/>
        </w:rPr>
        <w:t xml:space="preserve"> </w:t>
      </w:r>
      <w:r w:rsidR="00A77ED3" w:rsidRPr="007C296A">
        <w:rPr>
          <w:rFonts w:cs="Arial"/>
          <w:szCs w:val="20"/>
          <w:lang w:val="en-US"/>
        </w:rPr>
        <w:t>desirable</w:t>
      </w:r>
      <w:r w:rsidRPr="007C296A">
        <w:rPr>
          <w:rFonts w:cs="Arial"/>
          <w:szCs w:val="20"/>
          <w:lang w:val="en-US"/>
        </w:rPr>
        <w:t xml:space="preserve"> result, </w:t>
      </w:r>
      <w:r w:rsidR="00A806B5">
        <w:rPr>
          <w:rFonts w:cs="Arial"/>
          <w:szCs w:val="20"/>
          <w:lang w:val="en-US"/>
        </w:rPr>
        <w:t>seeing that</w:t>
      </w:r>
      <w:r w:rsidRPr="007C296A">
        <w:rPr>
          <w:rFonts w:cs="Arial"/>
          <w:szCs w:val="20"/>
          <w:lang w:val="en-US"/>
        </w:rPr>
        <w:t xml:space="preserve"> longer deal</w:t>
      </w:r>
      <w:r>
        <w:rPr>
          <w:rFonts w:cs="Arial"/>
          <w:szCs w:val="20"/>
          <w:lang w:val="en-US"/>
        </w:rPr>
        <w:t>s</w:t>
      </w:r>
      <w:r w:rsidRPr="007C296A">
        <w:rPr>
          <w:rFonts w:cs="Arial"/>
          <w:szCs w:val="20"/>
          <w:lang w:val="en-US"/>
        </w:rPr>
        <w:t xml:space="preserve"> </w:t>
      </w:r>
      <w:r w:rsidR="00A806B5">
        <w:rPr>
          <w:rFonts w:cs="Arial"/>
          <w:szCs w:val="20"/>
          <w:lang w:val="en-US"/>
        </w:rPr>
        <w:t xml:space="preserve">involve </w:t>
      </w:r>
      <w:r w:rsidRPr="007C296A">
        <w:rPr>
          <w:rFonts w:cs="Arial"/>
          <w:szCs w:val="20"/>
          <w:lang w:val="en-US"/>
        </w:rPr>
        <w:t xml:space="preserve">greater risk than shorter ones. </w:t>
      </w:r>
      <w:r w:rsidR="00A806B5">
        <w:rPr>
          <w:rFonts w:cs="Arial"/>
          <w:szCs w:val="20"/>
          <w:lang w:val="en-US"/>
        </w:rPr>
        <w:t>M</w:t>
      </w:r>
      <w:r>
        <w:rPr>
          <w:rFonts w:cs="Arial"/>
          <w:szCs w:val="20"/>
          <w:lang w:val="en-US"/>
        </w:rPr>
        <w:t xml:space="preserve">aturity </w:t>
      </w:r>
      <w:proofErr w:type="gramStart"/>
      <w:r w:rsidR="00A806B5">
        <w:rPr>
          <w:rFonts w:cs="Arial"/>
          <w:szCs w:val="20"/>
          <w:lang w:val="en-US"/>
        </w:rPr>
        <w:t>should be considered</w:t>
      </w:r>
      <w:proofErr w:type="gramEnd"/>
      <w:r w:rsidR="00A806B5">
        <w:rPr>
          <w:rFonts w:cs="Arial"/>
          <w:szCs w:val="20"/>
          <w:lang w:val="en-US"/>
        </w:rPr>
        <w:t xml:space="preserve"> </w:t>
      </w:r>
      <w:r>
        <w:rPr>
          <w:rFonts w:cs="Arial"/>
          <w:szCs w:val="20"/>
          <w:lang w:val="en-US"/>
        </w:rPr>
        <w:t>for credit risk too.</w:t>
      </w:r>
    </w:p>
    <w:p w:rsidR="00790116" w:rsidRPr="00172091" w:rsidRDefault="00790116" w:rsidP="00790116">
      <w:pPr>
        <w:jc w:val="both"/>
        <w:rPr>
          <w:rFonts w:cs="Arial"/>
          <w:szCs w:val="20"/>
          <w:lang w:val="en-US"/>
        </w:rPr>
      </w:pPr>
    </w:p>
    <w:p w:rsidR="00E06C3B" w:rsidRPr="00E06C3B" w:rsidRDefault="00E06C3B" w:rsidP="00E06C3B">
      <w:pPr>
        <w:jc w:val="both"/>
        <w:rPr>
          <w:rFonts w:cs="Arial"/>
          <w:szCs w:val="20"/>
          <w:lang w:val="en-US"/>
        </w:rPr>
      </w:pPr>
      <w:r>
        <w:rPr>
          <w:lang w:val="en-US"/>
        </w:rPr>
        <w:t>Draft RTS s</w:t>
      </w:r>
      <w:r w:rsidR="00A806B5">
        <w:rPr>
          <w:lang w:val="en-US"/>
        </w:rPr>
        <w:t>pecify</w:t>
      </w:r>
      <w:r>
        <w:rPr>
          <w:lang w:val="en-US"/>
        </w:rPr>
        <w:t xml:space="preserve"> t</w:t>
      </w:r>
      <w:r w:rsidR="00A806B5">
        <w:rPr>
          <w:lang w:val="en-US"/>
        </w:rPr>
        <w:t>hat it is necessary t</w:t>
      </w:r>
      <w:r>
        <w:rPr>
          <w:lang w:val="en-US"/>
        </w:rPr>
        <w:t xml:space="preserve">o use return for rate model (see annex II, Part 1, 38-41). Still it is not clear how to handle </w:t>
      </w:r>
      <w:r w:rsidRPr="00E06C3B">
        <w:rPr>
          <w:rFonts w:cs="Arial"/>
          <w:szCs w:val="20"/>
          <w:lang w:val="en-US"/>
        </w:rPr>
        <w:t>negative rate</w:t>
      </w:r>
      <w:r w:rsidR="00A806B5">
        <w:rPr>
          <w:rFonts w:cs="Arial"/>
          <w:szCs w:val="20"/>
          <w:lang w:val="en-US"/>
        </w:rPr>
        <w:t>s</w:t>
      </w:r>
      <w:r w:rsidRPr="00E06C3B">
        <w:rPr>
          <w:rFonts w:cs="Arial"/>
          <w:szCs w:val="20"/>
          <w:lang w:val="en-US"/>
        </w:rPr>
        <w:t>. Therefore the Draft RTS</w:t>
      </w:r>
      <w:proofErr w:type="gramStart"/>
      <w:r w:rsidRPr="00E06C3B">
        <w:rPr>
          <w:rFonts w:cs="Arial"/>
          <w:szCs w:val="20"/>
          <w:lang w:val="en-US"/>
        </w:rPr>
        <w:t>  should</w:t>
      </w:r>
      <w:proofErr w:type="gramEnd"/>
      <w:r w:rsidRPr="00E06C3B">
        <w:rPr>
          <w:rFonts w:cs="Arial"/>
          <w:szCs w:val="20"/>
          <w:lang w:val="en-US"/>
        </w:rPr>
        <w:t xml:space="preserve"> integrate the model with: </w:t>
      </w:r>
    </w:p>
    <w:p w:rsidR="00E06C3B" w:rsidRPr="00E06C3B" w:rsidRDefault="00A806B5" w:rsidP="00E06C3B">
      <w:pPr>
        <w:pStyle w:val="Paragrafoelenco"/>
        <w:numPr>
          <w:ilvl w:val="1"/>
          <w:numId w:val="52"/>
        </w:numPr>
        <w:jc w:val="both"/>
        <w:rPr>
          <w:rFonts w:cs="Arial"/>
          <w:szCs w:val="20"/>
          <w:lang w:val="en-US"/>
        </w:rPr>
      </w:pPr>
      <w:r>
        <w:rPr>
          <w:rFonts w:cs="Arial"/>
          <w:szCs w:val="20"/>
          <w:lang w:val="en-US"/>
        </w:rPr>
        <w:t>A</w:t>
      </w:r>
      <w:r w:rsidR="00E06C3B" w:rsidRPr="00E06C3B">
        <w:rPr>
          <w:rFonts w:cs="Arial"/>
          <w:szCs w:val="20"/>
          <w:lang w:val="en-US"/>
        </w:rPr>
        <w:t xml:space="preserve">bsolute and relative return, based on a cut off level (1%, is a limit, empirically tested which works fine, for example) or </w:t>
      </w:r>
    </w:p>
    <w:p w:rsidR="00E06C3B" w:rsidRPr="00E06C3B" w:rsidRDefault="00A806B5" w:rsidP="00E06C3B">
      <w:pPr>
        <w:pStyle w:val="Paragrafoelenco"/>
        <w:numPr>
          <w:ilvl w:val="1"/>
          <w:numId w:val="52"/>
        </w:numPr>
        <w:jc w:val="both"/>
        <w:rPr>
          <w:rFonts w:cs="Arial"/>
          <w:szCs w:val="20"/>
          <w:lang w:val="en-US"/>
        </w:rPr>
      </w:pPr>
      <w:r>
        <w:rPr>
          <w:rFonts w:cs="Arial"/>
          <w:szCs w:val="20"/>
          <w:lang w:val="en-US"/>
        </w:rPr>
        <w:t>A</w:t>
      </w:r>
      <w:r w:rsidR="00E06C3B" w:rsidRPr="00E06C3B">
        <w:rPr>
          <w:rFonts w:cs="Arial"/>
          <w:szCs w:val="20"/>
          <w:lang w:val="en-US"/>
        </w:rPr>
        <w:t xml:space="preserve"> shifted lognormal approach (as in pricing world) to manage negative rate level.</w:t>
      </w:r>
    </w:p>
    <w:p w:rsidR="00E06C3B" w:rsidRPr="00E06C3B" w:rsidRDefault="00E06C3B" w:rsidP="00E06C3B">
      <w:pPr>
        <w:pStyle w:val="Paragrafoelenco"/>
        <w:numPr>
          <w:ilvl w:val="1"/>
          <w:numId w:val="52"/>
        </w:numPr>
        <w:jc w:val="both"/>
        <w:rPr>
          <w:rFonts w:cs="Arial"/>
          <w:szCs w:val="20"/>
          <w:lang w:val="en-US"/>
        </w:rPr>
      </w:pPr>
      <w:r w:rsidRPr="00E06C3B">
        <w:rPr>
          <w:rFonts w:cs="Arial"/>
          <w:szCs w:val="20"/>
          <w:lang w:val="en-US"/>
        </w:rPr>
        <w:t xml:space="preserve">Another drastic solution could be to set negative rate to zero, but we do not like this </w:t>
      </w:r>
      <w:r w:rsidR="00A806B5">
        <w:rPr>
          <w:rFonts w:cs="Arial"/>
          <w:szCs w:val="20"/>
          <w:lang w:val="en-US"/>
        </w:rPr>
        <w:t>be</w:t>
      </w:r>
      <w:r w:rsidRPr="00E06C3B">
        <w:rPr>
          <w:rFonts w:cs="Arial"/>
          <w:szCs w:val="20"/>
          <w:lang w:val="en-US"/>
        </w:rPr>
        <w:t>cause</w:t>
      </w:r>
      <w:r w:rsidR="00A806B5">
        <w:rPr>
          <w:rFonts w:cs="Arial"/>
          <w:szCs w:val="20"/>
          <w:lang w:val="en-US"/>
        </w:rPr>
        <w:t xml:space="preserve"> for the</w:t>
      </w:r>
      <w:r w:rsidRPr="00E06C3B">
        <w:rPr>
          <w:rFonts w:cs="Arial"/>
          <w:szCs w:val="20"/>
          <w:lang w:val="en-US"/>
        </w:rPr>
        <w:t xml:space="preserve"> real world is too much simplified.</w:t>
      </w:r>
    </w:p>
    <w:p w:rsidR="00E06C3B" w:rsidRDefault="00E06C3B" w:rsidP="00790116">
      <w:pPr>
        <w:jc w:val="both"/>
        <w:rPr>
          <w:rFonts w:cs="Arial"/>
          <w:szCs w:val="20"/>
          <w:lang w:val="en-US"/>
        </w:rPr>
      </w:pPr>
    </w:p>
    <w:p w:rsidR="00C43307" w:rsidRDefault="00C43307" w:rsidP="00790116">
      <w:pPr>
        <w:jc w:val="both"/>
        <w:rPr>
          <w:rFonts w:cs="Arial"/>
          <w:szCs w:val="20"/>
          <w:lang w:val="en-US"/>
        </w:rPr>
      </w:pPr>
    </w:p>
    <w:p w:rsidR="00790116" w:rsidRDefault="00790116" w:rsidP="00790116">
      <w:pPr>
        <w:jc w:val="both"/>
        <w:rPr>
          <w:rFonts w:cs="Arial"/>
          <w:szCs w:val="20"/>
          <w:lang w:val="en-US"/>
        </w:rPr>
      </w:pPr>
      <w:r>
        <w:rPr>
          <w:rFonts w:cs="Arial"/>
          <w:szCs w:val="20"/>
          <w:lang w:val="en-US"/>
        </w:rPr>
        <w:t xml:space="preserve">The Draft RTS indicate PCA as a model to ensure a consistent curve over long simulated period. This is </w:t>
      </w:r>
      <w:r w:rsidR="00A806B5">
        <w:rPr>
          <w:rFonts w:cs="Arial"/>
          <w:szCs w:val="20"/>
          <w:lang w:val="en-US"/>
        </w:rPr>
        <w:t xml:space="preserve">definitely a </w:t>
      </w:r>
      <w:r w:rsidR="00A77ED3">
        <w:rPr>
          <w:rFonts w:cs="Arial"/>
          <w:szCs w:val="20"/>
          <w:lang w:val="en-US"/>
        </w:rPr>
        <w:t>desirable</w:t>
      </w:r>
      <w:r>
        <w:rPr>
          <w:rFonts w:cs="Arial"/>
          <w:szCs w:val="20"/>
          <w:lang w:val="en-US"/>
        </w:rPr>
        <w:t xml:space="preserve"> result, </w:t>
      </w:r>
      <w:r w:rsidR="00A806B5">
        <w:rPr>
          <w:rFonts w:cs="Arial"/>
          <w:szCs w:val="20"/>
          <w:lang w:val="en-US"/>
        </w:rPr>
        <w:t xml:space="preserve">but </w:t>
      </w:r>
      <w:r>
        <w:rPr>
          <w:rFonts w:cs="Arial"/>
          <w:szCs w:val="20"/>
          <w:lang w:val="en-US"/>
        </w:rPr>
        <w:t>PRIIPS products (</w:t>
      </w:r>
      <w:r w:rsidR="00A806B5">
        <w:rPr>
          <w:rFonts w:cs="Arial"/>
          <w:szCs w:val="20"/>
          <w:lang w:val="en-US"/>
        </w:rPr>
        <w:t xml:space="preserve">such </w:t>
      </w:r>
      <w:r>
        <w:rPr>
          <w:rFonts w:cs="Arial"/>
          <w:szCs w:val="20"/>
          <w:lang w:val="en-US"/>
        </w:rPr>
        <w:t xml:space="preserve">as certificate or structured bond) often insist on a single tenor or at least </w:t>
      </w:r>
      <w:r w:rsidR="00A806B5">
        <w:rPr>
          <w:rFonts w:cs="Arial"/>
          <w:szCs w:val="20"/>
          <w:lang w:val="en-US"/>
        </w:rPr>
        <w:t xml:space="preserve">on </w:t>
      </w:r>
      <w:r>
        <w:rPr>
          <w:rFonts w:cs="Arial"/>
          <w:szCs w:val="20"/>
          <w:lang w:val="en-US"/>
        </w:rPr>
        <w:t>a couple. A direct approach</w:t>
      </w:r>
      <w:r w:rsidR="00A806B5">
        <w:rPr>
          <w:rFonts w:cs="Arial"/>
          <w:szCs w:val="20"/>
          <w:lang w:val="en-US"/>
        </w:rPr>
        <w:t xml:space="preserve"> could be sufficient</w:t>
      </w:r>
      <w:r>
        <w:rPr>
          <w:rFonts w:cs="Arial"/>
          <w:szCs w:val="20"/>
          <w:lang w:val="en-US"/>
        </w:rPr>
        <w:t xml:space="preserve"> (as the one described from 30 to 34) in which Draft RTS  do not regulate t</w:t>
      </w:r>
      <w:r w:rsidR="00A806B5">
        <w:rPr>
          <w:rFonts w:cs="Arial"/>
          <w:szCs w:val="20"/>
          <w:lang w:val="en-US"/>
        </w:rPr>
        <w:t>he</w:t>
      </w:r>
      <w:r>
        <w:rPr>
          <w:rFonts w:cs="Arial"/>
          <w:szCs w:val="20"/>
          <w:lang w:val="en-US"/>
        </w:rPr>
        <w:t xml:space="preserve"> use </w:t>
      </w:r>
      <w:r w:rsidR="00A806B5">
        <w:rPr>
          <w:rFonts w:cs="Arial"/>
          <w:szCs w:val="20"/>
          <w:lang w:val="en-US"/>
        </w:rPr>
        <w:t xml:space="preserve">of </w:t>
      </w:r>
      <w:r>
        <w:rPr>
          <w:rFonts w:cs="Arial"/>
          <w:szCs w:val="20"/>
          <w:lang w:val="en-US"/>
        </w:rPr>
        <w:t xml:space="preserve">any model to simulate </w:t>
      </w:r>
      <w:r w:rsidR="00A806B5">
        <w:rPr>
          <w:rFonts w:cs="Arial"/>
          <w:szCs w:val="20"/>
          <w:lang w:val="en-US"/>
        </w:rPr>
        <w:t xml:space="preserve">a </w:t>
      </w:r>
      <w:r>
        <w:rPr>
          <w:rFonts w:cs="Arial"/>
          <w:szCs w:val="20"/>
          <w:lang w:val="en-US"/>
        </w:rPr>
        <w:t xml:space="preserve">rate curve, but </w:t>
      </w:r>
      <w:r w:rsidR="00A806B5">
        <w:rPr>
          <w:rFonts w:cs="Arial"/>
          <w:szCs w:val="20"/>
          <w:lang w:val="en-US"/>
        </w:rPr>
        <w:t xml:space="preserve">rather </w:t>
      </w:r>
      <w:r>
        <w:rPr>
          <w:rFonts w:cs="Arial"/>
          <w:szCs w:val="20"/>
          <w:lang w:val="en-US"/>
        </w:rPr>
        <w:t xml:space="preserve">model single tenors </w:t>
      </w:r>
      <w:r w:rsidR="00A77ED3">
        <w:rPr>
          <w:rFonts w:cs="Arial"/>
          <w:szCs w:val="20"/>
          <w:lang w:val="en-US"/>
        </w:rPr>
        <w:t>maintaining</w:t>
      </w:r>
      <w:r>
        <w:rPr>
          <w:rFonts w:cs="Arial"/>
          <w:szCs w:val="20"/>
          <w:lang w:val="en-US"/>
        </w:rPr>
        <w:t xml:space="preserve"> historical correlations via date sampl</w:t>
      </w:r>
      <w:r w:rsidR="00A806B5">
        <w:rPr>
          <w:rFonts w:cs="Arial"/>
          <w:szCs w:val="20"/>
          <w:lang w:val="en-US"/>
        </w:rPr>
        <w:t>ing</w:t>
      </w:r>
      <w:r>
        <w:rPr>
          <w:rFonts w:cs="Arial"/>
          <w:szCs w:val="20"/>
          <w:lang w:val="en-US"/>
        </w:rPr>
        <w:t>. Each Rate w</w:t>
      </w:r>
      <w:r w:rsidR="009652B4">
        <w:rPr>
          <w:rFonts w:cs="Arial"/>
          <w:szCs w:val="20"/>
          <w:lang w:val="en-US"/>
        </w:rPr>
        <w:t>ould</w:t>
      </w:r>
      <w:r>
        <w:rPr>
          <w:rFonts w:cs="Arial"/>
          <w:szCs w:val="20"/>
          <w:lang w:val="en-US"/>
        </w:rPr>
        <w:t xml:space="preserve"> evolve on </w:t>
      </w:r>
      <w:r w:rsidR="009652B4">
        <w:rPr>
          <w:rFonts w:cs="Arial"/>
          <w:szCs w:val="20"/>
          <w:lang w:val="en-US"/>
        </w:rPr>
        <w:t xml:space="preserve">a </w:t>
      </w:r>
      <w:r>
        <w:rPr>
          <w:rFonts w:cs="Arial"/>
          <w:szCs w:val="20"/>
          <w:lang w:val="en-US"/>
        </w:rPr>
        <w:t xml:space="preserve">Forward drift (along spot curve) and if Draft </w:t>
      </w:r>
      <w:proofErr w:type="gramStart"/>
      <w:r>
        <w:rPr>
          <w:rFonts w:cs="Arial"/>
          <w:szCs w:val="20"/>
          <w:lang w:val="en-US"/>
        </w:rPr>
        <w:t xml:space="preserve">RTS  </w:t>
      </w:r>
      <w:r w:rsidR="009652B4">
        <w:rPr>
          <w:rFonts w:cs="Arial"/>
          <w:szCs w:val="20"/>
          <w:lang w:val="en-US"/>
        </w:rPr>
        <w:t>were</w:t>
      </w:r>
      <w:proofErr w:type="gramEnd"/>
      <w:r w:rsidR="009652B4">
        <w:rPr>
          <w:rFonts w:cs="Arial"/>
          <w:szCs w:val="20"/>
          <w:lang w:val="en-US"/>
        </w:rPr>
        <w:t xml:space="preserve"> to </w:t>
      </w:r>
      <w:r>
        <w:rPr>
          <w:rFonts w:cs="Arial"/>
          <w:szCs w:val="20"/>
          <w:lang w:val="en-US"/>
        </w:rPr>
        <w:t xml:space="preserve">relax discounting condition (as </w:t>
      </w:r>
      <w:r w:rsidR="009652B4">
        <w:rPr>
          <w:rFonts w:cs="Arial"/>
          <w:szCs w:val="20"/>
          <w:lang w:val="en-US"/>
        </w:rPr>
        <w:t xml:space="preserve">previously </w:t>
      </w:r>
      <w:r>
        <w:rPr>
          <w:rFonts w:cs="Arial"/>
          <w:szCs w:val="20"/>
          <w:lang w:val="en-US"/>
        </w:rPr>
        <w:t xml:space="preserve">suggested), </w:t>
      </w:r>
      <w:r w:rsidR="009652B4">
        <w:rPr>
          <w:rFonts w:cs="Arial"/>
          <w:szCs w:val="20"/>
          <w:lang w:val="en-US"/>
        </w:rPr>
        <w:t xml:space="preserve">the </w:t>
      </w:r>
      <w:r>
        <w:rPr>
          <w:rFonts w:cs="Arial"/>
          <w:szCs w:val="20"/>
          <w:lang w:val="en-US"/>
        </w:rPr>
        <w:t>impact of this simplification w</w:t>
      </w:r>
      <w:r w:rsidR="009652B4">
        <w:rPr>
          <w:rFonts w:cs="Arial"/>
          <w:szCs w:val="20"/>
          <w:lang w:val="en-US"/>
        </w:rPr>
        <w:t xml:space="preserve">ould be </w:t>
      </w:r>
      <w:r>
        <w:rPr>
          <w:rFonts w:cs="Arial"/>
          <w:szCs w:val="20"/>
          <w:lang w:val="en-US"/>
        </w:rPr>
        <w:t xml:space="preserve">reduced </w:t>
      </w:r>
      <w:r w:rsidR="009652B4">
        <w:rPr>
          <w:rFonts w:cs="Arial"/>
          <w:szCs w:val="20"/>
          <w:lang w:val="en-US"/>
        </w:rPr>
        <w:t>further</w:t>
      </w:r>
      <w:r>
        <w:rPr>
          <w:rFonts w:cs="Arial"/>
          <w:szCs w:val="20"/>
          <w:lang w:val="en-US"/>
        </w:rPr>
        <w:t xml:space="preserve">more. This way, a single model for all risk factors </w:t>
      </w:r>
      <w:proofErr w:type="gramStart"/>
      <w:r>
        <w:rPr>
          <w:rFonts w:cs="Arial"/>
          <w:szCs w:val="20"/>
          <w:lang w:val="en-US"/>
        </w:rPr>
        <w:t>could be used</w:t>
      </w:r>
      <w:proofErr w:type="gramEnd"/>
      <w:r>
        <w:rPr>
          <w:rFonts w:cs="Arial"/>
          <w:szCs w:val="20"/>
          <w:lang w:val="en-US"/>
        </w:rPr>
        <w:t>.</w:t>
      </w:r>
    </w:p>
    <w:p w:rsidR="00790116" w:rsidRDefault="00790116" w:rsidP="00790116">
      <w:pPr>
        <w:jc w:val="both"/>
        <w:rPr>
          <w:rFonts w:cs="Arial"/>
          <w:szCs w:val="20"/>
          <w:lang w:val="en-US"/>
        </w:rPr>
      </w:pPr>
      <w:r>
        <w:rPr>
          <w:rFonts w:cs="Arial"/>
          <w:szCs w:val="20"/>
          <w:lang w:val="en-US"/>
        </w:rPr>
        <w:t xml:space="preserve"> </w:t>
      </w:r>
    </w:p>
    <w:p w:rsidR="00790116" w:rsidRPr="00F4322F" w:rsidRDefault="00790116" w:rsidP="00790116">
      <w:pPr>
        <w:jc w:val="both"/>
        <w:rPr>
          <w:rFonts w:cs="Arial"/>
          <w:szCs w:val="20"/>
          <w:lang w:val="en-US"/>
        </w:rPr>
      </w:pPr>
      <w:r w:rsidRPr="00F96A83">
        <w:rPr>
          <w:rFonts w:cs="Arial"/>
          <w:szCs w:val="20"/>
          <w:lang w:val="en-US"/>
        </w:rPr>
        <w:lastRenderedPageBreak/>
        <w:t xml:space="preserve">As detailed in </w:t>
      </w:r>
      <w:r w:rsidR="00C424BB">
        <w:rPr>
          <w:rFonts w:cs="Arial"/>
          <w:szCs w:val="20"/>
          <w:lang w:val="en-US"/>
        </w:rPr>
        <w:t xml:space="preserve">the </w:t>
      </w:r>
      <w:r w:rsidRPr="00F96A83">
        <w:rPr>
          <w:rFonts w:cs="Arial"/>
          <w:szCs w:val="20"/>
          <w:lang w:val="en-US"/>
        </w:rPr>
        <w:t xml:space="preserve">paragraph below, </w:t>
      </w:r>
      <w:r w:rsidR="00C424BB">
        <w:rPr>
          <w:rFonts w:cs="Arial"/>
          <w:szCs w:val="20"/>
          <w:lang w:val="en-US"/>
        </w:rPr>
        <w:t xml:space="preserve">the </w:t>
      </w:r>
      <w:r w:rsidRPr="00F96A83">
        <w:rPr>
          <w:rFonts w:cs="Arial"/>
          <w:szCs w:val="20"/>
          <w:lang w:val="en-US"/>
        </w:rPr>
        <w:t xml:space="preserve">bootstrapping approach </w:t>
      </w:r>
      <w:proofErr w:type="gramStart"/>
      <w:r w:rsidRPr="00F96A83">
        <w:rPr>
          <w:rFonts w:cs="Arial"/>
          <w:szCs w:val="20"/>
          <w:lang w:val="en-US"/>
        </w:rPr>
        <w:t>could be used</w:t>
      </w:r>
      <w:proofErr w:type="gramEnd"/>
      <w:r w:rsidRPr="00F96A83">
        <w:rPr>
          <w:rFonts w:cs="Arial"/>
          <w:szCs w:val="20"/>
          <w:lang w:val="en-US"/>
        </w:rPr>
        <w:t xml:space="preserve"> to fix </w:t>
      </w:r>
      <w:r w:rsidR="00C424BB">
        <w:rPr>
          <w:rFonts w:cs="Arial"/>
          <w:szCs w:val="20"/>
          <w:lang w:val="en-US"/>
        </w:rPr>
        <w:t xml:space="preserve">the </w:t>
      </w:r>
      <w:r w:rsidRPr="00F96A83">
        <w:rPr>
          <w:rFonts w:cs="Arial"/>
          <w:szCs w:val="20"/>
          <w:lang w:val="en-US"/>
        </w:rPr>
        <w:t xml:space="preserve">performance scenario. </w:t>
      </w:r>
      <w:r w:rsidR="00C424BB">
        <w:rPr>
          <w:rFonts w:cs="Arial"/>
          <w:szCs w:val="20"/>
          <w:lang w:val="en-US"/>
        </w:rPr>
        <w:t>Given that t</w:t>
      </w:r>
      <w:r w:rsidRPr="00F96A83">
        <w:rPr>
          <w:rFonts w:cs="Arial"/>
          <w:szCs w:val="20"/>
          <w:lang w:val="en-US"/>
        </w:rPr>
        <w:t xml:space="preserve">hese scenarios </w:t>
      </w:r>
      <w:r w:rsidR="00C424BB">
        <w:rPr>
          <w:rFonts w:cs="Arial"/>
          <w:szCs w:val="20"/>
          <w:lang w:val="en-US"/>
        </w:rPr>
        <w:t xml:space="preserve">must be calculated </w:t>
      </w:r>
      <w:r>
        <w:rPr>
          <w:rFonts w:cs="Arial"/>
          <w:szCs w:val="20"/>
          <w:lang w:val="en-US"/>
        </w:rPr>
        <w:t xml:space="preserve">for each PRIIPS category, we suggest bootstrapping (relaxing </w:t>
      </w:r>
      <w:r w:rsidR="00A77ED3">
        <w:rPr>
          <w:rFonts w:cs="Arial"/>
          <w:szCs w:val="20"/>
          <w:lang w:val="en-US"/>
        </w:rPr>
        <w:t>discounting</w:t>
      </w:r>
      <w:r w:rsidR="00EC1746">
        <w:rPr>
          <w:rFonts w:cs="Arial"/>
          <w:szCs w:val="20"/>
          <w:lang w:val="en-US"/>
        </w:rPr>
        <w:t xml:space="preserve"> condition</w:t>
      </w:r>
      <w:r w:rsidR="00C424BB">
        <w:rPr>
          <w:rFonts w:cs="Arial"/>
          <w:szCs w:val="20"/>
          <w:lang w:val="en-US"/>
        </w:rPr>
        <w:t>s</w:t>
      </w:r>
      <w:r w:rsidR="00EC1746">
        <w:rPr>
          <w:rFonts w:cs="Arial"/>
          <w:szCs w:val="20"/>
          <w:lang w:val="en-US"/>
        </w:rPr>
        <w:t xml:space="preserve"> with some adjust</w:t>
      </w:r>
      <w:r>
        <w:rPr>
          <w:rFonts w:cs="Arial"/>
          <w:szCs w:val="20"/>
          <w:lang w:val="en-US"/>
        </w:rPr>
        <w:t>ment</w:t>
      </w:r>
      <w:r w:rsidR="00C424BB">
        <w:rPr>
          <w:rFonts w:cs="Arial"/>
          <w:szCs w:val="20"/>
          <w:lang w:val="en-US"/>
        </w:rPr>
        <w:t>s</w:t>
      </w:r>
      <w:r>
        <w:rPr>
          <w:rFonts w:cs="Arial"/>
          <w:szCs w:val="20"/>
          <w:lang w:val="en-US"/>
        </w:rPr>
        <w:t>, as suggested) as the main model for risk and performance and for all PRIIPS categor</w:t>
      </w:r>
      <w:r w:rsidR="00C424BB">
        <w:rPr>
          <w:rFonts w:cs="Arial"/>
          <w:szCs w:val="20"/>
          <w:lang w:val="en-US"/>
        </w:rPr>
        <w:t>ies, whether they</w:t>
      </w:r>
      <w:r>
        <w:rPr>
          <w:rFonts w:cs="Arial"/>
          <w:szCs w:val="20"/>
          <w:lang w:val="en-US"/>
        </w:rPr>
        <w:t xml:space="preserve"> fal</w:t>
      </w:r>
      <w:r w:rsidR="00C424BB">
        <w:rPr>
          <w:rFonts w:cs="Arial"/>
          <w:szCs w:val="20"/>
          <w:lang w:val="en-US"/>
        </w:rPr>
        <w:t>l</w:t>
      </w:r>
      <w:r>
        <w:rPr>
          <w:rFonts w:cs="Arial"/>
          <w:szCs w:val="20"/>
          <w:lang w:val="en-US"/>
        </w:rPr>
        <w:t xml:space="preserve"> under </w:t>
      </w:r>
      <w:r w:rsidR="00C424BB">
        <w:rPr>
          <w:rFonts w:cs="Arial"/>
          <w:szCs w:val="20"/>
          <w:lang w:val="en-US"/>
        </w:rPr>
        <w:t xml:space="preserve">the </w:t>
      </w:r>
      <w:r>
        <w:rPr>
          <w:rFonts w:cs="Arial"/>
          <w:szCs w:val="20"/>
          <w:lang w:val="en-US"/>
        </w:rPr>
        <w:t>Cornish Fisher approach</w:t>
      </w:r>
      <w:r w:rsidR="00C424BB">
        <w:rPr>
          <w:rFonts w:cs="Arial"/>
          <w:szCs w:val="20"/>
          <w:lang w:val="en-US"/>
        </w:rPr>
        <w:t xml:space="preserve"> or not</w:t>
      </w:r>
      <w:r>
        <w:rPr>
          <w:rFonts w:cs="Arial"/>
          <w:szCs w:val="20"/>
          <w:lang w:val="en-US"/>
        </w:rPr>
        <w:t>.</w:t>
      </w:r>
      <w:r w:rsidRPr="00F96A83">
        <w:rPr>
          <w:rFonts w:cs="Arial"/>
          <w:szCs w:val="20"/>
          <w:lang w:val="en-US"/>
        </w:rPr>
        <w:t xml:space="preserve"> </w:t>
      </w:r>
    </w:p>
    <w:p w:rsidR="00790116" w:rsidRPr="00790116" w:rsidRDefault="00790116" w:rsidP="00790116">
      <w:pPr>
        <w:jc w:val="both"/>
        <w:rPr>
          <w:b/>
        </w:rPr>
      </w:pPr>
    </w:p>
    <w:p w:rsidR="00EC1746" w:rsidRDefault="00EC1746" w:rsidP="00C90B16"/>
    <w:p w:rsidR="00EC1746" w:rsidRPr="00EC1746" w:rsidRDefault="00EC1746" w:rsidP="00C3542E">
      <w:pPr>
        <w:pStyle w:val="Paragrafoelenco"/>
        <w:numPr>
          <w:ilvl w:val="0"/>
          <w:numId w:val="42"/>
        </w:numPr>
        <w:jc w:val="both"/>
        <w:rPr>
          <w:rFonts w:cs="Arial"/>
          <w:b/>
          <w:szCs w:val="20"/>
        </w:rPr>
      </w:pPr>
      <w:r w:rsidRPr="00EC1746">
        <w:rPr>
          <w:rFonts w:cs="Arial"/>
          <w:b/>
          <w:szCs w:val="20"/>
        </w:rPr>
        <w:t xml:space="preserve">Clarifications and suggestion regarding performance scenarios  </w:t>
      </w:r>
    </w:p>
    <w:p w:rsidR="00EC1746" w:rsidRPr="00762D75" w:rsidRDefault="00EC1746" w:rsidP="00EC1746">
      <w:pPr>
        <w:jc w:val="both"/>
        <w:rPr>
          <w:rFonts w:cs="Arial"/>
          <w:szCs w:val="20"/>
        </w:rPr>
      </w:pPr>
    </w:p>
    <w:p w:rsidR="00EC1746" w:rsidRPr="008542F3" w:rsidRDefault="00EC1746" w:rsidP="00EC1746">
      <w:pPr>
        <w:jc w:val="both"/>
        <w:rPr>
          <w:rFonts w:cs="Arial"/>
          <w:szCs w:val="20"/>
          <w:lang w:val="en-US"/>
        </w:rPr>
      </w:pPr>
      <w:proofErr w:type="gramStart"/>
      <w:r w:rsidRPr="008542F3">
        <w:rPr>
          <w:rFonts w:cs="Arial"/>
          <w:szCs w:val="20"/>
          <w:lang w:val="en-US"/>
        </w:rPr>
        <w:t xml:space="preserve">We believe </w:t>
      </w:r>
      <w:r>
        <w:rPr>
          <w:rFonts w:cs="Arial"/>
          <w:szCs w:val="20"/>
          <w:lang w:val="en-US"/>
        </w:rPr>
        <w:t>D</w:t>
      </w:r>
      <w:r w:rsidR="00C424BB">
        <w:rPr>
          <w:rFonts w:cs="Arial"/>
          <w:szCs w:val="20"/>
          <w:lang w:val="en-US"/>
        </w:rPr>
        <w:t>raft</w:t>
      </w:r>
      <w:r>
        <w:rPr>
          <w:rFonts w:cs="Arial"/>
          <w:szCs w:val="20"/>
          <w:lang w:val="en-US"/>
        </w:rPr>
        <w:t xml:space="preserve"> RTS </w:t>
      </w:r>
      <w:r w:rsidR="00C424BB">
        <w:rPr>
          <w:rFonts w:cs="Arial"/>
          <w:szCs w:val="20"/>
          <w:lang w:val="en-US"/>
        </w:rPr>
        <w:t xml:space="preserve">should </w:t>
      </w:r>
      <w:r w:rsidRPr="008542F3">
        <w:rPr>
          <w:rFonts w:cs="Arial"/>
          <w:szCs w:val="20"/>
          <w:lang w:val="en-US"/>
        </w:rPr>
        <w:t xml:space="preserve">clarify the conditions under which manufacturers implement paragraphs 13 of the Annex IV of Draft RTS and consequently assess that “the possibilities to disinvest during the life of the product are expected to be very limited”, which allows performance scenarios </w:t>
      </w:r>
      <w:r w:rsidR="00C424BB">
        <w:rPr>
          <w:rFonts w:cs="Arial"/>
          <w:szCs w:val="20"/>
          <w:lang w:val="en-US"/>
        </w:rPr>
        <w:t xml:space="preserve">to be presented </w:t>
      </w:r>
      <w:r w:rsidRPr="008542F3">
        <w:rPr>
          <w:rFonts w:cs="Arial"/>
          <w:szCs w:val="20"/>
          <w:lang w:val="en-US"/>
        </w:rPr>
        <w:t>only at maturity t</w:t>
      </w:r>
      <w:r w:rsidR="00C424BB">
        <w:rPr>
          <w:rFonts w:cs="Arial"/>
          <w:szCs w:val="20"/>
          <w:lang w:val="en-US"/>
        </w:rPr>
        <w:t xml:space="preserve">hus </w:t>
      </w:r>
      <w:r w:rsidRPr="008542F3">
        <w:rPr>
          <w:rFonts w:cs="Arial"/>
          <w:szCs w:val="20"/>
          <w:lang w:val="en-US"/>
        </w:rPr>
        <w:t>avoid</w:t>
      </w:r>
      <w:r w:rsidR="00C424BB">
        <w:rPr>
          <w:rFonts w:cs="Arial"/>
          <w:szCs w:val="20"/>
          <w:lang w:val="en-US"/>
        </w:rPr>
        <w:t>ing</w:t>
      </w:r>
      <w:r w:rsidRPr="008542F3">
        <w:rPr>
          <w:rFonts w:cs="Arial"/>
          <w:szCs w:val="20"/>
          <w:lang w:val="en-US"/>
        </w:rPr>
        <w:t xml:space="preserve"> false </w:t>
      </w:r>
      <w:r w:rsidR="00C424BB">
        <w:rPr>
          <w:rFonts w:cs="Arial"/>
          <w:szCs w:val="20"/>
          <w:lang w:val="en-US"/>
        </w:rPr>
        <w:t xml:space="preserve">investor </w:t>
      </w:r>
      <w:r w:rsidRPr="008542F3">
        <w:rPr>
          <w:rFonts w:cs="Arial"/>
          <w:szCs w:val="20"/>
          <w:lang w:val="en-US"/>
        </w:rPr>
        <w:t>expectations (</w:t>
      </w:r>
      <w:r w:rsidR="00C424BB">
        <w:rPr>
          <w:rFonts w:cs="Arial"/>
          <w:szCs w:val="20"/>
          <w:lang w:val="en-US"/>
        </w:rPr>
        <w:t xml:space="preserve">bypassing scenario </w:t>
      </w:r>
      <w:r w:rsidRPr="008542F3">
        <w:rPr>
          <w:rFonts w:cs="Arial"/>
          <w:szCs w:val="20"/>
          <w:lang w:val="en-US"/>
        </w:rPr>
        <w:t xml:space="preserve">presentation at </w:t>
      </w:r>
      <w:r w:rsidR="00C424BB">
        <w:rPr>
          <w:rFonts w:cs="Arial"/>
          <w:szCs w:val="20"/>
          <w:lang w:val="en-US"/>
        </w:rPr>
        <w:t xml:space="preserve">an </w:t>
      </w:r>
      <w:r w:rsidRPr="008542F3">
        <w:rPr>
          <w:rFonts w:cs="Arial"/>
          <w:szCs w:val="20"/>
          <w:lang w:val="en-US"/>
        </w:rPr>
        <w:t>the intermediate stage).</w:t>
      </w:r>
      <w:proofErr w:type="gramEnd"/>
    </w:p>
    <w:p w:rsidR="00EC1746" w:rsidRDefault="00EC1746" w:rsidP="00EC1746">
      <w:pPr>
        <w:jc w:val="both"/>
        <w:rPr>
          <w:b/>
          <w:color w:val="00B0F0"/>
          <w:lang w:val="en-US"/>
        </w:rPr>
      </w:pPr>
    </w:p>
    <w:p w:rsidR="00EC1746" w:rsidRPr="00EC1746" w:rsidRDefault="007300DE" w:rsidP="00EC1746">
      <w:pPr>
        <w:jc w:val="both"/>
        <w:rPr>
          <w:rFonts w:cs="Arial"/>
          <w:szCs w:val="20"/>
          <w:lang w:val="en-US"/>
        </w:rPr>
      </w:pPr>
      <w:r>
        <w:rPr>
          <w:rFonts w:cs="Arial"/>
          <w:szCs w:val="20"/>
          <w:lang w:val="en-US"/>
        </w:rPr>
        <w:t xml:space="preserve">As for </w:t>
      </w:r>
      <w:r w:rsidR="00EC1746" w:rsidRPr="00EC1746">
        <w:rPr>
          <w:rFonts w:cs="Arial"/>
          <w:szCs w:val="20"/>
          <w:lang w:val="en-US"/>
        </w:rPr>
        <w:t>the insurance sector</w:t>
      </w:r>
      <w:r>
        <w:rPr>
          <w:rFonts w:cs="Arial"/>
          <w:szCs w:val="20"/>
          <w:lang w:val="en-US"/>
        </w:rPr>
        <w:t>,</w:t>
      </w:r>
      <w:r w:rsidR="00EC1746" w:rsidRPr="00EC1746">
        <w:rPr>
          <w:rFonts w:cs="Arial"/>
          <w:szCs w:val="20"/>
          <w:lang w:val="en-US"/>
        </w:rPr>
        <w:t xml:space="preserve"> we believe that intermediate stage </w:t>
      </w:r>
      <w:r>
        <w:rPr>
          <w:rFonts w:cs="Arial"/>
          <w:szCs w:val="20"/>
          <w:lang w:val="en-US"/>
        </w:rPr>
        <w:t xml:space="preserve">presentation </w:t>
      </w:r>
      <w:proofErr w:type="gramStart"/>
      <w:r w:rsidR="00EC1746" w:rsidRPr="00EC1746">
        <w:rPr>
          <w:rFonts w:cs="Arial"/>
          <w:szCs w:val="20"/>
          <w:lang w:val="en-US"/>
        </w:rPr>
        <w:t>could be avoided</w:t>
      </w:r>
      <w:proofErr w:type="gramEnd"/>
      <w:r>
        <w:rPr>
          <w:rFonts w:cs="Arial"/>
          <w:szCs w:val="20"/>
          <w:lang w:val="en-US"/>
        </w:rPr>
        <w:t>. This would be</w:t>
      </w:r>
      <w:r w:rsidR="00EC1746" w:rsidRPr="00EC1746">
        <w:rPr>
          <w:rFonts w:cs="Arial"/>
          <w:szCs w:val="20"/>
          <w:lang w:val="en-US"/>
        </w:rPr>
        <w:t xml:space="preserve"> particular</w:t>
      </w:r>
      <w:r>
        <w:rPr>
          <w:rFonts w:cs="Arial"/>
          <w:szCs w:val="20"/>
          <w:lang w:val="en-US"/>
        </w:rPr>
        <w:t xml:space="preserve">ly </w:t>
      </w:r>
      <w:proofErr w:type="gramStart"/>
      <w:r>
        <w:rPr>
          <w:rFonts w:cs="Arial"/>
          <w:szCs w:val="20"/>
          <w:lang w:val="en-US"/>
        </w:rPr>
        <w:t xml:space="preserve">fitting </w:t>
      </w:r>
      <w:r w:rsidR="00EC1746" w:rsidRPr="00EC1746">
        <w:rPr>
          <w:rFonts w:cs="Arial"/>
          <w:szCs w:val="20"/>
          <w:lang w:val="en-US"/>
        </w:rPr>
        <w:t xml:space="preserve"> for</w:t>
      </w:r>
      <w:proofErr w:type="gramEnd"/>
      <w:r w:rsidR="00EC1746" w:rsidRPr="00EC1746">
        <w:rPr>
          <w:rFonts w:cs="Arial"/>
          <w:szCs w:val="20"/>
          <w:lang w:val="en-US"/>
        </w:rPr>
        <w:t xml:space="preserve"> lifetime products where the investment has no deadline and disinvest</w:t>
      </w:r>
      <w:r>
        <w:rPr>
          <w:rFonts w:cs="Arial"/>
          <w:szCs w:val="20"/>
          <w:lang w:val="en-US"/>
        </w:rPr>
        <w:t>ment</w:t>
      </w:r>
      <w:r w:rsidR="00EC1746" w:rsidRPr="00EC1746">
        <w:rPr>
          <w:rFonts w:cs="Arial"/>
          <w:szCs w:val="20"/>
          <w:lang w:val="en-US"/>
        </w:rPr>
        <w:t xml:space="preserve"> </w:t>
      </w:r>
      <w:r>
        <w:rPr>
          <w:rFonts w:cs="Arial"/>
          <w:szCs w:val="20"/>
          <w:lang w:val="en-US"/>
        </w:rPr>
        <w:t xml:space="preserve">takes place either via </w:t>
      </w:r>
      <w:r w:rsidR="00EC1746" w:rsidRPr="00EC1746">
        <w:rPr>
          <w:rFonts w:cs="Arial"/>
          <w:szCs w:val="20"/>
          <w:lang w:val="en-US"/>
        </w:rPr>
        <w:t>redemption or by death event.</w:t>
      </w:r>
    </w:p>
    <w:p w:rsidR="00EC1746" w:rsidRPr="008542F3" w:rsidRDefault="00EC1746" w:rsidP="00EC1746">
      <w:pPr>
        <w:jc w:val="both"/>
        <w:rPr>
          <w:rFonts w:cs="Arial"/>
          <w:szCs w:val="20"/>
          <w:lang w:val="en-US"/>
        </w:rPr>
      </w:pPr>
    </w:p>
    <w:p w:rsidR="00EC1746" w:rsidRPr="008542F3" w:rsidRDefault="00EC1746" w:rsidP="00EC1746">
      <w:pPr>
        <w:jc w:val="both"/>
        <w:rPr>
          <w:rFonts w:cs="Arial"/>
          <w:szCs w:val="20"/>
          <w:lang w:val="en-US"/>
        </w:rPr>
      </w:pPr>
      <w:r w:rsidRPr="008542F3">
        <w:rPr>
          <w:rFonts w:cs="Arial"/>
          <w:szCs w:val="20"/>
          <w:lang w:val="en-US"/>
        </w:rPr>
        <w:t xml:space="preserve">In view of this we </w:t>
      </w:r>
      <w:r w:rsidR="007300DE">
        <w:rPr>
          <w:rFonts w:cs="Arial"/>
          <w:szCs w:val="20"/>
          <w:lang w:val="en-US"/>
        </w:rPr>
        <w:t xml:space="preserve">request that express clarification be made </w:t>
      </w:r>
      <w:r>
        <w:rPr>
          <w:rFonts w:cs="Arial"/>
          <w:szCs w:val="20"/>
          <w:lang w:val="en-US"/>
        </w:rPr>
        <w:t>in the Draft RTS</w:t>
      </w:r>
      <w:r w:rsidR="008F7CCA">
        <w:rPr>
          <w:rFonts w:cs="Arial"/>
          <w:szCs w:val="20"/>
          <w:lang w:val="en-US"/>
        </w:rPr>
        <w:t xml:space="preserve"> as </w:t>
      </w:r>
      <w:proofErr w:type="gramStart"/>
      <w:r w:rsidR="008F7CCA">
        <w:rPr>
          <w:rFonts w:cs="Arial"/>
          <w:szCs w:val="20"/>
          <w:lang w:val="en-US"/>
        </w:rPr>
        <w:t xml:space="preserve">to </w:t>
      </w:r>
      <w:r>
        <w:rPr>
          <w:rFonts w:cs="Arial"/>
          <w:szCs w:val="20"/>
          <w:lang w:val="en-US"/>
        </w:rPr>
        <w:t xml:space="preserve"> </w:t>
      </w:r>
      <w:r w:rsidRPr="008542F3">
        <w:rPr>
          <w:rFonts w:cs="Arial"/>
          <w:szCs w:val="20"/>
          <w:lang w:val="en-US"/>
        </w:rPr>
        <w:t>whether</w:t>
      </w:r>
      <w:proofErr w:type="gramEnd"/>
      <w:r w:rsidRPr="008542F3">
        <w:rPr>
          <w:rFonts w:cs="Arial"/>
          <w:szCs w:val="20"/>
          <w:lang w:val="en-US"/>
        </w:rPr>
        <w:t xml:space="preserve"> this assessment </w:t>
      </w:r>
      <w:r w:rsidR="008F7CCA">
        <w:rPr>
          <w:rFonts w:cs="Arial"/>
          <w:szCs w:val="20"/>
          <w:lang w:val="en-US"/>
        </w:rPr>
        <w:t xml:space="preserve">should </w:t>
      </w:r>
      <w:r w:rsidRPr="008542F3">
        <w:rPr>
          <w:rFonts w:cs="Arial"/>
          <w:szCs w:val="20"/>
          <w:lang w:val="en-US"/>
        </w:rPr>
        <w:t xml:space="preserve">be carried out by manufacturers </w:t>
      </w:r>
      <w:r w:rsidR="008F7CCA">
        <w:rPr>
          <w:rFonts w:cs="Arial"/>
          <w:szCs w:val="20"/>
          <w:lang w:val="en-US"/>
        </w:rPr>
        <w:t xml:space="preserve">in keeping with </w:t>
      </w:r>
      <w:r w:rsidRPr="008542F3">
        <w:rPr>
          <w:rFonts w:cs="Arial"/>
          <w:szCs w:val="20"/>
          <w:lang w:val="en-US"/>
        </w:rPr>
        <w:t xml:space="preserve">the criteria set </w:t>
      </w:r>
      <w:r w:rsidR="008F7CCA">
        <w:rPr>
          <w:rFonts w:cs="Arial"/>
          <w:szCs w:val="20"/>
          <w:lang w:val="en-US"/>
        </w:rPr>
        <w:t xml:space="preserve">forth in </w:t>
      </w:r>
      <w:r w:rsidRPr="008542F3">
        <w:rPr>
          <w:rFonts w:cs="Arial"/>
          <w:szCs w:val="20"/>
          <w:lang w:val="en-US"/>
        </w:rPr>
        <w:t xml:space="preserve">paragraph 76 of the Annex II </w:t>
      </w:r>
      <w:r w:rsidR="008F7CCA">
        <w:rPr>
          <w:rFonts w:cs="Arial"/>
          <w:szCs w:val="20"/>
          <w:lang w:val="en-US"/>
        </w:rPr>
        <w:t xml:space="preserve">and relating to the classification of an </w:t>
      </w:r>
      <w:r w:rsidRPr="008542F3">
        <w:rPr>
          <w:rFonts w:cs="Arial"/>
          <w:szCs w:val="20"/>
          <w:lang w:val="en-US"/>
        </w:rPr>
        <w:t xml:space="preserve">illiquid </w:t>
      </w:r>
      <w:r w:rsidR="008F7CCA">
        <w:rPr>
          <w:rFonts w:cs="Arial"/>
          <w:szCs w:val="20"/>
          <w:lang w:val="en-US"/>
        </w:rPr>
        <w:t xml:space="preserve">product, </w:t>
      </w:r>
      <w:r w:rsidRPr="008542F3">
        <w:rPr>
          <w:rFonts w:cs="Arial"/>
          <w:szCs w:val="20"/>
          <w:lang w:val="en-US"/>
        </w:rPr>
        <w:t xml:space="preserve">or </w:t>
      </w:r>
      <w:r w:rsidR="008F7CCA">
        <w:rPr>
          <w:rFonts w:cs="Arial"/>
          <w:szCs w:val="20"/>
          <w:lang w:val="en-US"/>
        </w:rPr>
        <w:t xml:space="preserve">with </w:t>
      </w:r>
      <w:r w:rsidRPr="008542F3">
        <w:rPr>
          <w:rFonts w:cs="Arial"/>
          <w:szCs w:val="20"/>
          <w:lang w:val="en-US"/>
        </w:rPr>
        <w:t>materially relevant liquidity risk</w:t>
      </w:r>
      <w:r w:rsidR="008F7CCA">
        <w:rPr>
          <w:rFonts w:cs="Arial"/>
          <w:szCs w:val="20"/>
          <w:lang w:val="en-US"/>
        </w:rPr>
        <w:t>. If it is not possible</w:t>
      </w:r>
      <w:r w:rsidRPr="008542F3">
        <w:rPr>
          <w:rFonts w:cs="Arial"/>
          <w:szCs w:val="20"/>
          <w:lang w:val="en-US"/>
        </w:rPr>
        <w:t xml:space="preserve">, </w:t>
      </w:r>
      <w:r w:rsidR="008F7CCA">
        <w:rPr>
          <w:rFonts w:cs="Arial"/>
          <w:szCs w:val="20"/>
          <w:lang w:val="en-US"/>
        </w:rPr>
        <w:t xml:space="preserve">which other </w:t>
      </w:r>
      <w:r w:rsidRPr="008542F3">
        <w:rPr>
          <w:rFonts w:cs="Arial"/>
          <w:szCs w:val="20"/>
          <w:lang w:val="en-US"/>
        </w:rPr>
        <w:t xml:space="preserve">specific criteria </w:t>
      </w:r>
      <w:r w:rsidR="008F7CCA">
        <w:rPr>
          <w:rFonts w:cs="Arial"/>
          <w:szCs w:val="20"/>
          <w:lang w:val="en-US"/>
        </w:rPr>
        <w:t xml:space="preserve">must be </w:t>
      </w:r>
      <w:proofErr w:type="gramStart"/>
      <w:r w:rsidRPr="008542F3">
        <w:rPr>
          <w:rFonts w:cs="Arial"/>
          <w:szCs w:val="20"/>
          <w:lang w:val="en-US"/>
        </w:rPr>
        <w:t>to</w:t>
      </w:r>
      <w:proofErr w:type="gramEnd"/>
      <w:r w:rsidRPr="008542F3">
        <w:rPr>
          <w:rFonts w:cs="Arial"/>
          <w:szCs w:val="20"/>
          <w:lang w:val="en-US"/>
        </w:rPr>
        <w:t xml:space="preserve"> compl</w:t>
      </w:r>
      <w:r w:rsidR="008F7CCA">
        <w:rPr>
          <w:rFonts w:cs="Arial"/>
          <w:szCs w:val="20"/>
          <w:lang w:val="en-US"/>
        </w:rPr>
        <w:t>ied</w:t>
      </w:r>
      <w:r w:rsidRPr="008542F3">
        <w:rPr>
          <w:rFonts w:cs="Arial"/>
          <w:szCs w:val="20"/>
          <w:lang w:val="en-US"/>
        </w:rPr>
        <w:t xml:space="preserve"> with</w:t>
      </w:r>
      <w:r w:rsidR="008F7CCA">
        <w:rPr>
          <w:rFonts w:cs="Arial"/>
          <w:szCs w:val="20"/>
          <w:lang w:val="en-US"/>
        </w:rPr>
        <w:t>?</w:t>
      </w:r>
    </w:p>
    <w:p w:rsidR="00EC1746" w:rsidRPr="00A14A3B" w:rsidRDefault="00EC1746" w:rsidP="00C90B16">
      <w:pPr>
        <w:rPr>
          <w:rFonts w:cs="Arial"/>
          <w:szCs w:val="20"/>
          <w:lang w:val="en-US"/>
        </w:rPr>
      </w:pPr>
    </w:p>
    <w:p w:rsidR="00A14A3B" w:rsidRPr="008542F3" w:rsidRDefault="008F7CCA" w:rsidP="00A14A3B">
      <w:pPr>
        <w:jc w:val="both"/>
        <w:rPr>
          <w:rFonts w:cs="Arial"/>
          <w:szCs w:val="20"/>
          <w:lang w:val="en-US"/>
        </w:rPr>
      </w:pPr>
      <w:proofErr w:type="gramStart"/>
      <w:r w:rsidRPr="008F7CCA">
        <w:rPr>
          <w:rFonts w:cs="Arial"/>
          <w:szCs w:val="20"/>
          <w:lang w:val="en-US"/>
        </w:rPr>
        <w:t>With reference to paragraph 14 of annex IV, we highly recommend the provision of additional indications as to the pertinence of providing intermediate stage performance scenarios for structured PRIIPS so as to “reflect the estimated exit price of the instrument” given the risk of investors misunderstanding the data and in view of the difficulties in estimating all required repricing parameters (i.e. volatility, skew, dividends, interest rate curve and credit spread curve).</w:t>
      </w:r>
      <w:proofErr w:type="gramEnd"/>
      <w:r>
        <w:rPr>
          <w:rFonts w:cs="Arial"/>
          <w:szCs w:val="20"/>
          <w:lang w:val="en-US"/>
        </w:rPr>
        <w:t xml:space="preserve"> </w:t>
      </w:r>
    </w:p>
    <w:p w:rsidR="00F32A11" w:rsidRDefault="00F32A11" w:rsidP="00A14A3B">
      <w:pPr>
        <w:jc w:val="both"/>
        <w:rPr>
          <w:rFonts w:cs="Arial"/>
          <w:szCs w:val="20"/>
          <w:lang w:val="en-US"/>
        </w:rPr>
      </w:pPr>
    </w:p>
    <w:p w:rsidR="00A14A3B" w:rsidRPr="00A14A3B" w:rsidRDefault="00A14A3B" w:rsidP="00A14A3B">
      <w:pPr>
        <w:jc w:val="both"/>
        <w:rPr>
          <w:rFonts w:cs="Arial"/>
          <w:szCs w:val="20"/>
          <w:lang w:val="en-US"/>
        </w:rPr>
      </w:pPr>
      <w:r w:rsidRPr="00A14A3B">
        <w:rPr>
          <w:rFonts w:cs="Arial"/>
          <w:szCs w:val="20"/>
          <w:lang w:val="en-US"/>
        </w:rPr>
        <w:t>With reference to scenarios on time horizon (la</w:t>
      </w:r>
      <w:r w:rsidR="00F32A11">
        <w:rPr>
          <w:rFonts w:cs="Arial"/>
          <w:szCs w:val="20"/>
          <w:lang w:val="en-US"/>
        </w:rPr>
        <w:t>s</w:t>
      </w:r>
      <w:r w:rsidRPr="00A14A3B">
        <w:rPr>
          <w:rFonts w:cs="Arial"/>
          <w:szCs w:val="20"/>
          <w:lang w:val="en-US"/>
        </w:rPr>
        <w:t xml:space="preserve">t column), we </w:t>
      </w:r>
      <w:r w:rsidR="00F32A11">
        <w:rPr>
          <w:rFonts w:cs="Arial"/>
          <w:szCs w:val="20"/>
          <w:lang w:val="en-US"/>
        </w:rPr>
        <w:t>propose</w:t>
      </w:r>
      <w:r w:rsidRPr="00A14A3B">
        <w:rPr>
          <w:rFonts w:cs="Arial"/>
          <w:szCs w:val="20"/>
          <w:lang w:val="en-US"/>
        </w:rPr>
        <w:t xml:space="preserve"> </w:t>
      </w:r>
      <w:r w:rsidR="00F32A11">
        <w:rPr>
          <w:rFonts w:cs="Arial"/>
          <w:szCs w:val="20"/>
          <w:lang w:val="en-US"/>
        </w:rPr>
        <w:t xml:space="preserve">the following </w:t>
      </w:r>
      <w:r w:rsidRPr="00A14A3B">
        <w:rPr>
          <w:rFonts w:cs="Arial"/>
          <w:szCs w:val="20"/>
          <w:lang w:val="en-US"/>
        </w:rPr>
        <w:t>approach.</w:t>
      </w:r>
    </w:p>
    <w:p w:rsidR="00A14A3B" w:rsidRPr="00A14A3B" w:rsidRDefault="00A14A3B" w:rsidP="00A14A3B">
      <w:pPr>
        <w:jc w:val="both"/>
        <w:rPr>
          <w:rFonts w:cs="Arial"/>
          <w:szCs w:val="20"/>
          <w:lang w:val="en-US"/>
        </w:rPr>
      </w:pPr>
    </w:p>
    <w:p w:rsidR="00A14A3B" w:rsidRPr="00A14A3B" w:rsidRDefault="00A14A3B" w:rsidP="00A14A3B">
      <w:pPr>
        <w:jc w:val="both"/>
        <w:rPr>
          <w:rFonts w:cs="Arial"/>
          <w:szCs w:val="20"/>
          <w:lang w:val="en-US"/>
        </w:rPr>
      </w:pPr>
      <w:r w:rsidRPr="00A14A3B">
        <w:rPr>
          <w:rFonts w:cs="Arial"/>
          <w:szCs w:val="20"/>
          <w:lang w:val="en-US"/>
        </w:rPr>
        <w:t>On the bootstrapped empirical density function of the underline (see annex II, Part 1, 30-37):</w:t>
      </w:r>
    </w:p>
    <w:p w:rsidR="00A14A3B" w:rsidRPr="00710B6C" w:rsidRDefault="00A14A3B" w:rsidP="00C3542E">
      <w:pPr>
        <w:pStyle w:val="Paragrafoelenco"/>
        <w:numPr>
          <w:ilvl w:val="0"/>
          <w:numId w:val="45"/>
        </w:numPr>
        <w:jc w:val="both"/>
        <w:rPr>
          <w:rFonts w:cs="Arial"/>
          <w:szCs w:val="20"/>
          <w:lang w:val="en-US"/>
        </w:rPr>
      </w:pPr>
      <w:r w:rsidRPr="00710B6C">
        <w:rPr>
          <w:rFonts w:cs="Arial"/>
          <w:szCs w:val="20"/>
          <w:lang w:val="en-US"/>
        </w:rPr>
        <w:t xml:space="preserve">Select a percentile (25° as </w:t>
      </w:r>
      <w:r w:rsidR="00A77ED3" w:rsidRPr="00710B6C">
        <w:rPr>
          <w:rFonts w:cs="Arial"/>
          <w:szCs w:val="20"/>
          <w:lang w:val="en-US"/>
        </w:rPr>
        <w:t>unfavorable</w:t>
      </w:r>
      <w:r w:rsidRPr="00710B6C">
        <w:rPr>
          <w:rFonts w:cs="Arial"/>
          <w:szCs w:val="20"/>
          <w:lang w:val="en-US"/>
        </w:rPr>
        <w:t xml:space="preserve">, 75° as </w:t>
      </w:r>
      <w:r w:rsidR="00A77ED3" w:rsidRPr="00710B6C">
        <w:rPr>
          <w:rFonts w:cs="Arial"/>
          <w:szCs w:val="20"/>
          <w:lang w:val="en-US"/>
        </w:rPr>
        <w:t>favorable</w:t>
      </w:r>
      <w:r w:rsidRPr="00710B6C">
        <w:rPr>
          <w:rFonts w:cs="Arial"/>
          <w:szCs w:val="20"/>
          <w:lang w:val="en-US"/>
        </w:rPr>
        <w:t>, 1° as stressed),</w:t>
      </w:r>
    </w:p>
    <w:p w:rsidR="00A14A3B" w:rsidRPr="00710B6C" w:rsidRDefault="00A14A3B" w:rsidP="00C3542E">
      <w:pPr>
        <w:pStyle w:val="Paragrafoelenco"/>
        <w:numPr>
          <w:ilvl w:val="0"/>
          <w:numId w:val="45"/>
        </w:numPr>
        <w:jc w:val="both"/>
        <w:rPr>
          <w:rFonts w:cs="Arial"/>
          <w:szCs w:val="20"/>
          <w:lang w:val="en-US"/>
        </w:rPr>
      </w:pPr>
      <w:r w:rsidRPr="00710B6C">
        <w:rPr>
          <w:rFonts w:cs="Arial"/>
          <w:szCs w:val="20"/>
          <w:lang w:val="en-US"/>
        </w:rPr>
        <w:t>Select mean as moderate,</w:t>
      </w:r>
    </w:p>
    <w:p w:rsidR="00A14A3B" w:rsidRPr="00710B6C" w:rsidRDefault="00A14A3B" w:rsidP="00C3542E">
      <w:pPr>
        <w:pStyle w:val="Paragrafoelenco"/>
        <w:numPr>
          <w:ilvl w:val="0"/>
          <w:numId w:val="45"/>
        </w:numPr>
        <w:jc w:val="both"/>
        <w:rPr>
          <w:rFonts w:cs="Arial"/>
          <w:szCs w:val="20"/>
          <w:lang w:val="en-US"/>
        </w:rPr>
      </w:pPr>
      <w:r w:rsidRPr="00710B6C">
        <w:rPr>
          <w:rFonts w:cs="Arial"/>
          <w:szCs w:val="20"/>
          <w:lang w:val="en-US"/>
        </w:rPr>
        <w:t>Apply</w:t>
      </w:r>
      <w:r w:rsidR="00F32A11">
        <w:rPr>
          <w:rFonts w:cs="Arial"/>
          <w:szCs w:val="20"/>
          <w:lang w:val="en-US"/>
        </w:rPr>
        <w:t xml:space="preserve"> product</w:t>
      </w:r>
      <w:r w:rsidRPr="00710B6C">
        <w:rPr>
          <w:rFonts w:cs="Arial"/>
          <w:szCs w:val="20"/>
          <w:lang w:val="en-US"/>
        </w:rPr>
        <w:t xml:space="preserve"> </w:t>
      </w:r>
      <w:proofErr w:type="spellStart"/>
      <w:r w:rsidRPr="00710B6C">
        <w:rPr>
          <w:rFonts w:cs="Arial"/>
          <w:szCs w:val="20"/>
          <w:lang w:val="en-US"/>
        </w:rPr>
        <w:t>RiY</w:t>
      </w:r>
      <w:proofErr w:type="spellEnd"/>
      <w:r w:rsidRPr="00710B6C">
        <w:rPr>
          <w:rFonts w:cs="Arial"/>
          <w:szCs w:val="20"/>
          <w:lang w:val="en-US"/>
        </w:rPr>
        <w:t xml:space="preserve"> (or payoff) to scenarios as </w:t>
      </w:r>
      <w:r w:rsidR="00F32A11">
        <w:rPr>
          <w:rFonts w:cs="Arial"/>
          <w:szCs w:val="20"/>
          <w:lang w:val="en-US"/>
        </w:rPr>
        <w:t xml:space="preserve">in </w:t>
      </w:r>
      <w:r w:rsidRPr="00710B6C">
        <w:rPr>
          <w:rFonts w:cs="Arial"/>
          <w:szCs w:val="20"/>
          <w:lang w:val="en-US"/>
        </w:rPr>
        <w:t xml:space="preserve">1) and 2) </w:t>
      </w:r>
      <w:r w:rsidR="00F32A11">
        <w:rPr>
          <w:rFonts w:cs="Arial"/>
          <w:szCs w:val="20"/>
          <w:lang w:val="en-US"/>
        </w:rPr>
        <w:t xml:space="preserve">in order </w:t>
      </w:r>
      <w:r w:rsidRPr="00710B6C">
        <w:rPr>
          <w:rFonts w:cs="Arial"/>
          <w:szCs w:val="20"/>
          <w:lang w:val="en-US"/>
        </w:rPr>
        <w:t xml:space="preserve">to estimate </w:t>
      </w:r>
      <w:proofErr w:type="spellStart"/>
      <w:r w:rsidRPr="00710B6C">
        <w:rPr>
          <w:rFonts w:cs="Arial"/>
          <w:szCs w:val="20"/>
          <w:lang w:val="en-US"/>
        </w:rPr>
        <w:t>Priips</w:t>
      </w:r>
      <w:proofErr w:type="spellEnd"/>
      <w:r w:rsidRPr="00710B6C">
        <w:rPr>
          <w:rFonts w:cs="Arial"/>
          <w:szCs w:val="20"/>
          <w:lang w:val="en-US"/>
        </w:rPr>
        <w:t xml:space="preserve"> </w:t>
      </w:r>
      <w:proofErr w:type="gramStart"/>
      <w:r w:rsidRPr="00710B6C">
        <w:rPr>
          <w:rFonts w:cs="Arial"/>
          <w:szCs w:val="20"/>
          <w:lang w:val="en-US"/>
        </w:rPr>
        <w:t>ones</w:t>
      </w:r>
      <w:proofErr w:type="gramEnd"/>
      <w:r w:rsidRPr="00710B6C">
        <w:rPr>
          <w:rFonts w:cs="Arial"/>
          <w:szCs w:val="20"/>
          <w:lang w:val="en-US"/>
        </w:rPr>
        <w:t>.</w:t>
      </w:r>
    </w:p>
    <w:p w:rsidR="00A14A3B" w:rsidRPr="00A14A3B" w:rsidRDefault="00A14A3B" w:rsidP="00A14A3B">
      <w:pPr>
        <w:jc w:val="both"/>
        <w:rPr>
          <w:rFonts w:cs="Arial"/>
          <w:szCs w:val="20"/>
          <w:lang w:val="en-US"/>
        </w:rPr>
      </w:pPr>
    </w:p>
    <w:p w:rsidR="00A14A3B" w:rsidRPr="00A14A3B" w:rsidRDefault="00F32A11" w:rsidP="00A14A3B">
      <w:pPr>
        <w:jc w:val="both"/>
        <w:rPr>
          <w:rFonts w:cs="Arial"/>
          <w:szCs w:val="20"/>
          <w:lang w:val="en-US"/>
        </w:rPr>
      </w:pPr>
      <w:r>
        <w:rPr>
          <w:rFonts w:cs="Arial"/>
          <w:szCs w:val="20"/>
          <w:lang w:val="en-US"/>
        </w:rPr>
        <w:t xml:space="preserve">On </w:t>
      </w:r>
      <w:r w:rsidR="00A14A3B" w:rsidRPr="00A14A3B">
        <w:rPr>
          <w:rFonts w:cs="Arial"/>
          <w:szCs w:val="20"/>
          <w:lang w:val="en-US"/>
        </w:rPr>
        <w:t xml:space="preserve">point 1), </w:t>
      </w:r>
      <w:r>
        <w:rPr>
          <w:rFonts w:cs="Arial"/>
          <w:szCs w:val="20"/>
          <w:lang w:val="en-US"/>
        </w:rPr>
        <w:t xml:space="preserve">if you wish Draft RTS to be </w:t>
      </w:r>
      <w:r w:rsidR="00A77ED3">
        <w:rPr>
          <w:rFonts w:cs="Arial"/>
          <w:szCs w:val="20"/>
          <w:lang w:val="en-US"/>
        </w:rPr>
        <w:t>conservative,</w:t>
      </w:r>
      <w:r>
        <w:rPr>
          <w:rFonts w:cs="Arial"/>
          <w:szCs w:val="20"/>
          <w:lang w:val="en-US"/>
        </w:rPr>
        <w:t xml:space="preserve"> you could opt for </w:t>
      </w:r>
      <w:r w:rsidR="00A14A3B" w:rsidRPr="00A14A3B">
        <w:rPr>
          <w:rFonts w:cs="Arial"/>
          <w:szCs w:val="20"/>
          <w:lang w:val="en-US"/>
        </w:rPr>
        <w:t>a lower/higher percentile. On point 2), in accordance with ESMA</w:t>
      </w:r>
      <w:r>
        <w:rPr>
          <w:rFonts w:cs="Arial"/>
          <w:szCs w:val="20"/>
          <w:lang w:val="en-US"/>
        </w:rPr>
        <w:t>’s</w:t>
      </w:r>
      <w:r w:rsidR="00A14A3B" w:rsidRPr="00A14A3B">
        <w:rPr>
          <w:rFonts w:cs="Arial"/>
          <w:szCs w:val="20"/>
          <w:lang w:val="en-US"/>
        </w:rPr>
        <w:t xml:space="preserve"> advice, </w:t>
      </w:r>
      <w:r>
        <w:rPr>
          <w:rFonts w:cs="Arial"/>
          <w:szCs w:val="20"/>
          <w:lang w:val="en-US"/>
        </w:rPr>
        <w:t xml:space="preserve">a </w:t>
      </w:r>
      <w:r w:rsidR="00A14A3B" w:rsidRPr="00A14A3B">
        <w:rPr>
          <w:rFonts w:cs="Arial"/>
          <w:szCs w:val="20"/>
          <w:lang w:val="en-US"/>
        </w:rPr>
        <w:t xml:space="preserve">central scenario should be a “no return” scenario, so the bootstrapped empirical density function could be centered </w:t>
      </w:r>
      <w:proofErr w:type="gramStart"/>
      <w:r w:rsidR="00A14A3B" w:rsidRPr="00A14A3B">
        <w:rPr>
          <w:rFonts w:cs="Arial"/>
          <w:szCs w:val="20"/>
          <w:lang w:val="en-US"/>
        </w:rPr>
        <w:t>around</w:t>
      </w:r>
      <w:proofErr w:type="gramEnd"/>
      <w:r w:rsidR="00A14A3B" w:rsidRPr="00A14A3B">
        <w:rPr>
          <w:rFonts w:cs="Arial"/>
          <w:szCs w:val="20"/>
          <w:lang w:val="en-US"/>
        </w:rPr>
        <w:t xml:space="preserve"> zero. This way</w:t>
      </w:r>
      <w:r w:rsidR="00A77ED3">
        <w:rPr>
          <w:rFonts w:cs="Arial"/>
          <w:szCs w:val="20"/>
          <w:lang w:val="en-US"/>
        </w:rPr>
        <w:t>,</w:t>
      </w:r>
      <w:r w:rsidR="00A14A3B" w:rsidRPr="00A14A3B">
        <w:rPr>
          <w:rFonts w:cs="Arial"/>
          <w:szCs w:val="20"/>
          <w:lang w:val="en-US"/>
        </w:rPr>
        <w:t xml:space="preserve"> drift (mean) impact </w:t>
      </w:r>
      <w:r>
        <w:rPr>
          <w:rFonts w:cs="Arial"/>
          <w:szCs w:val="20"/>
          <w:lang w:val="en-US"/>
        </w:rPr>
        <w:t xml:space="preserve">would </w:t>
      </w:r>
      <w:proofErr w:type="gramStart"/>
      <w:r>
        <w:rPr>
          <w:rFonts w:cs="Arial"/>
          <w:szCs w:val="20"/>
          <w:lang w:val="en-US"/>
        </w:rPr>
        <w:t xml:space="preserve">be </w:t>
      </w:r>
      <w:r w:rsidR="00A14A3B" w:rsidRPr="00A14A3B">
        <w:rPr>
          <w:rFonts w:cs="Arial"/>
          <w:szCs w:val="20"/>
          <w:lang w:val="en-US"/>
        </w:rPr>
        <w:t xml:space="preserve"> removed</w:t>
      </w:r>
      <w:proofErr w:type="gramEnd"/>
      <w:r w:rsidR="00A14A3B" w:rsidRPr="00A14A3B">
        <w:rPr>
          <w:rFonts w:cs="Arial"/>
          <w:szCs w:val="20"/>
          <w:lang w:val="en-US"/>
        </w:rPr>
        <w:t xml:space="preserve"> from percentile selection (remember that performance scenario, should describe </w:t>
      </w:r>
      <w:r>
        <w:rPr>
          <w:rFonts w:cs="Arial"/>
          <w:szCs w:val="20"/>
          <w:lang w:val="en-US"/>
        </w:rPr>
        <w:t xml:space="preserve">a </w:t>
      </w:r>
      <w:r w:rsidR="00A14A3B" w:rsidRPr="00A14A3B">
        <w:rPr>
          <w:rFonts w:cs="Arial"/>
          <w:szCs w:val="20"/>
          <w:lang w:val="en-US"/>
        </w:rPr>
        <w:t xml:space="preserve">product in </w:t>
      </w:r>
      <w:r>
        <w:rPr>
          <w:rFonts w:cs="Arial"/>
          <w:szCs w:val="20"/>
          <w:lang w:val="en-US"/>
        </w:rPr>
        <w:t xml:space="preserve">a given </w:t>
      </w:r>
      <w:r w:rsidR="00A14A3B" w:rsidRPr="00A14A3B">
        <w:rPr>
          <w:rFonts w:cs="Arial"/>
          <w:szCs w:val="20"/>
          <w:lang w:val="en-US"/>
        </w:rPr>
        <w:t xml:space="preserve">scenario and </w:t>
      </w:r>
      <w:r>
        <w:rPr>
          <w:rFonts w:cs="Arial"/>
          <w:szCs w:val="20"/>
          <w:lang w:val="en-US"/>
        </w:rPr>
        <w:t xml:space="preserve">be </w:t>
      </w:r>
      <w:r w:rsidR="00A14A3B" w:rsidRPr="00A14A3B">
        <w:rPr>
          <w:rFonts w:cs="Arial"/>
          <w:szCs w:val="20"/>
          <w:lang w:val="en-US"/>
        </w:rPr>
        <w:t xml:space="preserve">not a view of the future). Alternatively, </w:t>
      </w:r>
      <w:r w:rsidR="00443F73">
        <w:rPr>
          <w:rFonts w:cs="Arial"/>
          <w:szCs w:val="20"/>
          <w:lang w:val="en-US"/>
        </w:rPr>
        <w:t xml:space="preserve">you </w:t>
      </w:r>
      <w:r w:rsidR="00A14A3B" w:rsidRPr="00A14A3B">
        <w:rPr>
          <w:rFonts w:cs="Arial"/>
          <w:szCs w:val="20"/>
          <w:lang w:val="en-US"/>
        </w:rPr>
        <w:t>could maintain risk free drift as described in the document.</w:t>
      </w:r>
    </w:p>
    <w:p w:rsidR="00A14A3B" w:rsidRDefault="00A14A3B" w:rsidP="00A14A3B">
      <w:pPr>
        <w:jc w:val="both"/>
        <w:rPr>
          <w:rFonts w:cs="Arial"/>
          <w:szCs w:val="20"/>
          <w:lang w:val="en-US"/>
        </w:rPr>
      </w:pPr>
    </w:p>
    <w:p w:rsidR="00A14A3B" w:rsidRDefault="00443F73" w:rsidP="00A14A3B">
      <w:pPr>
        <w:jc w:val="both"/>
        <w:rPr>
          <w:rFonts w:cs="Arial"/>
          <w:szCs w:val="20"/>
          <w:lang w:val="en-US"/>
        </w:rPr>
      </w:pPr>
      <w:r>
        <w:rPr>
          <w:rFonts w:cs="Arial"/>
          <w:szCs w:val="20"/>
          <w:lang w:val="en-US"/>
        </w:rPr>
        <w:t>As emphasized, w</w:t>
      </w:r>
      <w:r w:rsidR="00A14A3B">
        <w:rPr>
          <w:rFonts w:cs="Arial"/>
          <w:szCs w:val="20"/>
          <w:lang w:val="en-US"/>
        </w:rPr>
        <w:t xml:space="preserve">hen </w:t>
      </w:r>
      <w:r>
        <w:rPr>
          <w:rFonts w:cs="Arial"/>
          <w:szCs w:val="20"/>
          <w:lang w:val="en-US"/>
        </w:rPr>
        <w:t xml:space="preserve">you are </w:t>
      </w:r>
      <w:r w:rsidR="00A14A3B">
        <w:rPr>
          <w:rFonts w:cs="Arial"/>
          <w:szCs w:val="20"/>
          <w:lang w:val="en-US"/>
        </w:rPr>
        <w:t>deal</w:t>
      </w:r>
      <w:r w:rsidR="00A77ED3">
        <w:rPr>
          <w:rFonts w:cs="Arial"/>
          <w:szCs w:val="20"/>
          <w:lang w:val="en-US"/>
        </w:rPr>
        <w:t>ing</w:t>
      </w:r>
      <w:r w:rsidR="00A14A3B">
        <w:rPr>
          <w:rFonts w:cs="Arial"/>
          <w:szCs w:val="20"/>
          <w:lang w:val="en-US"/>
        </w:rPr>
        <w:t xml:space="preserve"> with a basket</w:t>
      </w:r>
      <w:r w:rsidR="00A77ED3">
        <w:rPr>
          <w:rFonts w:cs="Arial"/>
          <w:szCs w:val="20"/>
          <w:lang w:val="en-US"/>
        </w:rPr>
        <w:t>,</w:t>
      </w:r>
      <w:r w:rsidR="00A14A3B">
        <w:rPr>
          <w:rFonts w:cs="Arial"/>
          <w:szCs w:val="20"/>
          <w:lang w:val="en-US"/>
        </w:rPr>
        <w:t xml:space="preserve"> </w:t>
      </w:r>
      <w:r>
        <w:rPr>
          <w:rFonts w:cs="Arial"/>
          <w:szCs w:val="20"/>
          <w:lang w:val="en-US"/>
        </w:rPr>
        <w:t xml:space="preserve">you </w:t>
      </w:r>
      <w:r w:rsidR="00A14A3B">
        <w:rPr>
          <w:rFonts w:cs="Arial"/>
          <w:szCs w:val="20"/>
          <w:lang w:val="en-US"/>
        </w:rPr>
        <w:t xml:space="preserve">should work at basket level to fix scenarios (and </w:t>
      </w:r>
      <w:r w:rsidR="004E31BA">
        <w:rPr>
          <w:rFonts w:cs="Arial"/>
          <w:szCs w:val="20"/>
          <w:lang w:val="en-US"/>
        </w:rPr>
        <w:t>to perform</w:t>
      </w:r>
      <w:r w:rsidR="00A14A3B">
        <w:rPr>
          <w:rFonts w:cs="Arial"/>
          <w:szCs w:val="20"/>
          <w:lang w:val="en-US"/>
        </w:rPr>
        <w:t xml:space="preserve"> </w:t>
      </w:r>
      <w:r w:rsidR="00A77ED3">
        <w:rPr>
          <w:rFonts w:cs="Arial"/>
          <w:szCs w:val="20"/>
          <w:lang w:val="en-US"/>
        </w:rPr>
        <w:t xml:space="preserve">a </w:t>
      </w:r>
      <w:r w:rsidR="00A14A3B">
        <w:rPr>
          <w:rFonts w:cs="Arial"/>
          <w:szCs w:val="20"/>
          <w:lang w:val="en-US"/>
        </w:rPr>
        <w:t xml:space="preserve">simulation). Alternatively, you could define a </w:t>
      </w:r>
      <w:r w:rsidR="00C0313C">
        <w:rPr>
          <w:rFonts w:cs="Arial"/>
          <w:szCs w:val="20"/>
          <w:lang w:val="en-US"/>
        </w:rPr>
        <w:t>hierarchy</w:t>
      </w:r>
      <w:r w:rsidR="00A14A3B">
        <w:rPr>
          <w:rFonts w:cs="Arial"/>
          <w:szCs w:val="20"/>
          <w:lang w:val="en-US"/>
        </w:rPr>
        <w:t xml:space="preserve"> between drivers based on </w:t>
      </w:r>
      <w:r w:rsidR="004E31BA">
        <w:rPr>
          <w:rFonts w:cs="Arial"/>
          <w:szCs w:val="20"/>
          <w:lang w:val="en-US"/>
        </w:rPr>
        <w:t xml:space="preserve">the </w:t>
      </w:r>
      <w:r w:rsidR="00A14A3B">
        <w:rPr>
          <w:rFonts w:cs="Arial"/>
          <w:szCs w:val="20"/>
          <w:lang w:val="en-US"/>
        </w:rPr>
        <w:t xml:space="preserve">volatility level, for example. Scenarios for factors other than the selected </w:t>
      </w:r>
      <w:proofErr w:type="gramStart"/>
      <w:r w:rsidR="00A14A3B">
        <w:rPr>
          <w:rFonts w:cs="Arial"/>
          <w:szCs w:val="20"/>
          <w:lang w:val="en-US"/>
        </w:rPr>
        <w:t>one,</w:t>
      </w:r>
      <w:proofErr w:type="gramEnd"/>
      <w:r w:rsidR="00A14A3B">
        <w:rPr>
          <w:rFonts w:cs="Arial"/>
          <w:szCs w:val="20"/>
          <w:lang w:val="en-US"/>
        </w:rPr>
        <w:t xml:space="preserve"> will be derived </w:t>
      </w:r>
      <w:r w:rsidR="004E31BA">
        <w:rPr>
          <w:rFonts w:cs="Arial"/>
          <w:szCs w:val="20"/>
          <w:lang w:val="en-US"/>
        </w:rPr>
        <w:t>as a result</w:t>
      </w:r>
      <w:r w:rsidR="00A14A3B">
        <w:rPr>
          <w:rFonts w:cs="Arial"/>
          <w:szCs w:val="20"/>
          <w:lang w:val="en-US"/>
        </w:rPr>
        <w:t xml:space="preserve">. They </w:t>
      </w:r>
      <w:proofErr w:type="gramStart"/>
      <w:r w:rsidR="00A14A3B">
        <w:rPr>
          <w:rFonts w:cs="Arial"/>
          <w:szCs w:val="20"/>
          <w:lang w:val="en-US"/>
        </w:rPr>
        <w:t>wi</w:t>
      </w:r>
      <w:r w:rsidR="00C0313C">
        <w:rPr>
          <w:rFonts w:cs="Arial"/>
          <w:szCs w:val="20"/>
          <w:lang w:val="en-US"/>
        </w:rPr>
        <w:t>l</w:t>
      </w:r>
      <w:r w:rsidR="00EE2FB8">
        <w:rPr>
          <w:rFonts w:cs="Arial"/>
          <w:szCs w:val="20"/>
          <w:lang w:val="en-US"/>
        </w:rPr>
        <w:t xml:space="preserve">l </w:t>
      </w:r>
      <w:r w:rsidR="00A14A3B">
        <w:rPr>
          <w:rFonts w:cs="Arial"/>
          <w:szCs w:val="20"/>
          <w:lang w:val="en-US"/>
        </w:rPr>
        <w:t xml:space="preserve"> </w:t>
      </w:r>
      <w:r w:rsidR="00EE2FB8">
        <w:rPr>
          <w:rFonts w:cs="Arial"/>
          <w:szCs w:val="20"/>
          <w:lang w:val="en-US"/>
        </w:rPr>
        <w:t>be</w:t>
      </w:r>
      <w:proofErr w:type="gramEnd"/>
      <w:r w:rsidR="00EE2FB8">
        <w:rPr>
          <w:rFonts w:cs="Arial"/>
          <w:szCs w:val="20"/>
          <w:lang w:val="en-US"/>
        </w:rPr>
        <w:t xml:space="preserve"> </w:t>
      </w:r>
      <w:r w:rsidR="00A14A3B">
        <w:rPr>
          <w:rFonts w:cs="Arial"/>
          <w:szCs w:val="20"/>
          <w:lang w:val="en-US"/>
        </w:rPr>
        <w:t>jointly simulated</w:t>
      </w:r>
      <w:r w:rsidR="00EE2FB8">
        <w:rPr>
          <w:rFonts w:cs="Arial"/>
          <w:szCs w:val="20"/>
          <w:lang w:val="en-US"/>
        </w:rPr>
        <w:t xml:space="preserve"> scenarios keeping </w:t>
      </w:r>
      <w:r w:rsidR="00A14A3B">
        <w:rPr>
          <w:rFonts w:cs="Arial"/>
          <w:szCs w:val="20"/>
          <w:lang w:val="en-US"/>
        </w:rPr>
        <w:t>with the percentile identified for the driver and estimated via multivariate bootstrapping simulation</w:t>
      </w:r>
      <w:r w:rsidR="00EE2FB8">
        <w:rPr>
          <w:rFonts w:cs="Arial"/>
          <w:szCs w:val="20"/>
          <w:lang w:val="en-US"/>
        </w:rPr>
        <w:t>s</w:t>
      </w:r>
      <w:r w:rsidR="00A14A3B">
        <w:rPr>
          <w:rFonts w:cs="Arial"/>
          <w:szCs w:val="20"/>
          <w:lang w:val="en-US"/>
        </w:rPr>
        <w:t>.</w:t>
      </w:r>
    </w:p>
    <w:p w:rsidR="00A14A3B" w:rsidRDefault="00A14A3B" w:rsidP="00A14A3B">
      <w:pPr>
        <w:jc w:val="both"/>
        <w:rPr>
          <w:rFonts w:cs="Arial"/>
          <w:szCs w:val="20"/>
          <w:lang w:val="en-US"/>
        </w:rPr>
      </w:pPr>
    </w:p>
    <w:p w:rsidR="00A14A3B" w:rsidRPr="001933AA" w:rsidRDefault="00A14A3B" w:rsidP="00A14A3B">
      <w:pPr>
        <w:jc w:val="both"/>
        <w:rPr>
          <w:rFonts w:cs="Arial"/>
          <w:szCs w:val="20"/>
          <w:lang w:val="en-US"/>
        </w:rPr>
      </w:pPr>
    </w:p>
    <w:p w:rsidR="00A14A3B" w:rsidRPr="008542F3" w:rsidRDefault="00A14A3B" w:rsidP="00A14A3B">
      <w:pPr>
        <w:jc w:val="both"/>
        <w:rPr>
          <w:rFonts w:cs="Arial"/>
          <w:b/>
          <w:szCs w:val="20"/>
          <w:lang w:val="en-US"/>
        </w:rPr>
      </w:pPr>
      <w:r w:rsidRPr="008542F3">
        <w:rPr>
          <w:rFonts w:cs="Arial"/>
          <w:b/>
          <w:szCs w:val="20"/>
          <w:lang w:val="en-US"/>
        </w:rPr>
        <w:t>This approach suggest</w:t>
      </w:r>
      <w:r w:rsidR="00EE2FB8">
        <w:rPr>
          <w:rFonts w:cs="Arial"/>
          <w:b/>
          <w:szCs w:val="20"/>
          <w:lang w:val="en-US"/>
        </w:rPr>
        <w:t>s</w:t>
      </w:r>
      <w:r w:rsidRPr="008542F3">
        <w:rPr>
          <w:rFonts w:cs="Arial"/>
          <w:b/>
          <w:szCs w:val="20"/>
          <w:lang w:val="en-US"/>
        </w:rPr>
        <w:t xml:space="preserve"> bootstrapping as a general method</w:t>
      </w:r>
      <w:r w:rsidR="00EE2FB8">
        <w:rPr>
          <w:rFonts w:cs="Arial"/>
          <w:b/>
          <w:szCs w:val="20"/>
          <w:lang w:val="en-US"/>
        </w:rPr>
        <w:t xml:space="preserve"> </w:t>
      </w:r>
      <w:r w:rsidRPr="008542F3">
        <w:rPr>
          <w:rFonts w:cs="Arial"/>
          <w:b/>
          <w:szCs w:val="20"/>
          <w:lang w:val="en-US"/>
        </w:rPr>
        <w:t>to determine performance scenarios.</w:t>
      </w:r>
    </w:p>
    <w:p w:rsidR="00EC1746" w:rsidRDefault="00EC1746" w:rsidP="00C90B16"/>
    <w:p w:rsidR="00710B6C" w:rsidRDefault="00710B6C" w:rsidP="00C90B16"/>
    <w:p w:rsidR="00710B6C" w:rsidRPr="00710B6C" w:rsidRDefault="00710B6C" w:rsidP="00C3542E">
      <w:pPr>
        <w:pStyle w:val="Paragrafoelenco"/>
        <w:numPr>
          <w:ilvl w:val="0"/>
          <w:numId w:val="42"/>
        </w:numPr>
        <w:jc w:val="both"/>
        <w:rPr>
          <w:rFonts w:cs="Arial"/>
          <w:b/>
          <w:szCs w:val="20"/>
          <w:lang w:val="en-US"/>
        </w:rPr>
      </w:pPr>
      <w:r w:rsidRPr="00710B6C">
        <w:rPr>
          <w:rFonts w:cs="Arial"/>
          <w:b/>
          <w:szCs w:val="20"/>
          <w:lang w:val="en-US"/>
        </w:rPr>
        <w:t>Clarifications regarding products to be considered being offered in a continuous manner</w:t>
      </w:r>
    </w:p>
    <w:p w:rsidR="00710B6C" w:rsidRPr="008542F3" w:rsidRDefault="00710B6C" w:rsidP="00710B6C">
      <w:pPr>
        <w:jc w:val="both"/>
        <w:rPr>
          <w:rFonts w:cs="Arial"/>
          <w:szCs w:val="20"/>
          <w:lang w:val="en-US"/>
        </w:rPr>
      </w:pPr>
    </w:p>
    <w:p w:rsidR="00710B6C" w:rsidRPr="008542F3" w:rsidRDefault="00710B6C" w:rsidP="00710B6C">
      <w:pPr>
        <w:jc w:val="both"/>
        <w:rPr>
          <w:rFonts w:cs="Arial"/>
          <w:szCs w:val="20"/>
          <w:lang w:val="en-US"/>
        </w:rPr>
      </w:pPr>
      <w:r w:rsidRPr="008542F3">
        <w:rPr>
          <w:rFonts w:cs="Arial"/>
          <w:szCs w:val="20"/>
          <w:lang w:val="en-US"/>
        </w:rPr>
        <w:lastRenderedPageBreak/>
        <w:t xml:space="preserve">It is necessary to confirm and clarify whether products considered </w:t>
      </w:r>
      <w:r w:rsidR="00EE2FB8">
        <w:rPr>
          <w:rFonts w:cs="Arial"/>
          <w:szCs w:val="20"/>
          <w:lang w:val="en-US"/>
        </w:rPr>
        <w:t xml:space="preserve">as </w:t>
      </w:r>
      <w:r w:rsidRPr="008542F3">
        <w:rPr>
          <w:rFonts w:cs="Arial"/>
          <w:szCs w:val="20"/>
          <w:lang w:val="en-US"/>
        </w:rPr>
        <w:t xml:space="preserve">being offered in a continuous manner include products (such as bonds and certificates) characterized by a limited offer time and </w:t>
      </w:r>
      <w:r w:rsidR="00EE2FB8">
        <w:rPr>
          <w:rFonts w:cs="Arial"/>
          <w:szCs w:val="20"/>
          <w:lang w:val="en-US"/>
        </w:rPr>
        <w:t xml:space="preserve">subsequently </w:t>
      </w:r>
      <w:r w:rsidRPr="008542F3">
        <w:rPr>
          <w:rFonts w:cs="Arial"/>
          <w:szCs w:val="20"/>
          <w:lang w:val="en-US"/>
        </w:rPr>
        <w:t xml:space="preserve">traded on the secondary markets. </w:t>
      </w:r>
      <w:proofErr w:type="gramStart"/>
      <w:r w:rsidR="00EE2FB8">
        <w:rPr>
          <w:rFonts w:cs="Arial"/>
          <w:szCs w:val="20"/>
          <w:lang w:val="en-US"/>
        </w:rPr>
        <w:t xml:space="preserve">It is our </w:t>
      </w:r>
      <w:r w:rsidRPr="008542F3">
        <w:rPr>
          <w:rFonts w:cs="Arial"/>
          <w:szCs w:val="20"/>
          <w:lang w:val="en-US"/>
        </w:rPr>
        <w:t>understand</w:t>
      </w:r>
      <w:r w:rsidR="00EE2FB8">
        <w:rPr>
          <w:rFonts w:cs="Arial"/>
          <w:szCs w:val="20"/>
          <w:lang w:val="en-US"/>
        </w:rPr>
        <w:t>ing</w:t>
      </w:r>
      <w:r w:rsidRPr="008542F3">
        <w:rPr>
          <w:rFonts w:cs="Arial"/>
          <w:szCs w:val="20"/>
          <w:lang w:val="en-US"/>
        </w:rPr>
        <w:t xml:space="preserve"> that Recital 20 of the Draft RTS is intended to cover this point </w:t>
      </w:r>
      <w:r w:rsidR="00EE2FB8">
        <w:rPr>
          <w:rFonts w:cs="Arial"/>
          <w:szCs w:val="20"/>
          <w:lang w:val="en-US"/>
        </w:rPr>
        <w:t xml:space="preserve">in the part </w:t>
      </w:r>
      <w:r w:rsidRPr="008542F3">
        <w:rPr>
          <w:rFonts w:cs="Arial"/>
          <w:szCs w:val="20"/>
          <w:lang w:val="en-US"/>
        </w:rPr>
        <w:t>where it states “Where a PRIIP is not currently available for retail investors, the continued review and revision of the key information document for that PRIIP would be disproportionate, however a review and revision of the key information document should be undertaken if such a PRIIP is to become available to retail investors again.</w:t>
      </w:r>
      <w:proofErr w:type="gramEnd"/>
      <w:r w:rsidRPr="008542F3">
        <w:rPr>
          <w:rFonts w:cs="Arial"/>
          <w:szCs w:val="20"/>
          <w:lang w:val="en-US"/>
        </w:rPr>
        <w:t xml:space="preserve"> The trading of a PRIIP on a secondary market however would not exempt the PRIIP manufacturer from the obligation to continue to review and revise the key information document for that PRIIP”.  </w:t>
      </w:r>
    </w:p>
    <w:p w:rsidR="00710B6C" w:rsidRPr="008542F3" w:rsidRDefault="00710B6C" w:rsidP="00710B6C">
      <w:pPr>
        <w:jc w:val="both"/>
        <w:rPr>
          <w:rFonts w:cs="Arial"/>
          <w:szCs w:val="20"/>
          <w:lang w:val="en-US"/>
        </w:rPr>
      </w:pPr>
    </w:p>
    <w:p w:rsidR="00710B6C" w:rsidRPr="008542F3" w:rsidRDefault="00710B6C" w:rsidP="00710B6C">
      <w:pPr>
        <w:jc w:val="both"/>
        <w:rPr>
          <w:rFonts w:cs="Arial"/>
          <w:szCs w:val="20"/>
          <w:lang w:val="en-US"/>
        </w:rPr>
      </w:pPr>
      <w:proofErr w:type="gramStart"/>
      <w:r w:rsidRPr="008542F3">
        <w:rPr>
          <w:rFonts w:cs="Arial"/>
          <w:szCs w:val="20"/>
          <w:lang w:val="en-US"/>
        </w:rPr>
        <w:t>But</w:t>
      </w:r>
      <w:proofErr w:type="gramEnd"/>
      <w:r w:rsidRPr="008542F3">
        <w:rPr>
          <w:rFonts w:cs="Arial"/>
          <w:szCs w:val="20"/>
          <w:lang w:val="en-US"/>
        </w:rPr>
        <w:t xml:space="preserve"> we believe </w:t>
      </w:r>
      <w:r w:rsidR="00EE2FB8">
        <w:rPr>
          <w:rFonts w:cs="Arial"/>
          <w:szCs w:val="20"/>
          <w:lang w:val="en-US"/>
        </w:rPr>
        <w:t xml:space="preserve">might </w:t>
      </w:r>
      <w:r w:rsidRPr="008542F3">
        <w:rPr>
          <w:rFonts w:cs="Arial"/>
          <w:szCs w:val="20"/>
          <w:lang w:val="en-US"/>
        </w:rPr>
        <w:t>be clearer to recall the content</w:t>
      </w:r>
      <w:r w:rsidR="00EE2FB8">
        <w:rPr>
          <w:rFonts w:cs="Arial"/>
          <w:szCs w:val="20"/>
          <w:lang w:val="en-US"/>
        </w:rPr>
        <w:t>s</w:t>
      </w:r>
      <w:r w:rsidRPr="008542F3">
        <w:rPr>
          <w:rFonts w:cs="Arial"/>
          <w:szCs w:val="20"/>
          <w:lang w:val="en-US"/>
        </w:rPr>
        <w:t xml:space="preserve"> of Recital 20 within Article 20 of the Draft RTS </w:t>
      </w:r>
      <w:r w:rsidR="00EE2FB8">
        <w:rPr>
          <w:rFonts w:cs="Arial"/>
          <w:szCs w:val="20"/>
          <w:lang w:val="en-US"/>
        </w:rPr>
        <w:t>so as to quash</w:t>
      </w:r>
      <w:r w:rsidRPr="008542F3">
        <w:rPr>
          <w:rFonts w:cs="Arial"/>
          <w:szCs w:val="20"/>
          <w:lang w:val="en-US"/>
        </w:rPr>
        <w:t xml:space="preserve"> any doubts </w:t>
      </w:r>
      <w:r w:rsidR="00EE2FB8">
        <w:rPr>
          <w:rFonts w:cs="Arial"/>
          <w:szCs w:val="20"/>
          <w:lang w:val="en-US"/>
        </w:rPr>
        <w:t xml:space="preserve">on </w:t>
      </w:r>
      <w:r w:rsidRPr="008542F3">
        <w:rPr>
          <w:rFonts w:cs="Arial"/>
          <w:szCs w:val="20"/>
          <w:lang w:val="en-US"/>
        </w:rPr>
        <w:t xml:space="preserve">the circumstances in which PRIIPS are considered to be offered in a continuous manner. </w:t>
      </w:r>
    </w:p>
    <w:p w:rsidR="00710B6C" w:rsidRPr="008542F3" w:rsidRDefault="00710B6C" w:rsidP="00710B6C">
      <w:pPr>
        <w:jc w:val="both"/>
        <w:rPr>
          <w:rFonts w:cs="Arial"/>
          <w:szCs w:val="20"/>
          <w:lang w:val="en-US"/>
        </w:rPr>
      </w:pPr>
    </w:p>
    <w:p w:rsidR="00710B6C" w:rsidRDefault="00710B6C" w:rsidP="00C90B16"/>
    <w:p w:rsidR="00D96DF7" w:rsidRPr="00D50057" w:rsidRDefault="00D96DF7" w:rsidP="00C3542E">
      <w:pPr>
        <w:pStyle w:val="Paragrafoelenco"/>
        <w:numPr>
          <w:ilvl w:val="0"/>
          <w:numId w:val="42"/>
        </w:numPr>
        <w:jc w:val="both"/>
        <w:rPr>
          <w:rFonts w:cs="Arial"/>
          <w:b/>
          <w:szCs w:val="20"/>
          <w:lang w:val="en-US"/>
        </w:rPr>
      </w:pPr>
      <w:r w:rsidRPr="00D50057">
        <w:rPr>
          <w:rFonts w:cs="Arial"/>
          <w:b/>
          <w:szCs w:val="20"/>
          <w:lang w:val="en-US"/>
        </w:rPr>
        <w:t>Comments on the calculation of implicit costs of PRIIPs other than investment funds</w:t>
      </w:r>
    </w:p>
    <w:p w:rsidR="00D96DF7" w:rsidRPr="008542F3" w:rsidRDefault="00D96DF7" w:rsidP="00D96DF7">
      <w:pPr>
        <w:jc w:val="both"/>
        <w:rPr>
          <w:rFonts w:cs="Arial"/>
          <w:szCs w:val="20"/>
          <w:lang w:val="en-US"/>
        </w:rPr>
      </w:pPr>
    </w:p>
    <w:p w:rsidR="00D96DF7" w:rsidRPr="008542F3" w:rsidRDefault="00EE2FB8" w:rsidP="00D96DF7">
      <w:pPr>
        <w:jc w:val="both"/>
        <w:rPr>
          <w:rFonts w:cs="Arial"/>
          <w:szCs w:val="20"/>
          <w:lang w:val="en-US"/>
        </w:rPr>
      </w:pPr>
      <w:r>
        <w:rPr>
          <w:rFonts w:cs="Arial"/>
          <w:szCs w:val="20"/>
          <w:lang w:val="en-US"/>
        </w:rPr>
        <w:t>It is our duty</w:t>
      </w:r>
      <w:r w:rsidR="00D96DF7" w:rsidRPr="008542F3">
        <w:rPr>
          <w:rFonts w:cs="Arial"/>
          <w:szCs w:val="20"/>
          <w:lang w:val="en-US"/>
        </w:rPr>
        <w:t xml:space="preserve"> </w:t>
      </w:r>
      <w:r w:rsidR="00C3542E">
        <w:rPr>
          <w:rFonts w:cs="Arial"/>
          <w:szCs w:val="20"/>
          <w:lang w:val="en-US"/>
        </w:rPr>
        <w:t xml:space="preserve">to </w:t>
      </w:r>
      <w:r>
        <w:rPr>
          <w:rFonts w:cs="Arial"/>
          <w:szCs w:val="20"/>
          <w:lang w:val="en-US"/>
        </w:rPr>
        <w:t>voice</w:t>
      </w:r>
      <w:r w:rsidR="00D96DF7" w:rsidRPr="008542F3">
        <w:rPr>
          <w:rFonts w:cs="Arial"/>
          <w:szCs w:val="20"/>
          <w:lang w:val="en-US"/>
        </w:rPr>
        <w:t xml:space="preserve"> our concern </w:t>
      </w:r>
      <w:r>
        <w:rPr>
          <w:rFonts w:cs="Arial"/>
          <w:szCs w:val="20"/>
          <w:lang w:val="en-US"/>
        </w:rPr>
        <w:t xml:space="preserve">on </w:t>
      </w:r>
      <w:r w:rsidR="00D96DF7" w:rsidRPr="008542F3">
        <w:rPr>
          <w:rFonts w:cs="Arial"/>
          <w:szCs w:val="20"/>
          <w:lang w:val="en-US"/>
        </w:rPr>
        <w:t xml:space="preserve">the proposed methodology </w:t>
      </w:r>
      <w:r>
        <w:rPr>
          <w:rFonts w:cs="Arial"/>
          <w:szCs w:val="20"/>
          <w:lang w:val="en-US"/>
        </w:rPr>
        <w:t>for</w:t>
      </w:r>
      <w:r w:rsidR="00D96DF7" w:rsidRPr="008542F3">
        <w:rPr>
          <w:rFonts w:cs="Arial"/>
          <w:szCs w:val="20"/>
          <w:lang w:val="en-US"/>
        </w:rPr>
        <w:t xml:space="preserve"> calculat</w:t>
      </w:r>
      <w:r>
        <w:rPr>
          <w:rFonts w:cs="Arial"/>
          <w:szCs w:val="20"/>
          <w:lang w:val="en-US"/>
        </w:rPr>
        <w:t>ing</w:t>
      </w:r>
      <w:r w:rsidR="00D96DF7" w:rsidRPr="008542F3">
        <w:rPr>
          <w:rFonts w:cs="Arial"/>
          <w:szCs w:val="20"/>
          <w:lang w:val="en-US"/>
        </w:rPr>
        <w:t xml:space="preserve"> implicit costs for structured products</w:t>
      </w:r>
      <w:r>
        <w:rPr>
          <w:rFonts w:cs="Arial"/>
          <w:szCs w:val="20"/>
          <w:lang w:val="en-US"/>
        </w:rPr>
        <w:t>. Our worries stem</w:t>
      </w:r>
      <w:r w:rsidR="00D96DF7" w:rsidRPr="008542F3">
        <w:rPr>
          <w:rFonts w:cs="Arial"/>
          <w:szCs w:val="20"/>
          <w:lang w:val="en-US"/>
        </w:rPr>
        <w:t xml:space="preserve"> </w:t>
      </w:r>
      <w:r>
        <w:rPr>
          <w:rFonts w:cs="Arial"/>
          <w:szCs w:val="20"/>
          <w:lang w:val="en-US"/>
        </w:rPr>
        <w:t>from</w:t>
      </w:r>
      <w:r w:rsidR="00D96DF7" w:rsidRPr="008542F3">
        <w:rPr>
          <w:rFonts w:cs="Arial"/>
          <w:szCs w:val="20"/>
          <w:lang w:val="en-US"/>
        </w:rPr>
        <w:t xml:space="preserve"> the fact that:</w:t>
      </w:r>
    </w:p>
    <w:p w:rsidR="00D96DF7" w:rsidRPr="008542F3" w:rsidRDefault="00D96DF7" w:rsidP="00D96DF7">
      <w:pPr>
        <w:jc w:val="both"/>
        <w:rPr>
          <w:rFonts w:cs="Arial"/>
          <w:szCs w:val="20"/>
          <w:lang w:val="en-US"/>
        </w:rPr>
      </w:pPr>
    </w:p>
    <w:p w:rsidR="00D96DF7" w:rsidRPr="00C3542E" w:rsidRDefault="00D96DF7" w:rsidP="00C3542E">
      <w:pPr>
        <w:pStyle w:val="Paragrafoelenco"/>
        <w:numPr>
          <w:ilvl w:val="0"/>
          <w:numId w:val="46"/>
        </w:numPr>
        <w:jc w:val="both"/>
        <w:rPr>
          <w:rFonts w:cs="Arial"/>
          <w:szCs w:val="20"/>
          <w:lang w:val="en-US"/>
        </w:rPr>
      </w:pPr>
      <w:r w:rsidRPr="00C3542E">
        <w:rPr>
          <w:rFonts w:cs="Arial"/>
          <w:szCs w:val="20"/>
          <w:lang w:val="en-US"/>
        </w:rPr>
        <w:t xml:space="preserve">Annex VI of the Draft RTS </w:t>
      </w:r>
      <w:r w:rsidR="00EE2FB8">
        <w:rPr>
          <w:rFonts w:cs="Arial"/>
          <w:szCs w:val="20"/>
          <w:lang w:val="en-US"/>
        </w:rPr>
        <w:t xml:space="preserve">fails </w:t>
      </w:r>
      <w:proofErr w:type="gramStart"/>
      <w:r w:rsidR="00EE2FB8">
        <w:rPr>
          <w:rFonts w:cs="Arial"/>
          <w:szCs w:val="20"/>
          <w:lang w:val="en-US"/>
        </w:rPr>
        <w:t xml:space="preserve">to clearly </w:t>
      </w:r>
      <w:r w:rsidRPr="00C3542E">
        <w:rPr>
          <w:rFonts w:cs="Arial"/>
          <w:szCs w:val="20"/>
          <w:lang w:val="en-US"/>
        </w:rPr>
        <w:t>identif</w:t>
      </w:r>
      <w:r w:rsidR="00EE2FB8">
        <w:rPr>
          <w:rFonts w:cs="Arial"/>
          <w:szCs w:val="20"/>
          <w:lang w:val="en-US"/>
        </w:rPr>
        <w:t>y</w:t>
      </w:r>
      <w:proofErr w:type="gramEnd"/>
      <w:r w:rsidRPr="00C3542E">
        <w:rPr>
          <w:rFonts w:cs="Arial"/>
          <w:szCs w:val="20"/>
          <w:lang w:val="en-US"/>
        </w:rPr>
        <w:t xml:space="preserve"> fair value. </w:t>
      </w:r>
      <w:r w:rsidR="00EE2FB8">
        <w:rPr>
          <w:rFonts w:cs="Arial"/>
          <w:szCs w:val="20"/>
          <w:lang w:val="en-US"/>
        </w:rPr>
        <w:t>Such a failure is rather signif</w:t>
      </w:r>
      <w:r w:rsidRPr="00C3542E">
        <w:rPr>
          <w:rFonts w:cs="Arial"/>
          <w:szCs w:val="20"/>
          <w:lang w:val="en-US"/>
        </w:rPr>
        <w:t xml:space="preserve">icant </w:t>
      </w:r>
      <w:r w:rsidR="00EE2FB8">
        <w:rPr>
          <w:rFonts w:cs="Arial"/>
          <w:szCs w:val="20"/>
          <w:lang w:val="en-US"/>
        </w:rPr>
        <w:t xml:space="preserve">bearing in mind the fact </w:t>
      </w:r>
      <w:r w:rsidRPr="00C3542E">
        <w:rPr>
          <w:rFonts w:cs="Arial"/>
          <w:szCs w:val="20"/>
          <w:lang w:val="en-US"/>
        </w:rPr>
        <w:t xml:space="preserve">paragraph 41 a) </w:t>
      </w:r>
      <w:r w:rsidR="00EE2FB8">
        <w:rPr>
          <w:rFonts w:cs="Arial"/>
          <w:szCs w:val="20"/>
          <w:lang w:val="en-US"/>
        </w:rPr>
        <w:t xml:space="preserve">odds </w:t>
      </w:r>
      <w:r w:rsidRPr="00C3542E">
        <w:rPr>
          <w:rFonts w:cs="Arial"/>
          <w:szCs w:val="20"/>
          <w:lang w:val="en-US"/>
        </w:rPr>
        <w:t xml:space="preserve">with the </w:t>
      </w:r>
      <w:r w:rsidR="00EE2FB8">
        <w:rPr>
          <w:rFonts w:cs="Arial"/>
          <w:szCs w:val="20"/>
          <w:lang w:val="en-US"/>
        </w:rPr>
        <w:t xml:space="preserve">manufacturers’ </w:t>
      </w:r>
      <w:r w:rsidRPr="00C3542E">
        <w:rPr>
          <w:rFonts w:cs="Arial"/>
          <w:szCs w:val="20"/>
          <w:lang w:val="en-US"/>
        </w:rPr>
        <w:t xml:space="preserve">legitimate </w:t>
      </w:r>
      <w:r w:rsidR="00EE2FB8">
        <w:rPr>
          <w:rFonts w:cs="Arial"/>
          <w:szCs w:val="20"/>
          <w:lang w:val="en-US"/>
        </w:rPr>
        <w:t xml:space="preserve">right to </w:t>
      </w:r>
      <w:r w:rsidRPr="00C3542E">
        <w:rPr>
          <w:rFonts w:cs="Arial"/>
          <w:szCs w:val="20"/>
          <w:lang w:val="en-US"/>
        </w:rPr>
        <w:t>record</w:t>
      </w:r>
      <w:r w:rsidR="00EE2FB8">
        <w:rPr>
          <w:rFonts w:cs="Arial"/>
          <w:szCs w:val="20"/>
          <w:lang w:val="en-US"/>
        </w:rPr>
        <w:t xml:space="preserve"> </w:t>
      </w:r>
      <w:r w:rsidRPr="00C3542E">
        <w:rPr>
          <w:rFonts w:cs="Arial"/>
          <w:szCs w:val="20"/>
          <w:lang w:val="en-US"/>
        </w:rPr>
        <w:t xml:space="preserve"> the amortized cost instead of the fair value</w:t>
      </w:r>
      <w:r w:rsidR="00EE2FB8">
        <w:rPr>
          <w:rFonts w:cs="Arial"/>
          <w:szCs w:val="20"/>
          <w:lang w:val="en-US"/>
        </w:rPr>
        <w:t xml:space="preserve"> on their balance sheet</w:t>
      </w:r>
      <w:r w:rsidRPr="00C3542E">
        <w:rPr>
          <w:rFonts w:cs="Arial"/>
          <w:szCs w:val="20"/>
          <w:lang w:val="en-US"/>
        </w:rPr>
        <w:t>;</w:t>
      </w:r>
    </w:p>
    <w:p w:rsidR="00D96DF7" w:rsidRPr="00C3542E" w:rsidRDefault="00EE2FB8" w:rsidP="00C3542E">
      <w:pPr>
        <w:pStyle w:val="Paragrafoelenco"/>
        <w:numPr>
          <w:ilvl w:val="0"/>
          <w:numId w:val="46"/>
        </w:numPr>
        <w:jc w:val="both"/>
        <w:rPr>
          <w:rFonts w:cs="Arial"/>
          <w:szCs w:val="20"/>
          <w:lang w:val="en-US"/>
        </w:rPr>
      </w:pPr>
      <w:r>
        <w:rPr>
          <w:rFonts w:cs="Arial"/>
          <w:szCs w:val="20"/>
          <w:lang w:val="en-US"/>
        </w:rPr>
        <w:t>T</w:t>
      </w:r>
      <w:r w:rsidR="00D96DF7" w:rsidRPr="00C3542E">
        <w:rPr>
          <w:rFonts w:cs="Arial"/>
          <w:szCs w:val="20"/>
          <w:lang w:val="en-US"/>
        </w:rPr>
        <w:t xml:space="preserve">here </w:t>
      </w:r>
      <w:r>
        <w:rPr>
          <w:rFonts w:cs="Arial"/>
          <w:szCs w:val="20"/>
          <w:lang w:val="en-US"/>
        </w:rPr>
        <w:t xml:space="preserve">is </w:t>
      </w:r>
      <w:r w:rsidR="00D96DF7" w:rsidRPr="00C3542E">
        <w:rPr>
          <w:rFonts w:cs="Arial"/>
          <w:szCs w:val="20"/>
          <w:lang w:val="en-US"/>
        </w:rPr>
        <w:t>an inconsistency between paragraph 39, where the fair value is proposed as the exit price, and paragraph 41, where it is prosed as the fair value recorded by the manufacturer on its balance sheet;</w:t>
      </w:r>
    </w:p>
    <w:p w:rsidR="00D96DF7" w:rsidRPr="00C3542E" w:rsidRDefault="00271ADE" w:rsidP="00C3542E">
      <w:pPr>
        <w:pStyle w:val="Paragrafoelenco"/>
        <w:numPr>
          <w:ilvl w:val="0"/>
          <w:numId w:val="46"/>
        </w:numPr>
        <w:jc w:val="both"/>
        <w:rPr>
          <w:rFonts w:cs="Arial"/>
          <w:szCs w:val="20"/>
          <w:lang w:val="en-US"/>
        </w:rPr>
      </w:pPr>
      <w:r>
        <w:rPr>
          <w:rFonts w:cs="Arial"/>
          <w:szCs w:val="20"/>
          <w:lang w:val="en-US"/>
        </w:rPr>
        <w:t>E</w:t>
      </w:r>
      <w:r w:rsidR="00D96DF7" w:rsidRPr="00C3542E">
        <w:rPr>
          <w:rFonts w:cs="Arial"/>
          <w:szCs w:val="20"/>
          <w:lang w:val="en-US"/>
        </w:rPr>
        <w:t xml:space="preserve">ntry costs and one-off costs </w:t>
      </w:r>
      <w:r>
        <w:rPr>
          <w:rFonts w:cs="Arial"/>
          <w:szCs w:val="20"/>
          <w:lang w:val="en-US"/>
        </w:rPr>
        <w:t xml:space="preserve">and </w:t>
      </w:r>
      <w:r w:rsidR="00D96DF7" w:rsidRPr="00C3542E">
        <w:rPr>
          <w:rFonts w:cs="Arial"/>
          <w:szCs w:val="20"/>
          <w:lang w:val="en-US"/>
        </w:rPr>
        <w:t>implicit costs</w:t>
      </w:r>
      <w:r>
        <w:rPr>
          <w:rFonts w:cs="Arial"/>
          <w:szCs w:val="20"/>
          <w:lang w:val="en-US"/>
        </w:rPr>
        <w:t xml:space="preserve"> seem to be overlapping</w:t>
      </w:r>
      <w:r w:rsidR="00D96DF7" w:rsidRPr="00C3542E">
        <w:rPr>
          <w:rFonts w:cs="Arial"/>
          <w:szCs w:val="20"/>
          <w:lang w:val="en-US"/>
        </w:rPr>
        <w:t>;</w:t>
      </w:r>
    </w:p>
    <w:p w:rsidR="00D96DF7" w:rsidRPr="00C3542E" w:rsidRDefault="00271ADE" w:rsidP="00C3542E">
      <w:pPr>
        <w:pStyle w:val="Paragrafoelenco"/>
        <w:numPr>
          <w:ilvl w:val="0"/>
          <w:numId w:val="46"/>
        </w:numPr>
        <w:jc w:val="both"/>
        <w:rPr>
          <w:rFonts w:cs="Arial"/>
          <w:szCs w:val="20"/>
          <w:lang w:val="en-US"/>
        </w:rPr>
      </w:pPr>
      <w:r>
        <w:rPr>
          <w:rFonts w:cs="Arial"/>
          <w:szCs w:val="20"/>
          <w:lang w:val="en-US"/>
        </w:rPr>
        <w:t>E</w:t>
      </w:r>
      <w:r w:rsidR="00D96DF7" w:rsidRPr="00C3542E">
        <w:rPr>
          <w:rFonts w:cs="Arial"/>
          <w:szCs w:val="20"/>
          <w:lang w:val="en-US"/>
        </w:rPr>
        <w:t xml:space="preserve">xit costs seem </w:t>
      </w:r>
      <w:r>
        <w:rPr>
          <w:rFonts w:cs="Arial"/>
          <w:szCs w:val="20"/>
          <w:lang w:val="en-US"/>
        </w:rPr>
        <w:t>to come under</w:t>
      </w:r>
      <w:r w:rsidR="00D96DF7" w:rsidRPr="00C3542E">
        <w:rPr>
          <w:rFonts w:cs="Arial"/>
          <w:szCs w:val="20"/>
          <w:lang w:val="en-US"/>
        </w:rPr>
        <w:t xml:space="preserve"> the calculation of both fair value and implicit costs.</w:t>
      </w:r>
    </w:p>
    <w:p w:rsidR="00D96DF7" w:rsidRPr="008542F3" w:rsidRDefault="00D96DF7" w:rsidP="00D96DF7">
      <w:pPr>
        <w:jc w:val="both"/>
        <w:rPr>
          <w:rFonts w:cs="Arial"/>
          <w:szCs w:val="20"/>
          <w:lang w:val="en-US"/>
        </w:rPr>
      </w:pPr>
    </w:p>
    <w:p w:rsidR="00D96DF7" w:rsidRPr="008542F3" w:rsidRDefault="00D96DF7" w:rsidP="00D96DF7">
      <w:pPr>
        <w:jc w:val="both"/>
        <w:rPr>
          <w:rFonts w:cs="Arial"/>
          <w:szCs w:val="20"/>
          <w:lang w:val="en-US"/>
        </w:rPr>
      </w:pPr>
    </w:p>
    <w:p w:rsidR="00D96DF7" w:rsidRPr="00D50057" w:rsidRDefault="00D96DF7" w:rsidP="00C3542E">
      <w:pPr>
        <w:pStyle w:val="Paragrafoelenco"/>
        <w:numPr>
          <w:ilvl w:val="0"/>
          <w:numId w:val="42"/>
        </w:numPr>
        <w:jc w:val="both"/>
        <w:rPr>
          <w:rFonts w:cs="Arial"/>
          <w:b/>
          <w:szCs w:val="20"/>
          <w:lang w:val="en-US"/>
        </w:rPr>
      </w:pPr>
      <w:r w:rsidRPr="00D50057">
        <w:rPr>
          <w:rFonts w:cs="Arial"/>
          <w:b/>
          <w:szCs w:val="20"/>
          <w:lang w:val="en-US"/>
        </w:rPr>
        <w:t>List of costs of the different PRIIPS</w:t>
      </w:r>
      <w:r w:rsidR="00271ADE">
        <w:rPr>
          <w:rFonts w:cs="Arial"/>
          <w:b/>
          <w:szCs w:val="20"/>
          <w:lang w:val="en-US"/>
        </w:rPr>
        <w:t xml:space="preserve"> types</w:t>
      </w:r>
    </w:p>
    <w:p w:rsidR="00D96DF7" w:rsidRPr="008542F3" w:rsidRDefault="00D96DF7" w:rsidP="00D96DF7">
      <w:pPr>
        <w:jc w:val="both"/>
        <w:rPr>
          <w:rFonts w:cs="Arial"/>
          <w:szCs w:val="20"/>
          <w:lang w:val="en-US"/>
        </w:rPr>
      </w:pPr>
    </w:p>
    <w:p w:rsidR="00D96DF7" w:rsidRPr="008542F3" w:rsidRDefault="00D96DF7" w:rsidP="00D96DF7">
      <w:pPr>
        <w:jc w:val="both"/>
        <w:rPr>
          <w:rFonts w:cs="Arial"/>
          <w:szCs w:val="20"/>
          <w:lang w:val="en-US"/>
        </w:rPr>
      </w:pPr>
      <w:r w:rsidRPr="008542F3">
        <w:rPr>
          <w:rFonts w:cs="Arial"/>
          <w:szCs w:val="20"/>
          <w:lang w:val="en-US"/>
        </w:rPr>
        <w:t xml:space="preserve">Annex VI </w:t>
      </w:r>
      <w:r w:rsidR="00C3542E">
        <w:rPr>
          <w:rFonts w:cs="Arial"/>
          <w:szCs w:val="20"/>
          <w:lang w:val="en-US"/>
        </w:rPr>
        <w:t xml:space="preserve">of Drat RTS </w:t>
      </w:r>
      <w:r w:rsidRPr="008542F3">
        <w:rPr>
          <w:rFonts w:cs="Arial"/>
          <w:szCs w:val="20"/>
          <w:lang w:val="en-US"/>
        </w:rPr>
        <w:t xml:space="preserve">should clarify </w:t>
      </w:r>
      <w:r w:rsidR="00F22FA5">
        <w:rPr>
          <w:rFonts w:cs="Arial"/>
          <w:szCs w:val="20"/>
          <w:lang w:val="en-US"/>
        </w:rPr>
        <w:t>whether</w:t>
      </w:r>
      <w:r w:rsidRPr="008542F3">
        <w:rPr>
          <w:rFonts w:cs="Arial"/>
          <w:szCs w:val="20"/>
          <w:lang w:val="en-US"/>
        </w:rPr>
        <w:t>:</w:t>
      </w:r>
    </w:p>
    <w:p w:rsidR="00D96DF7" w:rsidRPr="008542F3" w:rsidRDefault="00D96DF7" w:rsidP="00D96DF7">
      <w:pPr>
        <w:jc w:val="both"/>
        <w:rPr>
          <w:rFonts w:cs="Arial"/>
          <w:szCs w:val="20"/>
          <w:lang w:val="en-US"/>
        </w:rPr>
      </w:pPr>
    </w:p>
    <w:p w:rsidR="00D96DF7" w:rsidRPr="00C3542E" w:rsidRDefault="00F22FA5" w:rsidP="00F22FA5">
      <w:pPr>
        <w:pStyle w:val="Paragrafoelenco"/>
        <w:numPr>
          <w:ilvl w:val="0"/>
          <w:numId w:val="46"/>
        </w:numPr>
        <w:jc w:val="both"/>
        <w:rPr>
          <w:rFonts w:cs="Arial"/>
          <w:szCs w:val="20"/>
          <w:lang w:val="en-US"/>
        </w:rPr>
      </w:pPr>
      <w:r>
        <w:rPr>
          <w:rFonts w:cs="Arial"/>
          <w:szCs w:val="20"/>
          <w:lang w:val="en-US"/>
        </w:rPr>
        <w:t>T</w:t>
      </w:r>
      <w:r w:rsidR="00D96DF7" w:rsidRPr="00C3542E">
        <w:rPr>
          <w:rFonts w:cs="Arial"/>
          <w:szCs w:val="20"/>
          <w:lang w:val="en-US"/>
        </w:rPr>
        <w:t xml:space="preserve">he proposed list of costs and charges is </w:t>
      </w:r>
      <w:r>
        <w:rPr>
          <w:rFonts w:cs="Arial"/>
          <w:szCs w:val="20"/>
          <w:lang w:val="en-US"/>
        </w:rPr>
        <w:t xml:space="preserve">meant </w:t>
      </w:r>
      <w:r w:rsidR="00D96DF7" w:rsidRPr="00C3542E">
        <w:rPr>
          <w:rFonts w:cs="Arial"/>
          <w:szCs w:val="20"/>
          <w:lang w:val="en-US"/>
        </w:rPr>
        <w:t>t</w:t>
      </w:r>
      <w:r>
        <w:rPr>
          <w:rFonts w:cs="Arial"/>
          <w:szCs w:val="20"/>
          <w:lang w:val="en-US"/>
        </w:rPr>
        <w:t>o</w:t>
      </w:r>
      <w:r w:rsidR="00D96DF7" w:rsidRPr="00C3542E">
        <w:rPr>
          <w:rFonts w:cs="Arial"/>
          <w:szCs w:val="20"/>
          <w:lang w:val="en-US"/>
        </w:rPr>
        <w:t xml:space="preserve"> be</w:t>
      </w:r>
      <w:r>
        <w:rPr>
          <w:rFonts w:cs="Arial"/>
          <w:szCs w:val="20"/>
          <w:lang w:val="en-US"/>
        </w:rPr>
        <w:t xml:space="preserve"> </w:t>
      </w:r>
      <w:r w:rsidRPr="00F22FA5">
        <w:rPr>
          <w:rFonts w:cs="Arial"/>
          <w:szCs w:val="20"/>
          <w:lang w:val="en-US"/>
        </w:rPr>
        <w:t>all-encompassing and valid with the passage of time regardless of investment product innovation</w:t>
      </w:r>
      <w:r w:rsidR="00D96DF7" w:rsidRPr="00C3542E">
        <w:rPr>
          <w:rFonts w:cs="Arial"/>
          <w:szCs w:val="20"/>
          <w:lang w:val="en-US"/>
        </w:rPr>
        <w:t>;</w:t>
      </w:r>
    </w:p>
    <w:p w:rsidR="00D96DF7" w:rsidRPr="00C3542E" w:rsidRDefault="00F22FA5" w:rsidP="00C3542E">
      <w:pPr>
        <w:pStyle w:val="Paragrafoelenco"/>
        <w:numPr>
          <w:ilvl w:val="0"/>
          <w:numId w:val="46"/>
        </w:numPr>
        <w:jc w:val="both"/>
        <w:rPr>
          <w:rFonts w:cs="Arial"/>
          <w:szCs w:val="20"/>
          <w:lang w:val="en-US"/>
        </w:rPr>
      </w:pPr>
      <w:r>
        <w:rPr>
          <w:rFonts w:cs="Arial"/>
          <w:szCs w:val="20"/>
          <w:lang w:val="en-US"/>
        </w:rPr>
        <w:t>M</w:t>
      </w:r>
      <w:r w:rsidR="00D96DF7" w:rsidRPr="00C3542E">
        <w:rPr>
          <w:rFonts w:cs="Arial"/>
          <w:szCs w:val="20"/>
          <w:lang w:val="en-US"/>
        </w:rPr>
        <w:t xml:space="preserve">anufacturers </w:t>
      </w:r>
      <w:proofErr w:type="spellStart"/>
      <w:r w:rsidR="00D96DF7" w:rsidRPr="00C3542E">
        <w:rPr>
          <w:rFonts w:cs="Arial"/>
          <w:szCs w:val="20"/>
          <w:lang w:val="en-US"/>
        </w:rPr>
        <w:t>should.</w:t>
      </w:r>
      <w:r>
        <w:rPr>
          <w:rFonts w:cs="Arial"/>
          <w:szCs w:val="20"/>
          <w:lang w:val="en-US"/>
        </w:rPr>
        <w:t>only</w:t>
      </w:r>
      <w:proofErr w:type="spellEnd"/>
      <w:r>
        <w:rPr>
          <w:rFonts w:cs="Arial"/>
          <w:szCs w:val="20"/>
          <w:lang w:val="en-US"/>
        </w:rPr>
        <w:t xml:space="preserve"> indicate </w:t>
      </w:r>
      <w:r w:rsidR="00D96DF7" w:rsidRPr="00C3542E">
        <w:rPr>
          <w:rFonts w:cs="Arial"/>
          <w:szCs w:val="20"/>
          <w:lang w:val="en-US"/>
        </w:rPr>
        <w:t xml:space="preserve">the costs and charges relevant for specific PRIIPS </w:t>
      </w:r>
      <w:r>
        <w:rPr>
          <w:rFonts w:cs="Arial"/>
          <w:szCs w:val="20"/>
          <w:lang w:val="en-US"/>
        </w:rPr>
        <w:t xml:space="preserve">in the KID </w:t>
      </w:r>
      <w:r w:rsidR="00D96DF7" w:rsidRPr="00C3542E">
        <w:rPr>
          <w:rFonts w:cs="Arial"/>
          <w:szCs w:val="20"/>
          <w:lang w:val="en-US"/>
        </w:rPr>
        <w:t xml:space="preserve">(i.e. one-off costs and exit costs are not relevant for structured Products with a fixed tenor as these costs are typical of open ended products).      </w:t>
      </w:r>
    </w:p>
    <w:p w:rsidR="00D96DF7" w:rsidRPr="008542F3" w:rsidRDefault="00D96DF7" w:rsidP="00D96DF7">
      <w:pPr>
        <w:jc w:val="both"/>
        <w:rPr>
          <w:rFonts w:cs="Arial"/>
          <w:szCs w:val="20"/>
          <w:lang w:val="en-US"/>
        </w:rPr>
      </w:pPr>
    </w:p>
    <w:p w:rsidR="00D96DF7" w:rsidRPr="00C3542E" w:rsidRDefault="00D96DF7" w:rsidP="00D96DF7">
      <w:pPr>
        <w:jc w:val="both"/>
        <w:rPr>
          <w:lang w:val="en-US"/>
        </w:rPr>
      </w:pPr>
      <w:proofErr w:type="gramStart"/>
      <w:r w:rsidRPr="00C3542E">
        <w:rPr>
          <w:lang w:val="en-US"/>
        </w:rPr>
        <w:t>Paragraph Annex VI, 36 of Explanatory text o</w:t>
      </w:r>
      <w:r w:rsidR="00F22FA5">
        <w:rPr>
          <w:lang w:val="en-US"/>
        </w:rPr>
        <w:t>n</w:t>
      </w:r>
      <w:r w:rsidRPr="00C3542E">
        <w:rPr>
          <w:lang w:val="en-US"/>
        </w:rPr>
        <w:t xml:space="preserve"> the </w:t>
      </w:r>
      <w:r w:rsidR="00F22FA5">
        <w:rPr>
          <w:lang w:val="en-US"/>
        </w:rPr>
        <w:t>D</w:t>
      </w:r>
      <w:r w:rsidRPr="00C3542E">
        <w:rPr>
          <w:lang w:val="en-US"/>
        </w:rPr>
        <w:t xml:space="preserve">raft RTS reads that only the amount captured by the manufacturer should be </w:t>
      </w:r>
      <w:r w:rsidR="00F22FA5">
        <w:rPr>
          <w:lang w:val="en-US"/>
        </w:rPr>
        <w:t xml:space="preserve">included </w:t>
      </w:r>
      <w:r w:rsidRPr="00C3542E">
        <w:rPr>
          <w:lang w:val="en-US"/>
        </w:rPr>
        <w:t xml:space="preserve">in the Entry </w:t>
      </w:r>
      <w:proofErr w:type="spellStart"/>
      <w:r w:rsidRPr="00C3542E">
        <w:rPr>
          <w:lang w:val="en-US"/>
        </w:rPr>
        <w:t>costs.Why</w:t>
      </w:r>
      <w:proofErr w:type="spellEnd"/>
      <w:r w:rsidRPr="00C3542E">
        <w:rPr>
          <w:lang w:val="en-US"/>
        </w:rPr>
        <w:t xml:space="preserve"> then in paragraph 32 of </w:t>
      </w:r>
      <w:r w:rsidR="00F22FA5">
        <w:rPr>
          <w:lang w:val="en-US"/>
        </w:rPr>
        <w:t>A</w:t>
      </w:r>
      <w:r w:rsidRPr="00C3542E">
        <w:rPr>
          <w:lang w:val="en-US"/>
        </w:rPr>
        <w:t xml:space="preserve">nnex VI </w:t>
      </w:r>
      <w:r w:rsidR="00F22FA5" w:rsidRPr="00F22FA5">
        <w:rPr>
          <w:lang w:val="en-US"/>
        </w:rPr>
        <w:t xml:space="preserve">does it read that </w:t>
      </w:r>
      <w:r w:rsidRPr="00C3542E">
        <w:rPr>
          <w:lang w:val="en-US"/>
        </w:rPr>
        <w:t>hedging costs,</w:t>
      </w:r>
      <w:r w:rsidR="00F22FA5">
        <w:rPr>
          <w:lang w:val="en-US"/>
        </w:rPr>
        <w:t xml:space="preserve"> that </w:t>
      </w:r>
      <w:r w:rsidRPr="00C3542E">
        <w:rPr>
          <w:lang w:val="en-US"/>
        </w:rPr>
        <w:t xml:space="preserve">“ensure that the manufacturer can replicate the performance of the derivative component”, that is “ provide a return for the retail investor” are </w:t>
      </w:r>
      <w:r w:rsidR="00F22FA5">
        <w:rPr>
          <w:lang w:val="en-US"/>
        </w:rPr>
        <w:t xml:space="preserve">to be </w:t>
      </w:r>
      <w:r w:rsidRPr="00C3542E">
        <w:rPr>
          <w:lang w:val="en-US"/>
        </w:rPr>
        <w:t>included in the Entry Costs?</w:t>
      </w:r>
      <w:proofErr w:type="gramEnd"/>
      <w:r w:rsidRPr="00C3542E">
        <w:rPr>
          <w:lang w:val="en-US"/>
        </w:rPr>
        <w:t xml:space="preserve"> </w:t>
      </w:r>
    </w:p>
    <w:p w:rsidR="00D96DF7" w:rsidRPr="00C3542E" w:rsidRDefault="00D96DF7" w:rsidP="00D96DF7">
      <w:pPr>
        <w:jc w:val="both"/>
        <w:rPr>
          <w:lang w:val="en-US"/>
        </w:rPr>
      </w:pPr>
    </w:p>
    <w:p w:rsidR="00D96DF7" w:rsidRPr="00C3542E" w:rsidRDefault="00D96DF7" w:rsidP="00D96DF7">
      <w:pPr>
        <w:jc w:val="both"/>
        <w:rPr>
          <w:lang w:val="en-US"/>
        </w:rPr>
      </w:pPr>
      <w:r w:rsidRPr="00C3542E">
        <w:rPr>
          <w:lang w:val="en-US"/>
        </w:rPr>
        <w:t xml:space="preserve">Paragraph Annex VI, 36 of Explanatory text </w:t>
      </w:r>
      <w:r w:rsidR="00F22FA5">
        <w:rPr>
          <w:lang w:val="en-US"/>
        </w:rPr>
        <w:t xml:space="preserve">on </w:t>
      </w:r>
      <w:r w:rsidRPr="00C3542E">
        <w:rPr>
          <w:lang w:val="en-US"/>
        </w:rPr>
        <w:t xml:space="preserve">the </w:t>
      </w:r>
      <w:r w:rsidR="00F22FA5">
        <w:rPr>
          <w:lang w:val="en-US"/>
        </w:rPr>
        <w:t>D</w:t>
      </w:r>
      <w:r w:rsidRPr="00C3542E">
        <w:rPr>
          <w:lang w:val="en-US"/>
        </w:rPr>
        <w:t xml:space="preserve">raft RTS reads that hedging </w:t>
      </w:r>
      <w:proofErr w:type="gramStart"/>
      <w:r w:rsidRPr="00C3542E">
        <w:rPr>
          <w:lang w:val="en-US"/>
        </w:rPr>
        <w:t>costs for certain</w:t>
      </w:r>
      <w:proofErr w:type="gramEnd"/>
      <w:r w:rsidRPr="00C3542E">
        <w:rPr>
          <w:lang w:val="en-US"/>
        </w:rPr>
        <w:t xml:space="preserve"> products that may not be individually hedged (i</w:t>
      </w:r>
      <w:r w:rsidR="00F22FA5">
        <w:rPr>
          <w:lang w:val="en-US"/>
        </w:rPr>
        <w:t>.</w:t>
      </w:r>
      <w:r w:rsidRPr="00C3542E">
        <w:rPr>
          <w:lang w:val="en-US"/>
        </w:rPr>
        <w:t>e</w:t>
      </w:r>
      <w:r w:rsidR="00F22FA5">
        <w:rPr>
          <w:lang w:val="en-US"/>
        </w:rPr>
        <w:t>.</w:t>
      </w:r>
      <w:r w:rsidRPr="00C3542E">
        <w:rPr>
          <w:lang w:val="en-US"/>
        </w:rPr>
        <w:t xml:space="preserve"> exotic payoffs) are not necessarily “unitized”. It is not clear what the regulatory provisions </w:t>
      </w:r>
      <w:r w:rsidR="00F22FA5">
        <w:rPr>
          <w:lang w:val="en-US"/>
        </w:rPr>
        <w:t xml:space="preserve">are </w:t>
      </w:r>
      <w:r w:rsidRPr="00C3542E">
        <w:rPr>
          <w:lang w:val="en-US"/>
        </w:rPr>
        <w:t>in this case.</w:t>
      </w:r>
    </w:p>
    <w:p w:rsidR="00D96DF7" w:rsidRPr="00C3542E" w:rsidRDefault="00D96DF7" w:rsidP="00D96DF7">
      <w:pPr>
        <w:jc w:val="both"/>
        <w:rPr>
          <w:lang w:val="en-US"/>
        </w:rPr>
      </w:pPr>
    </w:p>
    <w:p w:rsidR="00D96DF7" w:rsidRPr="00C3542E" w:rsidRDefault="00D96DF7" w:rsidP="00D96DF7">
      <w:pPr>
        <w:jc w:val="both"/>
        <w:rPr>
          <w:rFonts w:cs="Arial"/>
          <w:szCs w:val="20"/>
          <w:lang w:val="en-US"/>
        </w:rPr>
      </w:pPr>
      <w:r w:rsidRPr="00C3542E">
        <w:rPr>
          <w:lang w:val="en-US"/>
        </w:rPr>
        <w:t xml:space="preserve">Paragraph 37 of Annex VI reads that for the </w:t>
      </w:r>
      <w:r w:rsidR="00CC1C8D">
        <w:rPr>
          <w:lang w:val="en-US"/>
        </w:rPr>
        <w:t xml:space="preserve">implicit costs </w:t>
      </w:r>
      <w:r w:rsidRPr="00C3542E">
        <w:rPr>
          <w:lang w:val="en-US"/>
        </w:rPr>
        <w:t>calculation</w:t>
      </w:r>
      <w:r w:rsidR="00CC1C8D">
        <w:rPr>
          <w:lang w:val="en-US"/>
        </w:rPr>
        <w:t>,</w:t>
      </w:r>
      <w:r w:rsidRPr="00C3542E">
        <w:rPr>
          <w:lang w:val="en-US"/>
        </w:rPr>
        <w:t xml:space="preserve"> after the subscription period, </w:t>
      </w:r>
      <w:r w:rsidR="00CC1C8D">
        <w:rPr>
          <w:lang w:val="en-US"/>
        </w:rPr>
        <w:t xml:space="preserve">the manufacturer shall refer </w:t>
      </w:r>
      <w:r w:rsidRPr="00C3542E">
        <w:rPr>
          <w:lang w:val="en-US"/>
        </w:rPr>
        <w:t xml:space="preserve">to the price of the product on a secondary market. Does the KID need to </w:t>
      </w:r>
      <w:proofErr w:type="gramStart"/>
      <w:r w:rsidRPr="00C3542E">
        <w:rPr>
          <w:lang w:val="en-US"/>
        </w:rPr>
        <w:t>be revised</w:t>
      </w:r>
      <w:proofErr w:type="gramEnd"/>
      <w:r w:rsidRPr="00C3542E">
        <w:rPr>
          <w:lang w:val="en-US"/>
        </w:rPr>
        <w:t xml:space="preserve"> after </w:t>
      </w:r>
      <w:r w:rsidR="00CC1C8D">
        <w:rPr>
          <w:lang w:val="en-US"/>
        </w:rPr>
        <w:t xml:space="preserve">the </w:t>
      </w:r>
      <w:r w:rsidRPr="00C3542E">
        <w:rPr>
          <w:lang w:val="en-US"/>
        </w:rPr>
        <w:t xml:space="preserve">subscription period </w:t>
      </w:r>
      <w:r w:rsidR="00CC1C8D">
        <w:rPr>
          <w:lang w:val="en-US"/>
        </w:rPr>
        <w:t xml:space="preserve">in the event of </w:t>
      </w:r>
      <w:r w:rsidRPr="00C3542E">
        <w:rPr>
          <w:lang w:val="en-US"/>
        </w:rPr>
        <w:t>change</w:t>
      </w:r>
      <w:r w:rsidR="00CC1C8D">
        <w:rPr>
          <w:lang w:val="en-US"/>
        </w:rPr>
        <w:t>s</w:t>
      </w:r>
      <w:r w:rsidRPr="00C3542E">
        <w:rPr>
          <w:lang w:val="en-US"/>
        </w:rPr>
        <w:t xml:space="preserve"> </w:t>
      </w:r>
      <w:r w:rsidR="00CC1C8D">
        <w:rPr>
          <w:lang w:val="en-US"/>
        </w:rPr>
        <w:t>to</w:t>
      </w:r>
      <w:r w:rsidRPr="00C3542E">
        <w:rPr>
          <w:lang w:val="en-US"/>
        </w:rPr>
        <w:t xml:space="preserve"> implicit costs</w:t>
      </w:r>
      <w:r w:rsidR="00CC1C8D">
        <w:rPr>
          <w:lang w:val="en-US"/>
        </w:rPr>
        <w:t>?</w:t>
      </w:r>
    </w:p>
    <w:p w:rsidR="00D96DF7" w:rsidRDefault="00D96DF7" w:rsidP="00C90B16"/>
    <w:p w:rsidR="00C3542E" w:rsidRDefault="00C3542E" w:rsidP="00C3542E">
      <w:pPr>
        <w:jc w:val="both"/>
        <w:rPr>
          <w:rFonts w:cs="Arial"/>
          <w:b/>
          <w:szCs w:val="20"/>
          <w:lang w:val="en-US"/>
        </w:rPr>
      </w:pPr>
    </w:p>
    <w:p w:rsidR="00C3542E" w:rsidRPr="00C3542E" w:rsidRDefault="00C3542E" w:rsidP="00C3542E">
      <w:pPr>
        <w:pStyle w:val="Paragrafoelenco"/>
        <w:numPr>
          <w:ilvl w:val="0"/>
          <w:numId w:val="42"/>
        </w:numPr>
        <w:jc w:val="both"/>
        <w:rPr>
          <w:rFonts w:cs="Arial"/>
          <w:b/>
          <w:szCs w:val="20"/>
          <w:lang w:val="en-US"/>
        </w:rPr>
      </w:pPr>
      <w:r w:rsidRPr="00C3542E">
        <w:rPr>
          <w:rFonts w:cs="Arial"/>
          <w:b/>
          <w:szCs w:val="20"/>
          <w:lang w:val="en-US"/>
        </w:rPr>
        <w:t xml:space="preserve">Comments on conditions on good time </w:t>
      </w:r>
    </w:p>
    <w:p w:rsidR="00C3542E" w:rsidRPr="008542F3" w:rsidRDefault="00C3542E" w:rsidP="00C3542E">
      <w:pPr>
        <w:jc w:val="both"/>
        <w:rPr>
          <w:rFonts w:cs="Arial"/>
          <w:szCs w:val="20"/>
          <w:lang w:val="en-US"/>
        </w:rPr>
      </w:pPr>
    </w:p>
    <w:p w:rsidR="00C3542E" w:rsidRPr="008542F3" w:rsidRDefault="00C3542E" w:rsidP="00C3542E">
      <w:pPr>
        <w:jc w:val="both"/>
        <w:rPr>
          <w:rFonts w:cs="Arial"/>
          <w:szCs w:val="20"/>
          <w:lang w:val="en-US"/>
        </w:rPr>
      </w:pPr>
      <w:r w:rsidRPr="008542F3">
        <w:rPr>
          <w:rFonts w:cs="Arial"/>
          <w:szCs w:val="20"/>
          <w:lang w:val="en-US"/>
        </w:rPr>
        <w:lastRenderedPageBreak/>
        <w:t>In our view the content</w:t>
      </w:r>
      <w:r w:rsidR="0077574E">
        <w:rPr>
          <w:rFonts w:cs="Arial"/>
          <w:szCs w:val="20"/>
          <w:lang w:val="en-US"/>
        </w:rPr>
        <w:t>s</w:t>
      </w:r>
      <w:r w:rsidRPr="008542F3">
        <w:rPr>
          <w:rFonts w:cs="Arial"/>
          <w:szCs w:val="20"/>
          <w:lang w:val="en-US"/>
        </w:rPr>
        <w:t xml:space="preserve"> of Recitals N. 23-24 (“what might be good time for the retail investor to understand and take into account the information may vary, because different retail investors have different needs, experience and knowledge. The person advising on, or selling, a PRIIP should therefore take into account these factors to determine the extent of the good time criterion in relation to individual retail investors. </w:t>
      </w:r>
      <w:proofErr w:type="gramStart"/>
      <w:r w:rsidRPr="008542F3">
        <w:rPr>
          <w:rFonts w:cs="Arial"/>
          <w:szCs w:val="20"/>
          <w:lang w:val="en-US"/>
        </w:rPr>
        <w:t xml:space="preserve">Where </w:t>
      </w:r>
      <w:r w:rsidRPr="00800731">
        <w:rPr>
          <w:rFonts w:cs="Arial"/>
          <w:szCs w:val="20"/>
          <w:lang w:val="en-US"/>
        </w:rPr>
        <w:t>a person is advising on, or selling, a complex PRIIP or a PRIIP that is unknown to a retail investor, more time may need to be provided for t</w:t>
      </w:r>
      <w:r w:rsidR="00C0313C" w:rsidRPr="00800731">
        <w:rPr>
          <w:rFonts w:cs="Arial"/>
          <w:szCs w:val="20"/>
          <w:lang w:val="en-US"/>
        </w:rPr>
        <w:t>he retail investor to familiariz</w:t>
      </w:r>
      <w:r w:rsidRPr="00800731">
        <w:rPr>
          <w:rFonts w:cs="Arial"/>
          <w:szCs w:val="20"/>
          <w:lang w:val="en-US"/>
        </w:rPr>
        <w:t xml:space="preserve">e itself with the PRIIP in question”) and Article 20 of the Draft RTS </w:t>
      </w:r>
      <w:r w:rsidR="000747F1" w:rsidRPr="00800731">
        <w:rPr>
          <w:rFonts w:cs="Arial"/>
          <w:szCs w:val="20"/>
          <w:lang w:val="en-US"/>
        </w:rPr>
        <w:t>does</w:t>
      </w:r>
      <w:r w:rsidR="0077574E">
        <w:rPr>
          <w:rFonts w:cs="Arial"/>
          <w:szCs w:val="20"/>
          <w:lang w:val="en-US"/>
        </w:rPr>
        <w:t xml:space="preserve"> </w:t>
      </w:r>
      <w:r w:rsidR="000747F1" w:rsidRPr="00800731">
        <w:rPr>
          <w:rFonts w:cs="Arial"/>
          <w:szCs w:val="20"/>
          <w:lang w:val="en-US"/>
        </w:rPr>
        <w:t>n</w:t>
      </w:r>
      <w:r w:rsidR="0077574E">
        <w:rPr>
          <w:rFonts w:cs="Arial"/>
          <w:szCs w:val="20"/>
          <w:lang w:val="en-US"/>
        </w:rPr>
        <w:t>ot</w:t>
      </w:r>
      <w:r w:rsidR="000747F1" w:rsidRPr="00800731">
        <w:rPr>
          <w:rFonts w:cs="Arial"/>
          <w:szCs w:val="20"/>
          <w:lang w:val="en-US"/>
        </w:rPr>
        <w:t xml:space="preserve"> identify the criteria that should be taken into account to evaluate the level of experience and knowledge of the different clients, in order to determine the specific extent of the good time.</w:t>
      </w:r>
      <w:proofErr w:type="gramEnd"/>
      <w:r w:rsidR="000747F1" w:rsidRPr="00800731">
        <w:rPr>
          <w:rFonts w:cs="Arial"/>
          <w:szCs w:val="20"/>
          <w:lang w:val="en-US"/>
        </w:rPr>
        <w:t xml:space="preserve"> </w:t>
      </w:r>
      <w:proofErr w:type="gramStart"/>
      <w:r w:rsidR="000747F1" w:rsidRPr="00800731">
        <w:rPr>
          <w:rFonts w:cs="Arial"/>
          <w:szCs w:val="20"/>
          <w:lang w:val="en-US"/>
        </w:rPr>
        <w:t>Moreover</w:t>
      </w:r>
      <w:proofErr w:type="gramEnd"/>
      <w:r w:rsidR="000747F1" w:rsidRPr="00800731">
        <w:rPr>
          <w:rFonts w:cs="Arial"/>
          <w:szCs w:val="20"/>
          <w:lang w:val="en-US"/>
        </w:rPr>
        <w:t xml:space="preserve"> Article </w:t>
      </w:r>
      <w:r w:rsidR="00A77ED3">
        <w:rPr>
          <w:rFonts w:cs="Arial"/>
          <w:szCs w:val="20"/>
          <w:lang w:val="en-US"/>
        </w:rPr>
        <w:t xml:space="preserve">20 </w:t>
      </w:r>
      <w:r w:rsidRPr="00800731">
        <w:rPr>
          <w:rFonts w:cs="Arial"/>
          <w:szCs w:val="20"/>
          <w:lang w:val="en-US"/>
        </w:rPr>
        <w:t>does not take into account the new regulatory framework of product governance within MiFID II, requir</w:t>
      </w:r>
      <w:r w:rsidR="0077574E">
        <w:rPr>
          <w:rFonts w:cs="Arial"/>
          <w:szCs w:val="20"/>
          <w:lang w:val="en-US"/>
        </w:rPr>
        <w:t>ing</w:t>
      </w:r>
      <w:r w:rsidRPr="00800731">
        <w:rPr>
          <w:rFonts w:cs="Arial"/>
          <w:szCs w:val="20"/>
          <w:lang w:val="en-US"/>
        </w:rPr>
        <w:t xml:space="preserve"> distributors to:</w:t>
      </w:r>
    </w:p>
    <w:p w:rsidR="00C3542E" w:rsidRPr="008542F3" w:rsidRDefault="00C3542E" w:rsidP="00C3542E">
      <w:pPr>
        <w:jc w:val="both"/>
        <w:rPr>
          <w:rFonts w:cs="Arial"/>
          <w:szCs w:val="20"/>
          <w:lang w:val="en-US"/>
        </w:rPr>
      </w:pPr>
    </w:p>
    <w:p w:rsidR="00C3542E" w:rsidRPr="008542F3" w:rsidRDefault="00C3542E" w:rsidP="00C3542E">
      <w:pPr>
        <w:pStyle w:val="Paragrafoelenco"/>
        <w:numPr>
          <w:ilvl w:val="0"/>
          <w:numId w:val="47"/>
        </w:numPr>
        <w:jc w:val="both"/>
        <w:rPr>
          <w:rFonts w:cs="Arial"/>
          <w:szCs w:val="20"/>
          <w:lang w:val="en-US"/>
        </w:rPr>
      </w:pPr>
      <w:r w:rsidRPr="008542F3">
        <w:rPr>
          <w:rFonts w:cs="Arial"/>
          <w:szCs w:val="20"/>
          <w:lang w:val="en-US"/>
        </w:rPr>
        <w:t>have in place adequate product governance arrangements to ensure that products and services they intend to offer or sell are compatible with the needs, characteristics, and objectives of an identified target market and that the intended distribution strategy is consistent with the identified target market;</w:t>
      </w:r>
    </w:p>
    <w:p w:rsidR="00C3542E" w:rsidRPr="008542F3" w:rsidRDefault="00C3542E" w:rsidP="00C3542E">
      <w:pPr>
        <w:pStyle w:val="Paragrafoelenco"/>
        <w:numPr>
          <w:ilvl w:val="0"/>
          <w:numId w:val="47"/>
        </w:numPr>
        <w:jc w:val="both"/>
        <w:rPr>
          <w:rFonts w:cs="Arial"/>
          <w:szCs w:val="20"/>
          <w:lang w:val="en-US"/>
        </w:rPr>
      </w:pPr>
      <w:proofErr w:type="gramStart"/>
      <w:r w:rsidRPr="008542F3">
        <w:rPr>
          <w:rFonts w:cs="Arial"/>
          <w:szCs w:val="20"/>
          <w:lang w:val="en-US"/>
        </w:rPr>
        <w:t>appropriately</w:t>
      </w:r>
      <w:proofErr w:type="gramEnd"/>
      <w:r w:rsidRPr="008542F3">
        <w:rPr>
          <w:rFonts w:cs="Arial"/>
          <w:szCs w:val="20"/>
          <w:lang w:val="en-US"/>
        </w:rPr>
        <w:t xml:space="preserve"> identify and assess the circumstances and needs of the clients they intend to focus on, so as to ensure that clients’ interests are not compromised as a result of commercial or funding pressures. As part of this process, firms shall identify any groups of clients for whose needs, characteristics and objectives the product or service is not compatible.  </w:t>
      </w:r>
    </w:p>
    <w:p w:rsidR="00C3542E" w:rsidRPr="008542F3" w:rsidRDefault="00C3542E" w:rsidP="00C3542E">
      <w:pPr>
        <w:jc w:val="both"/>
        <w:rPr>
          <w:rFonts w:cs="Arial"/>
          <w:szCs w:val="20"/>
          <w:lang w:val="en-US"/>
        </w:rPr>
      </w:pPr>
    </w:p>
    <w:p w:rsidR="00C90B16" w:rsidRDefault="00C3542E" w:rsidP="00C3542E">
      <w:pPr>
        <w:jc w:val="both"/>
      </w:pPr>
      <w:r w:rsidRPr="008542F3">
        <w:rPr>
          <w:rFonts w:cs="Arial"/>
          <w:szCs w:val="20"/>
          <w:lang w:val="en-US"/>
        </w:rPr>
        <w:t xml:space="preserve">We therefore believe that Recitals N. 23-24 and Article 20 overlap </w:t>
      </w:r>
      <w:r w:rsidR="0077574E">
        <w:rPr>
          <w:rFonts w:cs="Arial"/>
          <w:szCs w:val="20"/>
          <w:lang w:val="en-US"/>
        </w:rPr>
        <w:t xml:space="preserve">with </w:t>
      </w:r>
      <w:r w:rsidRPr="008542F3">
        <w:rPr>
          <w:rFonts w:cs="Arial"/>
          <w:szCs w:val="20"/>
          <w:lang w:val="en-US"/>
        </w:rPr>
        <w:t xml:space="preserve">MiFID II provisions on product governance obligations for distributors, which regulate </w:t>
      </w:r>
      <w:r w:rsidR="0077574E" w:rsidRPr="0077574E">
        <w:rPr>
          <w:rFonts w:cs="Arial"/>
          <w:szCs w:val="20"/>
          <w:lang w:val="en-US"/>
        </w:rPr>
        <w:t xml:space="preserve">more adequately </w:t>
      </w:r>
      <w:r w:rsidR="0077574E">
        <w:rPr>
          <w:rFonts w:cs="Arial"/>
          <w:szCs w:val="20"/>
          <w:lang w:val="en-US"/>
        </w:rPr>
        <w:t>the whole matter of targeting</w:t>
      </w:r>
      <w:r w:rsidRPr="008542F3">
        <w:rPr>
          <w:rFonts w:cs="Arial"/>
          <w:szCs w:val="20"/>
          <w:lang w:val="en-US"/>
        </w:rPr>
        <w:t xml:space="preserve"> clients and the proper distribution strategy according to the </w:t>
      </w:r>
      <w:r w:rsidR="0077574E">
        <w:rPr>
          <w:rFonts w:cs="Arial"/>
          <w:szCs w:val="20"/>
          <w:lang w:val="en-US"/>
        </w:rPr>
        <w:t xml:space="preserve">features </w:t>
      </w:r>
      <w:r>
        <w:rPr>
          <w:rFonts w:cs="Arial"/>
          <w:szCs w:val="20"/>
          <w:lang w:val="en-US"/>
        </w:rPr>
        <w:t xml:space="preserve">of each </w:t>
      </w:r>
      <w:r w:rsidR="0077574E">
        <w:rPr>
          <w:rFonts w:cs="Arial"/>
          <w:szCs w:val="20"/>
          <w:lang w:val="en-US"/>
        </w:rPr>
        <w:t xml:space="preserve">single </w:t>
      </w:r>
      <w:r>
        <w:rPr>
          <w:rFonts w:cs="Arial"/>
          <w:szCs w:val="20"/>
          <w:lang w:val="en-US"/>
        </w:rPr>
        <w:t>investment product.</w:t>
      </w:r>
    </w:p>
    <w:permEnd w:id="1761937283"/>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Pr="000C4655" w:rsidRDefault="00D0763F" w:rsidP="00D0763F">
      <w:pPr>
        <w:jc w:val="both"/>
      </w:pPr>
      <w:permStart w:id="1945055381" w:edGrp="everyone"/>
      <w:proofErr w:type="gramStart"/>
      <w:r w:rsidRPr="008542F3">
        <w:rPr>
          <w:rFonts w:cs="Arial"/>
          <w:szCs w:val="20"/>
          <w:lang w:val="en-US"/>
        </w:rPr>
        <w:t xml:space="preserve">We do not </w:t>
      </w:r>
      <w:r w:rsidR="0078343E">
        <w:rPr>
          <w:rFonts w:cs="Arial"/>
          <w:szCs w:val="20"/>
          <w:lang w:val="en-US"/>
        </w:rPr>
        <w:t>feel</w:t>
      </w:r>
      <w:r w:rsidRPr="008542F3">
        <w:rPr>
          <w:rFonts w:cs="Arial"/>
          <w:szCs w:val="20"/>
          <w:lang w:val="en-US"/>
        </w:rPr>
        <w:t xml:space="preserve"> it is necessary to further </w:t>
      </w:r>
      <w:r w:rsidR="0078343E" w:rsidRPr="0078343E">
        <w:rPr>
          <w:rFonts w:cs="Arial"/>
          <w:szCs w:val="20"/>
          <w:lang w:val="en-US"/>
        </w:rPr>
        <w:t xml:space="preserve">clarify </w:t>
      </w:r>
      <w:r w:rsidRPr="008542F3">
        <w:rPr>
          <w:rFonts w:cs="Arial"/>
          <w:szCs w:val="20"/>
          <w:lang w:val="en-US"/>
        </w:rPr>
        <w:t xml:space="preserve">the criteria set out in Recital 18 of PRIIPS Regulation Level 1, as </w:t>
      </w:r>
      <w:r w:rsidR="0078343E">
        <w:rPr>
          <w:rFonts w:cs="Arial"/>
          <w:szCs w:val="20"/>
          <w:lang w:val="en-US"/>
        </w:rPr>
        <w:t xml:space="preserve">such criteria </w:t>
      </w:r>
      <w:r w:rsidRPr="008542F3">
        <w:rPr>
          <w:rFonts w:cs="Arial"/>
          <w:szCs w:val="20"/>
          <w:lang w:val="en-US"/>
        </w:rPr>
        <w:t xml:space="preserve">should be interpreted as </w:t>
      </w:r>
      <w:r w:rsidR="0078343E">
        <w:rPr>
          <w:rFonts w:cs="Arial"/>
          <w:szCs w:val="20"/>
          <w:lang w:val="en-US"/>
        </w:rPr>
        <w:t xml:space="preserve">being </w:t>
      </w:r>
      <w:r w:rsidRPr="008542F3">
        <w:rPr>
          <w:rFonts w:cs="Arial"/>
          <w:szCs w:val="20"/>
          <w:lang w:val="en-US"/>
        </w:rPr>
        <w:t>complementary to those set out  by ESMA Opinion on “MiFID practices for firms selling complex products”, dated 7 February 2014, and by ESMA Guidelines on complex debt instruments and structured deposits, dated 26 November 2015.</w:t>
      </w:r>
      <w:proofErr w:type="gramEnd"/>
    </w:p>
    <w:permEnd w:id="1945055381"/>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C73569" w:rsidRDefault="00C73569" w:rsidP="00041281">
      <w:pPr>
        <w:jc w:val="both"/>
      </w:pPr>
      <w:permStart w:id="1836408734" w:edGrp="everyone"/>
      <w:r w:rsidRPr="00C73569">
        <w:rPr>
          <w:lang w:val="en-US"/>
        </w:rPr>
        <w:t>We agree with the proposed standard amounts, unless – for</w:t>
      </w:r>
      <w:r>
        <w:rPr>
          <w:lang w:val="en-US"/>
        </w:rPr>
        <w:t xml:space="preserve"> </w:t>
      </w:r>
      <w:proofErr w:type="gramStart"/>
      <w:r>
        <w:rPr>
          <w:lang w:val="en-US"/>
        </w:rPr>
        <w:t>insurance based</w:t>
      </w:r>
      <w:proofErr w:type="gramEnd"/>
      <w:r>
        <w:rPr>
          <w:lang w:val="en-US"/>
        </w:rPr>
        <w:t xml:space="preserve"> products </w:t>
      </w:r>
      <w:r w:rsidR="00C9348A">
        <w:rPr>
          <w:lang w:val="en-US"/>
        </w:rPr>
        <w:t>–</w:t>
      </w:r>
      <w:r>
        <w:rPr>
          <w:lang w:val="en-US"/>
        </w:rPr>
        <w:t xml:space="preserve"> </w:t>
      </w:r>
      <w:r w:rsidR="00C9348A">
        <w:rPr>
          <w:lang w:val="en-US"/>
        </w:rPr>
        <w:t xml:space="preserve">a </w:t>
      </w:r>
      <w:r w:rsidRPr="00C73569">
        <w:rPr>
          <w:lang w:val="en-US"/>
        </w:rPr>
        <w:t xml:space="preserve">product requires a higher amount than the standard one. In </w:t>
      </w:r>
      <w:r w:rsidR="00C9348A">
        <w:rPr>
          <w:lang w:val="en-US"/>
        </w:rPr>
        <w:t xml:space="preserve">such circumstances, </w:t>
      </w:r>
      <w:r w:rsidRPr="00C73569">
        <w:rPr>
          <w:lang w:val="en-US"/>
        </w:rPr>
        <w:t>it should be possible to use this higher amount</w:t>
      </w:r>
      <w:r w:rsidR="00C9348A">
        <w:rPr>
          <w:lang w:val="en-US"/>
        </w:rPr>
        <w:t>,</w:t>
      </w:r>
      <w:r w:rsidRPr="00C73569">
        <w:rPr>
          <w:lang w:val="en-US"/>
        </w:rPr>
        <w:t xml:space="preserve"> or an </w:t>
      </w:r>
      <w:proofErr w:type="gramStart"/>
      <w:r w:rsidRPr="00C73569">
        <w:rPr>
          <w:lang w:val="en-US"/>
        </w:rPr>
        <w:t>amount which</w:t>
      </w:r>
      <w:proofErr w:type="gramEnd"/>
      <w:r w:rsidRPr="00C73569">
        <w:rPr>
          <w:lang w:val="en-US"/>
        </w:rPr>
        <w:t xml:space="preserve"> </w:t>
      </w:r>
      <w:r w:rsidR="00C9348A">
        <w:rPr>
          <w:lang w:val="en-US"/>
        </w:rPr>
        <w:t xml:space="preserve">is deemed </w:t>
      </w:r>
      <w:r w:rsidRPr="00C73569">
        <w:rPr>
          <w:lang w:val="en-US"/>
        </w:rPr>
        <w:t xml:space="preserve">more representative </w:t>
      </w:r>
      <w:r w:rsidR="00C9348A">
        <w:rPr>
          <w:lang w:val="en-US"/>
        </w:rPr>
        <w:t xml:space="preserve">of </w:t>
      </w:r>
      <w:r w:rsidRPr="00C73569">
        <w:rPr>
          <w:lang w:val="en-US"/>
        </w:rPr>
        <w:t>the product.</w:t>
      </w:r>
    </w:p>
    <w:permEnd w:id="1836408734"/>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391C6F" w:rsidRDefault="00041281" w:rsidP="00391C6F">
      <w:pPr>
        <w:jc w:val="both"/>
      </w:pPr>
      <w:permStart w:id="138968102" w:edGrp="everyone"/>
      <w:r>
        <w:t xml:space="preserve">In our </w:t>
      </w:r>
      <w:proofErr w:type="gramStart"/>
      <w:r>
        <w:t>view</w:t>
      </w:r>
      <w:proofErr w:type="gramEnd"/>
      <w:r>
        <w:t xml:space="preserve"> </w:t>
      </w:r>
      <w:r w:rsidR="000A3429">
        <w:t>t</w:t>
      </w:r>
      <w:r>
        <w:t>he</w:t>
      </w:r>
      <w:r w:rsidR="000A3429">
        <w:t xml:space="preserve"> bootstrapping approach</w:t>
      </w:r>
      <w:r>
        <w:t xml:space="preserve"> should</w:t>
      </w:r>
      <w:r w:rsidR="00BE396E">
        <w:t xml:space="preserve"> also</w:t>
      </w:r>
      <w:r>
        <w:t xml:space="preserve"> be</w:t>
      </w:r>
      <w:r w:rsidR="000C75B6">
        <w:t xml:space="preserve"> </w:t>
      </w:r>
      <w:r>
        <w:t>used</w:t>
      </w:r>
      <w:r w:rsidR="000C75B6">
        <w:t xml:space="preserve"> for PRII</w:t>
      </w:r>
      <w:r w:rsidR="00391C6F">
        <w:t xml:space="preserve">PS </w:t>
      </w:r>
      <w:r w:rsidR="00391C6F" w:rsidRPr="00391C6F">
        <w:t>fall</w:t>
      </w:r>
      <w:r w:rsidR="00391C6F">
        <w:t xml:space="preserve">ing </w:t>
      </w:r>
      <w:r w:rsidR="00BE396E">
        <w:t>under</w:t>
      </w:r>
      <w:r w:rsidR="00391C6F" w:rsidRPr="00391C6F">
        <w:t xml:space="preserve"> category II and for which the Cornish Fisher expansion </w:t>
      </w:r>
      <w:r w:rsidR="00BE396E">
        <w:t xml:space="preserve">model </w:t>
      </w:r>
      <w:r w:rsidR="00391C6F" w:rsidRPr="00391C6F">
        <w:t>is used as a method</w:t>
      </w:r>
      <w:r w:rsidR="00BE396E">
        <w:t xml:space="preserve"> </w:t>
      </w:r>
      <w:r w:rsidR="00391C6F" w:rsidRPr="00391C6F">
        <w:t xml:space="preserve">to compute the </w:t>
      </w:r>
      <w:proofErr w:type="spellStart"/>
      <w:r w:rsidR="00391C6F" w:rsidRPr="00391C6F">
        <w:t>VaR</w:t>
      </w:r>
      <w:proofErr w:type="spellEnd"/>
      <w:r w:rsidR="00391C6F" w:rsidRPr="00391C6F">
        <w:t xml:space="preserve"> equivalent Volatility</w:t>
      </w:r>
      <w:r w:rsidR="00BE396E">
        <w:t xml:space="preserve">. </w:t>
      </w:r>
      <w:r w:rsidR="00BE396E" w:rsidRPr="00BE396E">
        <w:t xml:space="preserve">Our grounds for this opinion </w:t>
      </w:r>
      <w:proofErr w:type="gramStart"/>
      <w:r w:rsidR="00BE396E" w:rsidRPr="00BE396E">
        <w:t>can be summed up</w:t>
      </w:r>
      <w:proofErr w:type="gramEnd"/>
      <w:r w:rsidR="00BE396E" w:rsidRPr="00BE396E">
        <w:t xml:space="preserve"> thus</w:t>
      </w:r>
      <w:r w:rsidR="00BE396E">
        <w:t>:</w:t>
      </w:r>
    </w:p>
    <w:p w:rsidR="00391C6F" w:rsidRDefault="00391C6F" w:rsidP="00391C6F">
      <w:pPr>
        <w:jc w:val="both"/>
      </w:pPr>
    </w:p>
    <w:p w:rsidR="00750796" w:rsidRDefault="00BE396E" w:rsidP="00C3542E">
      <w:pPr>
        <w:pStyle w:val="Paragrafoelenco"/>
        <w:numPr>
          <w:ilvl w:val="0"/>
          <w:numId w:val="38"/>
        </w:numPr>
        <w:jc w:val="both"/>
      </w:pPr>
      <w:r>
        <w:t>I</w:t>
      </w:r>
      <w:r w:rsidR="00391C6F">
        <w:t xml:space="preserve">t is preferable to assess all PRIIPS </w:t>
      </w:r>
      <w:r>
        <w:t>using</w:t>
      </w:r>
      <w:r w:rsidR="00391C6F">
        <w:t xml:space="preserve"> the same methodology;</w:t>
      </w:r>
    </w:p>
    <w:p w:rsidR="00391C6F" w:rsidRDefault="000A67C0" w:rsidP="00C3542E">
      <w:pPr>
        <w:pStyle w:val="Paragrafoelenco"/>
        <w:numPr>
          <w:ilvl w:val="0"/>
          <w:numId w:val="38"/>
        </w:numPr>
        <w:jc w:val="both"/>
      </w:pPr>
      <w:r>
        <w:t>W</w:t>
      </w:r>
      <w:r w:rsidR="00391C6F">
        <w:t>e do not see</w:t>
      </w:r>
      <w:r w:rsidR="00B249D0">
        <w:t xml:space="preserve"> </w:t>
      </w:r>
      <w:r w:rsidR="00B249D0">
        <w:rPr>
          <w:rFonts w:cs="Arial"/>
          <w:szCs w:val="20"/>
          <w:lang w:val="en-US"/>
        </w:rPr>
        <w:t xml:space="preserve">how </w:t>
      </w:r>
      <w:r>
        <w:rPr>
          <w:rFonts w:cs="Arial"/>
          <w:szCs w:val="20"/>
          <w:lang w:val="en-US"/>
        </w:rPr>
        <w:t>this</w:t>
      </w:r>
      <w:r w:rsidR="00B249D0" w:rsidRPr="00F96A83">
        <w:rPr>
          <w:rFonts w:cs="Arial"/>
          <w:szCs w:val="20"/>
          <w:lang w:val="en-US"/>
        </w:rPr>
        <w:t xml:space="preserve"> would increase implementation costs</w:t>
      </w:r>
      <w:r w:rsidR="00B249D0">
        <w:rPr>
          <w:rFonts w:cs="Arial"/>
          <w:szCs w:val="20"/>
          <w:lang w:val="en-US"/>
        </w:rPr>
        <w:t xml:space="preserve"> (especially if performance scenarios </w:t>
      </w:r>
      <w:proofErr w:type="gramStart"/>
      <w:r>
        <w:rPr>
          <w:rFonts w:cs="Arial"/>
          <w:szCs w:val="20"/>
          <w:lang w:val="en-US"/>
        </w:rPr>
        <w:t>are</w:t>
      </w:r>
      <w:r w:rsidR="00B249D0">
        <w:rPr>
          <w:rFonts w:cs="Arial"/>
          <w:szCs w:val="20"/>
          <w:lang w:val="en-US"/>
        </w:rPr>
        <w:t xml:space="preserve"> selected</w:t>
      </w:r>
      <w:proofErr w:type="gramEnd"/>
      <w:r>
        <w:rPr>
          <w:rFonts w:cs="Arial"/>
          <w:szCs w:val="20"/>
          <w:lang w:val="en-US"/>
        </w:rPr>
        <w:t>,</w:t>
      </w:r>
      <w:r w:rsidR="00B249D0">
        <w:rPr>
          <w:rFonts w:cs="Arial"/>
          <w:szCs w:val="20"/>
          <w:lang w:val="en-US"/>
        </w:rPr>
        <w:t xml:space="preserve"> as </w:t>
      </w:r>
      <w:r>
        <w:rPr>
          <w:rFonts w:cs="Arial"/>
          <w:szCs w:val="20"/>
          <w:lang w:val="en-US"/>
        </w:rPr>
        <w:t xml:space="preserve">we </w:t>
      </w:r>
      <w:r w:rsidR="00B249D0">
        <w:rPr>
          <w:rFonts w:cs="Arial"/>
          <w:szCs w:val="20"/>
          <w:lang w:val="en-US"/>
        </w:rPr>
        <w:t>suggested in our initial comments)</w:t>
      </w:r>
      <w:r w:rsidR="00391C6F">
        <w:t>.</w:t>
      </w:r>
    </w:p>
    <w:permEnd w:id="138968102"/>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407FEE" w:rsidRDefault="00407FEE" w:rsidP="00407FEE">
      <w:pPr>
        <w:rPr>
          <w:rFonts w:cs="Arial"/>
          <w:szCs w:val="20"/>
          <w:lang w:val="en-US"/>
        </w:rPr>
      </w:pPr>
      <w:permStart w:id="1456435139" w:edGrp="everyone"/>
      <w:r w:rsidRPr="008542F3">
        <w:rPr>
          <w:rFonts w:cs="Arial"/>
          <w:szCs w:val="20"/>
          <w:lang w:val="en-US"/>
        </w:rPr>
        <w:t>We would</w:t>
      </w:r>
      <w:r w:rsidR="00D57683">
        <w:rPr>
          <w:rFonts w:cs="Arial"/>
          <w:szCs w:val="20"/>
          <w:lang w:val="en-US"/>
        </w:rPr>
        <w:t xml:space="preserve"> tend to </w:t>
      </w:r>
      <w:r w:rsidR="00A77ED3" w:rsidRPr="008542F3">
        <w:rPr>
          <w:rFonts w:cs="Arial"/>
          <w:szCs w:val="20"/>
          <w:lang w:val="en-US"/>
        </w:rPr>
        <w:t>favor</w:t>
      </w:r>
      <w:r w:rsidRPr="008542F3">
        <w:rPr>
          <w:rFonts w:cs="Arial"/>
          <w:szCs w:val="20"/>
          <w:lang w:val="en-US"/>
        </w:rPr>
        <w:t xml:space="preserve"> a different confidence interval to compute the </w:t>
      </w:r>
      <w:proofErr w:type="spellStart"/>
      <w:r w:rsidRPr="008542F3">
        <w:rPr>
          <w:rFonts w:cs="Arial"/>
          <w:szCs w:val="20"/>
          <w:lang w:val="en-US"/>
        </w:rPr>
        <w:t>VaR</w:t>
      </w:r>
      <w:r>
        <w:rPr>
          <w:rFonts w:cs="Arial"/>
          <w:szCs w:val="20"/>
          <w:lang w:val="en-US"/>
        </w:rPr>
        <w:t>.</w:t>
      </w:r>
      <w:proofErr w:type="spellEnd"/>
      <w:r>
        <w:rPr>
          <w:rFonts w:cs="Arial"/>
          <w:szCs w:val="20"/>
          <w:lang w:val="en-US"/>
        </w:rPr>
        <w:t xml:space="preserve"> We suggest two alternative</w:t>
      </w:r>
      <w:r w:rsidR="00D57683">
        <w:rPr>
          <w:rFonts w:cs="Arial"/>
          <w:szCs w:val="20"/>
          <w:lang w:val="en-US"/>
        </w:rPr>
        <w:t>s</w:t>
      </w:r>
      <w:r>
        <w:rPr>
          <w:rFonts w:cs="Arial"/>
          <w:szCs w:val="20"/>
          <w:lang w:val="en-US"/>
        </w:rPr>
        <w:t>:</w:t>
      </w:r>
    </w:p>
    <w:p w:rsidR="00407FEE" w:rsidRDefault="00407FEE" w:rsidP="00407FEE"/>
    <w:p w:rsidR="00407FEE" w:rsidRDefault="00407FEE" w:rsidP="00407FEE">
      <w:pPr>
        <w:pStyle w:val="Paragrafoelenco"/>
        <w:numPr>
          <w:ilvl w:val="0"/>
          <w:numId w:val="49"/>
        </w:numPr>
        <w:jc w:val="both"/>
        <w:rPr>
          <w:rFonts w:cs="Arial"/>
          <w:szCs w:val="20"/>
          <w:lang w:val="en-US"/>
        </w:rPr>
      </w:pPr>
      <w:proofErr w:type="gramStart"/>
      <w:r w:rsidRPr="00407FEE">
        <w:rPr>
          <w:rFonts w:cs="Arial"/>
          <w:szCs w:val="20"/>
          <w:lang w:val="en-US"/>
        </w:rPr>
        <w:t>1</w:t>
      </w:r>
      <w:proofErr w:type="gramEnd"/>
      <w:r w:rsidRPr="00407FEE">
        <w:rPr>
          <w:rFonts w:cs="Arial"/>
          <w:szCs w:val="20"/>
          <w:lang w:val="en-US"/>
        </w:rPr>
        <w:t xml:space="preserve">% confidence interval, which is more </w:t>
      </w:r>
      <w:r w:rsidR="00A77ED3" w:rsidRPr="00407FEE">
        <w:rPr>
          <w:rFonts w:cs="Arial"/>
          <w:szCs w:val="20"/>
          <w:lang w:val="en-US"/>
        </w:rPr>
        <w:t>prudential</w:t>
      </w:r>
      <w:r w:rsidRPr="00407FEE">
        <w:rPr>
          <w:rFonts w:cs="Arial"/>
          <w:szCs w:val="20"/>
          <w:lang w:val="en-US"/>
        </w:rPr>
        <w:t xml:space="preserve"> and able to capture differences between</w:t>
      </w:r>
      <w:r w:rsidR="00833D08">
        <w:rPr>
          <w:rFonts w:cs="Arial"/>
          <w:szCs w:val="20"/>
          <w:lang w:val="en-US"/>
        </w:rPr>
        <w:t xml:space="preserve"> PRIIPS</w:t>
      </w:r>
      <w:r w:rsidRPr="00407FEE">
        <w:rPr>
          <w:rFonts w:cs="Arial"/>
          <w:szCs w:val="20"/>
          <w:lang w:val="en-US"/>
        </w:rPr>
        <w:t xml:space="preserve"> with vario</w:t>
      </w:r>
      <w:r w:rsidR="00833D08">
        <w:rPr>
          <w:rFonts w:cs="Arial"/>
          <w:szCs w:val="20"/>
          <w:lang w:val="en-US"/>
        </w:rPr>
        <w:t>u</w:t>
      </w:r>
      <w:r w:rsidRPr="00407FEE">
        <w:rPr>
          <w:rFonts w:cs="Arial"/>
          <w:szCs w:val="20"/>
          <w:lang w:val="en-US"/>
        </w:rPr>
        <w:t>s payoff or barrier level</w:t>
      </w:r>
      <w:r w:rsidR="00D57683">
        <w:rPr>
          <w:rFonts w:cs="Arial"/>
          <w:szCs w:val="20"/>
          <w:lang w:val="en-US"/>
        </w:rPr>
        <w:t>s</w:t>
      </w:r>
      <w:r w:rsidRPr="00407FEE">
        <w:rPr>
          <w:rFonts w:cs="Arial"/>
          <w:szCs w:val="20"/>
          <w:lang w:val="en-US"/>
        </w:rPr>
        <w:t xml:space="preserve">. Even if </w:t>
      </w:r>
      <w:proofErr w:type="spellStart"/>
      <w:r w:rsidRPr="00407FEE">
        <w:rPr>
          <w:rFonts w:cs="Arial"/>
          <w:szCs w:val="20"/>
          <w:lang w:val="en-US"/>
        </w:rPr>
        <w:t>VaR</w:t>
      </w:r>
      <w:proofErr w:type="spellEnd"/>
      <w:r w:rsidRPr="00407FEE">
        <w:rPr>
          <w:rFonts w:cs="Arial"/>
          <w:szCs w:val="20"/>
          <w:lang w:val="en-US"/>
        </w:rPr>
        <w:t xml:space="preserve"> </w:t>
      </w:r>
      <w:proofErr w:type="gramStart"/>
      <w:r w:rsidRPr="00407FEE">
        <w:rPr>
          <w:rFonts w:cs="Arial"/>
          <w:szCs w:val="20"/>
          <w:lang w:val="en-US"/>
        </w:rPr>
        <w:t>is traced</w:t>
      </w:r>
      <w:proofErr w:type="gramEnd"/>
      <w:r w:rsidRPr="00407FEE">
        <w:rPr>
          <w:rFonts w:cs="Arial"/>
          <w:szCs w:val="20"/>
          <w:lang w:val="en-US"/>
        </w:rPr>
        <w:t xml:space="preserve"> back to a volatility level, volatilities will be </w:t>
      </w:r>
      <w:r w:rsidRPr="00407FEE">
        <w:rPr>
          <w:rFonts w:cs="Arial"/>
          <w:szCs w:val="20"/>
          <w:lang w:val="en-US"/>
        </w:rPr>
        <w:lastRenderedPageBreak/>
        <w:t xml:space="preserve">higher or lower with respect to different </w:t>
      </w:r>
      <w:proofErr w:type="spellStart"/>
      <w:r w:rsidRPr="00407FEE">
        <w:rPr>
          <w:rFonts w:cs="Arial"/>
          <w:szCs w:val="20"/>
          <w:lang w:val="en-US"/>
        </w:rPr>
        <w:t>VaR</w:t>
      </w:r>
      <w:proofErr w:type="spellEnd"/>
      <w:r w:rsidRPr="00407FEE">
        <w:rPr>
          <w:rFonts w:cs="Arial"/>
          <w:szCs w:val="20"/>
          <w:lang w:val="en-US"/>
        </w:rPr>
        <w:t xml:space="preserve"> level, giving rise to a clearer distinction between products. Besides, in literature and in practice,</w:t>
      </w:r>
      <w:r w:rsidR="00D57683">
        <w:rPr>
          <w:rFonts w:cs="Arial"/>
          <w:szCs w:val="20"/>
          <w:lang w:val="en-US"/>
        </w:rPr>
        <w:t xml:space="preserve"> the</w:t>
      </w:r>
      <w:r w:rsidRPr="00407FEE">
        <w:rPr>
          <w:rFonts w:cs="Arial"/>
          <w:szCs w:val="20"/>
          <w:lang w:val="en-US"/>
        </w:rPr>
        <w:t xml:space="preserve"> 1% </w:t>
      </w:r>
      <w:proofErr w:type="spellStart"/>
      <w:r w:rsidRPr="00407FEE">
        <w:rPr>
          <w:rFonts w:cs="Arial"/>
          <w:szCs w:val="20"/>
          <w:lang w:val="en-US"/>
        </w:rPr>
        <w:t>VaR</w:t>
      </w:r>
      <w:proofErr w:type="spellEnd"/>
      <w:r w:rsidRPr="00407FEE">
        <w:rPr>
          <w:rFonts w:cs="Arial"/>
          <w:szCs w:val="20"/>
          <w:lang w:val="en-US"/>
        </w:rPr>
        <w:t xml:space="preserve"> is the level mostly used, for risk analyses at product or port</w:t>
      </w:r>
      <w:r w:rsidR="00833D08">
        <w:rPr>
          <w:rFonts w:cs="Arial"/>
          <w:szCs w:val="20"/>
          <w:lang w:val="en-US"/>
        </w:rPr>
        <w:t>f</w:t>
      </w:r>
      <w:r w:rsidRPr="00407FEE">
        <w:rPr>
          <w:rFonts w:cs="Arial"/>
          <w:szCs w:val="20"/>
          <w:lang w:val="en-US"/>
        </w:rPr>
        <w:t>olio level</w:t>
      </w:r>
      <w:r>
        <w:rPr>
          <w:rFonts w:cs="Arial"/>
          <w:szCs w:val="20"/>
          <w:lang w:val="en-US"/>
        </w:rPr>
        <w:t>;</w:t>
      </w:r>
    </w:p>
    <w:p w:rsidR="00504E52" w:rsidRDefault="00407FEE" w:rsidP="00585E3E">
      <w:pPr>
        <w:pStyle w:val="Paragrafoelenco"/>
        <w:numPr>
          <w:ilvl w:val="0"/>
          <w:numId w:val="49"/>
        </w:numPr>
        <w:jc w:val="both"/>
      </w:pPr>
      <w:proofErr w:type="gramStart"/>
      <w:r w:rsidRPr="00407FEE">
        <w:rPr>
          <w:rFonts w:cs="Arial"/>
          <w:szCs w:val="20"/>
          <w:lang w:val="en-US"/>
        </w:rPr>
        <w:t xml:space="preserve">5% confidence interval, which is less dependent on the risk factor tail distribution, will lead to a </w:t>
      </w:r>
      <w:proofErr w:type="spellStart"/>
      <w:r w:rsidRPr="00407FEE">
        <w:rPr>
          <w:rFonts w:cs="Arial"/>
          <w:szCs w:val="20"/>
          <w:lang w:val="en-US"/>
        </w:rPr>
        <w:t>VaR</w:t>
      </w:r>
      <w:proofErr w:type="spellEnd"/>
      <w:r w:rsidRPr="00407FEE">
        <w:rPr>
          <w:rFonts w:cs="Arial"/>
          <w:szCs w:val="20"/>
          <w:lang w:val="en-US"/>
        </w:rPr>
        <w:t xml:space="preserve"> </w:t>
      </w:r>
      <w:r w:rsidR="00A77ED3" w:rsidRPr="00407FEE">
        <w:rPr>
          <w:rFonts w:cs="Arial"/>
          <w:szCs w:val="20"/>
          <w:lang w:val="en-US"/>
        </w:rPr>
        <w:t>behavior</w:t>
      </w:r>
      <w:r w:rsidRPr="00407FEE">
        <w:rPr>
          <w:rFonts w:cs="Arial"/>
          <w:szCs w:val="20"/>
          <w:lang w:val="en-US"/>
        </w:rPr>
        <w:t xml:space="preserve"> more akin to pure volatility, which is the measure already adopted by ESMA for UCITS, </w:t>
      </w:r>
      <w:r w:rsidR="00D57683">
        <w:rPr>
          <w:rFonts w:cs="Arial"/>
          <w:szCs w:val="20"/>
          <w:lang w:val="en-US"/>
        </w:rPr>
        <w:t xml:space="preserve">it must also be </w:t>
      </w:r>
      <w:r w:rsidRPr="00407FEE">
        <w:rPr>
          <w:rFonts w:cs="Arial"/>
          <w:szCs w:val="20"/>
          <w:lang w:val="en-US"/>
        </w:rPr>
        <w:t>consider</w:t>
      </w:r>
      <w:r w:rsidR="00D57683">
        <w:rPr>
          <w:rFonts w:cs="Arial"/>
          <w:szCs w:val="20"/>
          <w:lang w:val="en-US"/>
        </w:rPr>
        <w:t xml:space="preserve">ed </w:t>
      </w:r>
      <w:r w:rsidRPr="00407FEE">
        <w:rPr>
          <w:rFonts w:cs="Arial"/>
          <w:szCs w:val="20"/>
          <w:lang w:val="en-US"/>
        </w:rPr>
        <w:t xml:space="preserve">that the final SRI goal is to provide an ordinal ranking of products (assuming that this will be more understandable </w:t>
      </w:r>
      <w:r w:rsidR="00D57683">
        <w:rPr>
          <w:rFonts w:cs="Arial"/>
          <w:szCs w:val="20"/>
          <w:lang w:val="en-US"/>
        </w:rPr>
        <w:t>to</w:t>
      </w:r>
      <w:r w:rsidRPr="00407FEE">
        <w:rPr>
          <w:rFonts w:cs="Arial"/>
          <w:szCs w:val="20"/>
          <w:lang w:val="en-US"/>
        </w:rPr>
        <w:t xml:space="preserve"> retail investors), rather than a precise measure of risk over a specific time interval.</w:t>
      </w:r>
      <w:proofErr w:type="gramEnd"/>
    </w:p>
    <w:permEnd w:id="1456435139"/>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654FB5" w:rsidRPr="00654FB5" w:rsidRDefault="00833D08" w:rsidP="00654FB5">
      <w:pPr>
        <w:autoSpaceDE w:val="0"/>
        <w:autoSpaceDN w:val="0"/>
        <w:adjustRightInd w:val="0"/>
        <w:jc w:val="both"/>
        <w:rPr>
          <w:rFonts w:cs="Arial"/>
          <w:szCs w:val="20"/>
          <w:lang w:val="en-US"/>
        </w:rPr>
      </w:pPr>
      <w:permStart w:id="1681330229" w:edGrp="everyone"/>
      <w:r>
        <w:rPr>
          <w:b/>
        </w:rPr>
        <w:t xml:space="preserve"> </w:t>
      </w:r>
      <w:r w:rsidR="00654FB5" w:rsidRPr="00654FB5">
        <w:rPr>
          <w:rFonts w:cs="Arial"/>
          <w:szCs w:val="20"/>
          <w:lang w:val="en-US"/>
        </w:rPr>
        <w:t xml:space="preserve">We </w:t>
      </w:r>
      <w:r w:rsidR="00A03561">
        <w:rPr>
          <w:rFonts w:cs="Arial"/>
          <w:szCs w:val="20"/>
          <w:lang w:val="en-US"/>
        </w:rPr>
        <w:t xml:space="preserve">reiterate </w:t>
      </w:r>
      <w:r w:rsidR="00654FB5" w:rsidRPr="00654FB5">
        <w:rPr>
          <w:rFonts w:cs="Arial"/>
          <w:szCs w:val="20"/>
          <w:lang w:val="en-US"/>
        </w:rPr>
        <w:t xml:space="preserve">our </w:t>
      </w:r>
      <w:r w:rsidR="009917C0">
        <w:rPr>
          <w:rFonts w:cs="Arial"/>
          <w:szCs w:val="20"/>
          <w:lang w:val="en-US"/>
        </w:rPr>
        <w:t>approval</w:t>
      </w:r>
      <w:r w:rsidR="00654FB5" w:rsidRPr="00654FB5">
        <w:rPr>
          <w:rFonts w:cs="Arial"/>
          <w:szCs w:val="20"/>
          <w:lang w:val="en-US"/>
        </w:rPr>
        <w:t xml:space="preserve"> for the adoption of a qualitative measure of credit risk and, notably, for credit rating. </w:t>
      </w:r>
    </w:p>
    <w:p w:rsidR="00654FB5" w:rsidRPr="00654FB5" w:rsidRDefault="00654FB5" w:rsidP="00654FB5">
      <w:pPr>
        <w:autoSpaceDE w:val="0"/>
        <w:autoSpaceDN w:val="0"/>
        <w:adjustRightInd w:val="0"/>
        <w:jc w:val="both"/>
        <w:rPr>
          <w:rFonts w:cs="Arial"/>
          <w:szCs w:val="20"/>
          <w:lang w:val="en-US"/>
        </w:rPr>
      </w:pPr>
    </w:p>
    <w:p w:rsidR="00654FB5" w:rsidRPr="00654FB5" w:rsidRDefault="00654FB5" w:rsidP="00654FB5">
      <w:pPr>
        <w:autoSpaceDE w:val="0"/>
        <w:autoSpaceDN w:val="0"/>
        <w:adjustRightInd w:val="0"/>
        <w:jc w:val="both"/>
        <w:rPr>
          <w:rFonts w:cs="Arial"/>
          <w:szCs w:val="20"/>
          <w:lang w:val="en-US"/>
        </w:rPr>
      </w:pPr>
      <w:r w:rsidRPr="00654FB5">
        <w:rPr>
          <w:rFonts w:cs="Arial"/>
          <w:szCs w:val="20"/>
          <w:lang w:val="en-US"/>
        </w:rPr>
        <w:t xml:space="preserve">We agree with the proposed methodology contained in paragraphs 55 to 58 of the document. However, </w:t>
      </w:r>
      <w:r w:rsidR="009917C0">
        <w:rPr>
          <w:rFonts w:cs="Arial"/>
          <w:szCs w:val="20"/>
          <w:lang w:val="en-US"/>
        </w:rPr>
        <w:t xml:space="preserve">an absence of </w:t>
      </w:r>
      <w:r w:rsidRPr="00654FB5">
        <w:rPr>
          <w:rFonts w:cs="Arial"/>
          <w:szCs w:val="20"/>
          <w:lang w:val="en-US"/>
        </w:rPr>
        <w:t>credit rating does</w:t>
      </w:r>
      <w:r w:rsidR="009917C0">
        <w:rPr>
          <w:rFonts w:cs="Arial"/>
          <w:szCs w:val="20"/>
          <w:lang w:val="en-US"/>
        </w:rPr>
        <w:t xml:space="preserve"> </w:t>
      </w:r>
      <w:r w:rsidRPr="00654FB5">
        <w:rPr>
          <w:rFonts w:cs="Arial"/>
          <w:szCs w:val="20"/>
          <w:lang w:val="en-US"/>
        </w:rPr>
        <w:t>n</w:t>
      </w:r>
      <w:r w:rsidR="009917C0">
        <w:rPr>
          <w:rFonts w:cs="Arial"/>
          <w:szCs w:val="20"/>
          <w:lang w:val="en-US"/>
        </w:rPr>
        <w:t xml:space="preserve">ot entail a greater </w:t>
      </w:r>
      <w:r w:rsidRPr="00654FB5">
        <w:rPr>
          <w:rFonts w:cs="Arial"/>
          <w:szCs w:val="20"/>
          <w:lang w:val="en-US"/>
        </w:rPr>
        <w:t xml:space="preserve">credit risk is higher </w:t>
      </w:r>
      <w:r w:rsidR="009917C0">
        <w:rPr>
          <w:rFonts w:cs="Arial"/>
          <w:szCs w:val="20"/>
          <w:lang w:val="en-US"/>
        </w:rPr>
        <w:t>as compared to a</w:t>
      </w:r>
      <w:r w:rsidRPr="00654FB5">
        <w:rPr>
          <w:rFonts w:cs="Arial"/>
          <w:szCs w:val="20"/>
          <w:lang w:val="en-US"/>
        </w:rPr>
        <w:t xml:space="preserve"> rated issuer. </w:t>
      </w:r>
    </w:p>
    <w:p w:rsidR="00654FB5" w:rsidRPr="00654FB5" w:rsidRDefault="00654FB5" w:rsidP="00654FB5">
      <w:pPr>
        <w:autoSpaceDE w:val="0"/>
        <w:autoSpaceDN w:val="0"/>
        <w:adjustRightInd w:val="0"/>
        <w:jc w:val="both"/>
        <w:rPr>
          <w:rFonts w:cs="Arial"/>
          <w:szCs w:val="20"/>
          <w:lang w:val="en-US"/>
        </w:rPr>
      </w:pPr>
    </w:p>
    <w:p w:rsidR="00654FB5" w:rsidRPr="00654FB5" w:rsidRDefault="006B5A23" w:rsidP="00654FB5">
      <w:pPr>
        <w:autoSpaceDE w:val="0"/>
        <w:autoSpaceDN w:val="0"/>
        <w:adjustRightInd w:val="0"/>
        <w:jc w:val="both"/>
        <w:rPr>
          <w:rFonts w:cs="Arial"/>
          <w:szCs w:val="20"/>
          <w:lang w:val="en-US"/>
        </w:rPr>
      </w:pPr>
      <w:r>
        <w:rPr>
          <w:rFonts w:cs="Arial"/>
          <w:szCs w:val="20"/>
          <w:lang w:val="en-US"/>
        </w:rPr>
        <w:t xml:space="preserve">Indeed, when </w:t>
      </w:r>
      <w:r w:rsidR="00654FB5" w:rsidRPr="00654FB5">
        <w:rPr>
          <w:rFonts w:cs="Arial"/>
          <w:szCs w:val="20"/>
          <w:lang w:val="en-US"/>
        </w:rPr>
        <w:t>a compensation or guarantee scheme</w:t>
      </w:r>
      <w:r>
        <w:rPr>
          <w:rFonts w:cs="Arial"/>
          <w:szCs w:val="20"/>
          <w:lang w:val="en-US"/>
        </w:rPr>
        <w:t xml:space="preserve"> exists, we believe</w:t>
      </w:r>
      <w:r w:rsidRPr="006B5A23">
        <w:rPr>
          <w:rFonts w:cs="Arial"/>
          <w:szCs w:val="20"/>
          <w:lang w:val="en-US"/>
        </w:rPr>
        <w:t xml:space="preserve"> a credit risk assessment </w:t>
      </w:r>
      <w:proofErr w:type="gramStart"/>
      <w:r w:rsidRPr="006B5A23">
        <w:rPr>
          <w:rFonts w:cs="Arial"/>
          <w:szCs w:val="20"/>
          <w:lang w:val="en-US"/>
        </w:rPr>
        <w:t>should be taken</w:t>
      </w:r>
      <w:proofErr w:type="gramEnd"/>
      <w:r w:rsidRPr="006B5A23">
        <w:rPr>
          <w:rFonts w:cs="Arial"/>
          <w:szCs w:val="20"/>
          <w:lang w:val="en-US"/>
        </w:rPr>
        <w:t xml:space="preserve"> into consideration. Otherwise, unrated issuers belonging to a protection scheme </w:t>
      </w:r>
      <w:proofErr w:type="gramStart"/>
      <w:r w:rsidRPr="006B5A23">
        <w:rPr>
          <w:rFonts w:cs="Arial"/>
          <w:szCs w:val="20"/>
          <w:lang w:val="en-US"/>
        </w:rPr>
        <w:t>could be (erroneously) considered</w:t>
      </w:r>
      <w:proofErr w:type="gramEnd"/>
      <w:r w:rsidRPr="006B5A23">
        <w:rPr>
          <w:rFonts w:cs="Arial"/>
          <w:szCs w:val="20"/>
          <w:lang w:val="en-US"/>
        </w:rPr>
        <w:t xml:space="preserve"> as risky. </w:t>
      </w:r>
      <w:r w:rsidR="00BD78D1">
        <w:rPr>
          <w:rFonts w:cs="Arial"/>
          <w:szCs w:val="20"/>
          <w:lang w:val="en-US"/>
        </w:rPr>
        <w:t xml:space="preserve"> </w:t>
      </w:r>
      <w:r w:rsidR="00654FB5" w:rsidRPr="00654FB5">
        <w:rPr>
          <w:rFonts w:cs="Arial"/>
          <w:szCs w:val="20"/>
          <w:lang w:val="en-US"/>
        </w:rPr>
        <w:t xml:space="preserve"> </w:t>
      </w:r>
    </w:p>
    <w:p w:rsidR="00654FB5" w:rsidRPr="00654FB5" w:rsidRDefault="00654FB5" w:rsidP="00654FB5">
      <w:pPr>
        <w:jc w:val="both"/>
        <w:rPr>
          <w:rFonts w:cs="Arial"/>
          <w:szCs w:val="20"/>
          <w:lang w:val="en-US"/>
        </w:rPr>
      </w:pPr>
    </w:p>
    <w:p w:rsidR="00654FB5" w:rsidRPr="00654FB5" w:rsidRDefault="00654FB5" w:rsidP="00654FB5">
      <w:pPr>
        <w:jc w:val="both"/>
        <w:rPr>
          <w:rFonts w:cs="Arial"/>
          <w:szCs w:val="20"/>
          <w:lang w:val="en-US"/>
        </w:rPr>
      </w:pPr>
      <w:proofErr w:type="gramStart"/>
      <w:r w:rsidRPr="00654FB5">
        <w:rPr>
          <w:rFonts w:cs="Arial"/>
          <w:szCs w:val="20"/>
          <w:lang w:val="en-US"/>
        </w:rPr>
        <w:t>Generally</w:t>
      </w:r>
      <w:r w:rsidR="00B95730">
        <w:rPr>
          <w:rFonts w:cs="Arial"/>
          <w:szCs w:val="20"/>
          <w:lang w:val="en-US"/>
        </w:rPr>
        <w:t xml:space="preserve"> speaking</w:t>
      </w:r>
      <w:r w:rsidRPr="00654FB5">
        <w:rPr>
          <w:rFonts w:cs="Arial"/>
          <w:szCs w:val="20"/>
          <w:lang w:val="en-US"/>
        </w:rPr>
        <w:t>, small</w:t>
      </w:r>
      <w:proofErr w:type="gramEnd"/>
      <w:r w:rsidRPr="00654FB5">
        <w:rPr>
          <w:rFonts w:cs="Arial"/>
          <w:szCs w:val="20"/>
          <w:lang w:val="en-US"/>
        </w:rPr>
        <w:t xml:space="preserve"> banks are not listed on the capital markets</w:t>
      </w:r>
      <w:r w:rsidR="00B95730">
        <w:rPr>
          <w:rFonts w:cs="Arial"/>
          <w:szCs w:val="20"/>
          <w:lang w:val="en-US"/>
        </w:rPr>
        <w:t xml:space="preserve">. It follows that </w:t>
      </w:r>
      <w:proofErr w:type="gramStart"/>
      <w:r w:rsidR="00B95730">
        <w:rPr>
          <w:rFonts w:cs="Arial"/>
          <w:szCs w:val="20"/>
          <w:lang w:val="en-US"/>
        </w:rPr>
        <w:t xml:space="preserve">they are </w:t>
      </w:r>
      <w:r w:rsidRPr="00654FB5">
        <w:rPr>
          <w:rFonts w:cs="Arial"/>
          <w:szCs w:val="20"/>
          <w:lang w:val="en-US"/>
        </w:rPr>
        <w:t>not rated by a Credit Rating Agency</w:t>
      </w:r>
      <w:proofErr w:type="gramEnd"/>
      <w:r w:rsidRPr="00654FB5">
        <w:rPr>
          <w:rFonts w:cs="Arial"/>
          <w:szCs w:val="20"/>
          <w:lang w:val="en-US"/>
        </w:rPr>
        <w:t xml:space="preserve">. However, in many cases, they have developed a Guarantee scheme (such as the Italian co-operative “Bondholders Protection Scheme”) which </w:t>
      </w:r>
      <w:proofErr w:type="gramStart"/>
      <w:r>
        <w:rPr>
          <w:rFonts w:cs="Arial"/>
          <w:szCs w:val="20"/>
          <w:lang w:val="en-US"/>
        </w:rPr>
        <w:t xml:space="preserve">is </w:t>
      </w:r>
      <w:r w:rsidRPr="00654FB5">
        <w:rPr>
          <w:rFonts w:cs="Arial"/>
          <w:szCs w:val="20"/>
          <w:lang w:val="en-US"/>
        </w:rPr>
        <w:t>expressly intended</w:t>
      </w:r>
      <w:proofErr w:type="gramEnd"/>
      <w:r w:rsidRPr="00654FB5">
        <w:rPr>
          <w:rFonts w:cs="Arial"/>
          <w:szCs w:val="20"/>
          <w:lang w:val="en-US"/>
        </w:rPr>
        <w:t xml:space="preserve"> to protect investors from credit risk.  </w:t>
      </w:r>
    </w:p>
    <w:p w:rsidR="00654FB5" w:rsidRPr="00654FB5" w:rsidRDefault="00654FB5" w:rsidP="00654FB5">
      <w:pPr>
        <w:autoSpaceDE w:val="0"/>
        <w:autoSpaceDN w:val="0"/>
        <w:adjustRightInd w:val="0"/>
        <w:jc w:val="both"/>
        <w:rPr>
          <w:rFonts w:cs="Arial"/>
          <w:szCs w:val="20"/>
          <w:lang w:val="en-US"/>
        </w:rPr>
      </w:pPr>
    </w:p>
    <w:p w:rsidR="0048613D" w:rsidRPr="00654FB5" w:rsidRDefault="00B95730" w:rsidP="00654FB5">
      <w:pPr>
        <w:jc w:val="both"/>
        <w:rPr>
          <w:rFonts w:cs="Arial"/>
          <w:szCs w:val="20"/>
          <w:lang w:val="en-US"/>
        </w:rPr>
      </w:pPr>
      <w:r>
        <w:rPr>
          <w:rFonts w:cs="Arial"/>
          <w:szCs w:val="20"/>
          <w:lang w:val="en-US"/>
        </w:rPr>
        <w:t xml:space="preserve">In such a light, </w:t>
      </w:r>
      <w:r w:rsidRPr="00B95730">
        <w:rPr>
          <w:rFonts w:cs="Arial"/>
          <w:szCs w:val="20"/>
          <w:lang w:val="en-US"/>
        </w:rPr>
        <w:t xml:space="preserve">we feel it to be inappropriate to attribute Category V to this kind of PRIIPs. The presence of this guarantee </w:t>
      </w:r>
      <w:proofErr w:type="gramStart"/>
      <w:r w:rsidRPr="00B95730">
        <w:rPr>
          <w:rFonts w:cs="Arial"/>
          <w:szCs w:val="20"/>
          <w:lang w:val="en-US"/>
        </w:rPr>
        <w:t>should be regarded</w:t>
      </w:r>
      <w:proofErr w:type="gramEnd"/>
      <w:r w:rsidRPr="00B95730">
        <w:rPr>
          <w:rFonts w:cs="Arial"/>
          <w:szCs w:val="20"/>
          <w:lang w:val="en-US"/>
        </w:rPr>
        <w:t xml:space="preserve"> as a risk factor </w:t>
      </w:r>
      <w:proofErr w:type="spellStart"/>
      <w:r w:rsidRPr="00B95730">
        <w:rPr>
          <w:rFonts w:cs="Arial"/>
          <w:szCs w:val="20"/>
          <w:lang w:val="en-US"/>
        </w:rPr>
        <w:t>mitigant</w:t>
      </w:r>
      <w:proofErr w:type="spellEnd"/>
      <w:r w:rsidRPr="00B95730">
        <w:rPr>
          <w:rFonts w:cs="Arial"/>
          <w:szCs w:val="20"/>
          <w:lang w:val="en-US"/>
        </w:rPr>
        <w:t>. For example, a letter to paragraph 66 could be included stating that in the event of guarantee scheme the credit risk should be decreased by 2 notches</w:t>
      </w:r>
      <w:r w:rsidR="00654FB5" w:rsidRPr="00654FB5">
        <w:rPr>
          <w:rFonts w:cs="Arial"/>
          <w:szCs w:val="20"/>
          <w:lang w:val="en-US"/>
        </w:rPr>
        <w:t>.</w:t>
      </w:r>
    </w:p>
    <w:permEnd w:id="1681330229"/>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8067FF" w:rsidRDefault="008067FF" w:rsidP="008067FF">
      <w:pPr>
        <w:jc w:val="both"/>
      </w:pPr>
      <w:permStart w:id="1802392447" w:edGrp="everyone"/>
      <w:r>
        <w:t xml:space="preserve">A voluntary increase of the SRI does not find favour with us because it might hamper the level playing field and fair comparison of similar bank products. </w:t>
      </w:r>
    </w:p>
    <w:p w:rsidR="008067FF" w:rsidRDefault="008067FF" w:rsidP="008067FF">
      <w:pPr>
        <w:jc w:val="both"/>
      </w:pPr>
    </w:p>
    <w:p w:rsidR="008067FF" w:rsidRDefault="008067FF" w:rsidP="008067FF">
      <w:pPr>
        <w:jc w:val="both"/>
      </w:pPr>
      <w:proofErr w:type="spellStart"/>
      <w:r>
        <w:t>Discretionality</w:t>
      </w:r>
      <w:proofErr w:type="spellEnd"/>
      <w:r>
        <w:t xml:space="preserve"> </w:t>
      </w:r>
      <w:proofErr w:type="gramStart"/>
      <w:r>
        <w:t>should be kept</w:t>
      </w:r>
      <w:proofErr w:type="gramEnd"/>
      <w:r>
        <w:t xml:space="preserve"> to a minimum if we wish to reduce (</w:t>
      </w:r>
      <w:proofErr w:type="spellStart"/>
      <w:r>
        <w:t>i</w:t>
      </w:r>
      <w:proofErr w:type="spellEnd"/>
      <w:r>
        <w:t>) differences between product manufacturers and (ii) keep SRI calculations simple. Furthermore, if we allow for more disclosure, this will lead to the KID being less standardized between manufacturers and more difficult to understand.</w:t>
      </w:r>
    </w:p>
    <w:p w:rsidR="008067FF" w:rsidRDefault="008067FF" w:rsidP="008067FF">
      <w:pPr>
        <w:jc w:val="both"/>
      </w:pPr>
    </w:p>
    <w:p w:rsidR="008067FF" w:rsidRDefault="008067FF" w:rsidP="001F0407">
      <w:pPr>
        <w:jc w:val="both"/>
      </w:pPr>
      <w:r>
        <w:t>Moreover, what would happen if (and where would responsibility lie?) a product manufacturer voluntarily opted not increase the disclosed SRI.</w:t>
      </w:r>
    </w:p>
    <w:permEnd w:id="1802392447"/>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lastRenderedPageBreak/>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8F413E" w:rsidRDefault="008F413E" w:rsidP="003E4B00">
      <w:permStart w:id="111619895" w:edGrp="everyone"/>
      <w:r w:rsidRPr="008F413E">
        <w:t>In our view, a reasonable proposal could be to introduce a credit risk adjustment for the tenor, by adopting a ballpark solution, for instance.</w:t>
      </w:r>
    </w:p>
    <w:permEnd w:id="111619895"/>
    <w:p w:rsidR="003E4B00" w:rsidRPr="00580880" w:rsidRDefault="003E4B00" w:rsidP="003E4B00">
      <w:pPr>
        <w:rPr>
          <w:lang w:val="fr-FR"/>
        </w:rPr>
      </w:pPr>
      <w:proofErr w:type="gramStart"/>
      <w:r w:rsidRPr="00580880">
        <w:rPr>
          <w:lang w:val="fr-FR"/>
        </w:rPr>
        <w:t>&lt;</w:t>
      </w:r>
      <w:proofErr w:type="gramEnd"/>
      <w:r w:rsidRPr="00580880">
        <w:rPr>
          <w:lang w:val="fr-FR"/>
        </w:rPr>
        <w: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Pr="00163009" w:rsidRDefault="00163009" w:rsidP="003E4B00">
      <w:permStart w:id="770405317" w:edGrp="everyone"/>
      <w:r w:rsidRPr="00163009">
        <w:t>TYPE YOUR TEXT HERE</w:t>
      </w:r>
    </w:p>
    <w:permEnd w:id="770405317"/>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035679" w:rsidRDefault="005B58C3" w:rsidP="00035679">
      <w:pPr>
        <w:jc w:val="both"/>
      </w:pPr>
      <w:permStart w:id="1601190244" w:edGrp="everyone"/>
      <w:r>
        <w:t xml:space="preserve"> </w:t>
      </w:r>
      <w:r w:rsidR="00035679">
        <w:t xml:space="preserve">If feasible, we prefer the option of assigning a qualitative assessment and automatic allocation to MRM class 1 for PRIIPS </w:t>
      </w:r>
      <w:proofErr w:type="gramStart"/>
      <w:r w:rsidR="00035679">
        <w:t>that offer a capital protection during their entire lifespan and which are redeemable against their initial investment at any given time in the PRIIP's lifespan</w:t>
      </w:r>
      <w:proofErr w:type="gramEnd"/>
      <w:r w:rsidR="00035679">
        <w:t>.</w:t>
      </w:r>
    </w:p>
    <w:p w:rsidR="00035679" w:rsidRDefault="00035679" w:rsidP="00035679">
      <w:pPr>
        <w:jc w:val="both"/>
      </w:pPr>
    </w:p>
    <w:p w:rsidR="00035679" w:rsidRDefault="00035679" w:rsidP="00035679">
      <w:pPr>
        <w:jc w:val="both"/>
      </w:pPr>
      <w:r>
        <w:t xml:space="preserve">This consideration </w:t>
      </w:r>
      <w:proofErr w:type="gramStart"/>
      <w:r>
        <w:t>should be extended</w:t>
      </w:r>
      <w:proofErr w:type="gramEnd"/>
      <w:r>
        <w:t xml:space="preserve"> to all financial products offering a total guarantee.</w:t>
      </w:r>
    </w:p>
    <w:p w:rsidR="00035679" w:rsidRDefault="00035679" w:rsidP="00035679">
      <w:pPr>
        <w:jc w:val="both"/>
      </w:pPr>
    </w:p>
    <w:p w:rsidR="00035679" w:rsidRDefault="00035679" w:rsidP="00035679">
      <w:pPr>
        <w:jc w:val="both"/>
      </w:pPr>
      <w:r>
        <w:t xml:space="preserve">Clarification </w:t>
      </w:r>
      <w:proofErr w:type="gramStart"/>
      <w:r>
        <w:t>is also needed</w:t>
      </w:r>
      <w:proofErr w:type="gramEnd"/>
      <w:r>
        <w:t xml:space="preserve"> on how to consider multiple option products in the circumstances where one of the options offers protection and the other ones do not</w:t>
      </w:r>
      <w:r>
        <w:t>.</w:t>
      </w:r>
    </w:p>
    <w:permEnd w:id="1601190244"/>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1D4379" w:rsidP="001D4379">
      <w:pPr>
        <w:jc w:val="both"/>
      </w:pPr>
      <w:permStart w:id="1577589343" w:edGrp="everyone"/>
      <w:r w:rsidRPr="001D4379">
        <w:t>Whenever a privilege is regulated for credits claimed by investors against insurance companies (related to the subscribed contracts) as compared to other creditors against insurance companies, it seems only right to take (ii) into account for credit risk mitigation</w:t>
      </w:r>
      <w:r>
        <w:t>.</w:t>
      </w:r>
    </w:p>
    <w:permEnd w:id="1577589343"/>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592C30" w:rsidP="003E4B00">
      <w:permStart w:id="1427970501" w:edGrp="everyone"/>
      <w:r w:rsidRPr="00592C30">
        <w:t>In our view, the look-through approach for credit risk assessment of a PRIIP packaged into another PRIIP is appropriate and reasonable.</w:t>
      </w:r>
    </w:p>
    <w:permEnd w:id="1427970501"/>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F43232" w:rsidRDefault="00F43232" w:rsidP="00F43232">
      <w:pPr>
        <w:jc w:val="both"/>
      </w:pPr>
      <w:permStart w:id="1140028338" w:edGrp="everyone"/>
      <w:r>
        <w:t xml:space="preserve">In our opinion, currency risk is not intrinsic to the product </w:t>
      </w:r>
      <w:proofErr w:type="gramStart"/>
      <w:r>
        <w:t>therefore</w:t>
      </w:r>
      <w:proofErr w:type="gramEnd"/>
      <w:r>
        <w:t xml:space="preserve"> we do not feel it needs to be taken into account by the SRI. It could be an idea to add a narrative alert in order to provide investors with information about this kind of risk.</w:t>
      </w:r>
    </w:p>
    <w:p w:rsidR="00F43232" w:rsidRDefault="00F43232" w:rsidP="00F43232">
      <w:pPr>
        <w:jc w:val="both"/>
      </w:pPr>
    </w:p>
    <w:p w:rsidR="00F43232" w:rsidRDefault="00F43232" w:rsidP="00F43232">
      <w:pPr>
        <w:jc w:val="both"/>
      </w:pPr>
      <w:r>
        <w:t xml:space="preserve">However, it must be emphasised that the choice of issuing/structuring products in a currency other than the local one usually stems from an intention to render </w:t>
      </w:r>
      <w:proofErr w:type="gramStart"/>
      <w:r>
        <w:t>coupon structured</w:t>
      </w:r>
      <w:proofErr w:type="gramEnd"/>
      <w:r>
        <w:t xml:space="preserve"> products more attractive. In the light of this, an accurate disclosure of the product’s risk/return profile should take existing currency risks into due consideration and include them in the SRI.</w:t>
      </w:r>
    </w:p>
    <w:permEnd w:id="1140028338"/>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CB2ED4" w:rsidRDefault="00CB2ED4" w:rsidP="003E4B00">
      <w:permStart w:id="653857199" w:edGrp="everyone"/>
      <w:r>
        <w:t>In our view</w:t>
      </w:r>
      <w:r w:rsidR="002545B7">
        <w:t>,</w:t>
      </w:r>
      <w:r>
        <w:t xml:space="preserve"> </w:t>
      </w:r>
      <w:r w:rsidR="001E1FFC">
        <w:t>t</w:t>
      </w:r>
      <w:r w:rsidRPr="00CB2ED4">
        <w:t>he current Consultation Paper addresses this issue</w:t>
      </w:r>
      <w:r w:rsidR="00007FAD">
        <w:t xml:space="preserve"> </w:t>
      </w:r>
      <w:r w:rsidR="00007FAD" w:rsidRPr="00007FAD">
        <w:t>sufficiently</w:t>
      </w:r>
      <w:r>
        <w:t>.</w:t>
      </w:r>
    </w:p>
    <w:permEnd w:id="653857199"/>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CF053A" w:rsidP="003E4B00">
      <w:permStart w:id="1490182722" w:edGrp="everyone"/>
      <w:r>
        <w:t>TYPE YOUR TEXT HERE</w:t>
      </w:r>
    </w:p>
    <w:permEnd w:id="1490182722"/>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CF053A" w:rsidP="00CF053A">
      <w:pPr>
        <w:jc w:val="both"/>
      </w:pPr>
      <w:permStart w:id="1837187432" w:edGrp="everyone"/>
      <w:r>
        <w:t xml:space="preserve"> </w:t>
      </w:r>
      <w:r w:rsidR="007423B4" w:rsidRPr="007423B4">
        <w:t>The presentation of the performance scenarios in table form is preferable. We feel it would be more comprehensible to investors, especially for insurance-based product scenarios involving insurance coverage.</w:t>
      </w:r>
    </w:p>
    <w:permEnd w:id="1837187432"/>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9F1DD9" w:rsidP="003E4B00">
      <w:permStart w:id="628050332" w:edGrp="everyone"/>
      <w:r>
        <w:t>TYPE YPUR TEXT HERE</w:t>
      </w:r>
    </w:p>
    <w:permEnd w:id="628050332"/>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9F1DD9" w:rsidP="003E4B00">
      <w:permStart w:id="863390766" w:edGrp="everyone"/>
      <w:r w:rsidRPr="009F1DD9">
        <w:t>TYPE YPUR TEXT HERE</w:t>
      </w:r>
    </w:p>
    <w:permEnd w:id="863390766"/>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AC189B" w:rsidRDefault="00AC189B" w:rsidP="00AC189B">
      <w:pPr>
        <w:jc w:val="both"/>
      </w:pPr>
      <w:permStart w:id="1022523965" w:edGrp="everyone"/>
      <w:r w:rsidRPr="00AC189B">
        <w:t xml:space="preserve">We concur that the monetary values indicated in the first table summarise the costs over the respective holding periods. This presentation seems more consistent with the benefit values on the same dates. </w:t>
      </w:r>
      <w:proofErr w:type="gramStart"/>
      <w:r w:rsidRPr="00AC189B">
        <w:t>But</w:t>
      </w:r>
      <w:proofErr w:type="gramEnd"/>
      <w:r w:rsidRPr="00AC189B">
        <w:t xml:space="preserve"> it must not be forgotten that the RIY is the annual internal rate of return referring to the three different dates indicated in the “Costs over time” table presented in </w:t>
      </w:r>
      <w:proofErr w:type="spellStart"/>
      <w:r w:rsidRPr="00AC189B">
        <w:t>pag</w:t>
      </w:r>
      <w:proofErr w:type="spellEnd"/>
      <w:r w:rsidRPr="00AC189B">
        <w:t xml:space="preserve">. </w:t>
      </w:r>
      <w:proofErr w:type="gramStart"/>
      <w:r w:rsidRPr="00AC189B">
        <w:t>73</w:t>
      </w:r>
      <w:proofErr w:type="gramEnd"/>
      <w:r w:rsidRPr="00AC189B">
        <w:t xml:space="preserve"> of the Consultation Paper.</w:t>
      </w:r>
    </w:p>
    <w:permEnd w:id="1022523965"/>
    <w:p w:rsidR="003E4B00" w:rsidRPr="003E4B00" w:rsidRDefault="003E4B00" w:rsidP="003E4B00">
      <w:pPr>
        <w:rPr>
          <w:lang w:val="fr-FR"/>
        </w:rPr>
      </w:pPr>
      <w:r w:rsidRPr="00580880">
        <w:rPr>
          <w:lang w:val="fr-FR"/>
        </w:rPr>
        <w:lastRenderedPageBreak/>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Pr="009F1DD9" w:rsidRDefault="00E232CD" w:rsidP="003E4B00">
      <w:permStart w:id="1471366527" w:edGrp="everyone"/>
      <w:r w:rsidRPr="00E232CD">
        <w:t>Estimating the fair value of the biometric risk premium could lead to technical and practical difficulties, especially for products where the insured biometric risk is small in comparison with the investment amount.</w:t>
      </w:r>
    </w:p>
    <w:permEnd w:id="1471366527"/>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5211FF" w:rsidRDefault="005211FF" w:rsidP="005211FF">
      <w:pPr>
        <w:jc w:val="both"/>
      </w:pPr>
      <w:permStart w:id="713898785" w:edGrp="everyone"/>
      <w:r>
        <w:t xml:space="preserve">If the RYI refers to the scenario in which the biometric risk is absent, the overall costs of the insurance coverage from the indicator </w:t>
      </w:r>
      <w:proofErr w:type="gramStart"/>
      <w:r>
        <w:t>could be omitted</w:t>
      </w:r>
      <w:proofErr w:type="gramEnd"/>
      <w:r>
        <w:t xml:space="preserve">, especially if the biometric risk is small. This way the consumer </w:t>
      </w:r>
      <w:proofErr w:type="gramStart"/>
      <w:r>
        <w:t>would be provided</w:t>
      </w:r>
      <w:proofErr w:type="gramEnd"/>
      <w:r>
        <w:t xml:space="preserve"> with a cost indication only relating to the financial product outcome. </w:t>
      </w:r>
    </w:p>
    <w:p w:rsidR="005211FF" w:rsidRDefault="005211FF" w:rsidP="005211FF">
      <w:pPr>
        <w:jc w:val="both"/>
      </w:pPr>
    </w:p>
    <w:p w:rsidR="00491E49" w:rsidRPr="00587DD2" w:rsidRDefault="005211FF" w:rsidP="00587DD2">
      <w:pPr>
        <w:jc w:val="both"/>
      </w:pPr>
      <w:r>
        <w:t xml:space="preserve">The investor </w:t>
      </w:r>
      <w:proofErr w:type="gramStart"/>
      <w:r>
        <w:t>could be informed</w:t>
      </w:r>
      <w:proofErr w:type="gramEnd"/>
      <w:r>
        <w:t xml:space="preserve"> about the overall biometric risk premium in a separate line. It could figure as an additional cost referring to the scenario where the insurance coverage is present.</w:t>
      </w:r>
    </w:p>
    <w:permEnd w:id="713898785"/>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A748CE" w:rsidRDefault="00A748CE" w:rsidP="00A748CE">
      <w:pPr>
        <w:jc w:val="both"/>
      </w:pPr>
      <w:permStart w:id="301009767" w:edGrp="everyone"/>
      <w:r>
        <w:t xml:space="preserve">This point deserves careful deliberation and the following aspects </w:t>
      </w:r>
      <w:proofErr w:type="gramStart"/>
      <w:r>
        <w:t>must be attentively weighed up</w:t>
      </w:r>
      <w:proofErr w:type="gramEnd"/>
      <w:r>
        <w:t>:</w:t>
      </w:r>
    </w:p>
    <w:p w:rsidR="00A748CE" w:rsidRDefault="00A748CE" w:rsidP="00A748CE">
      <w:pPr>
        <w:jc w:val="both"/>
      </w:pPr>
    </w:p>
    <w:p w:rsidR="00A748CE" w:rsidRDefault="00A748CE" w:rsidP="00A748CE">
      <w:pPr>
        <w:pStyle w:val="Paragrafoelenco"/>
        <w:numPr>
          <w:ilvl w:val="0"/>
          <w:numId w:val="53"/>
        </w:numPr>
        <w:jc w:val="both"/>
      </w:pPr>
      <w:r>
        <w:t>The fact that MiFID II draft Delegated Acts require distributors to provide investors with information on the total aggregated costs of the product and the services as well as cash amounts and percentages;</w:t>
      </w:r>
    </w:p>
    <w:p w:rsidR="00012D35" w:rsidRDefault="00A748CE" w:rsidP="00A748CE">
      <w:pPr>
        <w:pStyle w:val="Paragrafoelenco"/>
        <w:numPr>
          <w:ilvl w:val="0"/>
          <w:numId w:val="53"/>
        </w:numPr>
        <w:jc w:val="both"/>
      </w:pPr>
      <w:r>
        <w:t xml:space="preserve">The close connection to the </w:t>
      </w:r>
      <w:proofErr w:type="gramStart"/>
      <w:r>
        <w:t>product price calculation methods</w:t>
      </w:r>
      <w:proofErr w:type="gramEnd"/>
      <w:r>
        <w:t xml:space="preserve"> at the intermediate stage when presenting performance scenarios.</w:t>
      </w:r>
    </w:p>
    <w:permEnd w:id="301009767"/>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B4124" w:rsidRDefault="004B4124" w:rsidP="00491E49">
      <w:permStart w:id="218892431" w:edGrp="everyone"/>
      <w:r w:rsidRPr="004B4124">
        <w:t>In our opinion, it would be clearer to retail investors if we adopted a table format.</w:t>
      </w:r>
    </w:p>
    <w:permEnd w:id="218892431"/>
    <w:p w:rsidR="00491E49" w:rsidRPr="003E4B00"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0F6581" w:rsidRDefault="000F6581" w:rsidP="00491E49">
      <w:permStart w:id="846873511" w:edGrp="everyone"/>
      <w:r w:rsidRPr="000F6581">
        <w:t xml:space="preserve">This additional information seem reasonable, but its impact </w:t>
      </w:r>
      <w:proofErr w:type="gramStart"/>
      <w:r w:rsidRPr="000F6581">
        <w:t>must be carefully contemplated</w:t>
      </w:r>
      <w:proofErr w:type="gramEnd"/>
      <w:r w:rsidRPr="000F6581">
        <w:t>.</w:t>
      </w:r>
    </w:p>
    <w:permEnd w:id="846873511"/>
    <w:p w:rsidR="00491E49" w:rsidRPr="003E4B00" w:rsidRDefault="00491E49" w:rsidP="00491E49">
      <w:pPr>
        <w:rPr>
          <w:lang w:val="fr-FR"/>
        </w:rPr>
      </w:pPr>
      <w:proofErr w:type="gramStart"/>
      <w:r w:rsidRPr="00580880">
        <w:rPr>
          <w:lang w:val="fr-FR"/>
        </w:rPr>
        <w:t>&lt;</w:t>
      </w:r>
      <w:proofErr w:type="gramEnd"/>
      <w:r w:rsidRPr="00580880">
        <w:rPr>
          <w:lang w:val="fr-FR"/>
        </w:rPr>
        <w: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622491279" w:edGrp="everyone"/>
      <w:r>
        <w:t>TYPE YOUR TEXT HERE</w:t>
      </w:r>
    </w:p>
    <w:permEnd w:id="1622491279"/>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5E241E" w:rsidRDefault="005E241E" w:rsidP="00491E49">
      <w:permStart w:id="1963476258" w:edGrp="everyone"/>
      <w:r w:rsidRPr="005E241E">
        <w:t xml:space="preserve">This question is not clear: we do not understand whether it refers to the first or second approach set out in paragraph 68a) of </w:t>
      </w:r>
      <w:proofErr w:type="spellStart"/>
      <w:r w:rsidRPr="005E241E">
        <w:t>pag</w:t>
      </w:r>
      <w:proofErr w:type="spellEnd"/>
      <w:r w:rsidRPr="005E241E">
        <w:t xml:space="preserve">. </w:t>
      </w:r>
      <w:proofErr w:type="gramStart"/>
      <w:r w:rsidRPr="005E241E">
        <w:t>70</w:t>
      </w:r>
      <w:proofErr w:type="gramEnd"/>
      <w:r w:rsidRPr="005E241E">
        <w:t xml:space="preserve"> of the Consultation Paper. In our opinion, the first approach is more coherent. Details </w:t>
      </w:r>
      <w:proofErr w:type="gramStart"/>
      <w:r w:rsidRPr="005E241E">
        <w:t>can be found</w:t>
      </w:r>
      <w:proofErr w:type="gramEnd"/>
      <w:r w:rsidRPr="005E241E">
        <w:t xml:space="preserve"> at </w:t>
      </w:r>
      <w:proofErr w:type="spellStart"/>
      <w:r w:rsidRPr="005E241E">
        <w:t>pag</w:t>
      </w:r>
      <w:proofErr w:type="spellEnd"/>
      <w:r w:rsidRPr="005E241E">
        <w:t>. 82</w:t>
      </w:r>
      <w:r>
        <w:t>.</w:t>
      </w:r>
    </w:p>
    <w:permEnd w:id="1963476258"/>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 xml:space="preserve">Regarding the first table of the cost section presented in Annex VII, would you favour a detailed presentation of the different types of costs, as suggested in the Annex, including a split between one-off, recurring </w:t>
      </w:r>
      <w:r w:rsidRPr="00847BB0">
        <w:rPr>
          <w:rFonts w:ascii="Calibri" w:hAnsi="Calibri"/>
          <w:i/>
          <w:iCs/>
          <w:sz w:val="22"/>
          <w:lang w:eastAsia="en-US"/>
        </w:rPr>
        <w:lastRenderedPageBreak/>
        <w:t>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5E241E" w:rsidP="00847BB0">
      <w:permStart w:id="287178861" w:edGrp="everyone"/>
      <w:r w:rsidRPr="005E241E">
        <w:t>We would prefer a more concise cost presentation only displaying total costs and the RIY. This seems to us more consistent with MiFID II provisions on ex-ante information on costs and charges.</w:t>
      </w:r>
    </w:p>
    <w:permEnd w:id="287178861"/>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0404A3" w:rsidP="00847BB0">
      <w:permStart w:id="178544586" w:edGrp="everyone"/>
      <w:r w:rsidRPr="000404A3">
        <w:t>Regarding the second table of the cost section presented in Annex VII, we would favour a presentation of the different cost types displaying RIY figures, as suggested in the Annex.</w:t>
      </w:r>
      <w:bookmarkStart w:id="3" w:name="_GoBack"/>
      <w:bookmarkEnd w:id="3"/>
    </w:p>
    <w:permEnd w:id="178544586"/>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855471029" w:edGrp="everyone"/>
      <w:r>
        <w:t>TYPE YOUR TEXT HERE</w:t>
      </w:r>
    </w:p>
    <w:permEnd w:id="855471029"/>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3E" w:rsidRDefault="00585E3E">
      <w:r>
        <w:separator/>
      </w:r>
    </w:p>
    <w:p w:rsidR="00585E3E" w:rsidRDefault="00585E3E"/>
  </w:endnote>
  <w:endnote w:type="continuationSeparator" w:id="0">
    <w:p w:rsidR="00585E3E" w:rsidRDefault="00585E3E">
      <w:r>
        <w:continuationSeparator/>
      </w:r>
    </w:p>
    <w:p w:rsidR="00585E3E" w:rsidRDefault="00585E3E"/>
  </w:endnote>
  <w:endnote w:type="continuationNotice" w:id="1">
    <w:p w:rsidR="00585E3E" w:rsidRDefault="00585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85E3E" w:rsidRPr="00616B9B" w:rsidTr="00315E96">
      <w:trPr>
        <w:trHeight w:val="284"/>
      </w:trPr>
      <w:tc>
        <w:tcPr>
          <w:tcW w:w="8460" w:type="dxa"/>
        </w:tcPr>
        <w:p w:rsidR="00585E3E" w:rsidRPr="00315E96" w:rsidRDefault="00585E3E" w:rsidP="00315E96">
          <w:pPr>
            <w:pStyle w:val="00Footer"/>
            <w:rPr>
              <w:lang w:val="fr-FR"/>
            </w:rPr>
          </w:pPr>
        </w:p>
      </w:tc>
      <w:tc>
        <w:tcPr>
          <w:tcW w:w="952" w:type="dxa"/>
        </w:tcPr>
        <w:p w:rsidR="00585E3E" w:rsidRPr="00616B9B" w:rsidRDefault="00585E3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404A3">
            <w:rPr>
              <w:rFonts w:cs="Arial"/>
              <w:noProof/>
              <w:sz w:val="22"/>
              <w:szCs w:val="22"/>
            </w:rPr>
            <w:t>18</w:t>
          </w:r>
          <w:r w:rsidRPr="00616B9B">
            <w:rPr>
              <w:rFonts w:cs="Arial"/>
              <w:noProof/>
              <w:sz w:val="22"/>
              <w:szCs w:val="22"/>
            </w:rPr>
            <w:fldChar w:fldCharType="end"/>
          </w:r>
        </w:p>
      </w:tc>
    </w:tr>
  </w:tbl>
  <w:p w:rsidR="00585E3E" w:rsidRDefault="00585E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3E" w:rsidRDefault="00585E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3E" w:rsidRDefault="00585E3E">
      <w:r>
        <w:separator/>
      </w:r>
    </w:p>
    <w:p w:rsidR="00585E3E" w:rsidRDefault="00585E3E"/>
  </w:footnote>
  <w:footnote w:type="continuationSeparator" w:id="0">
    <w:p w:rsidR="00585E3E" w:rsidRDefault="00585E3E">
      <w:r>
        <w:continuationSeparator/>
      </w:r>
    </w:p>
    <w:p w:rsidR="00585E3E" w:rsidRDefault="00585E3E"/>
  </w:footnote>
  <w:footnote w:type="continuationNotice" w:id="1">
    <w:p w:rsidR="00585E3E" w:rsidRDefault="00585E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3E" w:rsidRDefault="00585E3E">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381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3E" w:rsidRDefault="00585E3E"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3E" w:rsidRDefault="00585E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85E3E" w:rsidRPr="002F4496" w:rsidTr="000C06C9">
      <w:trPr>
        <w:trHeight w:val="284"/>
      </w:trPr>
      <w:tc>
        <w:tcPr>
          <w:tcW w:w="8460" w:type="dxa"/>
        </w:tcPr>
        <w:p w:rsidR="00585E3E" w:rsidRPr="000C3B6D" w:rsidRDefault="00585E3E" w:rsidP="000C06C9">
          <w:pPr>
            <w:pStyle w:val="00Footer"/>
            <w:rPr>
              <w:lang w:val="fr-FR"/>
            </w:rPr>
          </w:pPr>
        </w:p>
      </w:tc>
      <w:tc>
        <w:tcPr>
          <w:tcW w:w="952" w:type="dxa"/>
        </w:tcPr>
        <w:p w:rsidR="00585E3E" w:rsidRPr="00146B34" w:rsidRDefault="00585E3E" w:rsidP="000C06C9">
          <w:pPr>
            <w:pStyle w:val="00aPagenumber"/>
            <w:rPr>
              <w:lang w:val="fr-FR"/>
            </w:rPr>
          </w:pPr>
        </w:p>
      </w:tc>
    </w:tr>
  </w:tbl>
  <w:p w:rsidR="00585E3E" w:rsidRPr="00DB46C3" w:rsidRDefault="00585E3E">
    <w:pPr>
      <w:rPr>
        <w:lang w:val="fr-FR"/>
      </w:rPr>
    </w:pPr>
  </w:p>
  <w:p w:rsidR="00585E3E" w:rsidRPr="002F4496" w:rsidRDefault="00585E3E">
    <w:pPr>
      <w:pStyle w:val="Intestazione"/>
      <w:rPr>
        <w:lang w:val="fr-FR"/>
      </w:rPr>
    </w:pPr>
  </w:p>
  <w:p w:rsidR="00585E3E" w:rsidRPr="002F4496" w:rsidRDefault="00585E3E" w:rsidP="000C06C9">
    <w:pPr>
      <w:pStyle w:val="Intestazione"/>
      <w:tabs>
        <w:tab w:val="clear" w:pos="4536"/>
        <w:tab w:val="clear" w:pos="9072"/>
        <w:tab w:val="left" w:pos="8227"/>
      </w:tabs>
      <w:rPr>
        <w:lang w:val="fr-FR"/>
      </w:rPr>
    </w:pPr>
  </w:p>
  <w:p w:rsidR="00585E3E" w:rsidRPr="002F4496" w:rsidRDefault="00585E3E" w:rsidP="000C06C9">
    <w:pPr>
      <w:pStyle w:val="Intestazione"/>
      <w:tabs>
        <w:tab w:val="clear" w:pos="4536"/>
        <w:tab w:val="clear" w:pos="9072"/>
        <w:tab w:val="left" w:pos="8227"/>
      </w:tabs>
      <w:rPr>
        <w:lang w:val="fr-FR"/>
      </w:rPr>
    </w:pPr>
  </w:p>
  <w:p w:rsidR="00585E3E" w:rsidRPr="002F4496" w:rsidRDefault="00585E3E">
    <w:pPr>
      <w:pStyle w:val="Intestazione"/>
      <w:rPr>
        <w:lang w:val="fr-FR"/>
      </w:rPr>
    </w:pPr>
  </w:p>
  <w:p w:rsidR="00585E3E" w:rsidRPr="002F4496" w:rsidRDefault="00585E3E">
    <w:pPr>
      <w:pStyle w:val="Intestazione"/>
      <w:rPr>
        <w:lang w:val="fr-FR"/>
      </w:rPr>
    </w:pPr>
  </w:p>
  <w:p w:rsidR="00585E3E" w:rsidRPr="002F4496" w:rsidRDefault="00585E3E">
    <w:pPr>
      <w:pStyle w:val="Intestazione"/>
      <w:rPr>
        <w:lang w:val="fr-FR"/>
      </w:rPr>
    </w:pPr>
  </w:p>
  <w:p w:rsidR="00585E3E" w:rsidRPr="002F4496" w:rsidRDefault="00585E3E">
    <w:pPr>
      <w:pStyle w:val="Intestazione"/>
      <w:rPr>
        <w:lang w:val="fr-FR"/>
      </w:rPr>
    </w:pPr>
  </w:p>
  <w:p w:rsidR="00585E3E" w:rsidRPr="002F4496" w:rsidRDefault="00585E3E">
    <w:pPr>
      <w:pStyle w:val="Intestazione"/>
      <w:rPr>
        <w:highlight w:val="yellow"/>
        <w:lang w:val="fr-FR"/>
      </w:rPr>
    </w:pPr>
  </w:p>
  <w:p w:rsidR="00585E3E" w:rsidRDefault="00585E3E">
    <w:pPr>
      <w:pStyle w:val="Intestazione"/>
    </w:pPr>
    <w:r>
      <w:rPr>
        <w:noProof/>
        <w:lang w:val="it-IT" w:eastAsia="it-I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56F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249B"/>
    <w:multiLevelType w:val="hybridMultilevel"/>
    <w:tmpl w:val="F6D4CB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0D01"/>
    <w:multiLevelType w:val="hybridMultilevel"/>
    <w:tmpl w:val="272AD6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148B3CAE"/>
    <w:multiLevelType w:val="hybridMultilevel"/>
    <w:tmpl w:val="472E3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32AD2"/>
    <w:multiLevelType w:val="hybridMultilevel"/>
    <w:tmpl w:val="66FC70C8"/>
    <w:lvl w:ilvl="0" w:tplc="A5B8000E">
      <w:start w:val="1"/>
      <w:numFmt w:val="lowerLetter"/>
      <w:lvlText w:val="%1)"/>
      <w:lvlJc w:val="left"/>
      <w:pPr>
        <w:ind w:left="720" w:hanging="360"/>
      </w:pPr>
      <w:rPr>
        <w:color w:val="7030A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A1E301E"/>
    <w:multiLevelType w:val="hybridMultilevel"/>
    <w:tmpl w:val="9F121316"/>
    <w:lvl w:ilvl="0" w:tplc="B150E42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5C64A6C"/>
    <w:multiLevelType w:val="hybridMultilevel"/>
    <w:tmpl w:val="8E4A2E34"/>
    <w:lvl w:ilvl="0" w:tplc="772EC5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9946FE"/>
    <w:multiLevelType w:val="hybridMultilevel"/>
    <w:tmpl w:val="49E41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3CE96EDC"/>
    <w:multiLevelType w:val="hybridMultilevel"/>
    <w:tmpl w:val="EEF84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2752DC"/>
    <w:multiLevelType w:val="hybridMultilevel"/>
    <w:tmpl w:val="0C6257A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3038FF"/>
    <w:multiLevelType w:val="hybridMultilevel"/>
    <w:tmpl w:val="FBC0B61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E604365"/>
    <w:multiLevelType w:val="hybridMultilevel"/>
    <w:tmpl w:val="4C28F204"/>
    <w:lvl w:ilvl="0" w:tplc="772EC594">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4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B4749C5"/>
    <w:multiLevelType w:val="hybridMultilevel"/>
    <w:tmpl w:val="AD10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B683E67"/>
    <w:multiLevelType w:val="hybridMultilevel"/>
    <w:tmpl w:val="6C14B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E1D2913"/>
    <w:multiLevelType w:val="hybridMultilevel"/>
    <w:tmpl w:val="F27C3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2" w15:restartNumberingAfterBreak="0">
    <w:nsid w:val="7FA3698C"/>
    <w:multiLevelType w:val="multilevel"/>
    <w:tmpl w:val="C9A8E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27"/>
  </w:num>
  <w:num w:numId="3">
    <w:abstractNumId w:val="18"/>
  </w:num>
  <w:num w:numId="4">
    <w:abstractNumId w:val="33"/>
  </w:num>
  <w:num w:numId="5">
    <w:abstractNumId w:val="35"/>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1"/>
  </w:num>
  <w:num w:numId="14">
    <w:abstractNumId w:val="31"/>
  </w:num>
  <w:num w:numId="15">
    <w:abstractNumId w:val="16"/>
  </w:num>
  <w:num w:numId="16">
    <w:abstractNumId w:val="1"/>
  </w:num>
  <w:num w:numId="17">
    <w:abstractNumId w:val="21"/>
  </w:num>
  <w:num w:numId="18">
    <w:abstractNumId w:val="22"/>
  </w:num>
  <w:num w:numId="19">
    <w:abstractNumId w:val="24"/>
  </w:num>
  <w:num w:numId="20">
    <w:abstractNumId w:val="36"/>
  </w:num>
  <w:num w:numId="21">
    <w:abstractNumId w:val="49"/>
  </w:num>
  <w:num w:numId="22">
    <w:abstractNumId w:val="34"/>
  </w:num>
  <w:num w:numId="23">
    <w:abstractNumId w:val="15"/>
  </w:num>
  <w:num w:numId="24">
    <w:abstractNumId w:val="40"/>
  </w:num>
  <w:num w:numId="25">
    <w:abstractNumId w:val="39"/>
  </w:num>
  <w:num w:numId="26">
    <w:abstractNumId w:val="28"/>
  </w:num>
  <w:num w:numId="27">
    <w:abstractNumId w:val="43"/>
  </w:num>
  <w:num w:numId="28">
    <w:abstractNumId w:val="51"/>
  </w:num>
  <w:num w:numId="29">
    <w:abstractNumId w:val="12"/>
  </w:num>
  <w:num w:numId="30">
    <w:abstractNumId w:val="6"/>
  </w:num>
  <w:num w:numId="31">
    <w:abstractNumId w:val="30"/>
  </w:num>
  <w:num w:numId="32">
    <w:abstractNumId w:val="2"/>
  </w:num>
  <w:num w:numId="33">
    <w:abstractNumId w:val="11"/>
  </w:num>
  <w:num w:numId="34">
    <w:abstractNumId w:val="29"/>
  </w:num>
  <w:num w:numId="35">
    <w:abstractNumId w:val="48"/>
  </w:num>
  <w:num w:numId="36">
    <w:abstractNumId w:val="47"/>
  </w:num>
  <w:num w:numId="37">
    <w:abstractNumId w:val="19"/>
  </w:num>
  <w:num w:numId="38">
    <w:abstractNumId w:val="4"/>
  </w:num>
  <w:num w:numId="39">
    <w:abstractNumId w:val="46"/>
  </w:num>
  <w:num w:numId="40">
    <w:abstractNumId w:val="5"/>
  </w:num>
  <w:num w:numId="41">
    <w:abstractNumId w:val="52"/>
  </w:num>
  <w:num w:numId="42">
    <w:abstractNumId w:val="25"/>
  </w:num>
  <w:num w:numId="43">
    <w:abstractNumId w:val="32"/>
  </w:num>
  <w:num w:numId="44">
    <w:abstractNumId w:val="17"/>
  </w:num>
  <w:num w:numId="45">
    <w:abstractNumId w:val="44"/>
  </w:num>
  <w:num w:numId="46">
    <w:abstractNumId w:val="38"/>
  </w:num>
  <w:num w:numId="47">
    <w:abstractNumId w:val="8"/>
  </w:num>
  <w:num w:numId="48">
    <w:abstractNumId w:val="26"/>
  </w:num>
  <w:num w:numId="49">
    <w:abstractNumId w:val="14"/>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3"/>
  </w:num>
  <w:num w:numId="53">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0A02"/>
    <w:rsid w:val="00001490"/>
    <w:rsid w:val="00002232"/>
    <w:rsid w:val="00002491"/>
    <w:rsid w:val="0000378E"/>
    <w:rsid w:val="00003A6A"/>
    <w:rsid w:val="00003AEB"/>
    <w:rsid w:val="00005BBA"/>
    <w:rsid w:val="00005D8C"/>
    <w:rsid w:val="00006C2B"/>
    <w:rsid w:val="00007014"/>
    <w:rsid w:val="00007968"/>
    <w:rsid w:val="00007E41"/>
    <w:rsid w:val="00007FAD"/>
    <w:rsid w:val="0001067A"/>
    <w:rsid w:val="00012D35"/>
    <w:rsid w:val="00013CCE"/>
    <w:rsid w:val="000140D5"/>
    <w:rsid w:val="0001410B"/>
    <w:rsid w:val="000141D6"/>
    <w:rsid w:val="00014A95"/>
    <w:rsid w:val="00015B5E"/>
    <w:rsid w:val="00015F1D"/>
    <w:rsid w:val="0001774B"/>
    <w:rsid w:val="00020D0F"/>
    <w:rsid w:val="000215EB"/>
    <w:rsid w:val="00021E83"/>
    <w:rsid w:val="00023713"/>
    <w:rsid w:val="00023C4D"/>
    <w:rsid w:val="00024B68"/>
    <w:rsid w:val="00025E71"/>
    <w:rsid w:val="00026269"/>
    <w:rsid w:val="00027154"/>
    <w:rsid w:val="00027ECF"/>
    <w:rsid w:val="000303BE"/>
    <w:rsid w:val="000344D6"/>
    <w:rsid w:val="00034960"/>
    <w:rsid w:val="00035679"/>
    <w:rsid w:val="00035F5A"/>
    <w:rsid w:val="00036FAE"/>
    <w:rsid w:val="000404A3"/>
    <w:rsid w:val="00041281"/>
    <w:rsid w:val="00041858"/>
    <w:rsid w:val="00043551"/>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7F1"/>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429"/>
    <w:rsid w:val="000A358F"/>
    <w:rsid w:val="000A43CC"/>
    <w:rsid w:val="000A67C0"/>
    <w:rsid w:val="000A7314"/>
    <w:rsid w:val="000A7B53"/>
    <w:rsid w:val="000A7B64"/>
    <w:rsid w:val="000B17E5"/>
    <w:rsid w:val="000B275C"/>
    <w:rsid w:val="000B2C3D"/>
    <w:rsid w:val="000B55C0"/>
    <w:rsid w:val="000B5DF2"/>
    <w:rsid w:val="000C06C9"/>
    <w:rsid w:val="000C1DCC"/>
    <w:rsid w:val="000C1FBC"/>
    <w:rsid w:val="000C2B6A"/>
    <w:rsid w:val="000C2F88"/>
    <w:rsid w:val="000C4655"/>
    <w:rsid w:val="000C55C8"/>
    <w:rsid w:val="000C57C4"/>
    <w:rsid w:val="000C5FD3"/>
    <w:rsid w:val="000C701D"/>
    <w:rsid w:val="000C75B6"/>
    <w:rsid w:val="000C7C4A"/>
    <w:rsid w:val="000D0763"/>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6581"/>
    <w:rsid w:val="000F7399"/>
    <w:rsid w:val="001027F1"/>
    <w:rsid w:val="00104F2E"/>
    <w:rsid w:val="001072DD"/>
    <w:rsid w:val="001106C9"/>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373D0"/>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042"/>
    <w:rsid w:val="00157E79"/>
    <w:rsid w:val="00157EED"/>
    <w:rsid w:val="0016087A"/>
    <w:rsid w:val="00160A5C"/>
    <w:rsid w:val="001613EC"/>
    <w:rsid w:val="00163009"/>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BBB"/>
    <w:rsid w:val="001B6D68"/>
    <w:rsid w:val="001B6F2E"/>
    <w:rsid w:val="001C0344"/>
    <w:rsid w:val="001C0F2A"/>
    <w:rsid w:val="001C1A59"/>
    <w:rsid w:val="001C270F"/>
    <w:rsid w:val="001C4679"/>
    <w:rsid w:val="001C5770"/>
    <w:rsid w:val="001C6195"/>
    <w:rsid w:val="001C7F43"/>
    <w:rsid w:val="001D000A"/>
    <w:rsid w:val="001D0883"/>
    <w:rsid w:val="001D2205"/>
    <w:rsid w:val="001D3A1F"/>
    <w:rsid w:val="001D3FB6"/>
    <w:rsid w:val="001D4379"/>
    <w:rsid w:val="001D4550"/>
    <w:rsid w:val="001D5498"/>
    <w:rsid w:val="001D5BAF"/>
    <w:rsid w:val="001D6401"/>
    <w:rsid w:val="001D66C9"/>
    <w:rsid w:val="001D722A"/>
    <w:rsid w:val="001E04FC"/>
    <w:rsid w:val="001E1FFC"/>
    <w:rsid w:val="001E407D"/>
    <w:rsid w:val="001E40FB"/>
    <w:rsid w:val="001E66EC"/>
    <w:rsid w:val="001E68C5"/>
    <w:rsid w:val="001E70DD"/>
    <w:rsid w:val="001F0407"/>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806"/>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2A2"/>
    <w:rsid w:val="00250898"/>
    <w:rsid w:val="00251EA9"/>
    <w:rsid w:val="00252843"/>
    <w:rsid w:val="002543F8"/>
    <w:rsid w:val="002545B7"/>
    <w:rsid w:val="002551A4"/>
    <w:rsid w:val="002559F3"/>
    <w:rsid w:val="00256DFE"/>
    <w:rsid w:val="00261D56"/>
    <w:rsid w:val="00261FD3"/>
    <w:rsid w:val="00264077"/>
    <w:rsid w:val="00266557"/>
    <w:rsid w:val="00266B9A"/>
    <w:rsid w:val="00270E54"/>
    <w:rsid w:val="00271ADE"/>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693B"/>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7A2"/>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6F0"/>
    <w:rsid w:val="00383D7D"/>
    <w:rsid w:val="00384CCE"/>
    <w:rsid w:val="003857A0"/>
    <w:rsid w:val="003865E5"/>
    <w:rsid w:val="00391C6F"/>
    <w:rsid w:val="003926C1"/>
    <w:rsid w:val="00392900"/>
    <w:rsid w:val="00393357"/>
    <w:rsid w:val="00395E7B"/>
    <w:rsid w:val="00395F4C"/>
    <w:rsid w:val="003A4C90"/>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55E9"/>
    <w:rsid w:val="003C6191"/>
    <w:rsid w:val="003C6E49"/>
    <w:rsid w:val="003D0CBF"/>
    <w:rsid w:val="003D0DD6"/>
    <w:rsid w:val="003D4B73"/>
    <w:rsid w:val="003D503B"/>
    <w:rsid w:val="003D605E"/>
    <w:rsid w:val="003D61D1"/>
    <w:rsid w:val="003D6780"/>
    <w:rsid w:val="003D6FCB"/>
    <w:rsid w:val="003E0F84"/>
    <w:rsid w:val="003E1FF3"/>
    <w:rsid w:val="003E23F0"/>
    <w:rsid w:val="003E3ACA"/>
    <w:rsid w:val="003E4B00"/>
    <w:rsid w:val="003E50EA"/>
    <w:rsid w:val="003E68C7"/>
    <w:rsid w:val="003E79B0"/>
    <w:rsid w:val="003F0403"/>
    <w:rsid w:val="003F1094"/>
    <w:rsid w:val="003F2E45"/>
    <w:rsid w:val="003F3EFE"/>
    <w:rsid w:val="003F40B8"/>
    <w:rsid w:val="003F50A6"/>
    <w:rsid w:val="003F5C06"/>
    <w:rsid w:val="00400195"/>
    <w:rsid w:val="0040254B"/>
    <w:rsid w:val="00403086"/>
    <w:rsid w:val="00403460"/>
    <w:rsid w:val="004040FF"/>
    <w:rsid w:val="00404284"/>
    <w:rsid w:val="004042C4"/>
    <w:rsid w:val="00406E90"/>
    <w:rsid w:val="00407FEE"/>
    <w:rsid w:val="00410240"/>
    <w:rsid w:val="00412253"/>
    <w:rsid w:val="004140D9"/>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3E56"/>
    <w:rsid w:val="0043453F"/>
    <w:rsid w:val="00434A74"/>
    <w:rsid w:val="00436908"/>
    <w:rsid w:val="00437929"/>
    <w:rsid w:val="00437A4A"/>
    <w:rsid w:val="00440541"/>
    <w:rsid w:val="0044162D"/>
    <w:rsid w:val="0044277A"/>
    <w:rsid w:val="00443F73"/>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6FD"/>
    <w:rsid w:val="00466926"/>
    <w:rsid w:val="00466FDA"/>
    <w:rsid w:val="004671D0"/>
    <w:rsid w:val="004674D1"/>
    <w:rsid w:val="00470773"/>
    <w:rsid w:val="00471E91"/>
    <w:rsid w:val="00471FF9"/>
    <w:rsid w:val="00473E74"/>
    <w:rsid w:val="00473FEF"/>
    <w:rsid w:val="00475B8E"/>
    <w:rsid w:val="0048104E"/>
    <w:rsid w:val="004814BB"/>
    <w:rsid w:val="004815DA"/>
    <w:rsid w:val="00482458"/>
    <w:rsid w:val="004837ED"/>
    <w:rsid w:val="00483942"/>
    <w:rsid w:val="004843CE"/>
    <w:rsid w:val="00485142"/>
    <w:rsid w:val="004852A7"/>
    <w:rsid w:val="0048613D"/>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128"/>
    <w:rsid w:val="004A357F"/>
    <w:rsid w:val="004A3DAD"/>
    <w:rsid w:val="004A432B"/>
    <w:rsid w:val="004B0335"/>
    <w:rsid w:val="004B0F1C"/>
    <w:rsid w:val="004B1E61"/>
    <w:rsid w:val="004B21AB"/>
    <w:rsid w:val="004B4124"/>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1BA"/>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4E52"/>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1FF"/>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6DC"/>
    <w:rsid w:val="005765C0"/>
    <w:rsid w:val="005778DE"/>
    <w:rsid w:val="00580880"/>
    <w:rsid w:val="00580B3F"/>
    <w:rsid w:val="005825F2"/>
    <w:rsid w:val="00585E3E"/>
    <w:rsid w:val="005860AF"/>
    <w:rsid w:val="00587DD2"/>
    <w:rsid w:val="00587F1D"/>
    <w:rsid w:val="00590348"/>
    <w:rsid w:val="00591161"/>
    <w:rsid w:val="00592318"/>
    <w:rsid w:val="00592C30"/>
    <w:rsid w:val="00593133"/>
    <w:rsid w:val="0059399C"/>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8C3"/>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241E"/>
    <w:rsid w:val="005E49E5"/>
    <w:rsid w:val="005E5481"/>
    <w:rsid w:val="005E55E4"/>
    <w:rsid w:val="005E6C5F"/>
    <w:rsid w:val="005E7636"/>
    <w:rsid w:val="005F028E"/>
    <w:rsid w:val="005F04B4"/>
    <w:rsid w:val="005F11A4"/>
    <w:rsid w:val="005F19F8"/>
    <w:rsid w:val="005F3FB1"/>
    <w:rsid w:val="005F5ACF"/>
    <w:rsid w:val="005F60DC"/>
    <w:rsid w:val="005F71D5"/>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B7D"/>
    <w:rsid w:val="00622E32"/>
    <w:rsid w:val="00623688"/>
    <w:rsid w:val="006247E0"/>
    <w:rsid w:val="00625F82"/>
    <w:rsid w:val="00627999"/>
    <w:rsid w:val="00630FF7"/>
    <w:rsid w:val="00633433"/>
    <w:rsid w:val="006341B5"/>
    <w:rsid w:val="006346C9"/>
    <w:rsid w:val="00634727"/>
    <w:rsid w:val="0063479A"/>
    <w:rsid w:val="00634B64"/>
    <w:rsid w:val="00634EA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4FB5"/>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A23"/>
    <w:rsid w:val="006B5F71"/>
    <w:rsid w:val="006B6A90"/>
    <w:rsid w:val="006B6E44"/>
    <w:rsid w:val="006B7059"/>
    <w:rsid w:val="006B7287"/>
    <w:rsid w:val="006B7F2E"/>
    <w:rsid w:val="006C0BF8"/>
    <w:rsid w:val="006C2253"/>
    <w:rsid w:val="006C2CCB"/>
    <w:rsid w:val="006C4334"/>
    <w:rsid w:val="006C4B0F"/>
    <w:rsid w:val="006C57AA"/>
    <w:rsid w:val="006C5E96"/>
    <w:rsid w:val="006D399F"/>
    <w:rsid w:val="006D4F0C"/>
    <w:rsid w:val="006D5645"/>
    <w:rsid w:val="006E0C8A"/>
    <w:rsid w:val="006E2A23"/>
    <w:rsid w:val="006E35E5"/>
    <w:rsid w:val="006E3C72"/>
    <w:rsid w:val="006E4F20"/>
    <w:rsid w:val="006E649A"/>
    <w:rsid w:val="006F08DC"/>
    <w:rsid w:val="006F1FA7"/>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B6C"/>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0DE"/>
    <w:rsid w:val="00730705"/>
    <w:rsid w:val="00730944"/>
    <w:rsid w:val="0073248E"/>
    <w:rsid w:val="00733EE9"/>
    <w:rsid w:val="00735B8E"/>
    <w:rsid w:val="0073673C"/>
    <w:rsid w:val="00736935"/>
    <w:rsid w:val="007421A0"/>
    <w:rsid w:val="007423B4"/>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53B"/>
    <w:rsid w:val="00763F36"/>
    <w:rsid w:val="007648A0"/>
    <w:rsid w:val="00766F4D"/>
    <w:rsid w:val="00770268"/>
    <w:rsid w:val="007706B9"/>
    <w:rsid w:val="007707ED"/>
    <w:rsid w:val="00771C3B"/>
    <w:rsid w:val="007726F9"/>
    <w:rsid w:val="00773B94"/>
    <w:rsid w:val="00773C65"/>
    <w:rsid w:val="0077574E"/>
    <w:rsid w:val="00775937"/>
    <w:rsid w:val="00777046"/>
    <w:rsid w:val="007770DA"/>
    <w:rsid w:val="007805B9"/>
    <w:rsid w:val="00780C3A"/>
    <w:rsid w:val="0078343E"/>
    <w:rsid w:val="007834A1"/>
    <w:rsid w:val="00790116"/>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73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782"/>
    <w:rsid w:val="007D5915"/>
    <w:rsid w:val="007D5B4F"/>
    <w:rsid w:val="007D5C30"/>
    <w:rsid w:val="007D6AE2"/>
    <w:rsid w:val="007E0660"/>
    <w:rsid w:val="007E1411"/>
    <w:rsid w:val="007E1882"/>
    <w:rsid w:val="007E1BB4"/>
    <w:rsid w:val="007E1F41"/>
    <w:rsid w:val="007E3514"/>
    <w:rsid w:val="007E4AAA"/>
    <w:rsid w:val="007E4BD2"/>
    <w:rsid w:val="007E4C29"/>
    <w:rsid w:val="007E5E44"/>
    <w:rsid w:val="007F0DDA"/>
    <w:rsid w:val="007F1939"/>
    <w:rsid w:val="007F365C"/>
    <w:rsid w:val="007F3E1F"/>
    <w:rsid w:val="007F5066"/>
    <w:rsid w:val="007F621C"/>
    <w:rsid w:val="007F7155"/>
    <w:rsid w:val="00800731"/>
    <w:rsid w:val="00800C28"/>
    <w:rsid w:val="0080245E"/>
    <w:rsid w:val="00803480"/>
    <w:rsid w:val="0080359C"/>
    <w:rsid w:val="008037AE"/>
    <w:rsid w:val="008043F4"/>
    <w:rsid w:val="00804BB4"/>
    <w:rsid w:val="00805D9F"/>
    <w:rsid w:val="008067FF"/>
    <w:rsid w:val="00807A4D"/>
    <w:rsid w:val="00807F30"/>
    <w:rsid w:val="008103DC"/>
    <w:rsid w:val="0081119F"/>
    <w:rsid w:val="0081134D"/>
    <w:rsid w:val="008113A6"/>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3D08"/>
    <w:rsid w:val="0083497C"/>
    <w:rsid w:val="008352A6"/>
    <w:rsid w:val="008353B2"/>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4137"/>
    <w:rsid w:val="0085590C"/>
    <w:rsid w:val="00855D9F"/>
    <w:rsid w:val="008575EB"/>
    <w:rsid w:val="00862DDD"/>
    <w:rsid w:val="0086326D"/>
    <w:rsid w:val="00863CC1"/>
    <w:rsid w:val="00865B01"/>
    <w:rsid w:val="00866D7A"/>
    <w:rsid w:val="00866EE3"/>
    <w:rsid w:val="008674D8"/>
    <w:rsid w:val="00871F04"/>
    <w:rsid w:val="008746C1"/>
    <w:rsid w:val="00880224"/>
    <w:rsid w:val="0088244C"/>
    <w:rsid w:val="00883367"/>
    <w:rsid w:val="008838BC"/>
    <w:rsid w:val="00884C47"/>
    <w:rsid w:val="00885E6F"/>
    <w:rsid w:val="008861AC"/>
    <w:rsid w:val="008868E4"/>
    <w:rsid w:val="00886A60"/>
    <w:rsid w:val="0088759B"/>
    <w:rsid w:val="008909B4"/>
    <w:rsid w:val="008922E8"/>
    <w:rsid w:val="00892C80"/>
    <w:rsid w:val="00893916"/>
    <w:rsid w:val="0089442C"/>
    <w:rsid w:val="00895452"/>
    <w:rsid w:val="00895818"/>
    <w:rsid w:val="00896A15"/>
    <w:rsid w:val="008A2585"/>
    <w:rsid w:val="008A2718"/>
    <w:rsid w:val="008A4CF6"/>
    <w:rsid w:val="008A4E42"/>
    <w:rsid w:val="008A51AA"/>
    <w:rsid w:val="008A6A12"/>
    <w:rsid w:val="008B0DC6"/>
    <w:rsid w:val="008B2B9E"/>
    <w:rsid w:val="008B31F5"/>
    <w:rsid w:val="008B4BF4"/>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13E"/>
    <w:rsid w:val="008F4B2C"/>
    <w:rsid w:val="008F4C08"/>
    <w:rsid w:val="008F6851"/>
    <w:rsid w:val="008F7BC4"/>
    <w:rsid w:val="008F7CCA"/>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2B4"/>
    <w:rsid w:val="009653F2"/>
    <w:rsid w:val="009661DF"/>
    <w:rsid w:val="009667BD"/>
    <w:rsid w:val="00967CE2"/>
    <w:rsid w:val="00971D94"/>
    <w:rsid w:val="00971DA3"/>
    <w:rsid w:val="00972161"/>
    <w:rsid w:val="0097261B"/>
    <w:rsid w:val="00974881"/>
    <w:rsid w:val="0097606C"/>
    <w:rsid w:val="009771D1"/>
    <w:rsid w:val="00977F71"/>
    <w:rsid w:val="0098012D"/>
    <w:rsid w:val="00980845"/>
    <w:rsid w:val="00981BD9"/>
    <w:rsid w:val="0098225F"/>
    <w:rsid w:val="00983A3C"/>
    <w:rsid w:val="00983EFA"/>
    <w:rsid w:val="00984C15"/>
    <w:rsid w:val="00987829"/>
    <w:rsid w:val="00991276"/>
    <w:rsid w:val="009917C0"/>
    <w:rsid w:val="009923E7"/>
    <w:rsid w:val="00992697"/>
    <w:rsid w:val="00992D4E"/>
    <w:rsid w:val="0099309C"/>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1DD9"/>
    <w:rsid w:val="009F37AA"/>
    <w:rsid w:val="009F544C"/>
    <w:rsid w:val="009F5731"/>
    <w:rsid w:val="009F6321"/>
    <w:rsid w:val="009F6378"/>
    <w:rsid w:val="009F7669"/>
    <w:rsid w:val="009F7F45"/>
    <w:rsid w:val="009F7FD5"/>
    <w:rsid w:val="00A005D4"/>
    <w:rsid w:val="00A0083C"/>
    <w:rsid w:val="00A01A90"/>
    <w:rsid w:val="00A02370"/>
    <w:rsid w:val="00A03561"/>
    <w:rsid w:val="00A04685"/>
    <w:rsid w:val="00A04C57"/>
    <w:rsid w:val="00A06340"/>
    <w:rsid w:val="00A0684F"/>
    <w:rsid w:val="00A06867"/>
    <w:rsid w:val="00A10148"/>
    <w:rsid w:val="00A113FD"/>
    <w:rsid w:val="00A11DDE"/>
    <w:rsid w:val="00A127A7"/>
    <w:rsid w:val="00A129F4"/>
    <w:rsid w:val="00A136F4"/>
    <w:rsid w:val="00A14A3B"/>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8CE"/>
    <w:rsid w:val="00A74F9F"/>
    <w:rsid w:val="00A750B3"/>
    <w:rsid w:val="00A75559"/>
    <w:rsid w:val="00A7623D"/>
    <w:rsid w:val="00A77258"/>
    <w:rsid w:val="00A77ED3"/>
    <w:rsid w:val="00A77FC7"/>
    <w:rsid w:val="00A806B5"/>
    <w:rsid w:val="00A824A7"/>
    <w:rsid w:val="00A83644"/>
    <w:rsid w:val="00A83C07"/>
    <w:rsid w:val="00A83F40"/>
    <w:rsid w:val="00A84945"/>
    <w:rsid w:val="00A85543"/>
    <w:rsid w:val="00A8728B"/>
    <w:rsid w:val="00A90381"/>
    <w:rsid w:val="00A91682"/>
    <w:rsid w:val="00A92E4A"/>
    <w:rsid w:val="00A93F69"/>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617"/>
    <w:rsid w:val="00AC189B"/>
    <w:rsid w:val="00AC3934"/>
    <w:rsid w:val="00AC4FA8"/>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11E"/>
    <w:rsid w:val="00AE4D4F"/>
    <w:rsid w:val="00AE5DE2"/>
    <w:rsid w:val="00AE627C"/>
    <w:rsid w:val="00AE62B0"/>
    <w:rsid w:val="00AE68A2"/>
    <w:rsid w:val="00AF0029"/>
    <w:rsid w:val="00AF0354"/>
    <w:rsid w:val="00AF1236"/>
    <w:rsid w:val="00AF3C29"/>
    <w:rsid w:val="00AF4401"/>
    <w:rsid w:val="00AF4463"/>
    <w:rsid w:val="00AF53CB"/>
    <w:rsid w:val="00AF65C5"/>
    <w:rsid w:val="00B03CE2"/>
    <w:rsid w:val="00B06544"/>
    <w:rsid w:val="00B07340"/>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9D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EFE"/>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73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D78D1"/>
    <w:rsid w:val="00BE19EF"/>
    <w:rsid w:val="00BE396E"/>
    <w:rsid w:val="00BE425B"/>
    <w:rsid w:val="00BE51BB"/>
    <w:rsid w:val="00BE7595"/>
    <w:rsid w:val="00BE77D3"/>
    <w:rsid w:val="00BE7E27"/>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313C"/>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D6F"/>
    <w:rsid w:val="00C14F48"/>
    <w:rsid w:val="00C15296"/>
    <w:rsid w:val="00C17750"/>
    <w:rsid w:val="00C2094B"/>
    <w:rsid w:val="00C20DC5"/>
    <w:rsid w:val="00C21AA0"/>
    <w:rsid w:val="00C2294E"/>
    <w:rsid w:val="00C22A5B"/>
    <w:rsid w:val="00C23412"/>
    <w:rsid w:val="00C2537F"/>
    <w:rsid w:val="00C264C7"/>
    <w:rsid w:val="00C271C4"/>
    <w:rsid w:val="00C274F3"/>
    <w:rsid w:val="00C27F40"/>
    <w:rsid w:val="00C30A54"/>
    <w:rsid w:val="00C316F7"/>
    <w:rsid w:val="00C31DF0"/>
    <w:rsid w:val="00C33916"/>
    <w:rsid w:val="00C33ACE"/>
    <w:rsid w:val="00C33BCF"/>
    <w:rsid w:val="00C353A0"/>
    <w:rsid w:val="00C3542E"/>
    <w:rsid w:val="00C368D7"/>
    <w:rsid w:val="00C36FD1"/>
    <w:rsid w:val="00C371A5"/>
    <w:rsid w:val="00C400B0"/>
    <w:rsid w:val="00C413FC"/>
    <w:rsid w:val="00C424BB"/>
    <w:rsid w:val="00C43307"/>
    <w:rsid w:val="00C43D33"/>
    <w:rsid w:val="00C44407"/>
    <w:rsid w:val="00C456E8"/>
    <w:rsid w:val="00C46630"/>
    <w:rsid w:val="00C47A2F"/>
    <w:rsid w:val="00C50D18"/>
    <w:rsid w:val="00C51179"/>
    <w:rsid w:val="00C52341"/>
    <w:rsid w:val="00C5282C"/>
    <w:rsid w:val="00C52FBE"/>
    <w:rsid w:val="00C5355E"/>
    <w:rsid w:val="00C535E2"/>
    <w:rsid w:val="00C53FC1"/>
    <w:rsid w:val="00C56438"/>
    <w:rsid w:val="00C570B3"/>
    <w:rsid w:val="00C5787C"/>
    <w:rsid w:val="00C6009F"/>
    <w:rsid w:val="00C60417"/>
    <w:rsid w:val="00C6046F"/>
    <w:rsid w:val="00C638C2"/>
    <w:rsid w:val="00C651D4"/>
    <w:rsid w:val="00C65BA3"/>
    <w:rsid w:val="00C6669E"/>
    <w:rsid w:val="00C672B0"/>
    <w:rsid w:val="00C729C7"/>
    <w:rsid w:val="00C73569"/>
    <w:rsid w:val="00C777AD"/>
    <w:rsid w:val="00C80C53"/>
    <w:rsid w:val="00C81195"/>
    <w:rsid w:val="00C815C7"/>
    <w:rsid w:val="00C85387"/>
    <w:rsid w:val="00C85E52"/>
    <w:rsid w:val="00C86471"/>
    <w:rsid w:val="00C8677B"/>
    <w:rsid w:val="00C86F96"/>
    <w:rsid w:val="00C909C6"/>
    <w:rsid w:val="00C90B16"/>
    <w:rsid w:val="00C923B7"/>
    <w:rsid w:val="00C9348A"/>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4"/>
    <w:rsid w:val="00CB2ED9"/>
    <w:rsid w:val="00CB36A5"/>
    <w:rsid w:val="00CB56B4"/>
    <w:rsid w:val="00CB7286"/>
    <w:rsid w:val="00CB7947"/>
    <w:rsid w:val="00CB7E0C"/>
    <w:rsid w:val="00CC1783"/>
    <w:rsid w:val="00CC1C8D"/>
    <w:rsid w:val="00CC2882"/>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5A5C"/>
    <w:rsid w:val="00CD6F6E"/>
    <w:rsid w:val="00CE157F"/>
    <w:rsid w:val="00CE1966"/>
    <w:rsid w:val="00CE1ED4"/>
    <w:rsid w:val="00CE2216"/>
    <w:rsid w:val="00CE3014"/>
    <w:rsid w:val="00CE30E5"/>
    <w:rsid w:val="00CE6FC6"/>
    <w:rsid w:val="00CF053A"/>
    <w:rsid w:val="00CF2056"/>
    <w:rsid w:val="00CF3DD5"/>
    <w:rsid w:val="00CF4471"/>
    <w:rsid w:val="00CF51C0"/>
    <w:rsid w:val="00CF5B2A"/>
    <w:rsid w:val="00CF5F57"/>
    <w:rsid w:val="00CF64A7"/>
    <w:rsid w:val="00CF6730"/>
    <w:rsid w:val="00CF70E5"/>
    <w:rsid w:val="00CF7CEC"/>
    <w:rsid w:val="00D00B0F"/>
    <w:rsid w:val="00D01BF4"/>
    <w:rsid w:val="00D0272C"/>
    <w:rsid w:val="00D045CE"/>
    <w:rsid w:val="00D05082"/>
    <w:rsid w:val="00D05F3A"/>
    <w:rsid w:val="00D06163"/>
    <w:rsid w:val="00D0763F"/>
    <w:rsid w:val="00D07AFD"/>
    <w:rsid w:val="00D11749"/>
    <w:rsid w:val="00D12A7D"/>
    <w:rsid w:val="00D13AB0"/>
    <w:rsid w:val="00D1519E"/>
    <w:rsid w:val="00D152B7"/>
    <w:rsid w:val="00D16EDC"/>
    <w:rsid w:val="00D17FDE"/>
    <w:rsid w:val="00D201CB"/>
    <w:rsid w:val="00D22786"/>
    <w:rsid w:val="00D228B4"/>
    <w:rsid w:val="00D25AC4"/>
    <w:rsid w:val="00D27849"/>
    <w:rsid w:val="00D305F6"/>
    <w:rsid w:val="00D30B25"/>
    <w:rsid w:val="00D3175A"/>
    <w:rsid w:val="00D31A00"/>
    <w:rsid w:val="00D31F2E"/>
    <w:rsid w:val="00D323E4"/>
    <w:rsid w:val="00D32871"/>
    <w:rsid w:val="00D33881"/>
    <w:rsid w:val="00D34282"/>
    <w:rsid w:val="00D366B1"/>
    <w:rsid w:val="00D37AE0"/>
    <w:rsid w:val="00D41219"/>
    <w:rsid w:val="00D416A8"/>
    <w:rsid w:val="00D4217D"/>
    <w:rsid w:val="00D4257C"/>
    <w:rsid w:val="00D425AC"/>
    <w:rsid w:val="00D42823"/>
    <w:rsid w:val="00D42D5E"/>
    <w:rsid w:val="00D43F14"/>
    <w:rsid w:val="00D44C18"/>
    <w:rsid w:val="00D4556D"/>
    <w:rsid w:val="00D50057"/>
    <w:rsid w:val="00D511C6"/>
    <w:rsid w:val="00D5121D"/>
    <w:rsid w:val="00D516AC"/>
    <w:rsid w:val="00D521BB"/>
    <w:rsid w:val="00D52875"/>
    <w:rsid w:val="00D54050"/>
    <w:rsid w:val="00D56AC0"/>
    <w:rsid w:val="00D57683"/>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89C"/>
    <w:rsid w:val="00D91010"/>
    <w:rsid w:val="00D96DF7"/>
    <w:rsid w:val="00DA0FA7"/>
    <w:rsid w:val="00DA12B0"/>
    <w:rsid w:val="00DA29EE"/>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79D"/>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06C3B"/>
    <w:rsid w:val="00E114D6"/>
    <w:rsid w:val="00E1166E"/>
    <w:rsid w:val="00E11DBD"/>
    <w:rsid w:val="00E13211"/>
    <w:rsid w:val="00E16FB5"/>
    <w:rsid w:val="00E179D6"/>
    <w:rsid w:val="00E21407"/>
    <w:rsid w:val="00E22668"/>
    <w:rsid w:val="00E227D3"/>
    <w:rsid w:val="00E22BFF"/>
    <w:rsid w:val="00E22CB0"/>
    <w:rsid w:val="00E2322E"/>
    <w:rsid w:val="00E232CD"/>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AEC"/>
    <w:rsid w:val="00E62A39"/>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7B2"/>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746"/>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2FB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2D64"/>
    <w:rsid w:val="00F22FA5"/>
    <w:rsid w:val="00F23D66"/>
    <w:rsid w:val="00F24E6F"/>
    <w:rsid w:val="00F26069"/>
    <w:rsid w:val="00F26B7E"/>
    <w:rsid w:val="00F27D7D"/>
    <w:rsid w:val="00F3002B"/>
    <w:rsid w:val="00F30BC9"/>
    <w:rsid w:val="00F32462"/>
    <w:rsid w:val="00F32A11"/>
    <w:rsid w:val="00F32FF7"/>
    <w:rsid w:val="00F33EDE"/>
    <w:rsid w:val="00F3568B"/>
    <w:rsid w:val="00F35DBD"/>
    <w:rsid w:val="00F377CD"/>
    <w:rsid w:val="00F40C3B"/>
    <w:rsid w:val="00F40CE0"/>
    <w:rsid w:val="00F42DBC"/>
    <w:rsid w:val="00F4308D"/>
    <w:rsid w:val="00F43232"/>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52B"/>
    <w:rsid w:val="00F64C45"/>
    <w:rsid w:val="00F6502B"/>
    <w:rsid w:val="00F6612A"/>
    <w:rsid w:val="00F66724"/>
    <w:rsid w:val="00F67F04"/>
    <w:rsid w:val="00F70207"/>
    <w:rsid w:val="00F702CB"/>
    <w:rsid w:val="00F703A0"/>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9DC"/>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5:docId w15:val="{7E755660-213F-4AD5-83BE-6E3AD51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foelenco"/>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Carpredefinitoparagrafo"/>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9590977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75E6-C7DC-4F5D-862E-8B45CB0B24EC}">
  <ds:schemaRefs>
    <ds:schemaRef ds:uri="http://schemas.openxmlformats.org/officeDocument/2006/bibliography"/>
  </ds:schemaRefs>
</ds:datastoreItem>
</file>

<file path=customXml/itemProps2.xml><?xml version="1.0" encoding="utf-8"?>
<ds:datastoreItem xmlns:ds="http://schemas.openxmlformats.org/officeDocument/2006/customXml" ds:itemID="{BA93D199-C766-4C89-8250-D5357FD1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6707</Words>
  <Characters>35874</Characters>
  <Application>Microsoft Office Word</Application>
  <DocSecurity>8</DocSecurity>
  <Lines>298</Lines>
  <Paragraphs>84</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42497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Bracci Angela Maria</cp:lastModifiedBy>
  <cp:revision>50</cp:revision>
  <cp:lastPrinted>2015-02-18T11:01:00Z</cp:lastPrinted>
  <dcterms:created xsi:type="dcterms:W3CDTF">2016-01-27T17:15:00Z</dcterms:created>
  <dcterms:modified xsi:type="dcterms:W3CDTF">2016-01-29T16:26:00Z</dcterms:modified>
</cp:coreProperties>
</file>