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berschrift1"/>
        <w:numPr>
          <w:ilvl w:val="0"/>
          <w:numId w:val="0"/>
        </w:numPr>
        <w:ind w:left="431" w:hanging="431"/>
      </w:pPr>
      <w:r>
        <w:t>Introduction</w:t>
      </w:r>
    </w:p>
    <w:p w:rsidR="00C33ACE" w:rsidRPr="00C33ACE" w:rsidRDefault="00C33ACE" w:rsidP="00C33ACE"/>
    <w:p w:rsidR="00D34282" w:rsidRDefault="00D34282" w:rsidP="00D34282">
      <w:pPr>
        <w:rPr>
          <w:rStyle w:val="IntensiveHervorhebung"/>
        </w:rPr>
      </w:pPr>
      <w:r w:rsidRPr="001D47A5">
        <w:rPr>
          <w:rStyle w:val="IntensiveHervorhebung"/>
        </w:rPr>
        <w:t>Please make your introductory comments below, if any:</w:t>
      </w:r>
    </w:p>
    <w:p w:rsidR="002E2BC1" w:rsidRPr="001D47A5" w:rsidRDefault="002E2BC1" w:rsidP="00D34282">
      <w:pPr>
        <w:rPr>
          <w:rStyle w:val="IntensiveHervorhebung"/>
        </w:rPr>
      </w:pPr>
    </w:p>
    <w:p w:rsidR="00D34282" w:rsidRPr="00C25863" w:rsidRDefault="00D34282" w:rsidP="00D34282">
      <w:r w:rsidRPr="00C25863">
        <w:t>&lt;</w:t>
      </w:r>
      <w:r>
        <w:t>ESMA_COMMENT</w:t>
      </w:r>
      <w:r w:rsidRPr="00C25863">
        <w:t>_</w:t>
      </w:r>
      <w:r w:rsidR="000E35CB">
        <w:rPr>
          <w:rFonts w:cs="Arial"/>
        </w:rPr>
        <w:t>PRIIPS</w:t>
      </w:r>
      <w:r w:rsidRPr="00C25863">
        <w:t>_1&gt;</w:t>
      </w:r>
    </w:p>
    <w:p w:rsidR="00C4141F" w:rsidRDefault="00C4141F" w:rsidP="00C4141F">
      <w:pPr>
        <w:tabs>
          <w:tab w:val="left" w:pos="4111"/>
          <w:tab w:val="left" w:pos="6379"/>
        </w:tabs>
        <w:outlineLvl w:val="0"/>
        <w:rPr>
          <w:rFonts w:cs="Arial"/>
          <w:lang w:val="en-US"/>
        </w:rPr>
      </w:pPr>
      <w:permStart w:id="785400850" w:edGrp="everyone"/>
      <w:r>
        <w:rPr>
          <w:rFonts w:cs="Arial"/>
          <w:lang w:val="en-US"/>
        </w:rPr>
        <w:t>Please note that all answers are given in accordance with EUSIPA and DDV.</w:t>
      </w:r>
    </w:p>
    <w:permEnd w:id="785400850"/>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C4141F" w:rsidRPr="00C23A44" w:rsidRDefault="00C4141F" w:rsidP="006B3421">
      <w:pPr>
        <w:pStyle w:val="BodyText1"/>
        <w:spacing w:after="0"/>
        <w:ind w:left="0"/>
        <w:jc w:val="left"/>
        <w:rPr>
          <w:rFonts w:ascii="Arial" w:hAnsi="Arial" w:cs="Arial"/>
          <w:iCs/>
          <w:color w:val="auto"/>
          <w:sz w:val="22"/>
          <w:szCs w:val="22"/>
        </w:rPr>
      </w:pPr>
      <w:permStart w:id="2032540272" w:edGrp="everyone"/>
      <w:r w:rsidRPr="00C23A44">
        <w:rPr>
          <w:rFonts w:ascii="Arial" w:hAnsi="Arial" w:cs="Arial"/>
          <w:iCs/>
          <w:color w:val="auto"/>
          <w:sz w:val="22"/>
          <w:szCs w:val="22"/>
        </w:rPr>
        <w:t>Whilst we are confident that firms are best placed to assess the level of product complexity that is appropriate for their intended target market – they will have t</w:t>
      </w:r>
      <w:r>
        <w:rPr>
          <w:rFonts w:ascii="Arial" w:hAnsi="Arial" w:cs="Arial"/>
          <w:iCs/>
          <w:color w:val="auto"/>
          <w:sz w:val="22"/>
          <w:szCs w:val="22"/>
        </w:rPr>
        <w:t>o conduct this exercise under Mi</w:t>
      </w:r>
      <w:r w:rsidRPr="00C23A44">
        <w:rPr>
          <w:rFonts w:ascii="Arial" w:hAnsi="Arial" w:cs="Arial"/>
          <w:iCs/>
          <w:color w:val="auto"/>
          <w:sz w:val="22"/>
          <w:szCs w:val="22"/>
        </w:rPr>
        <w:t>FID2 rules – we are preoccupied by the growing disparities in the approach on complexity among the various national competent authorities. This fragmentation of the national regulatory regimes is very detrimental to the development of cross-border offerings of PRIIPS. In this r</w:t>
      </w:r>
      <w:r w:rsidRPr="00C23A44">
        <w:rPr>
          <w:rFonts w:ascii="Arial" w:hAnsi="Arial" w:cs="Arial"/>
          <w:iCs/>
          <w:color w:val="auto"/>
          <w:sz w:val="22"/>
          <w:szCs w:val="22"/>
        </w:rPr>
        <w:t>e</w:t>
      </w:r>
      <w:r w:rsidRPr="00C23A44">
        <w:rPr>
          <w:rFonts w:ascii="Arial" w:hAnsi="Arial" w:cs="Arial"/>
          <w:iCs/>
          <w:color w:val="auto"/>
          <w:sz w:val="22"/>
          <w:szCs w:val="22"/>
        </w:rPr>
        <w:t>spect, we consider that an ESA initiative to develop common complexity criteria could be benef</w:t>
      </w:r>
      <w:r w:rsidRPr="00C23A44">
        <w:rPr>
          <w:rFonts w:ascii="Arial" w:hAnsi="Arial" w:cs="Arial"/>
          <w:iCs/>
          <w:color w:val="auto"/>
          <w:sz w:val="22"/>
          <w:szCs w:val="22"/>
        </w:rPr>
        <w:t>i</w:t>
      </w:r>
      <w:r w:rsidRPr="00C23A44">
        <w:rPr>
          <w:rFonts w:ascii="Arial" w:hAnsi="Arial" w:cs="Arial"/>
          <w:iCs/>
          <w:color w:val="auto"/>
          <w:sz w:val="22"/>
          <w:szCs w:val="22"/>
        </w:rPr>
        <w:t>cial as it may usefully contribute to the harmonization of the product complexity rules.</w:t>
      </w:r>
    </w:p>
    <w:p w:rsidR="00C4141F" w:rsidRPr="00C23A44" w:rsidRDefault="00C4141F" w:rsidP="006B3421">
      <w:pPr>
        <w:pStyle w:val="BodyText1"/>
        <w:spacing w:after="0"/>
        <w:ind w:left="0"/>
        <w:jc w:val="left"/>
        <w:rPr>
          <w:rFonts w:ascii="Arial" w:hAnsi="Arial" w:cs="Arial"/>
          <w:iCs/>
          <w:color w:val="auto"/>
          <w:sz w:val="22"/>
          <w:szCs w:val="22"/>
        </w:rPr>
      </w:pPr>
    </w:p>
    <w:p w:rsidR="00C4141F" w:rsidRPr="00C23A44" w:rsidRDefault="00C4141F" w:rsidP="006B3421">
      <w:pPr>
        <w:pStyle w:val="BodyText1"/>
        <w:spacing w:after="0"/>
        <w:ind w:left="0"/>
        <w:jc w:val="left"/>
        <w:rPr>
          <w:rFonts w:ascii="Arial" w:hAnsi="Arial" w:cs="Arial"/>
          <w:iCs/>
          <w:color w:val="auto"/>
          <w:sz w:val="22"/>
          <w:szCs w:val="22"/>
        </w:rPr>
      </w:pPr>
      <w:r w:rsidRPr="00C23A44">
        <w:rPr>
          <w:rFonts w:ascii="Arial" w:hAnsi="Arial" w:cs="Arial"/>
          <w:iCs/>
          <w:color w:val="auto"/>
          <w:sz w:val="22"/>
          <w:szCs w:val="22"/>
        </w:rPr>
        <w:t>If such this clarification exercise were to be launched, it should focus on ensuring a level-playing field among the various product types. We would notably urge that non-UCITS PRIIPs be not discriminated against their UCITS equivalents.</w:t>
      </w:r>
    </w:p>
    <w:p w:rsidR="00C4141F" w:rsidRPr="00C23A44" w:rsidRDefault="00C4141F" w:rsidP="006B3421">
      <w:pPr>
        <w:pStyle w:val="BodyText1"/>
        <w:spacing w:after="0"/>
        <w:ind w:left="0"/>
        <w:jc w:val="left"/>
        <w:rPr>
          <w:rFonts w:ascii="Arial" w:hAnsi="Arial" w:cs="Arial"/>
          <w:iCs/>
          <w:color w:val="auto"/>
          <w:sz w:val="22"/>
          <w:szCs w:val="22"/>
        </w:rPr>
      </w:pPr>
    </w:p>
    <w:p w:rsidR="00C4141F" w:rsidRDefault="00C4141F" w:rsidP="00750796">
      <w:pPr>
        <w:rPr>
          <w:rFonts w:cs="Arial"/>
          <w:iCs/>
          <w:sz w:val="22"/>
          <w:szCs w:val="22"/>
        </w:rPr>
      </w:pPr>
      <w:r w:rsidRPr="00C23A44">
        <w:rPr>
          <w:rFonts w:cs="Arial"/>
          <w:iCs/>
          <w:sz w:val="22"/>
          <w:szCs w:val="22"/>
        </w:rPr>
        <w:t>Finally, as concerns the complexity assessment, we would recommend setting out clear high-level principles and avoiding unduly detailed and overly prescriptive methodol</w:t>
      </w:r>
      <w:r w:rsidRPr="00C23A44">
        <w:rPr>
          <w:rFonts w:cs="Arial"/>
          <w:iCs/>
          <w:sz w:val="22"/>
          <w:szCs w:val="22"/>
        </w:rPr>
        <w:t>o</w:t>
      </w:r>
      <w:r w:rsidRPr="00C23A44">
        <w:rPr>
          <w:rFonts w:cs="Arial"/>
          <w:iCs/>
          <w:sz w:val="22"/>
          <w:szCs w:val="22"/>
        </w:rPr>
        <w:t>gies.</w:t>
      </w:r>
    </w:p>
    <w:permEnd w:id="2032540272"/>
    <w:p w:rsidR="00750796" w:rsidRDefault="00750796" w:rsidP="00750796">
      <w:proofErr w:type="gramStart"/>
      <w:r>
        <w:t>&lt;</w:t>
      </w:r>
      <w:proofErr w:type="gramEnd"/>
      <w:r>
        <w: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C4141F" w:rsidRDefault="00C4141F" w:rsidP="00C4141F">
      <w:pPr>
        <w:pStyle w:val="BodyText1"/>
        <w:spacing w:after="0"/>
        <w:ind w:left="0"/>
        <w:jc w:val="left"/>
        <w:rPr>
          <w:rFonts w:ascii="Arial" w:hAnsi="Arial" w:cs="Arial"/>
          <w:iCs/>
          <w:color w:val="auto"/>
          <w:sz w:val="22"/>
          <w:szCs w:val="22"/>
        </w:rPr>
      </w:pPr>
      <w:permStart w:id="1903783615" w:edGrp="everyone"/>
      <w:r w:rsidRPr="00C23A44">
        <w:rPr>
          <w:rFonts w:ascii="Arial" w:hAnsi="Arial" w:cs="Arial"/>
          <w:iCs/>
          <w:color w:val="auto"/>
          <w:sz w:val="22"/>
          <w:szCs w:val="22"/>
        </w:rPr>
        <w:t>We disagree that EUR 15.000 should be used for single premium insurance-based i</w:t>
      </w:r>
      <w:r w:rsidRPr="00C23A44">
        <w:rPr>
          <w:rFonts w:ascii="Arial" w:hAnsi="Arial" w:cs="Arial"/>
          <w:iCs/>
          <w:color w:val="auto"/>
          <w:sz w:val="22"/>
          <w:szCs w:val="22"/>
        </w:rPr>
        <w:t>n</w:t>
      </w:r>
      <w:r w:rsidRPr="00C23A44">
        <w:rPr>
          <w:rFonts w:ascii="Arial" w:hAnsi="Arial" w:cs="Arial"/>
          <w:iCs/>
          <w:color w:val="auto"/>
          <w:sz w:val="22"/>
          <w:szCs w:val="22"/>
        </w:rPr>
        <w:t xml:space="preserve">vestment products. </w:t>
      </w:r>
    </w:p>
    <w:p w:rsidR="00C4141F" w:rsidRDefault="00C4141F" w:rsidP="00C4141F">
      <w:pPr>
        <w:pStyle w:val="BodyText1"/>
        <w:spacing w:after="0"/>
        <w:ind w:left="0"/>
        <w:jc w:val="left"/>
        <w:rPr>
          <w:rFonts w:ascii="Arial" w:hAnsi="Arial" w:cs="Arial"/>
          <w:iCs/>
          <w:color w:val="auto"/>
          <w:sz w:val="22"/>
          <w:szCs w:val="22"/>
        </w:rPr>
      </w:pPr>
    </w:p>
    <w:p w:rsidR="00C4141F" w:rsidRPr="00C4141F" w:rsidRDefault="00C4141F" w:rsidP="00C4141F">
      <w:pPr>
        <w:pStyle w:val="BodyText1"/>
        <w:spacing w:after="0"/>
        <w:ind w:left="0"/>
        <w:jc w:val="left"/>
        <w:rPr>
          <w:rFonts w:ascii="Arial" w:hAnsi="Arial" w:cs="Arial"/>
          <w:iCs/>
          <w:color w:val="auto"/>
          <w:sz w:val="22"/>
          <w:szCs w:val="22"/>
        </w:rPr>
      </w:pPr>
      <w:r w:rsidRPr="00C23A44">
        <w:rPr>
          <w:rFonts w:ascii="Arial" w:hAnsi="Arial" w:cs="Arial"/>
          <w:iCs/>
          <w:color w:val="auto"/>
          <w:sz w:val="22"/>
          <w:szCs w:val="22"/>
        </w:rPr>
        <w:t xml:space="preserve">We prefer the use of one single unit or the minimum denomination of a PRIIP. In case an amount has to be presented, we believe that EUR 1.000 or 10.000 should be used for all types of PRIIPs (all insurance based, regular premium insurance products as well as single premium, UCITS/AIFs, and structured products) to ensure comparability. </w:t>
      </w:r>
    </w:p>
    <w:permEnd w:id="1903783615"/>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C4141F" w:rsidRPr="00C23A44" w:rsidRDefault="00C4141F" w:rsidP="00C4141F">
      <w:pPr>
        <w:pStyle w:val="BodyText1"/>
        <w:spacing w:after="0"/>
        <w:ind w:left="0"/>
        <w:jc w:val="left"/>
        <w:rPr>
          <w:rFonts w:ascii="Arial" w:hAnsi="Arial" w:cs="Arial"/>
          <w:iCs/>
          <w:color w:val="auto"/>
          <w:sz w:val="22"/>
          <w:szCs w:val="22"/>
        </w:rPr>
      </w:pPr>
      <w:permStart w:id="1254228126" w:edGrp="everyone"/>
      <w:r w:rsidRPr="00C23A44">
        <w:rPr>
          <w:rFonts w:ascii="Arial" w:hAnsi="Arial" w:cs="Arial"/>
          <w:iCs/>
          <w:color w:val="auto"/>
          <w:sz w:val="22"/>
          <w:szCs w:val="22"/>
        </w:rPr>
        <w:t>Concerning the choice of the risk methodology for PRIIPs, EUSIPA urges the ESAs to avoid introducing new risk methodologies, especially if they are not well-established market practices for the relevant product type, unless they bring:</w:t>
      </w:r>
    </w:p>
    <w:p w:rsidR="00C4141F" w:rsidRPr="00C23A44" w:rsidRDefault="00C4141F" w:rsidP="00C4141F">
      <w:pPr>
        <w:pStyle w:val="BodyText1"/>
        <w:spacing w:after="0"/>
        <w:ind w:left="0"/>
        <w:jc w:val="left"/>
        <w:rPr>
          <w:rFonts w:ascii="Arial" w:hAnsi="Arial" w:cs="Arial"/>
          <w:iCs/>
          <w:color w:val="auto"/>
          <w:sz w:val="22"/>
          <w:szCs w:val="22"/>
        </w:rPr>
      </w:pPr>
    </w:p>
    <w:p w:rsidR="00C4141F" w:rsidRPr="00C23A44" w:rsidRDefault="00C4141F" w:rsidP="0014205A">
      <w:pPr>
        <w:pStyle w:val="BodyText1"/>
        <w:numPr>
          <w:ilvl w:val="0"/>
          <w:numId w:val="39"/>
        </w:numPr>
        <w:spacing w:after="0"/>
        <w:ind w:left="567"/>
        <w:jc w:val="left"/>
        <w:rPr>
          <w:rFonts w:ascii="Arial" w:hAnsi="Arial" w:cs="Arial"/>
          <w:iCs/>
          <w:color w:val="auto"/>
          <w:sz w:val="22"/>
          <w:szCs w:val="22"/>
        </w:rPr>
      </w:pPr>
      <w:r w:rsidRPr="00C23A44">
        <w:rPr>
          <w:rFonts w:ascii="Arial" w:hAnsi="Arial" w:cs="Arial"/>
          <w:iCs/>
          <w:color w:val="auto"/>
          <w:sz w:val="22"/>
          <w:szCs w:val="22"/>
        </w:rPr>
        <w:t>Clear benefits in terms of risk measurement (e.g. better differentiation than alternative ea</w:t>
      </w:r>
      <w:r w:rsidRPr="00C23A44">
        <w:rPr>
          <w:rFonts w:ascii="Arial" w:hAnsi="Arial" w:cs="Arial"/>
          <w:iCs/>
          <w:color w:val="auto"/>
          <w:sz w:val="22"/>
          <w:szCs w:val="22"/>
        </w:rPr>
        <w:t>s</w:t>
      </w:r>
      <w:r w:rsidRPr="00C23A44">
        <w:rPr>
          <w:rFonts w:ascii="Arial" w:hAnsi="Arial" w:cs="Arial"/>
          <w:iCs/>
          <w:color w:val="auto"/>
          <w:sz w:val="22"/>
          <w:szCs w:val="22"/>
        </w:rPr>
        <w:t xml:space="preserve">ier methodologies) and </w:t>
      </w:r>
    </w:p>
    <w:p w:rsidR="00C4141F" w:rsidRPr="00C23A44" w:rsidRDefault="00C4141F" w:rsidP="0014205A">
      <w:pPr>
        <w:pStyle w:val="BodyText1"/>
        <w:numPr>
          <w:ilvl w:val="0"/>
          <w:numId w:val="39"/>
        </w:numPr>
        <w:spacing w:after="0"/>
        <w:ind w:left="567"/>
        <w:jc w:val="left"/>
        <w:rPr>
          <w:rFonts w:ascii="Arial" w:hAnsi="Arial" w:cs="Arial"/>
          <w:iCs/>
          <w:color w:val="auto"/>
          <w:sz w:val="22"/>
          <w:szCs w:val="22"/>
        </w:rPr>
      </w:pPr>
      <w:r w:rsidRPr="00C23A44">
        <w:rPr>
          <w:rFonts w:ascii="Arial" w:hAnsi="Arial" w:cs="Arial"/>
          <w:iCs/>
          <w:color w:val="auto"/>
          <w:sz w:val="22"/>
          <w:szCs w:val="22"/>
        </w:rPr>
        <w:lastRenderedPageBreak/>
        <w:t>More consistency and finally a level-playing field in the regulatory treatment of the various product classes.</w:t>
      </w:r>
    </w:p>
    <w:p w:rsidR="00C4141F" w:rsidRPr="00C23A44" w:rsidRDefault="00C4141F" w:rsidP="00C4141F">
      <w:pPr>
        <w:pStyle w:val="BodyText1"/>
        <w:spacing w:after="0"/>
        <w:ind w:left="567"/>
        <w:jc w:val="left"/>
        <w:rPr>
          <w:rFonts w:ascii="Arial" w:hAnsi="Arial" w:cs="Arial"/>
          <w:iCs/>
          <w:color w:val="auto"/>
          <w:sz w:val="22"/>
          <w:szCs w:val="22"/>
        </w:rPr>
      </w:pPr>
    </w:p>
    <w:p w:rsidR="00C4141F" w:rsidRPr="00C23A44" w:rsidRDefault="00C4141F" w:rsidP="00C4141F">
      <w:pPr>
        <w:pStyle w:val="BodyText1"/>
        <w:spacing w:after="0"/>
        <w:ind w:left="0"/>
        <w:jc w:val="left"/>
        <w:rPr>
          <w:rFonts w:ascii="Arial" w:hAnsi="Arial" w:cs="Arial"/>
          <w:iCs/>
          <w:color w:val="auto"/>
          <w:sz w:val="22"/>
          <w:szCs w:val="22"/>
        </w:rPr>
      </w:pPr>
      <w:r w:rsidRPr="00C23A44">
        <w:rPr>
          <w:rFonts w:ascii="Arial" w:hAnsi="Arial" w:cs="Arial"/>
          <w:iCs/>
          <w:color w:val="auto"/>
          <w:sz w:val="22"/>
          <w:szCs w:val="22"/>
        </w:rPr>
        <w:t>Therefore we are in favor of one consistent methodology for all PRIIPs reflecting relevant pro</w:t>
      </w:r>
      <w:r w:rsidRPr="00C23A44">
        <w:rPr>
          <w:rFonts w:ascii="Arial" w:hAnsi="Arial" w:cs="Arial"/>
          <w:iCs/>
          <w:color w:val="auto"/>
          <w:sz w:val="22"/>
          <w:szCs w:val="22"/>
        </w:rPr>
        <w:t>d</w:t>
      </w:r>
      <w:r w:rsidRPr="00C23A44">
        <w:rPr>
          <w:rFonts w:ascii="Arial" w:hAnsi="Arial" w:cs="Arial"/>
          <w:iCs/>
          <w:color w:val="auto"/>
          <w:sz w:val="22"/>
          <w:szCs w:val="22"/>
        </w:rPr>
        <w:t xml:space="preserve">uct characteristics. A differentiation of methodologies between different PRIIPs categories is in our eyes not needed especially as we observe that the proposed approaches lead to similar results. </w:t>
      </w:r>
    </w:p>
    <w:p w:rsidR="00C4141F" w:rsidRPr="00C23A44" w:rsidRDefault="00C4141F" w:rsidP="00C4141F">
      <w:pPr>
        <w:pStyle w:val="BodyText1"/>
        <w:spacing w:after="0"/>
        <w:ind w:left="0"/>
        <w:jc w:val="left"/>
        <w:rPr>
          <w:rFonts w:ascii="Arial" w:hAnsi="Arial" w:cs="Arial"/>
          <w:iCs/>
          <w:color w:val="auto"/>
          <w:sz w:val="22"/>
          <w:szCs w:val="22"/>
        </w:rPr>
      </w:pPr>
    </w:p>
    <w:p w:rsidR="00C4141F" w:rsidRPr="00C23A44" w:rsidRDefault="00C4141F" w:rsidP="00C4141F">
      <w:pPr>
        <w:pStyle w:val="BodyText1"/>
        <w:spacing w:after="0"/>
        <w:ind w:left="0"/>
        <w:jc w:val="left"/>
        <w:rPr>
          <w:rFonts w:ascii="Arial" w:hAnsi="Arial" w:cs="Arial"/>
          <w:iCs/>
          <w:color w:val="auto"/>
          <w:sz w:val="22"/>
          <w:szCs w:val="22"/>
        </w:rPr>
      </w:pPr>
      <w:r w:rsidRPr="00C23A44">
        <w:rPr>
          <w:rFonts w:ascii="Arial" w:hAnsi="Arial" w:cs="Arial"/>
          <w:iCs/>
          <w:color w:val="auto"/>
          <w:sz w:val="22"/>
          <w:szCs w:val="22"/>
        </w:rPr>
        <w:t>ZFA wishes to outline that for category II PRIIPs a bootstrapping approach leads to similar r</w:t>
      </w:r>
      <w:r w:rsidRPr="00C23A44">
        <w:rPr>
          <w:rFonts w:ascii="Arial" w:hAnsi="Arial" w:cs="Arial"/>
          <w:iCs/>
          <w:color w:val="auto"/>
          <w:sz w:val="22"/>
          <w:szCs w:val="22"/>
        </w:rPr>
        <w:t>e</w:t>
      </w:r>
      <w:r w:rsidRPr="00C23A44">
        <w:rPr>
          <w:rFonts w:ascii="Arial" w:hAnsi="Arial" w:cs="Arial"/>
          <w:iCs/>
          <w:color w:val="auto"/>
          <w:sz w:val="22"/>
          <w:szCs w:val="22"/>
        </w:rPr>
        <w:t>sults as Cornish Fischer but is much simpler, given that it represents an historical simulation. At the same time, we observe that bootstrapping leads to similar results as the well-established Black and Scholes methodology. Therefore we fail to see the benefit of implementing the boo</w:t>
      </w:r>
      <w:r w:rsidRPr="00C23A44">
        <w:rPr>
          <w:rFonts w:ascii="Arial" w:hAnsi="Arial" w:cs="Arial"/>
          <w:iCs/>
          <w:color w:val="auto"/>
          <w:sz w:val="22"/>
          <w:szCs w:val="22"/>
        </w:rPr>
        <w:t>t</w:t>
      </w:r>
      <w:r w:rsidRPr="00C23A44">
        <w:rPr>
          <w:rFonts w:ascii="Arial" w:hAnsi="Arial" w:cs="Arial"/>
          <w:iCs/>
          <w:color w:val="auto"/>
          <w:sz w:val="22"/>
          <w:szCs w:val="22"/>
        </w:rPr>
        <w:t>strapping approach.</w:t>
      </w:r>
    </w:p>
    <w:permEnd w:id="1254228126"/>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C4141F" w:rsidRPr="00C23A44" w:rsidRDefault="00C4141F" w:rsidP="00C4141F">
      <w:pPr>
        <w:pStyle w:val="BodyText1"/>
        <w:spacing w:after="0"/>
        <w:ind w:left="0"/>
        <w:jc w:val="left"/>
        <w:rPr>
          <w:rFonts w:ascii="Arial" w:hAnsi="Arial" w:cs="Arial"/>
          <w:iCs/>
          <w:color w:val="auto"/>
          <w:sz w:val="22"/>
          <w:szCs w:val="22"/>
        </w:rPr>
      </w:pPr>
      <w:permStart w:id="112862807" w:edGrp="everyone"/>
      <w:r w:rsidRPr="00C23A44">
        <w:rPr>
          <w:rFonts w:ascii="Arial" w:hAnsi="Arial" w:cs="Arial"/>
          <w:iCs/>
          <w:color w:val="auto"/>
          <w:sz w:val="22"/>
          <w:szCs w:val="22"/>
        </w:rPr>
        <w:t xml:space="preserve">The </w:t>
      </w:r>
      <w:proofErr w:type="spellStart"/>
      <w:r w:rsidRPr="00C23A44">
        <w:rPr>
          <w:rFonts w:ascii="Arial" w:hAnsi="Arial" w:cs="Arial"/>
          <w:iCs/>
          <w:color w:val="auto"/>
          <w:sz w:val="22"/>
          <w:szCs w:val="22"/>
        </w:rPr>
        <w:t>VaR</w:t>
      </w:r>
      <w:proofErr w:type="spellEnd"/>
      <w:r w:rsidRPr="00C23A44">
        <w:rPr>
          <w:rFonts w:ascii="Arial" w:hAnsi="Arial" w:cs="Arial"/>
          <w:iCs/>
          <w:color w:val="auto"/>
          <w:sz w:val="22"/>
          <w:szCs w:val="22"/>
        </w:rPr>
        <w:t xml:space="preserve"> level only serves as a basis to calculate the VEV (“Volatility Equivalent to Value-at-Risk”), so the confidence interval is of low importance. As an adjustment of the level would result in changes in the classification scheme, ZFA sees no value-added of changing the </w:t>
      </w:r>
      <w:proofErr w:type="spellStart"/>
      <w:r w:rsidRPr="00C23A44">
        <w:rPr>
          <w:rFonts w:ascii="Arial" w:hAnsi="Arial" w:cs="Arial"/>
          <w:iCs/>
          <w:color w:val="auto"/>
          <w:sz w:val="22"/>
          <w:szCs w:val="22"/>
        </w:rPr>
        <w:t>VaR</w:t>
      </w:r>
      <w:proofErr w:type="spellEnd"/>
      <w:r w:rsidRPr="00C23A44">
        <w:rPr>
          <w:rFonts w:ascii="Arial" w:hAnsi="Arial" w:cs="Arial"/>
          <w:iCs/>
          <w:color w:val="auto"/>
          <w:sz w:val="22"/>
          <w:szCs w:val="22"/>
        </w:rPr>
        <w:t xml:space="preserve"> level. </w:t>
      </w:r>
    </w:p>
    <w:permEnd w:id="112862807"/>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C4141F" w:rsidRPr="00C23A44" w:rsidRDefault="00C4141F" w:rsidP="00C4141F">
      <w:pPr>
        <w:pStyle w:val="BodyText1"/>
        <w:spacing w:after="0"/>
        <w:ind w:left="0"/>
        <w:jc w:val="left"/>
        <w:rPr>
          <w:rFonts w:ascii="Arial" w:hAnsi="Arial" w:cs="Arial"/>
          <w:iCs/>
          <w:color w:val="auto"/>
          <w:sz w:val="22"/>
          <w:szCs w:val="22"/>
        </w:rPr>
      </w:pPr>
      <w:permStart w:id="1631075934" w:edGrp="everyone"/>
      <w:r w:rsidRPr="00C23A44">
        <w:rPr>
          <w:rFonts w:ascii="Arial" w:hAnsi="Arial" w:cs="Arial"/>
          <w:iCs/>
          <w:color w:val="auto"/>
          <w:sz w:val="22"/>
          <w:szCs w:val="22"/>
        </w:rPr>
        <w:t>We believe a reference to any type of compensation or guarantee scheme is not relevant when assessing the level of credit risk incurred.</w:t>
      </w:r>
    </w:p>
    <w:p w:rsidR="00C4141F" w:rsidRPr="00C23A44" w:rsidRDefault="00C4141F" w:rsidP="00C4141F">
      <w:pPr>
        <w:pStyle w:val="BodyText1"/>
        <w:spacing w:after="0"/>
        <w:ind w:left="0"/>
        <w:jc w:val="left"/>
        <w:rPr>
          <w:rFonts w:ascii="Arial" w:hAnsi="Arial" w:cs="Arial"/>
          <w:iCs/>
          <w:color w:val="auto"/>
          <w:sz w:val="22"/>
          <w:szCs w:val="22"/>
        </w:rPr>
      </w:pPr>
    </w:p>
    <w:p w:rsidR="00C4141F" w:rsidRPr="00C23A44" w:rsidRDefault="00C4141F" w:rsidP="00C4141F">
      <w:pPr>
        <w:pStyle w:val="BodyText1"/>
        <w:spacing w:after="0"/>
        <w:ind w:left="0"/>
        <w:jc w:val="left"/>
        <w:rPr>
          <w:rFonts w:ascii="Arial" w:hAnsi="Arial" w:cs="Arial"/>
          <w:iCs/>
          <w:color w:val="auto"/>
          <w:sz w:val="22"/>
          <w:szCs w:val="22"/>
        </w:rPr>
      </w:pPr>
      <w:r w:rsidRPr="00C23A44">
        <w:rPr>
          <w:rFonts w:ascii="Arial" w:hAnsi="Arial" w:cs="Arial"/>
          <w:iCs/>
          <w:color w:val="auto"/>
          <w:sz w:val="22"/>
          <w:szCs w:val="22"/>
        </w:rPr>
        <w:t>The objective of such schemes is not to protect retail investors from the default of the iss</w:t>
      </w:r>
      <w:r w:rsidRPr="00C23A44">
        <w:rPr>
          <w:rFonts w:ascii="Arial" w:hAnsi="Arial" w:cs="Arial"/>
          <w:iCs/>
          <w:color w:val="auto"/>
          <w:sz w:val="22"/>
          <w:szCs w:val="22"/>
        </w:rPr>
        <w:t>u</w:t>
      </w:r>
      <w:r w:rsidRPr="00C23A44">
        <w:rPr>
          <w:rFonts w:ascii="Arial" w:hAnsi="Arial" w:cs="Arial"/>
          <w:iCs/>
          <w:color w:val="auto"/>
          <w:sz w:val="22"/>
          <w:szCs w:val="22"/>
        </w:rPr>
        <w:t xml:space="preserve">er/product manufacturer as counterparty but to protect the retail investor from the default of the entity acting as cash or financial products’ </w:t>
      </w:r>
      <w:r w:rsidRPr="00C23A44">
        <w:rPr>
          <w:rFonts w:ascii="Arial" w:hAnsi="Arial" w:cs="Arial"/>
          <w:iCs/>
          <w:color w:val="auto"/>
          <w:sz w:val="22"/>
          <w:szCs w:val="22"/>
          <w:u w:val="single"/>
        </w:rPr>
        <w:t>depository</w:t>
      </w:r>
      <w:r w:rsidRPr="00C23A44">
        <w:rPr>
          <w:rFonts w:ascii="Arial" w:hAnsi="Arial" w:cs="Arial"/>
          <w:iCs/>
          <w:color w:val="auto"/>
          <w:sz w:val="22"/>
          <w:szCs w:val="22"/>
        </w:rPr>
        <w:t xml:space="preserve"> (as counterparty). It should be noted that issuer/product manufacturer and depository entities are in practice very often </w:t>
      </w:r>
      <w:r w:rsidRPr="00C23A44">
        <w:rPr>
          <w:rFonts w:ascii="Arial" w:hAnsi="Arial" w:cs="Arial"/>
          <w:iCs/>
          <w:color w:val="auto"/>
          <w:sz w:val="22"/>
          <w:szCs w:val="22"/>
          <w:u w:val="single"/>
        </w:rPr>
        <w:t>not identical</w:t>
      </w:r>
      <w:r w:rsidRPr="00C23A44">
        <w:rPr>
          <w:rFonts w:ascii="Arial" w:hAnsi="Arial" w:cs="Arial"/>
          <w:iCs/>
          <w:color w:val="auto"/>
          <w:sz w:val="22"/>
          <w:szCs w:val="22"/>
        </w:rPr>
        <w:t>.</w:t>
      </w:r>
    </w:p>
    <w:p w:rsidR="00C4141F" w:rsidRPr="00C23A44" w:rsidRDefault="00C4141F" w:rsidP="00C4141F">
      <w:pPr>
        <w:pStyle w:val="BodyText1"/>
        <w:spacing w:after="0"/>
        <w:ind w:left="0"/>
        <w:jc w:val="left"/>
        <w:rPr>
          <w:rFonts w:ascii="Arial" w:hAnsi="Arial" w:cs="Arial"/>
          <w:iCs/>
          <w:color w:val="auto"/>
          <w:sz w:val="22"/>
          <w:szCs w:val="22"/>
        </w:rPr>
      </w:pPr>
    </w:p>
    <w:p w:rsidR="00C4141F" w:rsidRPr="00BE6BF9" w:rsidRDefault="00C4141F" w:rsidP="00C4141F">
      <w:pPr>
        <w:rPr>
          <w:rFonts w:cs="Arial"/>
          <w:iCs/>
          <w:color w:val="000000"/>
          <w:sz w:val="22"/>
          <w:szCs w:val="22"/>
          <w:u w:color="000000"/>
          <w:lang w:val="en-US" w:eastAsia="en-GB"/>
        </w:rPr>
      </w:pPr>
      <w:r w:rsidRPr="00BE6BF9">
        <w:rPr>
          <w:rFonts w:cs="Arial"/>
          <w:iCs/>
          <w:color w:val="000000"/>
          <w:sz w:val="22"/>
          <w:szCs w:val="22"/>
          <w:lang w:val="en-US" w:eastAsia="en-GB"/>
        </w:rPr>
        <w:t>Also, it is important to note that compensation schemes are generally capped (e.g. EUR 100,000 or an equivalent amount).</w:t>
      </w:r>
      <w:r w:rsidRPr="00BE6BF9">
        <w:rPr>
          <w:rFonts w:cs="Arial"/>
          <w:iCs/>
          <w:color w:val="000000"/>
          <w:sz w:val="22"/>
          <w:szCs w:val="22"/>
          <w:u w:color="000000"/>
          <w:lang w:val="en-US" w:eastAsia="en-GB"/>
        </w:rPr>
        <w:t xml:space="preserve"> They are not related to each PRIIP investment but concern the fina</w:t>
      </w:r>
      <w:r w:rsidRPr="00BE6BF9">
        <w:rPr>
          <w:rFonts w:cs="Arial"/>
          <w:iCs/>
          <w:color w:val="000000"/>
          <w:sz w:val="22"/>
          <w:szCs w:val="22"/>
          <w:u w:color="000000"/>
          <w:lang w:val="en-US" w:eastAsia="en-GB"/>
        </w:rPr>
        <w:t>n</w:t>
      </w:r>
      <w:r w:rsidRPr="00BE6BF9">
        <w:rPr>
          <w:rFonts w:cs="Arial"/>
          <w:iCs/>
          <w:color w:val="000000"/>
          <w:sz w:val="22"/>
          <w:szCs w:val="22"/>
          <w:u w:color="000000"/>
          <w:lang w:val="en-US" w:eastAsia="en-GB"/>
        </w:rPr>
        <w:t xml:space="preserve">cial instruments accounts held in each credit institution. </w:t>
      </w:r>
    </w:p>
    <w:p w:rsidR="00C4141F" w:rsidRPr="00BE6BF9" w:rsidRDefault="00C4141F" w:rsidP="00C4141F">
      <w:pPr>
        <w:rPr>
          <w:rFonts w:cs="Arial"/>
          <w:iCs/>
          <w:color w:val="000000"/>
          <w:sz w:val="22"/>
          <w:szCs w:val="22"/>
          <w:u w:color="000000"/>
          <w:lang w:val="en-US" w:eastAsia="en-GB"/>
        </w:rPr>
      </w:pPr>
    </w:p>
    <w:p w:rsidR="00C4141F" w:rsidRPr="00BE6BF9" w:rsidRDefault="00C4141F" w:rsidP="00C4141F">
      <w:pPr>
        <w:rPr>
          <w:rFonts w:cs="Arial"/>
          <w:iCs/>
          <w:color w:val="000000"/>
          <w:sz w:val="22"/>
          <w:szCs w:val="22"/>
          <w:u w:color="000000"/>
          <w:lang w:val="en-US" w:eastAsia="en-GB"/>
        </w:rPr>
      </w:pPr>
      <w:r w:rsidRPr="00BE6BF9">
        <w:rPr>
          <w:rFonts w:cs="Arial"/>
          <w:iCs/>
          <w:color w:val="000000"/>
          <w:sz w:val="22"/>
          <w:szCs w:val="22"/>
          <w:u w:color="000000"/>
          <w:lang w:val="en-US" w:eastAsia="en-GB"/>
        </w:rPr>
        <w:t>Hence investors holding assets in excess of more than EUR 100,000 in one credit institution could be misled by a CRM risk class taking into account a compensation scheme.</w:t>
      </w:r>
    </w:p>
    <w:p w:rsidR="00C4141F" w:rsidRPr="00BE6BF9" w:rsidRDefault="00C4141F" w:rsidP="00C4141F">
      <w:pPr>
        <w:rPr>
          <w:rFonts w:cs="Arial"/>
          <w:iCs/>
          <w:color w:val="000000"/>
          <w:sz w:val="22"/>
          <w:szCs w:val="22"/>
          <w:u w:color="000000"/>
          <w:lang w:val="en-US" w:eastAsia="en-GB"/>
        </w:rPr>
      </w:pPr>
    </w:p>
    <w:p w:rsidR="00C4141F" w:rsidRPr="00BE6BF9" w:rsidRDefault="00C4141F" w:rsidP="00C4141F">
      <w:pPr>
        <w:rPr>
          <w:rFonts w:cs="Arial"/>
          <w:sz w:val="22"/>
          <w:szCs w:val="22"/>
          <w:lang w:val="en-US"/>
        </w:rPr>
      </w:pPr>
      <w:r w:rsidRPr="00BE6BF9">
        <w:rPr>
          <w:rFonts w:cs="Arial"/>
          <w:iCs/>
          <w:color w:val="000000"/>
          <w:sz w:val="22"/>
          <w:szCs w:val="22"/>
          <w:u w:color="000000"/>
          <w:lang w:val="en-US" w:eastAsia="en-GB"/>
        </w:rPr>
        <w:t>Also the existence of a compensation scheme is already specified in section "What happens if [the name of the PRIIP manufacturer] is unable to pay out?</w:t>
      </w:r>
      <w:proofErr w:type="gramStart"/>
      <w:r w:rsidRPr="00BE6BF9">
        <w:rPr>
          <w:rFonts w:cs="Arial"/>
          <w:iCs/>
          <w:color w:val="000000"/>
          <w:sz w:val="22"/>
          <w:szCs w:val="22"/>
          <w:u w:color="000000"/>
          <w:lang w:val="en-US" w:eastAsia="en-GB"/>
        </w:rPr>
        <w:t>".</w:t>
      </w:r>
      <w:proofErr w:type="gramEnd"/>
      <w:r w:rsidRPr="00BE6BF9">
        <w:rPr>
          <w:rFonts w:cs="Arial"/>
          <w:iCs/>
          <w:color w:val="000000"/>
          <w:sz w:val="22"/>
          <w:szCs w:val="22"/>
          <w:u w:color="000000"/>
          <w:lang w:val="en-US" w:eastAsia="en-GB"/>
        </w:rPr>
        <w:t xml:space="preserve"> We do not see the benefit of taking it into account in another section of the KID</w:t>
      </w:r>
      <w:r w:rsidRPr="00BE6BF9">
        <w:rPr>
          <w:rFonts w:cs="Arial"/>
          <w:sz w:val="22"/>
          <w:szCs w:val="22"/>
          <w:lang w:val="en-US"/>
        </w:rPr>
        <w:t>.</w:t>
      </w:r>
    </w:p>
    <w:permEnd w:id="1631075934"/>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BE6BF9" w:rsidRPr="00BE6BF9" w:rsidRDefault="00BE6BF9" w:rsidP="00BE6BF9">
      <w:pPr>
        <w:rPr>
          <w:rFonts w:cs="Arial"/>
          <w:iCs/>
          <w:sz w:val="22"/>
          <w:szCs w:val="22"/>
          <w:u w:color="000000"/>
          <w:lang w:val="en-US" w:eastAsia="en-GB"/>
        </w:rPr>
      </w:pPr>
      <w:permStart w:id="1410948414" w:edGrp="everyone"/>
      <w:r w:rsidRPr="00BE6BF9">
        <w:rPr>
          <w:rFonts w:cs="Arial"/>
          <w:iCs/>
          <w:sz w:val="22"/>
          <w:szCs w:val="22"/>
          <w:u w:color="000000"/>
          <w:lang w:val="en-US" w:eastAsia="en-GB"/>
        </w:rPr>
        <w:t>ZFA takes the view that an option for a voluntary increase would in general not allow for comp</w:t>
      </w:r>
      <w:r w:rsidRPr="00BE6BF9">
        <w:rPr>
          <w:rFonts w:cs="Arial"/>
          <w:iCs/>
          <w:sz w:val="22"/>
          <w:szCs w:val="22"/>
          <w:u w:color="000000"/>
          <w:lang w:val="en-US" w:eastAsia="en-GB"/>
        </w:rPr>
        <w:t>a</w:t>
      </w:r>
      <w:r w:rsidRPr="00BE6BF9">
        <w:rPr>
          <w:rFonts w:cs="Arial"/>
          <w:iCs/>
          <w:sz w:val="22"/>
          <w:szCs w:val="22"/>
          <w:u w:color="000000"/>
          <w:lang w:val="en-US" w:eastAsia="en-GB"/>
        </w:rPr>
        <w:t>rable results any longer, as it may be the case that one manufacturer enacts such an SRI i</w:t>
      </w:r>
      <w:r w:rsidRPr="00BE6BF9">
        <w:rPr>
          <w:rFonts w:cs="Arial"/>
          <w:iCs/>
          <w:sz w:val="22"/>
          <w:szCs w:val="22"/>
          <w:u w:color="000000"/>
          <w:lang w:val="en-US" w:eastAsia="en-GB"/>
        </w:rPr>
        <w:t>n</w:t>
      </w:r>
      <w:r w:rsidRPr="00BE6BF9">
        <w:rPr>
          <w:rFonts w:cs="Arial"/>
          <w:iCs/>
          <w:sz w:val="22"/>
          <w:szCs w:val="22"/>
          <w:u w:color="000000"/>
          <w:lang w:val="en-US" w:eastAsia="en-GB"/>
        </w:rPr>
        <w:t>crease and another manufacturer offering an identical/similar product will leave the risk class unchanged.</w:t>
      </w:r>
    </w:p>
    <w:p w:rsidR="00BE6BF9" w:rsidRPr="00BE6BF9" w:rsidRDefault="00BE6BF9" w:rsidP="00BE6BF9">
      <w:pPr>
        <w:rPr>
          <w:rFonts w:cs="Arial"/>
          <w:iCs/>
          <w:sz w:val="22"/>
          <w:szCs w:val="22"/>
          <w:u w:color="000000"/>
          <w:lang w:val="en-US" w:eastAsia="en-GB"/>
        </w:rPr>
      </w:pPr>
    </w:p>
    <w:p w:rsidR="00BE6BF9" w:rsidRPr="00BE6BF9" w:rsidRDefault="00BE6BF9" w:rsidP="00BE6BF9">
      <w:pPr>
        <w:rPr>
          <w:rFonts w:cs="Arial"/>
          <w:iCs/>
          <w:color w:val="000000"/>
          <w:sz w:val="22"/>
          <w:szCs w:val="22"/>
          <w:u w:color="000000"/>
          <w:lang w:val="en-US" w:eastAsia="en-GB"/>
        </w:rPr>
      </w:pPr>
      <w:r w:rsidRPr="00BE6BF9">
        <w:rPr>
          <w:rFonts w:cs="Arial"/>
          <w:iCs/>
          <w:sz w:val="22"/>
          <w:szCs w:val="22"/>
          <w:u w:color="000000"/>
          <w:lang w:val="en-US" w:eastAsia="en-GB"/>
        </w:rPr>
        <w:t>However, we note that in certain circumstances, this option could be of interest, in particular for manufacturers of a limited number of products. A voluntary increase can make sense, for exa</w:t>
      </w:r>
      <w:r w:rsidRPr="00BE6BF9">
        <w:rPr>
          <w:rFonts w:cs="Arial"/>
          <w:iCs/>
          <w:sz w:val="22"/>
          <w:szCs w:val="22"/>
          <w:u w:color="000000"/>
          <w:lang w:val="en-US" w:eastAsia="en-GB"/>
        </w:rPr>
        <w:t>m</w:t>
      </w:r>
      <w:r w:rsidRPr="00BE6BF9">
        <w:rPr>
          <w:rFonts w:cs="Arial"/>
          <w:iCs/>
          <w:sz w:val="22"/>
          <w:szCs w:val="22"/>
          <w:u w:color="000000"/>
          <w:lang w:val="en-US" w:eastAsia="en-GB"/>
        </w:rPr>
        <w:t xml:space="preserve">ple, if the risk of a product for intermediate holding periods is larger than at the end of maturity. However, </w:t>
      </w:r>
      <w:r w:rsidRPr="00BE6BF9">
        <w:rPr>
          <w:rFonts w:cs="Arial"/>
          <w:iCs/>
          <w:color w:val="000000"/>
          <w:sz w:val="22"/>
          <w:szCs w:val="22"/>
          <w:u w:color="000000"/>
          <w:lang w:val="en-US" w:eastAsia="en-GB"/>
        </w:rPr>
        <w:t>we do not take a view in this respect on any unintended consequences, as it has not been tested yet. (For example, we do not know if this option may not trigger in an overall preca</w:t>
      </w:r>
      <w:r w:rsidRPr="00BE6BF9">
        <w:rPr>
          <w:rFonts w:cs="Arial"/>
          <w:iCs/>
          <w:color w:val="000000"/>
          <w:sz w:val="22"/>
          <w:szCs w:val="22"/>
          <w:u w:color="000000"/>
          <w:lang w:val="en-US" w:eastAsia="en-GB"/>
        </w:rPr>
        <w:t>u</w:t>
      </w:r>
      <w:r w:rsidRPr="00BE6BF9">
        <w:rPr>
          <w:rFonts w:cs="Arial"/>
          <w:iCs/>
          <w:color w:val="000000"/>
          <w:sz w:val="22"/>
          <w:szCs w:val="22"/>
          <w:u w:color="000000"/>
          <w:lang w:val="en-US" w:eastAsia="en-GB"/>
        </w:rPr>
        <w:t>tionary upgrading of the risk categories resulting in a loss of granularity in the risk assessment of the various product types.)</w:t>
      </w:r>
    </w:p>
    <w:permEnd w:id="1410948414"/>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BE6BF9" w:rsidRPr="00BE6BF9" w:rsidRDefault="00BE6BF9" w:rsidP="00BE6BF9">
      <w:pPr>
        <w:rPr>
          <w:rFonts w:cs="Arial"/>
          <w:iCs/>
          <w:color w:val="000000" w:themeColor="text1"/>
          <w:sz w:val="22"/>
          <w:szCs w:val="22"/>
          <w:u w:color="000000"/>
          <w:lang w:val="en-US" w:eastAsia="en-GB"/>
        </w:rPr>
      </w:pPr>
      <w:permStart w:id="1383930065" w:edGrp="everyone"/>
      <w:r w:rsidRPr="00BE6BF9">
        <w:rPr>
          <w:rFonts w:cs="Arial"/>
          <w:iCs/>
          <w:color w:val="000000" w:themeColor="text1"/>
          <w:sz w:val="22"/>
          <w:szCs w:val="22"/>
          <w:u w:color="000000"/>
          <w:lang w:val="en-US" w:eastAsia="en-GB"/>
        </w:rPr>
        <w:t xml:space="preserve">Firstly, ZFA wishes to stress that such </w:t>
      </w:r>
      <w:r w:rsidRPr="00BE6BF9">
        <w:rPr>
          <w:rFonts w:cs="Arial"/>
          <w:color w:val="000000" w:themeColor="text1"/>
          <w:sz w:val="22"/>
          <w:szCs w:val="22"/>
          <w:u w:color="000000"/>
          <w:lang w:val="en-US"/>
        </w:rPr>
        <w:t>adjustments are clearly contrary to common market pra</w:t>
      </w:r>
      <w:r w:rsidRPr="00BE6BF9">
        <w:rPr>
          <w:rFonts w:cs="Arial"/>
          <w:color w:val="000000" w:themeColor="text1"/>
          <w:sz w:val="22"/>
          <w:szCs w:val="22"/>
          <w:u w:color="000000"/>
          <w:lang w:val="en-US"/>
        </w:rPr>
        <w:t>c</w:t>
      </w:r>
      <w:r w:rsidRPr="00BE6BF9">
        <w:rPr>
          <w:rFonts w:cs="Arial"/>
          <w:color w:val="000000" w:themeColor="text1"/>
          <w:sz w:val="22"/>
          <w:szCs w:val="22"/>
          <w:u w:color="000000"/>
          <w:lang w:val="en-US"/>
        </w:rPr>
        <w:t>tice.</w:t>
      </w:r>
      <w:r w:rsidRPr="00BE6BF9">
        <w:rPr>
          <w:rFonts w:cs="Arial"/>
          <w:iCs/>
          <w:color w:val="000000" w:themeColor="text1"/>
          <w:sz w:val="22"/>
          <w:szCs w:val="22"/>
          <w:u w:color="000000"/>
          <w:lang w:val="en-US" w:eastAsia="en-GB"/>
        </w:rPr>
        <w:t xml:space="preserve"> </w:t>
      </w:r>
    </w:p>
    <w:p w:rsidR="00BE6BF9" w:rsidRPr="00BE6BF9" w:rsidRDefault="00BE6BF9" w:rsidP="00BE6BF9">
      <w:pPr>
        <w:rPr>
          <w:rFonts w:cs="Arial"/>
          <w:iCs/>
          <w:color w:val="000000" w:themeColor="text1"/>
          <w:sz w:val="22"/>
          <w:szCs w:val="22"/>
          <w:u w:color="000000"/>
          <w:lang w:val="en-US" w:eastAsia="en-GB"/>
        </w:rPr>
      </w:pPr>
    </w:p>
    <w:p w:rsidR="00BE6BF9" w:rsidRPr="00BE6BF9" w:rsidRDefault="00BE6BF9" w:rsidP="00BE6BF9">
      <w:pPr>
        <w:rPr>
          <w:rFonts w:cs="Arial"/>
          <w:color w:val="000000" w:themeColor="text1"/>
          <w:sz w:val="22"/>
          <w:szCs w:val="22"/>
          <w:u w:color="000000"/>
          <w:lang w:val="en-US"/>
        </w:rPr>
      </w:pPr>
      <w:r w:rsidRPr="00BE6BF9">
        <w:rPr>
          <w:rFonts w:cs="Arial"/>
          <w:iCs/>
          <w:color w:val="000000" w:themeColor="text1"/>
          <w:sz w:val="22"/>
          <w:szCs w:val="22"/>
          <w:u w:color="000000"/>
          <w:lang w:val="en-US" w:eastAsia="en-GB"/>
        </w:rPr>
        <w:t>Secondly, it should be noted on the technical level, that there</w:t>
      </w:r>
      <w:r w:rsidRPr="00BE6BF9">
        <w:rPr>
          <w:rFonts w:cs="Arial"/>
          <w:color w:val="000000" w:themeColor="text1"/>
          <w:sz w:val="22"/>
          <w:szCs w:val="22"/>
          <w:u w:color="000000"/>
          <w:lang w:val="en-US"/>
        </w:rPr>
        <w:t xml:space="preserve"> is </w:t>
      </w:r>
      <w:r w:rsidRPr="00BE6BF9">
        <w:rPr>
          <w:rFonts w:cs="Arial"/>
          <w:iCs/>
          <w:color w:val="000000" w:themeColor="text1"/>
          <w:sz w:val="22"/>
          <w:szCs w:val="22"/>
          <w:u w:color="000000"/>
          <w:lang w:val="en-US" w:eastAsia="en-GB"/>
        </w:rPr>
        <w:t xml:space="preserve">no linear relation between tenor and </w:t>
      </w:r>
      <w:r w:rsidRPr="00BE6BF9">
        <w:rPr>
          <w:rFonts w:cs="Arial"/>
          <w:color w:val="000000" w:themeColor="text1"/>
          <w:sz w:val="22"/>
          <w:szCs w:val="22"/>
          <w:u w:color="000000"/>
          <w:lang w:val="en-US"/>
        </w:rPr>
        <w:t xml:space="preserve">credit </w:t>
      </w:r>
      <w:r w:rsidRPr="00BE6BF9">
        <w:rPr>
          <w:rFonts w:cs="Arial"/>
          <w:iCs/>
          <w:color w:val="000000" w:themeColor="text1"/>
          <w:sz w:val="22"/>
          <w:szCs w:val="22"/>
          <w:u w:color="000000"/>
          <w:lang w:val="en-US" w:eastAsia="en-GB"/>
        </w:rPr>
        <w:t>risk and</w:t>
      </w:r>
      <w:r w:rsidRPr="00BE6BF9">
        <w:rPr>
          <w:rFonts w:cs="Arial"/>
          <w:color w:val="000000" w:themeColor="text1"/>
          <w:sz w:val="22"/>
          <w:szCs w:val="22"/>
          <w:u w:color="000000"/>
          <w:lang w:val="en-US"/>
        </w:rPr>
        <w:t xml:space="preserve"> that, consequently, there is no commonly agreed qualitative approach for such an adjustment of the CRM class according to the product tenor.</w:t>
      </w:r>
    </w:p>
    <w:p w:rsidR="00BE6BF9" w:rsidRPr="00BE6BF9" w:rsidRDefault="00BE6BF9" w:rsidP="00BE6BF9">
      <w:pPr>
        <w:rPr>
          <w:rFonts w:cs="Arial"/>
          <w:color w:val="000000" w:themeColor="text1"/>
          <w:sz w:val="22"/>
          <w:szCs w:val="22"/>
          <w:u w:color="000000"/>
          <w:lang w:val="en-US"/>
        </w:rPr>
      </w:pPr>
    </w:p>
    <w:p w:rsidR="00BE6BF9" w:rsidRPr="00BE6BF9" w:rsidRDefault="00BE6BF9" w:rsidP="00BE6BF9">
      <w:pPr>
        <w:rPr>
          <w:rFonts w:cs="Arial"/>
          <w:iCs/>
          <w:color w:val="000000" w:themeColor="text1"/>
          <w:sz w:val="22"/>
          <w:szCs w:val="22"/>
          <w:u w:color="000000"/>
          <w:lang w:val="en-US" w:eastAsia="en-GB"/>
        </w:rPr>
      </w:pPr>
      <w:r w:rsidRPr="00BE6BF9">
        <w:rPr>
          <w:rFonts w:cs="Arial"/>
          <w:color w:val="000000" w:themeColor="text1"/>
          <w:sz w:val="22"/>
          <w:szCs w:val="22"/>
          <w:u w:color="000000"/>
          <w:lang w:val="en-US"/>
        </w:rPr>
        <w:t xml:space="preserve">If at all, such adjustment could </w:t>
      </w:r>
      <w:r w:rsidRPr="00BE6BF9">
        <w:rPr>
          <w:rFonts w:cs="Arial"/>
          <w:iCs/>
          <w:color w:val="000000" w:themeColor="text1"/>
          <w:sz w:val="22"/>
          <w:szCs w:val="22"/>
          <w:u w:color="000000"/>
          <w:lang w:val="en-US" w:eastAsia="en-GB"/>
        </w:rPr>
        <w:t xml:space="preserve">only be </w:t>
      </w:r>
      <w:r w:rsidRPr="00BE6BF9">
        <w:rPr>
          <w:rFonts w:cs="Arial"/>
          <w:color w:val="000000" w:themeColor="text1"/>
          <w:sz w:val="22"/>
          <w:szCs w:val="22"/>
          <w:u w:color="000000"/>
          <w:lang w:val="en-US"/>
        </w:rPr>
        <w:t>done on a quantitative basis (see response to question 9) for which a methodology however would need to be established first.</w:t>
      </w:r>
      <w:r w:rsidRPr="00BE6BF9">
        <w:rPr>
          <w:rFonts w:cs="Arial"/>
          <w:iCs/>
          <w:color w:val="000000" w:themeColor="text1"/>
          <w:sz w:val="22"/>
          <w:szCs w:val="22"/>
          <w:u w:color="000000"/>
          <w:lang w:val="en-US" w:eastAsia="en-GB"/>
        </w:rPr>
        <w:t xml:space="preserve"> </w:t>
      </w:r>
    </w:p>
    <w:permEnd w:id="1383930065"/>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BE6BF9" w:rsidRPr="00C23A44" w:rsidRDefault="00BE6BF9" w:rsidP="00BE6BF9">
      <w:pPr>
        <w:pStyle w:val="BodyText1"/>
        <w:spacing w:after="0"/>
        <w:ind w:left="0"/>
        <w:jc w:val="left"/>
        <w:rPr>
          <w:rFonts w:ascii="Arial" w:hAnsi="Arial" w:cs="Arial"/>
          <w:iCs/>
          <w:color w:val="auto"/>
          <w:sz w:val="22"/>
          <w:szCs w:val="22"/>
        </w:rPr>
      </w:pPr>
      <w:permStart w:id="90590723" w:edGrp="everyone"/>
      <w:r w:rsidRPr="00C23A44">
        <w:rPr>
          <w:rFonts w:ascii="Arial" w:hAnsi="Arial" w:cs="Arial"/>
          <w:iCs/>
          <w:color w:val="auto"/>
          <w:sz w:val="22"/>
          <w:szCs w:val="22"/>
        </w:rPr>
        <w:t xml:space="preserve">We have concerns on the methodology chosen to compute the </w:t>
      </w:r>
      <w:proofErr w:type="spellStart"/>
      <w:r w:rsidRPr="00C23A44">
        <w:rPr>
          <w:rFonts w:ascii="Arial" w:hAnsi="Arial" w:cs="Arial"/>
          <w:iCs/>
          <w:color w:val="auto"/>
          <w:sz w:val="22"/>
          <w:szCs w:val="22"/>
        </w:rPr>
        <w:t>VaR</w:t>
      </w:r>
      <w:proofErr w:type="spellEnd"/>
      <w:r w:rsidRPr="00C23A44">
        <w:rPr>
          <w:rFonts w:ascii="Arial" w:hAnsi="Arial" w:cs="Arial"/>
          <w:iCs/>
          <w:color w:val="auto"/>
          <w:sz w:val="22"/>
          <w:szCs w:val="22"/>
        </w:rPr>
        <w:t xml:space="preserve"> for structured products but even more on the MRM and CRM scales. </w:t>
      </w:r>
    </w:p>
    <w:p w:rsidR="00BE6BF9" w:rsidRPr="00C23A44" w:rsidRDefault="00BE6BF9" w:rsidP="00BE6BF9">
      <w:pPr>
        <w:pStyle w:val="BodyText1"/>
        <w:spacing w:after="0"/>
        <w:ind w:left="0"/>
        <w:jc w:val="left"/>
        <w:rPr>
          <w:rFonts w:ascii="Arial" w:hAnsi="Arial" w:cs="Arial"/>
          <w:iCs/>
          <w:color w:val="auto"/>
          <w:sz w:val="22"/>
          <w:szCs w:val="22"/>
        </w:rPr>
      </w:pPr>
    </w:p>
    <w:p w:rsidR="00BE6BF9" w:rsidRPr="00C23A44" w:rsidRDefault="00BE6BF9" w:rsidP="00BE6BF9">
      <w:pPr>
        <w:pStyle w:val="BodyText1"/>
        <w:spacing w:after="0"/>
        <w:ind w:left="0"/>
        <w:jc w:val="left"/>
        <w:rPr>
          <w:rFonts w:ascii="Arial" w:hAnsi="Arial" w:cs="Arial"/>
          <w:iCs/>
          <w:color w:val="auto"/>
          <w:sz w:val="22"/>
          <w:szCs w:val="22"/>
        </w:rPr>
      </w:pPr>
      <w:r w:rsidRPr="00C23A44">
        <w:rPr>
          <w:rFonts w:ascii="Arial" w:hAnsi="Arial" w:cs="Arial"/>
          <w:iCs/>
          <w:color w:val="auto"/>
          <w:sz w:val="22"/>
          <w:szCs w:val="22"/>
        </w:rPr>
        <w:t xml:space="preserve">Yet, considering the MRM scale, we believe that the volatility buckets are too conservative in the low and medium risk classes. They would thus not be in-line with the expectations of market participants. For instance, most risky products (meaning those where the investors can lose more than the invested capital, such as CFDs and short option positions) should not fall within </w:t>
      </w:r>
      <w:r w:rsidRPr="00C23A44">
        <w:rPr>
          <w:rFonts w:ascii="Arial" w:hAnsi="Arial" w:cs="Arial"/>
          <w:iCs/>
          <w:color w:val="auto"/>
          <w:sz w:val="22"/>
          <w:szCs w:val="22"/>
        </w:rPr>
        <w:lastRenderedPageBreak/>
        <w:t>the same risk class than all other PRIIPs. Generally equity-linked products of a medium market risk would, under the current volatility levels, systematically be grouped into highest risk levels, which is clearly not adequate.</w:t>
      </w:r>
    </w:p>
    <w:p w:rsidR="00BE6BF9" w:rsidRDefault="00BE6BF9" w:rsidP="00BE6BF9">
      <w:pPr>
        <w:pStyle w:val="BodyText1"/>
        <w:ind w:left="0"/>
        <w:jc w:val="left"/>
        <w:rPr>
          <w:rFonts w:ascii="Arial" w:hAnsi="Arial" w:cs="Arial"/>
          <w:iCs/>
          <w:color w:val="auto"/>
          <w:sz w:val="22"/>
          <w:szCs w:val="22"/>
        </w:rPr>
      </w:pPr>
    </w:p>
    <w:p w:rsidR="00BE6BF9" w:rsidRPr="00422E70" w:rsidRDefault="00BE6BF9" w:rsidP="00BE6BF9">
      <w:pPr>
        <w:pStyle w:val="BodyText1"/>
        <w:spacing w:after="0"/>
        <w:ind w:left="0"/>
        <w:jc w:val="left"/>
        <w:rPr>
          <w:rFonts w:ascii="Arial" w:hAnsi="Arial" w:cs="Arial"/>
          <w:iCs/>
          <w:color w:val="auto"/>
          <w:sz w:val="22"/>
          <w:szCs w:val="22"/>
        </w:rPr>
      </w:pPr>
      <w:r w:rsidRPr="00422E70">
        <w:rPr>
          <w:rFonts w:ascii="Arial" w:hAnsi="Arial" w:cs="Arial"/>
          <w:iCs/>
          <w:color w:val="auto"/>
          <w:sz w:val="22"/>
          <w:szCs w:val="22"/>
        </w:rPr>
        <w:t>As for readjusting the volatility levels EUSIPA strongly supports the proposal developed by our German members association DDV (see summary table hereunder) whose details and bac</w:t>
      </w:r>
      <w:r w:rsidRPr="00422E70">
        <w:rPr>
          <w:rFonts w:ascii="Arial" w:hAnsi="Arial" w:cs="Arial"/>
          <w:iCs/>
          <w:color w:val="auto"/>
          <w:sz w:val="22"/>
          <w:szCs w:val="22"/>
        </w:rPr>
        <w:t>k</w:t>
      </w:r>
      <w:r w:rsidRPr="00422E70">
        <w:rPr>
          <w:rFonts w:ascii="Arial" w:hAnsi="Arial" w:cs="Arial"/>
          <w:iCs/>
          <w:color w:val="auto"/>
          <w:sz w:val="22"/>
          <w:szCs w:val="22"/>
        </w:rPr>
        <w:t xml:space="preserve">ground data can be found under the following </w:t>
      </w:r>
      <w:hyperlink r:id="rId15" w:history="1">
        <w:r w:rsidRPr="00422E70">
          <w:rPr>
            <w:rStyle w:val="Hyperlink"/>
            <w:rFonts w:ascii="Arial" w:hAnsi="Arial" w:cs="Arial"/>
            <w:iCs/>
            <w:color w:val="auto"/>
            <w:sz w:val="22"/>
            <w:szCs w:val="22"/>
            <w:u w:val="none"/>
          </w:rPr>
          <w:t>link</w:t>
        </w:r>
      </w:hyperlink>
      <w:r w:rsidRPr="00422E70">
        <w:rPr>
          <w:rFonts w:ascii="Arial" w:hAnsi="Arial" w:cs="Arial"/>
          <w:iCs/>
          <w:color w:val="auto"/>
          <w:sz w:val="22"/>
          <w:szCs w:val="22"/>
        </w:rPr>
        <w:t xml:space="preserve"> (full address: http://www.derivateverband.de/DE/MediaLibrary/Document/Politik/DDV%20PRIIPs%20Report%203.pdf)</w:t>
      </w:r>
      <w:r>
        <w:rPr>
          <w:rFonts w:ascii="Arial" w:hAnsi="Arial" w:cs="Arial"/>
          <w:iCs/>
          <w:color w:val="auto"/>
          <w:sz w:val="22"/>
          <w:szCs w:val="22"/>
        </w:rPr>
        <w:t>.</w:t>
      </w:r>
    </w:p>
    <w:p w:rsidR="00BE6BF9" w:rsidRDefault="00BE6BF9" w:rsidP="00BE6BF9">
      <w:pPr>
        <w:pStyle w:val="BodyText1"/>
        <w:rPr>
          <w:rFonts w:ascii="Calibri" w:hAnsi="Calibri"/>
          <w:i/>
          <w:iCs/>
          <w:color w:val="auto"/>
        </w:rPr>
      </w:pPr>
      <w:r>
        <w:rPr>
          <w:noProof/>
          <w:lang w:val="de-AT" w:eastAsia="de-AT"/>
        </w:rPr>
        <w:drawing>
          <wp:inline distT="0" distB="0" distL="0" distR="0" wp14:anchorId="4A82D2D6" wp14:editId="17DF2FAA">
            <wp:extent cx="3359203" cy="28860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362871" cy="2889227"/>
                    </a:xfrm>
                    <a:prstGeom prst="rect">
                      <a:avLst/>
                    </a:prstGeom>
                  </pic:spPr>
                </pic:pic>
              </a:graphicData>
            </a:graphic>
          </wp:inline>
        </w:drawing>
      </w:r>
    </w:p>
    <w:p w:rsidR="00BE6BF9" w:rsidRPr="00C23A44" w:rsidRDefault="00BE6BF9" w:rsidP="00BE6BF9">
      <w:pPr>
        <w:pStyle w:val="BodyText1"/>
        <w:spacing w:after="0"/>
        <w:ind w:left="0"/>
        <w:jc w:val="left"/>
        <w:rPr>
          <w:rFonts w:ascii="Arial" w:hAnsi="Arial" w:cs="Arial"/>
          <w:iCs/>
          <w:color w:val="auto"/>
          <w:sz w:val="22"/>
          <w:szCs w:val="22"/>
        </w:rPr>
      </w:pPr>
    </w:p>
    <w:p w:rsidR="00BE6BF9" w:rsidRPr="00C23A44" w:rsidRDefault="00BE6BF9" w:rsidP="00BE6BF9">
      <w:pPr>
        <w:pStyle w:val="BodyText1"/>
        <w:spacing w:after="0"/>
        <w:ind w:left="0"/>
        <w:jc w:val="left"/>
        <w:rPr>
          <w:rFonts w:ascii="Arial" w:hAnsi="Arial" w:cs="Arial"/>
          <w:iCs/>
          <w:color w:val="auto"/>
          <w:sz w:val="22"/>
          <w:szCs w:val="22"/>
        </w:rPr>
      </w:pPr>
      <w:r w:rsidRPr="00C23A44">
        <w:rPr>
          <w:rFonts w:ascii="Arial" w:hAnsi="Arial" w:cs="Arial"/>
          <w:iCs/>
          <w:color w:val="auto"/>
          <w:sz w:val="22"/>
          <w:szCs w:val="22"/>
        </w:rPr>
        <w:t xml:space="preserve">The risk matrix presented </w:t>
      </w:r>
      <w:r>
        <w:rPr>
          <w:rFonts w:ascii="Arial" w:hAnsi="Arial" w:cs="Arial"/>
          <w:iCs/>
          <w:color w:val="auto"/>
          <w:sz w:val="22"/>
          <w:szCs w:val="22"/>
        </w:rPr>
        <w:t xml:space="preserve">in the Consultation Paper </w:t>
      </w:r>
      <w:r w:rsidRPr="00C23A44">
        <w:rPr>
          <w:rFonts w:ascii="Arial" w:hAnsi="Arial" w:cs="Arial"/>
          <w:iCs/>
          <w:color w:val="auto"/>
          <w:sz w:val="22"/>
          <w:szCs w:val="22"/>
        </w:rPr>
        <w:t xml:space="preserve">does further not find our approval for the reason that it does not distinguish sufficiently between the single risk levels. We are in particular not in agreement of the jump by 2 (overall risk) notches between the classes CR2 and CR3 for a market risk of 1 (MR1). </w:t>
      </w:r>
    </w:p>
    <w:p w:rsidR="00BE6BF9" w:rsidRPr="00C23A44" w:rsidRDefault="00BE6BF9" w:rsidP="00BE6BF9">
      <w:pPr>
        <w:pStyle w:val="BodyText1"/>
        <w:spacing w:after="0"/>
        <w:ind w:left="0"/>
        <w:jc w:val="left"/>
        <w:rPr>
          <w:rFonts w:ascii="Arial" w:hAnsi="Arial" w:cs="Arial"/>
          <w:iCs/>
          <w:color w:val="auto"/>
          <w:sz w:val="22"/>
          <w:szCs w:val="22"/>
        </w:rPr>
      </w:pPr>
    </w:p>
    <w:p w:rsidR="00BE6BF9" w:rsidRDefault="00BE6BF9" w:rsidP="00BE6BF9">
      <w:pPr>
        <w:pStyle w:val="BodyText1"/>
        <w:spacing w:after="0"/>
        <w:ind w:left="0"/>
        <w:jc w:val="left"/>
        <w:rPr>
          <w:rFonts w:ascii="Arial" w:hAnsi="Arial" w:cs="Arial"/>
          <w:iCs/>
          <w:color w:val="auto"/>
          <w:sz w:val="22"/>
          <w:szCs w:val="22"/>
        </w:rPr>
      </w:pPr>
      <w:r w:rsidRPr="00C23A44">
        <w:rPr>
          <w:rFonts w:ascii="Arial" w:hAnsi="Arial" w:cs="Arial"/>
          <w:iCs/>
          <w:color w:val="auto"/>
          <w:sz w:val="22"/>
          <w:szCs w:val="22"/>
        </w:rPr>
        <w:t>As the before flaw is being found also in the alternatively proposed risk table we assume that the structural weakness continues to prevail there, too.</w:t>
      </w:r>
    </w:p>
    <w:p w:rsidR="00BE6BF9" w:rsidRDefault="00BE6BF9" w:rsidP="00BE6BF9">
      <w:pPr>
        <w:pStyle w:val="BodyText1"/>
        <w:spacing w:after="0"/>
        <w:ind w:left="0"/>
        <w:jc w:val="left"/>
        <w:rPr>
          <w:rFonts w:ascii="Arial" w:hAnsi="Arial" w:cs="Arial"/>
          <w:iCs/>
          <w:color w:val="auto"/>
          <w:sz w:val="22"/>
          <w:szCs w:val="22"/>
        </w:rPr>
      </w:pPr>
    </w:p>
    <w:p w:rsidR="003E4B00" w:rsidRPr="00BE6BF9" w:rsidRDefault="00BE6BF9" w:rsidP="00BE6BF9">
      <w:pPr>
        <w:pStyle w:val="BodyText1"/>
        <w:spacing w:after="0"/>
        <w:ind w:left="0"/>
        <w:jc w:val="left"/>
        <w:rPr>
          <w:rFonts w:ascii="Arial" w:hAnsi="Arial" w:cs="Arial"/>
          <w:iCs/>
          <w:color w:val="auto"/>
          <w:sz w:val="22"/>
          <w:szCs w:val="22"/>
        </w:rPr>
      </w:pPr>
      <w:r w:rsidRPr="00422E70">
        <w:rPr>
          <w:rFonts w:ascii="Arial" w:hAnsi="Arial" w:cs="Arial"/>
          <w:iCs/>
          <w:color w:val="auto"/>
          <w:sz w:val="22"/>
          <w:szCs w:val="22"/>
        </w:rPr>
        <w:t>Concluding we would suggest that in the final risk table a change of CRM or MRM by one notch consequently only triggers a one-notch change on the SRI.</w:t>
      </w:r>
    </w:p>
    <w:permEnd w:id="90590723"/>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BE6BF9" w:rsidRPr="00C23A44" w:rsidRDefault="00BE6BF9" w:rsidP="00BE6BF9">
      <w:pPr>
        <w:pStyle w:val="BodyText1"/>
        <w:spacing w:after="0"/>
        <w:ind w:left="0"/>
        <w:jc w:val="left"/>
        <w:rPr>
          <w:rFonts w:ascii="Arial" w:hAnsi="Arial" w:cs="Arial"/>
          <w:iCs/>
          <w:color w:val="auto"/>
          <w:sz w:val="22"/>
          <w:szCs w:val="22"/>
        </w:rPr>
      </w:pPr>
      <w:permStart w:id="417611787" w:edGrp="everyone"/>
      <w:r w:rsidRPr="00C23A44">
        <w:rPr>
          <w:rFonts w:ascii="Arial" w:hAnsi="Arial" w:cs="Arial"/>
          <w:iCs/>
          <w:color w:val="auto"/>
          <w:sz w:val="22"/>
          <w:szCs w:val="22"/>
        </w:rPr>
        <w:lastRenderedPageBreak/>
        <w:t xml:space="preserve">We believe that this pre-categorization of certain products will </w:t>
      </w:r>
      <w:r>
        <w:rPr>
          <w:rFonts w:ascii="Arial" w:hAnsi="Arial" w:cs="Arial"/>
          <w:iCs/>
          <w:color w:val="auto"/>
          <w:sz w:val="22"/>
          <w:szCs w:val="22"/>
        </w:rPr>
        <w:t>hamper</w:t>
      </w:r>
      <w:r w:rsidRPr="00C23A44">
        <w:rPr>
          <w:rFonts w:ascii="Arial" w:hAnsi="Arial" w:cs="Arial"/>
          <w:iCs/>
          <w:color w:val="auto"/>
          <w:sz w:val="22"/>
          <w:szCs w:val="22"/>
        </w:rPr>
        <w:t xml:space="preserve"> comparability and </w:t>
      </w:r>
      <w:r>
        <w:rPr>
          <w:rFonts w:ascii="Arial" w:hAnsi="Arial" w:cs="Arial"/>
          <w:iCs/>
          <w:color w:val="auto"/>
          <w:sz w:val="22"/>
          <w:szCs w:val="22"/>
        </w:rPr>
        <w:t>rather give space to</w:t>
      </w:r>
      <w:r w:rsidRPr="00C23A44">
        <w:rPr>
          <w:rFonts w:ascii="Arial" w:hAnsi="Arial" w:cs="Arial"/>
          <w:iCs/>
          <w:color w:val="auto"/>
          <w:sz w:val="22"/>
          <w:szCs w:val="22"/>
        </w:rPr>
        <w:t xml:space="preserve"> unintended regulatory arbitrage. Due to the fact that these structures have to be quantitatively assessed in case of the given criteria, we prefer a consistent approach for all PRIIPs. Thus, every PRIIP with guarantee also has to be quantitatively assessed.</w:t>
      </w:r>
    </w:p>
    <w:p w:rsidR="00BE6BF9" w:rsidRPr="00C23A44" w:rsidRDefault="00BE6BF9" w:rsidP="00BE6BF9">
      <w:pPr>
        <w:pStyle w:val="BodyText1"/>
        <w:spacing w:after="0"/>
        <w:ind w:left="0"/>
        <w:jc w:val="left"/>
        <w:rPr>
          <w:rFonts w:ascii="Arial" w:hAnsi="Arial" w:cs="Arial"/>
          <w:iCs/>
          <w:color w:val="auto"/>
          <w:sz w:val="22"/>
          <w:szCs w:val="22"/>
        </w:rPr>
      </w:pPr>
    </w:p>
    <w:p w:rsidR="003E4B00" w:rsidRPr="00BE6BF9" w:rsidRDefault="00BE6BF9" w:rsidP="00BE6BF9">
      <w:pPr>
        <w:pStyle w:val="BodyText1"/>
        <w:spacing w:after="0"/>
        <w:ind w:left="0"/>
        <w:jc w:val="left"/>
        <w:rPr>
          <w:rFonts w:ascii="Arial" w:hAnsi="Arial" w:cs="Arial"/>
          <w:iCs/>
          <w:color w:val="auto"/>
          <w:sz w:val="22"/>
          <w:szCs w:val="22"/>
        </w:rPr>
      </w:pPr>
      <w:r w:rsidRPr="00C23A44">
        <w:rPr>
          <w:rFonts w:ascii="Arial" w:hAnsi="Arial" w:cs="Arial"/>
          <w:iCs/>
          <w:color w:val="auto"/>
          <w:sz w:val="22"/>
          <w:szCs w:val="22"/>
        </w:rPr>
        <w:t xml:space="preserve">Therefore, we think that the 5 </w:t>
      </w:r>
      <w:proofErr w:type="spellStart"/>
      <w:r w:rsidRPr="00C23A44">
        <w:rPr>
          <w:rFonts w:ascii="Arial" w:hAnsi="Arial" w:cs="Arial"/>
          <w:iCs/>
          <w:color w:val="auto"/>
          <w:sz w:val="22"/>
          <w:szCs w:val="22"/>
        </w:rPr>
        <w:t>yr</w:t>
      </w:r>
      <w:proofErr w:type="spellEnd"/>
      <w:r w:rsidRPr="00C23A44">
        <w:rPr>
          <w:rFonts w:ascii="Arial" w:hAnsi="Arial" w:cs="Arial"/>
          <w:iCs/>
          <w:color w:val="auto"/>
          <w:sz w:val="22"/>
          <w:szCs w:val="22"/>
        </w:rPr>
        <w:t xml:space="preserve"> tenor </w:t>
      </w:r>
      <w:proofErr w:type="gramStart"/>
      <w:r w:rsidRPr="00C23A44">
        <w:rPr>
          <w:rFonts w:ascii="Arial" w:hAnsi="Arial" w:cs="Arial"/>
          <w:iCs/>
          <w:color w:val="auto"/>
          <w:sz w:val="22"/>
          <w:szCs w:val="22"/>
        </w:rPr>
        <w:t>criteria is</w:t>
      </w:r>
      <w:proofErr w:type="gramEnd"/>
      <w:r w:rsidRPr="00C23A44">
        <w:rPr>
          <w:rFonts w:ascii="Arial" w:hAnsi="Arial" w:cs="Arial"/>
          <w:iCs/>
          <w:color w:val="auto"/>
          <w:sz w:val="22"/>
          <w:szCs w:val="22"/>
        </w:rPr>
        <w:t xml:space="preserve"> not very relevant in this categorization. More</w:t>
      </w:r>
      <w:r w:rsidRPr="00C23A44">
        <w:rPr>
          <w:rFonts w:ascii="Arial" w:hAnsi="Arial" w:cs="Arial"/>
          <w:iCs/>
          <w:color w:val="auto"/>
          <w:sz w:val="22"/>
          <w:szCs w:val="22"/>
        </w:rPr>
        <w:t>o</w:t>
      </w:r>
      <w:r w:rsidRPr="00C23A44">
        <w:rPr>
          <w:rFonts w:ascii="Arial" w:hAnsi="Arial" w:cs="Arial"/>
          <w:iCs/>
          <w:color w:val="auto"/>
          <w:sz w:val="22"/>
          <w:szCs w:val="22"/>
        </w:rPr>
        <w:t xml:space="preserve">ver, in the low rate and low inflation environment, there are currently very few principal protected PRIIPs with less than 8 years tenor being issued. Many life insurance products are principal protected but need to be held for more than 5 years to be eligible (e.g. France 8 years). Thus setting the maximum tenor at 5 years for MRM1 would lead to incomparable results and create </w:t>
      </w:r>
      <w:proofErr w:type="gramStart"/>
      <w:r w:rsidRPr="00C23A44">
        <w:rPr>
          <w:rFonts w:ascii="Arial" w:hAnsi="Arial" w:cs="Arial"/>
          <w:iCs/>
          <w:color w:val="auto"/>
          <w:sz w:val="22"/>
          <w:szCs w:val="22"/>
        </w:rPr>
        <w:t>a  bias</w:t>
      </w:r>
      <w:proofErr w:type="gramEnd"/>
      <w:r w:rsidRPr="00C23A44">
        <w:rPr>
          <w:rFonts w:ascii="Arial" w:hAnsi="Arial" w:cs="Arial"/>
          <w:iCs/>
          <w:color w:val="auto"/>
          <w:sz w:val="22"/>
          <w:szCs w:val="22"/>
        </w:rPr>
        <w:t xml:space="preserve"> for many insurance products.</w:t>
      </w:r>
    </w:p>
    <w:permEnd w:id="417611787"/>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BE6BF9" w:rsidRDefault="00BE6BF9" w:rsidP="00BE6BF9">
      <w:pPr>
        <w:pStyle w:val="BodyText1"/>
        <w:spacing w:after="0"/>
        <w:ind w:left="0"/>
        <w:rPr>
          <w:rFonts w:ascii="Arial" w:hAnsi="Arial" w:cs="Arial"/>
          <w:iCs/>
          <w:color w:val="auto"/>
          <w:sz w:val="22"/>
          <w:szCs w:val="22"/>
        </w:rPr>
      </w:pPr>
      <w:permStart w:id="1165431086" w:edGrp="everyone"/>
      <w:r>
        <w:rPr>
          <w:rFonts w:ascii="Arial" w:hAnsi="Arial" w:cs="Arial"/>
          <w:iCs/>
          <w:color w:val="auto"/>
          <w:sz w:val="22"/>
          <w:szCs w:val="22"/>
        </w:rPr>
        <w:t>ZFA</w:t>
      </w:r>
      <w:r w:rsidRPr="00422E70">
        <w:rPr>
          <w:rFonts w:ascii="Arial" w:hAnsi="Arial" w:cs="Arial"/>
          <w:iCs/>
          <w:color w:val="auto"/>
          <w:sz w:val="22"/>
          <w:szCs w:val="22"/>
        </w:rPr>
        <w:t xml:space="preserve"> agrees that there are circumstances in which credit risk is mitigated. This is notably the case when there is collateralization. As the collateralization process is protective of investors, we believe it should be acknowledged in the credit assessment, for example by an upgrade of one or two CRM notches provided the issuer posts collateral at least at PRIIP mark-to-market value at any time, in a segregated collateral account.</w:t>
      </w:r>
    </w:p>
    <w:p w:rsidR="00BE6BF9" w:rsidRPr="00422E70" w:rsidRDefault="00BE6BF9" w:rsidP="00BE6BF9">
      <w:pPr>
        <w:pStyle w:val="BodyText1"/>
        <w:spacing w:after="0"/>
        <w:ind w:left="0"/>
        <w:rPr>
          <w:rFonts w:ascii="Arial" w:hAnsi="Arial" w:cs="Arial"/>
          <w:iCs/>
          <w:color w:val="auto"/>
          <w:sz w:val="22"/>
          <w:szCs w:val="22"/>
        </w:rPr>
      </w:pPr>
    </w:p>
    <w:p w:rsidR="00BE6BF9" w:rsidRDefault="00BE6BF9" w:rsidP="00BE6BF9">
      <w:pPr>
        <w:pStyle w:val="BodyText1"/>
        <w:spacing w:after="0"/>
        <w:ind w:left="0"/>
        <w:rPr>
          <w:rFonts w:ascii="Arial" w:hAnsi="Arial" w:cs="Arial"/>
          <w:iCs/>
          <w:color w:val="auto"/>
          <w:sz w:val="22"/>
          <w:szCs w:val="22"/>
        </w:rPr>
      </w:pPr>
      <w:r w:rsidRPr="00422E70">
        <w:rPr>
          <w:rFonts w:ascii="Arial" w:hAnsi="Arial" w:cs="Arial"/>
          <w:iCs/>
          <w:color w:val="auto"/>
          <w:sz w:val="22"/>
          <w:szCs w:val="22"/>
        </w:rPr>
        <w:t xml:space="preserve">We propose that generally credit risk should be reduced for any cases/scenarios for which there is such consequence already established under EU rules, for example the EU directive 2013/36 on capital requirements of banking institutions (“CRD IV”). </w:t>
      </w:r>
    </w:p>
    <w:p w:rsidR="00BE6BF9" w:rsidRPr="00422E70" w:rsidRDefault="00BE6BF9" w:rsidP="00BE6BF9">
      <w:pPr>
        <w:pStyle w:val="BodyText1"/>
        <w:spacing w:after="0"/>
        <w:ind w:left="0"/>
        <w:rPr>
          <w:rFonts w:ascii="Arial" w:hAnsi="Arial" w:cs="Arial"/>
          <w:iCs/>
          <w:color w:val="auto"/>
          <w:sz w:val="22"/>
          <w:szCs w:val="22"/>
        </w:rPr>
      </w:pPr>
    </w:p>
    <w:p w:rsidR="003E4B00" w:rsidRPr="00BE6BF9" w:rsidRDefault="00BE6BF9" w:rsidP="00BE6BF9">
      <w:pPr>
        <w:pStyle w:val="BodyText1"/>
        <w:spacing w:after="0"/>
        <w:ind w:left="0"/>
        <w:jc w:val="left"/>
        <w:rPr>
          <w:rFonts w:ascii="Arial" w:hAnsi="Arial" w:cs="Arial"/>
          <w:iCs/>
          <w:color w:val="auto"/>
          <w:sz w:val="22"/>
          <w:szCs w:val="22"/>
        </w:rPr>
      </w:pPr>
      <w:r w:rsidRPr="00422E70">
        <w:rPr>
          <w:rFonts w:ascii="Arial" w:hAnsi="Arial" w:cs="Arial"/>
          <w:iCs/>
          <w:color w:val="auto"/>
          <w:sz w:val="22"/>
          <w:szCs w:val="22"/>
        </w:rPr>
        <w:t>Generally we would wish that CRM up- and downgrades following credit risk mitigation or i</w:t>
      </w:r>
      <w:r w:rsidRPr="00422E70">
        <w:rPr>
          <w:rFonts w:ascii="Arial" w:hAnsi="Arial" w:cs="Arial"/>
          <w:iCs/>
          <w:color w:val="auto"/>
          <w:sz w:val="22"/>
          <w:szCs w:val="22"/>
        </w:rPr>
        <w:t>n</w:t>
      </w:r>
      <w:r w:rsidRPr="00422E70">
        <w:rPr>
          <w:rFonts w:ascii="Arial" w:hAnsi="Arial" w:cs="Arial"/>
          <w:iCs/>
          <w:color w:val="auto"/>
          <w:sz w:val="22"/>
          <w:szCs w:val="22"/>
        </w:rPr>
        <w:t>crease are handled strictly in a balanced and unbiased way in line with general market-practice.</w:t>
      </w:r>
    </w:p>
    <w:permEnd w:id="1165431086"/>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Pr="00BE6BF9" w:rsidRDefault="00BE6BF9" w:rsidP="00BE6BF9">
      <w:pPr>
        <w:pStyle w:val="BodyText1"/>
        <w:spacing w:after="0"/>
        <w:ind w:left="0"/>
        <w:jc w:val="left"/>
        <w:rPr>
          <w:rFonts w:ascii="Arial" w:hAnsi="Arial" w:cs="Arial"/>
          <w:iCs/>
          <w:color w:val="auto"/>
          <w:sz w:val="22"/>
          <w:szCs w:val="22"/>
        </w:rPr>
      </w:pPr>
      <w:permStart w:id="895885878" w:edGrp="everyone"/>
      <w:r w:rsidRPr="00C23A44">
        <w:rPr>
          <w:rFonts w:ascii="Arial" w:hAnsi="Arial" w:cs="Arial"/>
          <w:iCs/>
          <w:color w:val="auto"/>
          <w:sz w:val="22"/>
          <w:szCs w:val="22"/>
        </w:rPr>
        <w:t xml:space="preserve">ZFA agrees that the look-through approach for PRIIPs repackaging other PRIIPs is appropriate. It should be noted that consequently this overall requirement has to be applied to UCITS funds as well in order to allow for comparability. </w:t>
      </w:r>
    </w:p>
    <w:permEnd w:id="895885878"/>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 xml:space="preserve">Do you think the risk indicator should take into account currency risk when there is a difference between the currency of the PRIIP and the national currency of the investor targeted by the PRIIP manufacturer, </w:t>
      </w:r>
      <w:r w:rsidRPr="005A512B">
        <w:rPr>
          <w:i/>
        </w:rPr>
        <w:lastRenderedPageBreak/>
        <w:t>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BE6BF9" w:rsidRPr="00C23A44" w:rsidRDefault="00BE6BF9" w:rsidP="00BE6BF9">
      <w:pPr>
        <w:pStyle w:val="BodyText1"/>
        <w:spacing w:after="0"/>
        <w:ind w:left="0"/>
        <w:jc w:val="left"/>
        <w:rPr>
          <w:rFonts w:ascii="Arial" w:hAnsi="Arial" w:cs="Arial"/>
          <w:iCs/>
          <w:color w:val="auto"/>
          <w:sz w:val="22"/>
          <w:szCs w:val="22"/>
        </w:rPr>
      </w:pPr>
      <w:permStart w:id="170673980" w:edGrp="everyone"/>
      <w:r w:rsidRPr="00C23A44">
        <w:rPr>
          <w:rFonts w:ascii="Arial" w:hAnsi="Arial" w:cs="Arial"/>
          <w:iCs/>
          <w:color w:val="auto"/>
          <w:sz w:val="22"/>
          <w:szCs w:val="22"/>
        </w:rPr>
        <w:t xml:space="preserve">ZFA is of the view that a risk indicator should, by definition, attempt to present a complex set of information pieces in a single simplified form. </w:t>
      </w:r>
    </w:p>
    <w:p w:rsidR="00BE6BF9" w:rsidRPr="00C23A44" w:rsidRDefault="00BE6BF9" w:rsidP="00BE6BF9">
      <w:pPr>
        <w:pStyle w:val="BodyText1"/>
        <w:spacing w:after="0"/>
        <w:ind w:left="0"/>
        <w:jc w:val="left"/>
        <w:rPr>
          <w:rFonts w:ascii="Arial" w:hAnsi="Arial" w:cs="Arial"/>
          <w:iCs/>
          <w:color w:val="auto"/>
          <w:sz w:val="22"/>
          <w:szCs w:val="22"/>
        </w:rPr>
      </w:pPr>
    </w:p>
    <w:p w:rsidR="00BE6BF9" w:rsidRPr="00C23A44" w:rsidRDefault="00BE6BF9" w:rsidP="00BE6BF9">
      <w:pPr>
        <w:pStyle w:val="BodyText1"/>
        <w:spacing w:after="0"/>
        <w:ind w:left="0"/>
        <w:jc w:val="left"/>
        <w:rPr>
          <w:rFonts w:ascii="Arial" w:hAnsi="Arial" w:cs="Arial"/>
          <w:iCs/>
          <w:color w:val="auto"/>
          <w:sz w:val="22"/>
          <w:szCs w:val="22"/>
        </w:rPr>
      </w:pPr>
      <w:r w:rsidRPr="00C23A44">
        <w:rPr>
          <w:rFonts w:ascii="Arial" w:hAnsi="Arial" w:cs="Arial"/>
          <w:iCs/>
          <w:color w:val="auto"/>
          <w:sz w:val="22"/>
          <w:szCs w:val="22"/>
        </w:rPr>
        <w:t xml:space="preserve">ZFA notes that with the credit risk already included in this indicator, comparison with different products will no longer be based on the exact same criteria. </w:t>
      </w:r>
    </w:p>
    <w:p w:rsidR="00BE6BF9" w:rsidRPr="00C23A44" w:rsidRDefault="00BE6BF9" w:rsidP="00BE6BF9">
      <w:pPr>
        <w:pStyle w:val="BodyText1"/>
        <w:spacing w:after="0"/>
        <w:ind w:left="0"/>
        <w:jc w:val="left"/>
        <w:rPr>
          <w:rFonts w:ascii="Arial" w:hAnsi="Arial" w:cs="Arial"/>
          <w:iCs/>
          <w:color w:val="auto"/>
          <w:sz w:val="22"/>
          <w:szCs w:val="22"/>
        </w:rPr>
      </w:pPr>
    </w:p>
    <w:p w:rsidR="00BE6BF9" w:rsidRPr="00C23A44" w:rsidRDefault="00BE6BF9" w:rsidP="00BE6BF9">
      <w:pPr>
        <w:pStyle w:val="BodyText1"/>
        <w:spacing w:after="0"/>
        <w:ind w:left="0"/>
        <w:jc w:val="left"/>
        <w:rPr>
          <w:rFonts w:ascii="Arial" w:hAnsi="Arial" w:cs="Arial"/>
          <w:iCs/>
          <w:color w:val="auto"/>
          <w:sz w:val="22"/>
          <w:szCs w:val="22"/>
        </w:rPr>
      </w:pPr>
      <w:r w:rsidRPr="00C23A44">
        <w:rPr>
          <w:rFonts w:ascii="Arial" w:hAnsi="Arial" w:cs="Arial"/>
          <w:iCs/>
          <w:color w:val="auto"/>
          <w:sz w:val="22"/>
          <w:szCs w:val="22"/>
        </w:rPr>
        <w:t>The inclusion of additional risk criteria not intrinsic within the risk indicator, such as foreign e</w:t>
      </w:r>
      <w:r w:rsidRPr="00C23A44">
        <w:rPr>
          <w:rFonts w:ascii="Arial" w:hAnsi="Arial" w:cs="Arial"/>
          <w:iCs/>
          <w:color w:val="auto"/>
          <w:sz w:val="22"/>
          <w:szCs w:val="22"/>
        </w:rPr>
        <w:t>x</w:t>
      </w:r>
      <w:r w:rsidRPr="00C23A44">
        <w:rPr>
          <w:rFonts w:ascii="Arial" w:hAnsi="Arial" w:cs="Arial"/>
          <w:iCs/>
          <w:color w:val="auto"/>
          <w:sz w:val="22"/>
          <w:szCs w:val="22"/>
        </w:rPr>
        <w:t>change volatility, would in our eyes further complicate a comparison among investment pro</w:t>
      </w:r>
      <w:r w:rsidRPr="00C23A44">
        <w:rPr>
          <w:rFonts w:ascii="Arial" w:hAnsi="Arial" w:cs="Arial"/>
          <w:iCs/>
          <w:color w:val="auto"/>
          <w:sz w:val="22"/>
          <w:szCs w:val="22"/>
        </w:rPr>
        <w:t>d</w:t>
      </w:r>
      <w:r w:rsidRPr="00C23A44">
        <w:rPr>
          <w:rFonts w:ascii="Arial" w:hAnsi="Arial" w:cs="Arial"/>
          <w:iCs/>
          <w:color w:val="auto"/>
          <w:sz w:val="22"/>
          <w:szCs w:val="22"/>
        </w:rPr>
        <w:t>ucts.</w:t>
      </w:r>
    </w:p>
    <w:p w:rsidR="00BE6BF9" w:rsidRPr="00C23A44" w:rsidRDefault="00BE6BF9" w:rsidP="00BE6BF9">
      <w:pPr>
        <w:pStyle w:val="BodyText1"/>
        <w:spacing w:after="0"/>
        <w:ind w:left="0"/>
        <w:jc w:val="left"/>
        <w:rPr>
          <w:rFonts w:ascii="Arial" w:hAnsi="Arial" w:cs="Arial"/>
          <w:iCs/>
          <w:color w:val="auto"/>
          <w:sz w:val="22"/>
          <w:szCs w:val="22"/>
        </w:rPr>
      </w:pPr>
    </w:p>
    <w:p w:rsidR="00BE6BF9" w:rsidRPr="00C23A44" w:rsidRDefault="00BE6BF9" w:rsidP="00BE6BF9">
      <w:pPr>
        <w:pStyle w:val="BodyText1"/>
        <w:spacing w:after="0"/>
        <w:ind w:left="0"/>
        <w:jc w:val="left"/>
        <w:rPr>
          <w:rFonts w:ascii="Arial" w:hAnsi="Arial" w:cs="Arial"/>
          <w:iCs/>
          <w:color w:val="auto"/>
          <w:sz w:val="22"/>
          <w:szCs w:val="22"/>
        </w:rPr>
      </w:pPr>
      <w:r w:rsidRPr="00C23A44">
        <w:rPr>
          <w:rFonts w:ascii="Arial" w:hAnsi="Arial" w:cs="Arial"/>
          <w:iCs/>
          <w:color w:val="auto"/>
          <w:sz w:val="22"/>
          <w:szCs w:val="22"/>
        </w:rPr>
        <w:t>Due to the operational complexity (i.e. need to adapt KIDs for the same PRIIPs distributed in various jurisdictions with different currencies), this inclusion would also severely hamper the development of cross-border offerings of retail products, a stipulated goal under the Capital Markets Union.</w:t>
      </w:r>
    </w:p>
    <w:p w:rsidR="00BE6BF9" w:rsidRPr="00C23A44" w:rsidRDefault="00BE6BF9" w:rsidP="00BE6BF9">
      <w:pPr>
        <w:pStyle w:val="BodyText1"/>
        <w:spacing w:after="0"/>
        <w:ind w:left="0"/>
        <w:jc w:val="left"/>
        <w:rPr>
          <w:rFonts w:ascii="Arial" w:hAnsi="Arial" w:cs="Arial"/>
          <w:iCs/>
          <w:color w:val="auto"/>
          <w:sz w:val="22"/>
          <w:szCs w:val="22"/>
        </w:rPr>
      </w:pPr>
    </w:p>
    <w:p w:rsidR="003E4B00" w:rsidRPr="00BE6BF9" w:rsidRDefault="00BE6BF9" w:rsidP="00BE6BF9">
      <w:pPr>
        <w:pStyle w:val="BodyText1"/>
        <w:spacing w:after="0"/>
        <w:ind w:left="0"/>
        <w:jc w:val="left"/>
        <w:rPr>
          <w:rFonts w:ascii="Arial" w:hAnsi="Arial" w:cs="Arial"/>
          <w:iCs/>
          <w:color w:val="auto"/>
          <w:sz w:val="22"/>
          <w:szCs w:val="22"/>
        </w:rPr>
      </w:pPr>
      <w:r w:rsidRPr="00C23A44">
        <w:rPr>
          <w:rFonts w:ascii="Arial" w:hAnsi="Arial" w:cs="Arial"/>
          <w:iCs/>
          <w:color w:val="auto"/>
          <w:sz w:val="22"/>
          <w:szCs w:val="22"/>
        </w:rPr>
        <w:t>Finally, we believe that these risks could be disclosed in text form with a greater clarity.</w:t>
      </w:r>
    </w:p>
    <w:permEnd w:id="170673980"/>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BE6BF9" w:rsidRPr="00C23A44" w:rsidRDefault="00BE6BF9" w:rsidP="00BE6BF9">
      <w:pPr>
        <w:pStyle w:val="BodyText1"/>
        <w:spacing w:after="0"/>
        <w:ind w:left="0"/>
        <w:jc w:val="left"/>
        <w:rPr>
          <w:rFonts w:ascii="Arial" w:hAnsi="Arial" w:cs="Arial"/>
          <w:iCs/>
          <w:color w:val="000000" w:themeColor="text1"/>
          <w:sz w:val="22"/>
          <w:szCs w:val="22"/>
        </w:rPr>
      </w:pPr>
      <w:permStart w:id="1981969999" w:edGrp="everyone"/>
      <w:r w:rsidRPr="00C23A44">
        <w:rPr>
          <w:rFonts w:ascii="Arial" w:hAnsi="Arial" w:cs="Arial"/>
          <w:iCs/>
          <w:color w:val="000000" w:themeColor="text1"/>
          <w:sz w:val="22"/>
          <w:szCs w:val="22"/>
        </w:rPr>
        <w:t>From a qualitative perspective ZFA is in line with the prescribed wording of article 9.</w:t>
      </w:r>
    </w:p>
    <w:p w:rsidR="00BE6BF9" w:rsidRPr="00C23A44" w:rsidRDefault="00BE6BF9" w:rsidP="00BE6BF9">
      <w:pPr>
        <w:pStyle w:val="BodyText1"/>
        <w:spacing w:after="0"/>
        <w:ind w:left="0"/>
        <w:jc w:val="left"/>
        <w:rPr>
          <w:rFonts w:ascii="Arial" w:hAnsi="Arial" w:cs="Arial"/>
          <w:iCs/>
          <w:color w:val="000000" w:themeColor="text1"/>
          <w:sz w:val="22"/>
          <w:szCs w:val="22"/>
        </w:rPr>
      </w:pPr>
    </w:p>
    <w:p w:rsidR="003E4B00" w:rsidRPr="00BE6BF9" w:rsidRDefault="00BE6BF9" w:rsidP="00BE6BF9">
      <w:pPr>
        <w:pStyle w:val="BodyText1"/>
        <w:spacing w:after="0"/>
        <w:ind w:left="0"/>
        <w:jc w:val="left"/>
        <w:rPr>
          <w:rFonts w:ascii="Arial" w:hAnsi="Arial" w:cs="Arial"/>
          <w:iCs/>
          <w:color w:val="000000" w:themeColor="text1"/>
          <w:sz w:val="22"/>
          <w:szCs w:val="22"/>
        </w:rPr>
      </w:pPr>
      <w:r w:rsidRPr="00C23A44">
        <w:rPr>
          <w:rFonts w:ascii="Arial" w:hAnsi="Arial" w:cs="Arial"/>
          <w:iCs/>
          <w:color w:val="000000" w:themeColor="text1"/>
          <w:sz w:val="22"/>
          <w:szCs w:val="22"/>
        </w:rPr>
        <w:t>If regulators are interested in displaying aspects of early termination, ZFA would support the application of a quantitative methodology for doing so, with further details however in need to be discussed and/or developed.</w:t>
      </w:r>
    </w:p>
    <w:permEnd w:id="1981969999"/>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BE6BF9" w:rsidRPr="00C23A44" w:rsidRDefault="00BE6BF9" w:rsidP="00BE6BF9">
      <w:pPr>
        <w:pStyle w:val="BodyText1"/>
        <w:spacing w:after="0"/>
        <w:ind w:left="0"/>
        <w:jc w:val="left"/>
        <w:rPr>
          <w:rFonts w:ascii="Arial" w:hAnsi="Arial" w:cs="Arial"/>
          <w:iCs/>
          <w:color w:val="000000" w:themeColor="text1"/>
          <w:sz w:val="22"/>
          <w:szCs w:val="22"/>
        </w:rPr>
      </w:pPr>
      <w:permStart w:id="1028804370" w:edGrp="everyone"/>
      <w:r w:rsidRPr="00C23A44">
        <w:rPr>
          <w:rFonts w:ascii="Arial" w:hAnsi="Arial" w:cs="Arial"/>
          <w:iCs/>
          <w:color w:val="000000" w:themeColor="text1"/>
          <w:sz w:val="22"/>
          <w:szCs w:val="22"/>
        </w:rPr>
        <w:lastRenderedPageBreak/>
        <w:t>Yes, performance scenarios should be presented net of all implicit costs to avoid any misunde</w:t>
      </w:r>
      <w:r w:rsidRPr="00C23A44">
        <w:rPr>
          <w:rFonts w:ascii="Arial" w:hAnsi="Arial" w:cs="Arial"/>
          <w:iCs/>
          <w:color w:val="000000" w:themeColor="text1"/>
          <w:sz w:val="22"/>
          <w:szCs w:val="22"/>
        </w:rPr>
        <w:t>r</w:t>
      </w:r>
      <w:r w:rsidRPr="00C23A44">
        <w:rPr>
          <w:rFonts w:ascii="Arial" w:hAnsi="Arial" w:cs="Arial"/>
          <w:iCs/>
          <w:color w:val="000000" w:themeColor="text1"/>
          <w:sz w:val="22"/>
          <w:szCs w:val="22"/>
        </w:rPr>
        <w:t xml:space="preserve">standing by the investor. Implicit costs should be defined as the sum of costs upon which the manufacturer has control, including the performance fee. </w:t>
      </w:r>
    </w:p>
    <w:p w:rsidR="00BE6BF9" w:rsidRPr="00C23A44" w:rsidRDefault="00BE6BF9" w:rsidP="00BE6BF9">
      <w:pPr>
        <w:pStyle w:val="BodyText1"/>
        <w:spacing w:after="0"/>
        <w:ind w:left="0"/>
        <w:jc w:val="left"/>
        <w:rPr>
          <w:rFonts w:ascii="Arial" w:hAnsi="Arial" w:cs="Arial"/>
          <w:iCs/>
          <w:color w:val="000000" w:themeColor="text1"/>
          <w:sz w:val="22"/>
          <w:szCs w:val="22"/>
        </w:rPr>
      </w:pPr>
    </w:p>
    <w:p w:rsidR="00BE6BF9" w:rsidRPr="00C23A44" w:rsidRDefault="00BE6BF9" w:rsidP="00BE6BF9">
      <w:pPr>
        <w:pStyle w:val="BodyText1"/>
        <w:spacing w:after="0"/>
        <w:ind w:left="0"/>
        <w:jc w:val="left"/>
        <w:rPr>
          <w:rFonts w:ascii="Arial" w:hAnsi="Arial" w:cs="Arial"/>
          <w:iCs/>
          <w:color w:val="000000" w:themeColor="text1"/>
          <w:sz w:val="22"/>
          <w:szCs w:val="22"/>
        </w:rPr>
      </w:pPr>
      <w:r w:rsidRPr="00C23A44">
        <w:rPr>
          <w:rFonts w:ascii="Arial" w:hAnsi="Arial" w:cs="Arial"/>
          <w:iCs/>
          <w:color w:val="000000" w:themeColor="text1"/>
          <w:sz w:val="22"/>
          <w:szCs w:val="22"/>
        </w:rPr>
        <w:t xml:space="preserve">The relevant assumptions for each performance scenario, especially but not limited to aspects of the underlying’s evolution, should be stated clearly. </w:t>
      </w:r>
    </w:p>
    <w:p w:rsidR="00BE6BF9" w:rsidRPr="00C23A44" w:rsidRDefault="00BE6BF9" w:rsidP="00BE6BF9">
      <w:pPr>
        <w:pStyle w:val="BodyText1"/>
        <w:spacing w:after="0"/>
        <w:ind w:left="0"/>
        <w:jc w:val="left"/>
        <w:rPr>
          <w:rFonts w:ascii="Arial" w:hAnsi="Arial" w:cs="Arial"/>
          <w:iCs/>
          <w:color w:val="000000" w:themeColor="text1"/>
          <w:sz w:val="22"/>
          <w:szCs w:val="22"/>
        </w:rPr>
      </w:pPr>
    </w:p>
    <w:p w:rsidR="003E4B00" w:rsidRPr="00BE6BF9" w:rsidRDefault="00BE6BF9" w:rsidP="00BE6BF9">
      <w:pPr>
        <w:pStyle w:val="BodyText1"/>
        <w:spacing w:after="0"/>
        <w:ind w:left="0"/>
        <w:jc w:val="left"/>
        <w:rPr>
          <w:rFonts w:ascii="Arial" w:hAnsi="Arial" w:cs="Arial"/>
          <w:iCs/>
          <w:color w:val="000000" w:themeColor="text1"/>
          <w:sz w:val="22"/>
          <w:szCs w:val="22"/>
        </w:rPr>
      </w:pPr>
      <w:r w:rsidRPr="00C23A44">
        <w:rPr>
          <w:rFonts w:ascii="Arial" w:hAnsi="Arial" w:cs="Arial"/>
          <w:iCs/>
          <w:color w:val="000000" w:themeColor="text1"/>
          <w:sz w:val="22"/>
          <w:szCs w:val="22"/>
        </w:rPr>
        <w:t>Regarding performance fees, they should only be disclosed in the scenario where they occur (most likely not in the negative scenario).</w:t>
      </w:r>
    </w:p>
    <w:permEnd w:id="1028804370"/>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BE6BF9" w:rsidRPr="00C23A44" w:rsidRDefault="00BE6BF9" w:rsidP="00BE6BF9">
      <w:pPr>
        <w:pStyle w:val="BodyText1"/>
        <w:spacing w:after="0"/>
        <w:ind w:left="0"/>
        <w:jc w:val="left"/>
        <w:rPr>
          <w:rFonts w:ascii="Arial" w:hAnsi="Arial" w:cs="Arial"/>
          <w:iCs/>
          <w:color w:val="auto"/>
          <w:sz w:val="22"/>
          <w:szCs w:val="22"/>
        </w:rPr>
      </w:pPr>
      <w:permStart w:id="472528833" w:edGrp="everyone"/>
      <w:r w:rsidRPr="00C23A44">
        <w:rPr>
          <w:rFonts w:ascii="Arial" w:hAnsi="Arial" w:cs="Arial"/>
          <w:iCs/>
          <w:color w:val="auto"/>
          <w:sz w:val="22"/>
          <w:szCs w:val="22"/>
        </w:rPr>
        <w:t>ZFA disagrees with the usage of graphs and prefers a table presentation.</w:t>
      </w:r>
    </w:p>
    <w:p w:rsidR="00BE6BF9" w:rsidRPr="00C23A44" w:rsidRDefault="00BE6BF9" w:rsidP="00BE6BF9">
      <w:pPr>
        <w:pStyle w:val="BodyText1"/>
        <w:spacing w:after="0"/>
        <w:ind w:left="0"/>
        <w:jc w:val="left"/>
        <w:rPr>
          <w:rFonts w:ascii="Arial" w:hAnsi="Arial" w:cs="Arial"/>
          <w:iCs/>
          <w:color w:val="auto"/>
          <w:sz w:val="22"/>
          <w:szCs w:val="22"/>
        </w:rPr>
      </w:pPr>
    </w:p>
    <w:p w:rsidR="00BE6BF9" w:rsidRPr="00C23A44" w:rsidRDefault="00BE6BF9" w:rsidP="00BE6BF9">
      <w:pPr>
        <w:pStyle w:val="BodyText1"/>
        <w:spacing w:after="0"/>
        <w:ind w:left="0"/>
        <w:jc w:val="left"/>
        <w:rPr>
          <w:rFonts w:ascii="Arial" w:hAnsi="Arial" w:cs="Arial"/>
          <w:iCs/>
          <w:color w:val="auto"/>
          <w:sz w:val="22"/>
          <w:szCs w:val="22"/>
        </w:rPr>
      </w:pPr>
      <w:r w:rsidRPr="00C23A44">
        <w:rPr>
          <w:rFonts w:ascii="Arial" w:hAnsi="Arial" w:cs="Arial"/>
          <w:iCs/>
          <w:color w:val="auto"/>
          <w:sz w:val="22"/>
          <w:szCs w:val="22"/>
        </w:rPr>
        <w:t xml:space="preserve">Graphs would create issues for PRIIPs where interim performance must be shown. Only the table of Annex 4 - Appendix 1 should be required. </w:t>
      </w:r>
    </w:p>
    <w:p w:rsidR="00BE6BF9" w:rsidRPr="00C23A44" w:rsidRDefault="00BE6BF9" w:rsidP="00BE6BF9">
      <w:pPr>
        <w:pStyle w:val="BodyText1"/>
        <w:spacing w:after="0"/>
        <w:ind w:left="0"/>
        <w:jc w:val="left"/>
        <w:rPr>
          <w:rFonts w:ascii="Arial" w:hAnsi="Arial" w:cs="Arial"/>
          <w:iCs/>
          <w:color w:val="auto"/>
          <w:sz w:val="22"/>
          <w:szCs w:val="22"/>
        </w:rPr>
      </w:pPr>
    </w:p>
    <w:p w:rsidR="00BE6BF9" w:rsidRPr="00C23A44" w:rsidRDefault="00BE6BF9" w:rsidP="00BE6BF9">
      <w:pPr>
        <w:pStyle w:val="BodyText1"/>
        <w:spacing w:after="0"/>
        <w:ind w:left="0"/>
        <w:jc w:val="left"/>
        <w:rPr>
          <w:rFonts w:ascii="Arial" w:hAnsi="Arial" w:cs="Arial"/>
          <w:iCs/>
          <w:color w:val="auto"/>
          <w:sz w:val="22"/>
          <w:szCs w:val="22"/>
        </w:rPr>
      </w:pPr>
      <w:r w:rsidRPr="00C23A44">
        <w:rPr>
          <w:rFonts w:ascii="Arial" w:hAnsi="Arial" w:cs="Arial"/>
          <w:iCs/>
          <w:color w:val="auto"/>
          <w:sz w:val="22"/>
          <w:szCs w:val="22"/>
        </w:rPr>
        <w:t>Also, ZFA considers that the difficulties linked to the presentation of interim performance scena</w:t>
      </w:r>
      <w:r w:rsidRPr="00C23A44">
        <w:rPr>
          <w:rFonts w:ascii="Arial" w:hAnsi="Arial" w:cs="Arial"/>
          <w:iCs/>
          <w:color w:val="auto"/>
          <w:sz w:val="22"/>
          <w:szCs w:val="22"/>
        </w:rPr>
        <w:t>r</w:t>
      </w:r>
      <w:r w:rsidRPr="00C23A44">
        <w:rPr>
          <w:rFonts w:ascii="Arial" w:hAnsi="Arial" w:cs="Arial"/>
          <w:iCs/>
          <w:color w:val="auto"/>
          <w:sz w:val="22"/>
          <w:szCs w:val="22"/>
        </w:rPr>
        <w:t xml:space="preserve">ios should be further analyzed. </w:t>
      </w:r>
    </w:p>
    <w:p w:rsidR="00BE6BF9" w:rsidRPr="00C23A44" w:rsidRDefault="00BE6BF9" w:rsidP="00BE6BF9">
      <w:pPr>
        <w:pStyle w:val="BodyText1"/>
        <w:spacing w:after="0"/>
        <w:ind w:left="0"/>
        <w:jc w:val="left"/>
        <w:rPr>
          <w:rFonts w:ascii="Arial" w:hAnsi="Arial" w:cs="Arial"/>
          <w:iCs/>
          <w:color w:val="auto"/>
          <w:sz w:val="22"/>
          <w:szCs w:val="22"/>
        </w:rPr>
      </w:pPr>
    </w:p>
    <w:p w:rsidR="00BE6BF9" w:rsidRPr="00C23A44" w:rsidRDefault="00BE6BF9" w:rsidP="00BE6BF9">
      <w:pPr>
        <w:pStyle w:val="BodyText1"/>
        <w:spacing w:after="0"/>
        <w:ind w:left="0"/>
        <w:jc w:val="left"/>
        <w:rPr>
          <w:rFonts w:ascii="Arial" w:hAnsi="Arial" w:cs="Arial"/>
          <w:iCs/>
          <w:color w:val="auto"/>
          <w:sz w:val="22"/>
          <w:szCs w:val="22"/>
        </w:rPr>
      </w:pPr>
      <w:r w:rsidRPr="00C23A44">
        <w:rPr>
          <w:rFonts w:ascii="Arial" w:hAnsi="Arial" w:cs="Arial"/>
          <w:iCs/>
          <w:color w:val="auto"/>
          <w:sz w:val="22"/>
          <w:szCs w:val="22"/>
        </w:rPr>
        <w:t xml:space="preserve">Scenarios on this basis would be highly problematic from a methodological perspective. Figures calculated on this basis would not provide reliable statements about the expected return of a product. </w:t>
      </w:r>
    </w:p>
    <w:p w:rsidR="00BE6BF9" w:rsidRPr="00C23A44" w:rsidRDefault="00BE6BF9" w:rsidP="00BE6BF9">
      <w:pPr>
        <w:pStyle w:val="BodyText1"/>
        <w:spacing w:after="0"/>
        <w:ind w:left="0"/>
        <w:jc w:val="left"/>
        <w:rPr>
          <w:rFonts w:ascii="Arial" w:hAnsi="Arial" w:cs="Arial"/>
          <w:iCs/>
          <w:color w:val="auto"/>
          <w:sz w:val="22"/>
          <w:szCs w:val="22"/>
        </w:rPr>
      </w:pPr>
    </w:p>
    <w:p w:rsidR="00BE6BF9" w:rsidRDefault="00BE6BF9" w:rsidP="00BE6BF9">
      <w:pPr>
        <w:pStyle w:val="BodyText1"/>
        <w:spacing w:after="0"/>
        <w:ind w:left="0"/>
        <w:jc w:val="left"/>
        <w:rPr>
          <w:rFonts w:ascii="Arial" w:hAnsi="Arial" w:cs="Arial"/>
          <w:iCs/>
          <w:color w:val="auto"/>
          <w:sz w:val="22"/>
          <w:szCs w:val="22"/>
        </w:rPr>
      </w:pPr>
      <w:r w:rsidRPr="00C23A44">
        <w:rPr>
          <w:rFonts w:ascii="Arial" w:hAnsi="Arial" w:cs="Arial"/>
          <w:iCs/>
          <w:color w:val="auto"/>
          <w:sz w:val="22"/>
          <w:szCs w:val="22"/>
        </w:rPr>
        <w:t xml:space="preserve">Instead ZFA suggests that, for products with fixed maturity dates, </w:t>
      </w:r>
      <w:r w:rsidRPr="00C23A44">
        <w:rPr>
          <w:rFonts w:ascii="Arial" w:hAnsi="Arial" w:cs="Arial"/>
          <w:iCs/>
          <w:color w:val="auto"/>
          <w:sz w:val="22"/>
          <w:szCs w:val="22"/>
          <w:u w:val="single"/>
        </w:rPr>
        <w:t>only one performance analysis</w:t>
      </w:r>
      <w:r w:rsidRPr="00C23A44">
        <w:rPr>
          <w:rFonts w:ascii="Arial" w:hAnsi="Arial" w:cs="Arial"/>
          <w:iCs/>
          <w:color w:val="auto"/>
          <w:sz w:val="22"/>
          <w:szCs w:val="22"/>
        </w:rPr>
        <w:t xml:space="preserve"> should be required with reference to such maturity date.</w:t>
      </w:r>
    </w:p>
    <w:p w:rsidR="00BE6BF9" w:rsidRDefault="00BE6BF9" w:rsidP="00BE6BF9">
      <w:pPr>
        <w:pStyle w:val="BodyText1"/>
        <w:spacing w:after="0"/>
        <w:ind w:left="0"/>
        <w:jc w:val="left"/>
        <w:rPr>
          <w:rFonts w:ascii="Arial" w:hAnsi="Arial" w:cs="Arial"/>
          <w:iCs/>
          <w:color w:val="auto"/>
          <w:sz w:val="22"/>
          <w:szCs w:val="22"/>
        </w:rPr>
      </w:pPr>
    </w:p>
    <w:p w:rsidR="003E4B00" w:rsidRPr="00BE6BF9" w:rsidRDefault="00BE6BF9" w:rsidP="00BE6BF9">
      <w:pPr>
        <w:pStyle w:val="BodyText1"/>
        <w:spacing w:after="0"/>
        <w:ind w:left="0"/>
        <w:jc w:val="left"/>
        <w:rPr>
          <w:rFonts w:ascii="Arial" w:hAnsi="Arial" w:cs="Arial"/>
          <w:iCs/>
          <w:color w:val="auto"/>
          <w:sz w:val="22"/>
          <w:szCs w:val="22"/>
        </w:rPr>
      </w:pPr>
      <w:r>
        <w:rPr>
          <w:rFonts w:ascii="Arial" w:hAnsi="Arial" w:cs="Arial"/>
          <w:iCs/>
          <w:color w:val="auto"/>
          <w:sz w:val="22"/>
          <w:szCs w:val="22"/>
        </w:rPr>
        <w:t>ZFA</w:t>
      </w:r>
      <w:r w:rsidRPr="00422E70">
        <w:rPr>
          <w:rFonts w:ascii="Arial" w:hAnsi="Arial" w:cs="Arial"/>
          <w:iCs/>
          <w:color w:val="auto"/>
          <w:sz w:val="22"/>
          <w:szCs w:val="22"/>
        </w:rPr>
        <w:t xml:space="preserve"> would finally suggest to revise the wording of preamble 6 of the draft RTS insofar as its current wording (wrongly) implies that performance scenarios were to be regarded as making a forecast of future returns.</w:t>
      </w:r>
    </w:p>
    <w:permEnd w:id="472528833"/>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Pr="0014205A" w:rsidRDefault="0014205A" w:rsidP="00BE6BF9">
      <w:pPr>
        <w:pStyle w:val="BodyText1"/>
        <w:spacing w:after="0"/>
        <w:ind w:left="0"/>
        <w:jc w:val="left"/>
        <w:rPr>
          <w:rFonts w:ascii="Arial" w:hAnsi="Arial" w:cs="Arial"/>
          <w:iCs/>
          <w:color w:val="auto"/>
          <w:sz w:val="22"/>
          <w:szCs w:val="22"/>
          <w:lang w:val="en-GB"/>
        </w:rPr>
      </w:pPr>
      <w:permStart w:id="455753208" w:edGrp="everyone"/>
      <w:r w:rsidRPr="00C23A44">
        <w:rPr>
          <w:rFonts w:ascii="Arial" w:hAnsi="Arial" w:cs="Arial"/>
          <w:iCs/>
          <w:color w:val="auto"/>
          <w:sz w:val="22"/>
          <w:szCs w:val="22"/>
          <w:lang w:val="en-GB"/>
        </w:rPr>
        <w:t>Not applicable to structured products.</w:t>
      </w:r>
    </w:p>
    <w:permEnd w:id="455753208"/>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lastRenderedPageBreak/>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Pr="0014205A" w:rsidRDefault="0014205A" w:rsidP="0014205A">
      <w:pPr>
        <w:pStyle w:val="BodyText1"/>
        <w:spacing w:after="0"/>
        <w:ind w:left="0"/>
        <w:jc w:val="left"/>
        <w:rPr>
          <w:rFonts w:ascii="Arial" w:hAnsi="Arial" w:cs="Arial"/>
          <w:iCs/>
          <w:color w:val="auto"/>
          <w:sz w:val="22"/>
          <w:szCs w:val="22"/>
          <w:lang w:val="en-GB"/>
        </w:rPr>
      </w:pPr>
      <w:permStart w:id="1055803641" w:edGrp="everyone"/>
      <w:r w:rsidRPr="00C23A44">
        <w:rPr>
          <w:rFonts w:ascii="Arial" w:hAnsi="Arial" w:cs="Arial"/>
          <w:iCs/>
          <w:color w:val="auto"/>
          <w:sz w:val="22"/>
          <w:szCs w:val="22"/>
          <w:lang w:val="en-GB"/>
        </w:rPr>
        <w:t>Not applicable to structured products.</w:t>
      </w:r>
    </w:p>
    <w:permEnd w:id="1055803641"/>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3E4B00" w:rsidRPr="0014205A" w:rsidRDefault="0014205A" w:rsidP="0014205A">
      <w:pPr>
        <w:pStyle w:val="BodyText1"/>
        <w:spacing w:after="0"/>
        <w:ind w:left="0"/>
        <w:jc w:val="left"/>
        <w:rPr>
          <w:rFonts w:ascii="Arial" w:hAnsi="Arial" w:cs="Arial"/>
          <w:iCs/>
          <w:color w:val="auto"/>
          <w:sz w:val="22"/>
          <w:szCs w:val="22"/>
          <w:lang w:val="en-GB"/>
        </w:rPr>
      </w:pPr>
      <w:permStart w:id="1133868701" w:edGrp="everyone"/>
      <w:r w:rsidRPr="00C23A44">
        <w:rPr>
          <w:rFonts w:ascii="Arial" w:hAnsi="Arial" w:cs="Arial"/>
          <w:iCs/>
          <w:color w:val="auto"/>
          <w:sz w:val="22"/>
          <w:szCs w:val="22"/>
          <w:lang w:val="en-GB"/>
        </w:rPr>
        <w:t>An annualised presentation is the most frequently used format for cost disclosure to retail inve</w:t>
      </w:r>
      <w:r w:rsidRPr="00C23A44">
        <w:rPr>
          <w:rFonts w:ascii="Arial" w:hAnsi="Arial" w:cs="Arial"/>
          <w:iCs/>
          <w:color w:val="auto"/>
          <w:sz w:val="22"/>
          <w:szCs w:val="22"/>
          <w:lang w:val="en-GB"/>
        </w:rPr>
        <w:t>s</w:t>
      </w:r>
      <w:r w:rsidRPr="00C23A44">
        <w:rPr>
          <w:rFonts w:ascii="Arial" w:hAnsi="Arial" w:cs="Arial"/>
          <w:iCs/>
          <w:color w:val="auto"/>
          <w:sz w:val="22"/>
          <w:szCs w:val="22"/>
          <w:lang w:val="en-GB"/>
        </w:rPr>
        <w:t xml:space="preserve">tors in the financial industry. ZFA does not see a reason to change this standard approach. </w:t>
      </w:r>
    </w:p>
    <w:permEnd w:id="1133868701"/>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Pr="0014205A" w:rsidRDefault="0014205A" w:rsidP="0014205A">
      <w:pPr>
        <w:pStyle w:val="BodyText1"/>
        <w:spacing w:after="0"/>
        <w:ind w:left="0"/>
        <w:jc w:val="left"/>
        <w:rPr>
          <w:rFonts w:ascii="Arial" w:hAnsi="Arial" w:cs="Arial"/>
          <w:iCs/>
          <w:color w:val="auto"/>
          <w:sz w:val="22"/>
          <w:szCs w:val="22"/>
          <w:lang w:val="en-GB"/>
        </w:rPr>
      </w:pPr>
      <w:permStart w:id="1651402133" w:edGrp="everyone"/>
      <w:r w:rsidRPr="00C23A44">
        <w:rPr>
          <w:rFonts w:ascii="Arial" w:hAnsi="Arial" w:cs="Arial"/>
          <w:iCs/>
          <w:color w:val="auto"/>
          <w:sz w:val="22"/>
          <w:szCs w:val="22"/>
          <w:lang w:val="en-GB"/>
        </w:rPr>
        <w:t>Not applicable to structured products.</w:t>
      </w:r>
    </w:p>
    <w:permEnd w:id="1651402133"/>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Pr="0014205A" w:rsidRDefault="0014205A" w:rsidP="0014205A">
      <w:pPr>
        <w:pStyle w:val="BodyText1"/>
        <w:spacing w:after="0"/>
        <w:ind w:left="0"/>
        <w:jc w:val="left"/>
        <w:rPr>
          <w:rFonts w:ascii="Arial" w:hAnsi="Arial" w:cs="Arial"/>
          <w:iCs/>
          <w:color w:val="auto"/>
          <w:sz w:val="22"/>
          <w:szCs w:val="22"/>
          <w:lang w:val="en-GB"/>
        </w:rPr>
      </w:pPr>
      <w:permStart w:id="1321095638" w:edGrp="everyone"/>
      <w:r w:rsidRPr="00C23A44">
        <w:rPr>
          <w:rFonts w:ascii="Arial" w:hAnsi="Arial" w:cs="Arial"/>
          <w:iCs/>
          <w:color w:val="auto"/>
          <w:sz w:val="22"/>
          <w:szCs w:val="22"/>
          <w:lang w:val="en-GB"/>
        </w:rPr>
        <w:t>Not applicable to structured products.</w:t>
      </w:r>
    </w:p>
    <w:permEnd w:id="1321095638"/>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lastRenderedPageBreak/>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14205A" w:rsidRPr="00C23A44" w:rsidRDefault="0014205A" w:rsidP="0014205A">
      <w:pPr>
        <w:pStyle w:val="BodyText1"/>
        <w:spacing w:after="0"/>
        <w:ind w:left="0"/>
        <w:jc w:val="left"/>
        <w:rPr>
          <w:rFonts w:ascii="Arial" w:hAnsi="Arial" w:cs="Arial"/>
          <w:iCs/>
          <w:color w:val="auto"/>
          <w:sz w:val="22"/>
          <w:szCs w:val="22"/>
          <w:lang w:val="en-GB"/>
        </w:rPr>
      </w:pPr>
      <w:permStart w:id="572722740" w:edGrp="everyone"/>
      <w:r w:rsidRPr="00C23A44">
        <w:rPr>
          <w:rFonts w:ascii="Arial" w:hAnsi="Arial" w:cs="Arial"/>
          <w:iCs/>
          <w:color w:val="auto"/>
          <w:sz w:val="22"/>
          <w:szCs w:val="22"/>
          <w:lang w:val="en-GB"/>
        </w:rPr>
        <w:t xml:space="preserve">ZFA would agree with the percentages set out for table 2. </w:t>
      </w:r>
    </w:p>
    <w:p w:rsidR="0014205A" w:rsidRPr="00C23A44" w:rsidRDefault="0014205A" w:rsidP="0014205A">
      <w:pPr>
        <w:pStyle w:val="BodyText1"/>
        <w:spacing w:after="0"/>
        <w:ind w:left="0"/>
        <w:jc w:val="left"/>
        <w:rPr>
          <w:rFonts w:ascii="Arial" w:hAnsi="Arial" w:cs="Arial"/>
          <w:iCs/>
          <w:color w:val="auto"/>
          <w:sz w:val="22"/>
          <w:szCs w:val="22"/>
          <w:lang w:val="en-GB"/>
        </w:rPr>
      </w:pPr>
    </w:p>
    <w:p w:rsidR="0014205A" w:rsidRPr="00C23A44" w:rsidRDefault="0014205A" w:rsidP="0014205A">
      <w:pPr>
        <w:pStyle w:val="BodyText1"/>
        <w:spacing w:after="0"/>
        <w:ind w:left="0"/>
        <w:jc w:val="left"/>
        <w:rPr>
          <w:rFonts w:ascii="Arial" w:hAnsi="Arial" w:cs="Arial"/>
          <w:iCs/>
          <w:color w:val="auto"/>
          <w:sz w:val="22"/>
          <w:szCs w:val="22"/>
          <w:lang w:val="en-GB"/>
        </w:rPr>
      </w:pPr>
      <w:r w:rsidRPr="00C23A44">
        <w:rPr>
          <w:rFonts w:ascii="Arial" w:hAnsi="Arial" w:cs="Arial"/>
          <w:iCs/>
          <w:color w:val="auto"/>
          <w:sz w:val="22"/>
          <w:szCs w:val="22"/>
          <w:lang w:val="en-GB"/>
        </w:rPr>
        <w:t xml:space="preserve">We do not expect any difficulties in calculating the monetary value for Table 1. </w:t>
      </w:r>
    </w:p>
    <w:p w:rsidR="0014205A" w:rsidRPr="00C23A44" w:rsidRDefault="0014205A" w:rsidP="0014205A">
      <w:pPr>
        <w:pStyle w:val="BodyText1"/>
        <w:spacing w:after="0"/>
        <w:ind w:left="0"/>
        <w:jc w:val="left"/>
        <w:rPr>
          <w:rFonts w:ascii="Arial" w:hAnsi="Arial" w:cs="Arial"/>
          <w:iCs/>
          <w:color w:val="auto"/>
          <w:sz w:val="22"/>
          <w:szCs w:val="22"/>
          <w:lang w:val="en-GB"/>
        </w:rPr>
      </w:pPr>
    </w:p>
    <w:p w:rsidR="0014205A" w:rsidRPr="00C23A44" w:rsidRDefault="0014205A" w:rsidP="0014205A">
      <w:pPr>
        <w:pStyle w:val="BodyText1"/>
        <w:spacing w:after="0"/>
        <w:ind w:left="0"/>
        <w:jc w:val="left"/>
        <w:rPr>
          <w:rFonts w:ascii="Arial" w:hAnsi="Arial" w:cs="Arial"/>
          <w:iCs/>
          <w:color w:val="auto"/>
          <w:sz w:val="22"/>
          <w:szCs w:val="22"/>
          <w:lang w:val="en-GB"/>
        </w:rPr>
      </w:pPr>
      <w:r w:rsidRPr="00C23A44">
        <w:rPr>
          <w:rFonts w:ascii="Arial" w:hAnsi="Arial" w:cs="Arial"/>
          <w:iCs/>
          <w:color w:val="auto"/>
          <w:sz w:val="22"/>
          <w:szCs w:val="22"/>
          <w:lang w:val="en-GB"/>
        </w:rPr>
        <w:t xml:space="preserve">One important point is that for consistency reason, the total cost divided by the invested amount and per year must equal to the RIY (which is an annualized measure of cost). </w:t>
      </w:r>
    </w:p>
    <w:p w:rsidR="0014205A" w:rsidRPr="00C23A44" w:rsidRDefault="0014205A" w:rsidP="0014205A">
      <w:pPr>
        <w:pStyle w:val="BodyText1"/>
        <w:spacing w:after="0"/>
        <w:ind w:left="0"/>
        <w:jc w:val="left"/>
        <w:rPr>
          <w:rFonts w:ascii="Arial" w:hAnsi="Arial" w:cs="Arial"/>
          <w:iCs/>
          <w:color w:val="auto"/>
          <w:sz w:val="22"/>
          <w:szCs w:val="22"/>
          <w:lang w:val="en-GB"/>
        </w:rPr>
      </w:pPr>
    </w:p>
    <w:p w:rsidR="0014205A" w:rsidRPr="00C23A44" w:rsidRDefault="0014205A" w:rsidP="0014205A">
      <w:pPr>
        <w:pStyle w:val="BodyText1"/>
        <w:spacing w:after="0"/>
        <w:ind w:left="0"/>
        <w:jc w:val="left"/>
        <w:rPr>
          <w:rFonts w:ascii="Arial" w:hAnsi="Arial" w:cs="Arial"/>
          <w:iCs/>
          <w:color w:val="auto"/>
          <w:sz w:val="22"/>
          <w:szCs w:val="22"/>
          <w:lang w:val="en-GB"/>
        </w:rPr>
      </w:pPr>
      <w:r w:rsidRPr="00C23A44">
        <w:rPr>
          <w:rFonts w:ascii="Arial" w:hAnsi="Arial" w:cs="Arial"/>
          <w:iCs/>
          <w:color w:val="auto"/>
          <w:sz w:val="22"/>
          <w:szCs w:val="22"/>
          <w:lang w:val="en-GB"/>
        </w:rPr>
        <w:t>For clarification purposes we have inserted an example below detailing how we think Table 1 should be filled in for a 5 years structured product with fair value equal to 98% and selling price of 100%. We suggest adding to the table provided by the ESAs in the CP that all costs in % in the second table are expressed per year so that the sum adds up to the RIY (see red mark up in below table).</w:t>
      </w:r>
    </w:p>
    <w:p w:rsidR="0014205A" w:rsidRPr="00C23A44" w:rsidRDefault="0014205A" w:rsidP="0014205A">
      <w:pPr>
        <w:pStyle w:val="BodyText1"/>
        <w:spacing w:after="0"/>
        <w:ind w:left="0"/>
        <w:jc w:val="left"/>
        <w:rPr>
          <w:rFonts w:ascii="Arial" w:hAnsi="Arial" w:cs="Arial"/>
          <w:iCs/>
          <w:color w:val="auto"/>
          <w:sz w:val="22"/>
          <w:szCs w:val="22"/>
          <w:lang w:val="en-GB"/>
        </w:rPr>
      </w:pPr>
    </w:p>
    <w:p w:rsidR="0014205A" w:rsidRPr="00C23A44" w:rsidRDefault="0014205A" w:rsidP="0014205A">
      <w:pPr>
        <w:pStyle w:val="BodyText1"/>
        <w:spacing w:after="0"/>
        <w:ind w:left="0"/>
        <w:jc w:val="left"/>
        <w:rPr>
          <w:rFonts w:ascii="Arial" w:hAnsi="Arial" w:cs="Arial"/>
          <w:iCs/>
          <w:color w:val="auto"/>
          <w:sz w:val="22"/>
          <w:szCs w:val="22"/>
          <w:lang w:val="en-GB"/>
        </w:rPr>
      </w:pPr>
      <w:r w:rsidRPr="00C23A44">
        <w:rPr>
          <w:rFonts w:ascii="Arial" w:hAnsi="Arial" w:cs="Arial"/>
          <w:iCs/>
          <w:noProof/>
          <w:color w:val="auto"/>
          <w:sz w:val="22"/>
          <w:szCs w:val="22"/>
          <w:lang w:val="de-AT" w:eastAsia="de-AT"/>
        </w:rPr>
        <w:drawing>
          <wp:anchor distT="0" distB="0" distL="114300" distR="114300" simplePos="0" relativeHeight="251659264" behindDoc="0" locked="0" layoutInCell="1" allowOverlap="1" wp14:anchorId="0BB0BD63" wp14:editId="165E3FC8">
            <wp:simplePos x="0" y="0"/>
            <wp:positionH relativeFrom="column">
              <wp:posOffset>457200</wp:posOffset>
            </wp:positionH>
            <wp:positionV relativeFrom="paragraph">
              <wp:posOffset>22225</wp:posOffset>
            </wp:positionV>
            <wp:extent cx="1704975" cy="504825"/>
            <wp:effectExtent l="0" t="0" r="9525" b="9525"/>
            <wp:wrapNone/>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r="68815" b="81404"/>
                    <a:stretch>
                      <a:fillRect/>
                    </a:stretch>
                  </pic:blipFill>
                  <pic:spPr bwMode="auto">
                    <a:xfrm>
                      <a:off x="0" y="0"/>
                      <a:ext cx="1704975" cy="5048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4205A" w:rsidRPr="00C23A44" w:rsidRDefault="0014205A" w:rsidP="0014205A">
      <w:pPr>
        <w:pStyle w:val="BodyText1"/>
        <w:spacing w:after="0"/>
        <w:ind w:left="0"/>
        <w:jc w:val="left"/>
        <w:rPr>
          <w:rFonts w:ascii="Arial" w:hAnsi="Arial" w:cs="Arial"/>
          <w:iCs/>
          <w:color w:val="auto"/>
          <w:sz w:val="22"/>
          <w:szCs w:val="22"/>
          <w:lang w:val="en-GB"/>
        </w:rPr>
      </w:pPr>
    </w:p>
    <w:p w:rsidR="0014205A" w:rsidRPr="00C23A44" w:rsidRDefault="0014205A" w:rsidP="0014205A">
      <w:pPr>
        <w:pStyle w:val="BodyText1"/>
        <w:spacing w:after="0"/>
        <w:jc w:val="left"/>
        <w:rPr>
          <w:rFonts w:ascii="Arial" w:hAnsi="Arial" w:cs="Arial"/>
          <w:iCs/>
          <w:color w:val="auto"/>
          <w:sz w:val="22"/>
          <w:szCs w:val="22"/>
          <w:lang w:val="en-GB"/>
        </w:rPr>
      </w:pPr>
    </w:p>
    <w:p w:rsidR="0014205A" w:rsidRPr="00C23A44" w:rsidRDefault="0014205A" w:rsidP="0014205A">
      <w:pPr>
        <w:pStyle w:val="BodyText1"/>
        <w:spacing w:after="0"/>
        <w:jc w:val="left"/>
        <w:rPr>
          <w:rFonts w:ascii="Arial" w:hAnsi="Arial" w:cs="Arial"/>
          <w:iCs/>
          <w:color w:val="auto"/>
          <w:sz w:val="22"/>
          <w:szCs w:val="22"/>
          <w:lang w:val="en-GB"/>
        </w:rPr>
      </w:pPr>
    </w:p>
    <w:p w:rsidR="0014205A" w:rsidRPr="00C23A44" w:rsidRDefault="0014205A" w:rsidP="0014205A">
      <w:pPr>
        <w:pStyle w:val="BodyText1"/>
        <w:spacing w:after="0"/>
        <w:jc w:val="left"/>
        <w:rPr>
          <w:rFonts w:ascii="Arial" w:hAnsi="Arial" w:cs="Arial"/>
          <w:iCs/>
          <w:color w:val="auto"/>
          <w:sz w:val="22"/>
          <w:szCs w:val="22"/>
          <w:lang w:val="en-GB"/>
        </w:rPr>
      </w:pPr>
      <w:r w:rsidRPr="00C23A44">
        <w:rPr>
          <w:rFonts w:ascii="Arial" w:hAnsi="Arial" w:cs="Arial"/>
          <w:noProof/>
          <w:sz w:val="22"/>
          <w:szCs w:val="22"/>
          <w:lang w:val="de-AT" w:eastAsia="de-AT"/>
        </w:rPr>
        <w:drawing>
          <wp:inline distT="0" distB="0" distL="0" distR="0" wp14:anchorId="38C193B4" wp14:editId="754C3522">
            <wp:extent cx="4191000" cy="2038350"/>
            <wp:effectExtent l="0" t="0" r="0" b="0"/>
            <wp:docPr id="8" name="Picture 3"/>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17" cstate="print">
                      <a:extLst>
                        <a:ext uri="{28A0092B-C50C-407E-A947-70E740481C1C}">
                          <a14:useLocalDpi xmlns:a14="http://schemas.microsoft.com/office/drawing/2010/main" val="0"/>
                        </a:ext>
                      </a:extLst>
                    </a:blip>
                    <a:srcRect l="13240" t="18246" r="10105" b="6667"/>
                    <a:stretch>
                      <a:fillRect/>
                    </a:stretch>
                  </pic:blipFill>
                  <pic:spPr bwMode="auto">
                    <a:xfrm>
                      <a:off x="0" y="0"/>
                      <a:ext cx="4191000" cy="20383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14205A" w:rsidRPr="00C23A44" w:rsidRDefault="0014205A" w:rsidP="0014205A">
      <w:pPr>
        <w:pStyle w:val="BodyText1"/>
        <w:spacing w:after="0"/>
        <w:ind w:left="0"/>
        <w:jc w:val="left"/>
        <w:rPr>
          <w:rFonts w:ascii="Arial" w:hAnsi="Arial" w:cs="Arial"/>
          <w:iCs/>
          <w:color w:val="auto"/>
          <w:sz w:val="22"/>
          <w:szCs w:val="22"/>
          <w:lang w:val="en-GB"/>
        </w:rPr>
      </w:pPr>
    </w:p>
    <w:p w:rsidR="00491E49" w:rsidRPr="0014205A" w:rsidRDefault="0014205A" w:rsidP="00491E49">
      <w:pPr>
        <w:rPr>
          <w:rFonts w:cs="Arial"/>
          <w:iCs/>
        </w:rPr>
      </w:pPr>
      <w:r w:rsidRPr="00C23A44">
        <w:rPr>
          <w:rFonts w:cs="Arial"/>
          <w:iCs/>
        </w:rPr>
        <w:t>However, considering the proposed breakdown of costs, we express a strong concern relative to the quantity of information that would be given as such to the investor. In comparison to the risk assessment which encounters many types of risks summarized in one figure for sake of clarity, we are concerned that a breakdown of costs would lead to more confusion for a retail investor.</w:t>
      </w:r>
    </w:p>
    <w:permEnd w:id="572722740"/>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14205A" w:rsidRPr="00C23A44" w:rsidRDefault="0014205A" w:rsidP="0014205A">
      <w:pPr>
        <w:pStyle w:val="BodyText1"/>
        <w:spacing w:after="0"/>
        <w:ind w:left="0"/>
        <w:jc w:val="left"/>
        <w:rPr>
          <w:rFonts w:ascii="Arial" w:hAnsi="Arial" w:cs="Arial"/>
          <w:iCs/>
          <w:color w:val="auto"/>
          <w:sz w:val="22"/>
          <w:szCs w:val="22"/>
          <w:lang w:val="en-GB"/>
        </w:rPr>
      </w:pPr>
      <w:permStart w:id="2074108006" w:edGrp="everyone"/>
      <w:r w:rsidRPr="00C23A44">
        <w:rPr>
          <w:rFonts w:ascii="Arial" w:hAnsi="Arial" w:cs="Arial"/>
          <w:iCs/>
          <w:color w:val="auto"/>
          <w:sz w:val="22"/>
          <w:szCs w:val="22"/>
        </w:rPr>
        <w:t xml:space="preserve">ZFA does not </w:t>
      </w:r>
      <w:r w:rsidRPr="00C23A44">
        <w:rPr>
          <w:rFonts w:ascii="Arial" w:hAnsi="Arial" w:cs="Arial"/>
          <w:iCs/>
          <w:color w:val="auto"/>
          <w:sz w:val="22"/>
          <w:szCs w:val="22"/>
          <w:lang w:val="en-GB"/>
        </w:rPr>
        <w:t>recommend the use of a graph as the tables seem clear to us in their current form. A graphic presentation would rather be confusing.</w:t>
      </w:r>
    </w:p>
    <w:p w:rsidR="0014205A" w:rsidRPr="00C23A44" w:rsidRDefault="0014205A" w:rsidP="0014205A">
      <w:pPr>
        <w:pStyle w:val="BodyText1"/>
        <w:spacing w:after="0"/>
        <w:ind w:left="0"/>
        <w:jc w:val="left"/>
        <w:rPr>
          <w:rFonts w:ascii="Arial" w:hAnsi="Arial" w:cs="Arial"/>
          <w:iCs/>
          <w:strike/>
          <w:color w:val="auto"/>
          <w:sz w:val="22"/>
          <w:szCs w:val="22"/>
          <w:lang w:val="en-GB"/>
        </w:rPr>
      </w:pPr>
    </w:p>
    <w:p w:rsidR="0014205A" w:rsidRPr="00C23A44" w:rsidRDefault="0014205A" w:rsidP="0014205A">
      <w:pPr>
        <w:pStyle w:val="BodyText1"/>
        <w:spacing w:after="0"/>
        <w:ind w:left="0"/>
        <w:jc w:val="left"/>
        <w:rPr>
          <w:rFonts w:ascii="Arial" w:hAnsi="Arial" w:cs="Arial"/>
          <w:iCs/>
          <w:color w:val="auto"/>
          <w:sz w:val="22"/>
          <w:szCs w:val="22"/>
          <w:lang w:val="en-GB"/>
        </w:rPr>
      </w:pPr>
      <w:r w:rsidRPr="00C23A44">
        <w:rPr>
          <w:rFonts w:ascii="Arial" w:hAnsi="Arial" w:cs="Arial"/>
          <w:iCs/>
          <w:color w:val="auto"/>
          <w:sz w:val="22"/>
          <w:szCs w:val="22"/>
          <w:lang w:val="en-GB"/>
        </w:rPr>
        <w:t xml:space="preserve">As described in question 21, we wish to express here again a concern relative to the quantity of information that would be given to the investor with such a breakout table. </w:t>
      </w:r>
    </w:p>
    <w:p w:rsidR="0014205A" w:rsidRPr="00C23A44" w:rsidRDefault="0014205A" w:rsidP="0014205A">
      <w:pPr>
        <w:pStyle w:val="BodyText1"/>
        <w:spacing w:after="0"/>
        <w:ind w:left="0"/>
        <w:jc w:val="left"/>
        <w:rPr>
          <w:rFonts w:ascii="Arial" w:hAnsi="Arial" w:cs="Arial"/>
          <w:iCs/>
          <w:color w:val="auto"/>
          <w:sz w:val="22"/>
          <w:szCs w:val="22"/>
          <w:lang w:val="en-GB"/>
        </w:rPr>
      </w:pPr>
    </w:p>
    <w:p w:rsidR="00491E49" w:rsidRPr="0014205A" w:rsidRDefault="0014205A" w:rsidP="0014205A">
      <w:pPr>
        <w:pStyle w:val="BodyText1"/>
        <w:spacing w:after="0"/>
        <w:ind w:left="0"/>
        <w:jc w:val="left"/>
        <w:rPr>
          <w:rFonts w:ascii="Arial" w:hAnsi="Arial" w:cs="Arial"/>
          <w:iCs/>
          <w:color w:val="auto"/>
          <w:sz w:val="22"/>
          <w:szCs w:val="22"/>
          <w:lang w:val="en-GB"/>
        </w:rPr>
      </w:pPr>
      <w:r w:rsidRPr="00C23A44">
        <w:rPr>
          <w:rFonts w:ascii="Arial" w:hAnsi="Arial" w:cs="Arial"/>
          <w:iCs/>
          <w:color w:val="auto"/>
          <w:sz w:val="22"/>
          <w:szCs w:val="22"/>
        </w:rPr>
        <w:t xml:space="preserve">Concerning table 2, ZFA is </w:t>
      </w:r>
      <w:r w:rsidRPr="00C23A44">
        <w:rPr>
          <w:rFonts w:ascii="Arial" w:hAnsi="Arial" w:cs="Arial"/>
          <w:iCs/>
          <w:color w:val="auto"/>
          <w:sz w:val="22"/>
          <w:szCs w:val="22"/>
          <w:u w:val="single"/>
        </w:rPr>
        <w:t xml:space="preserve">not </w:t>
      </w:r>
      <w:r w:rsidRPr="00C23A44">
        <w:rPr>
          <w:rFonts w:ascii="Arial" w:hAnsi="Arial" w:cs="Arial"/>
          <w:iCs/>
          <w:color w:val="auto"/>
          <w:sz w:val="22"/>
          <w:szCs w:val="22"/>
        </w:rPr>
        <w:t xml:space="preserve">convinced it is necessary. However, should it be maintained, we believe it should specify that the breakdown “One-off Costs”, “Exit Costs”, Recurring Costs, Incidental Costs, relates to costs on an </w:t>
      </w:r>
      <w:r w:rsidRPr="00C23A44">
        <w:rPr>
          <w:rFonts w:ascii="Arial" w:hAnsi="Arial" w:cs="Arial"/>
          <w:bCs/>
          <w:iCs/>
          <w:color w:val="auto"/>
          <w:sz w:val="22"/>
          <w:szCs w:val="22"/>
        </w:rPr>
        <w:t>annualized basis</w:t>
      </w:r>
      <w:r w:rsidRPr="00C23A44">
        <w:rPr>
          <w:rFonts w:ascii="Arial" w:hAnsi="Arial" w:cs="Arial"/>
          <w:iCs/>
          <w:color w:val="auto"/>
          <w:sz w:val="22"/>
          <w:szCs w:val="22"/>
        </w:rPr>
        <w:t>.</w:t>
      </w:r>
    </w:p>
    <w:permEnd w:id="2074108006"/>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14205A" w:rsidRPr="00C23A44" w:rsidRDefault="0014205A" w:rsidP="0014205A">
      <w:pPr>
        <w:pStyle w:val="BodyText1"/>
        <w:spacing w:after="0"/>
        <w:ind w:left="0"/>
        <w:jc w:val="left"/>
        <w:rPr>
          <w:rFonts w:ascii="Arial" w:hAnsi="Arial" w:cs="Arial"/>
          <w:iCs/>
          <w:color w:val="auto"/>
          <w:sz w:val="22"/>
          <w:szCs w:val="22"/>
          <w:lang w:val="en-GB"/>
        </w:rPr>
      </w:pPr>
      <w:permStart w:id="112788269" w:edGrp="everyone"/>
      <w:r w:rsidRPr="00C23A44">
        <w:rPr>
          <w:rFonts w:ascii="Arial" w:hAnsi="Arial" w:cs="Arial"/>
          <w:iCs/>
          <w:color w:val="auto"/>
          <w:sz w:val="22"/>
          <w:szCs w:val="22"/>
          <w:lang w:val="en-GB"/>
        </w:rPr>
        <w:t>The KID is already a complex document, and including further information will add further co</w:t>
      </w:r>
      <w:r w:rsidRPr="00C23A44">
        <w:rPr>
          <w:rFonts w:ascii="Arial" w:hAnsi="Arial" w:cs="Arial"/>
          <w:iCs/>
          <w:color w:val="auto"/>
          <w:sz w:val="22"/>
          <w:szCs w:val="22"/>
          <w:lang w:val="en-GB"/>
        </w:rPr>
        <w:t>m</w:t>
      </w:r>
      <w:r w:rsidRPr="00C23A44">
        <w:rPr>
          <w:rFonts w:ascii="Arial" w:hAnsi="Arial" w:cs="Arial"/>
          <w:iCs/>
          <w:color w:val="auto"/>
          <w:sz w:val="22"/>
          <w:szCs w:val="22"/>
          <w:lang w:val="en-GB"/>
        </w:rPr>
        <w:t xml:space="preserve">plexity. This is likely to be detrimental to the overall impact, no matter how useful the individual piece of information may be. </w:t>
      </w:r>
    </w:p>
    <w:p w:rsidR="0014205A" w:rsidRPr="00C23A44" w:rsidRDefault="0014205A" w:rsidP="0014205A">
      <w:pPr>
        <w:pStyle w:val="BodyText1"/>
        <w:spacing w:after="0"/>
        <w:ind w:left="0"/>
        <w:jc w:val="left"/>
        <w:rPr>
          <w:rFonts w:ascii="Arial" w:hAnsi="Arial" w:cs="Arial"/>
          <w:iCs/>
          <w:color w:val="auto"/>
          <w:sz w:val="22"/>
          <w:szCs w:val="22"/>
          <w:lang w:val="en-GB"/>
        </w:rPr>
      </w:pPr>
    </w:p>
    <w:p w:rsidR="0014205A" w:rsidRPr="00C23A44" w:rsidRDefault="0014205A" w:rsidP="0014205A">
      <w:pPr>
        <w:pStyle w:val="BodyText1"/>
        <w:spacing w:after="0"/>
        <w:ind w:left="0"/>
        <w:jc w:val="left"/>
        <w:rPr>
          <w:rFonts w:ascii="Arial" w:hAnsi="Arial" w:cs="Arial"/>
          <w:iCs/>
          <w:color w:val="auto"/>
          <w:sz w:val="22"/>
          <w:szCs w:val="22"/>
          <w:lang w:val="en-GB"/>
        </w:rPr>
      </w:pPr>
      <w:r w:rsidRPr="00C23A44">
        <w:rPr>
          <w:rFonts w:ascii="Arial" w:hAnsi="Arial" w:cs="Arial"/>
          <w:iCs/>
          <w:color w:val="auto"/>
          <w:sz w:val="22"/>
          <w:szCs w:val="22"/>
          <w:lang w:val="en-GB"/>
        </w:rPr>
        <w:t xml:space="preserve">Moreover, there is also the risk that by highlighting the "moderate" scenario, investors may be induced to think that this represents a promise of this specific return. </w:t>
      </w:r>
    </w:p>
    <w:p w:rsidR="0014205A" w:rsidRPr="00C23A44" w:rsidRDefault="0014205A" w:rsidP="0014205A">
      <w:pPr>
        <w:pStyle w:val="BodyText1"/>
        <w:spacing w:after="0"/>
        <w:ind w:left="0"/>
        <w:jc w:val="left"/>
        <w:rPr>
          <w:rFonts w:ascii="Arial" w:hAnsi="Arial" w:cs="Arial"/>
          <w:iCs/>
          <w:color w:val="auto"/>
          <w:sz w:val="22"/>
          <w:szCs w:val="22"/>
          <w:lang w:val="en-GB"/>
        </w:rPr>
      </w:pPr>
    </w:p>
    <w:p w:rsidR="00491E49" w:rsidRPr="0014205A" w:rsidRDefault="0014205A" w:rsidP="0014205A">
      <w:pPr>
        <w:pStyle w:val="BodyText1"/>
        <w:spacing w:after="0"/>
        <w:ind w:left="0"/>
        <w:jc w:val="left"/>
        <w:rPr>
          <w:rFonts w:ascii="Arial" w:hAnsi="Arial" w:cs="Arial"/>
          <w:iCs/>
          <w:color w:val="auto"/>
          <w:sz w:val="22"/>
          <w:szCs w:val="22"/>
          <w:lang w:val="en-GB"/>
        </w:rPr>
      </w:pPr>
      <w:r w:rsidRPr="00C23A44">
        <w:rPr>
          <w:rFonts w:ascii="Arial" w:hAnsi="Arial" w:cs="Arial"/>
          <w:iCs/>
          <w:color w:val="auto"/>
          <w:sz w:val="22"/>
          <w:szCs w:val="22"/>
          <w:lang w:val="en-GB"/>
        </w:rPr>
        <w:t>This would be a highly undesirable outcome for both investors and regulators. No outcome should be flagged by the document as the outcome which an investor should rely on unless that return is formally committed to by the PRIIP manufacturer.</w:t>
      </w:r>
    </w:p>
    <w:permEnd w:id="112788269"/>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Pr="0014205A" w:rsidRDefault="0014205A" w:rsidP="0014205A">
      <w:pPr>
        <w:pStyle w:val="BodyText1"/>
        <w:spacing w:after="0"/>
        <w:ind w:left="0"/>
        <w:jc w:val="left"/>
        <w:rPr>
          <w:rFonts w:ascii="Arial" w:hAnsi="Arial" w:cs="Arial"/>
          <w:iCs/>
          <w:color w:val="auto"/>
          <w:sz w:val="22"/>
          <w:szCs w:val="22"/>
          <w:lang w:val="en-GB"/>
        </w:rPr>
      </w:pPr>
      <w:permStart w:id="1837370391" w:edGrp="everyone"/>
      <w:r>
        <w:rPr>
          <w:rFonts w:ascii="Arial" w:hAnsi="Arial" w:cs="Arial"/>
          <w:iCs/>
          <w:color w:val="auto"/>
          <w:sz w:val="22"/>
          <w:szCs w:val="22"/>
        </w:rPr>
        <w:t>ZF</w:t>
      </w:r>
      <w:r w:rsidRPr="00C23A44">
        <w:rPr>
          <w:rFonts w:ascii="Arial" w:hAnsi="Arial" w:cs="Arial"/>
          <w:iCs/>
          <w:color w:val="auto"/>
          <w:sz w:val="22"/>
          <w:szCs w:val="22"/>
          <w:lang w:val="en-GB"/>
        </w:rPr>
        <w:t>A would support, given the length restriction that will apply for KIDs, the presentation of the prescribed cost items in the KID be restricted to only one table (instead of two, as proposed in the Consultation Paper). As explained in Q23, we do not see the benefit of an additional graphic breakdown.</w:t>
      </w:r>
    </w:p>
    <w:permEnd w:id="1837370391"/>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14205A" w:rsidRPr="00C23A44" w:rsidRDefault="0014205A" w:rsidP="0014205A">
      <w:pPr>
        <w:pStyle w:val="BodyText1"/>
        <w:spacing w:after="0"/>
        <w:ind w:left="0"/>
        <w:jc w:val="left"/>
        <w:rPr>
          <w:rFonts w:ascii="Arial" w:hAnsi="Arial" w:cs="Arial"/>
          <w:iCs/>
          <w:color w:val="auto"/>
          <w:sz w:val="22"/>
          <w:szCs w:val="22"/>
          <w:lang w:val="en-GB"/>
        </w:rPr>
      </w:pPr>
      <w:permStart w:id="268386695" w:edGrp="everyone"/>
      <w:r w:rsidRPr="00C23A44">
        <w:rPr>
          <w:rFonts w:ascii="Arial" w:hAnsi="Arial" w:cs="Arial"/>
          <w:iCs/>
          <w:color w:val="auto"/>
          <w:sz w:val="22"/>
          <w:szCs w:val="22"/>
          <w:lang w:val="en-GB"/>
        </w:rPr>
        <w:lastRenderedPageBreak/>
        <w:t xml:space="preserve">To the understanding of </w:t>
      </w:r>
      <w:r>
        <w:rPr>
          <w:rFonts w:ascii="Arial" w:hAnsi="Arial" w:cs="Arial"/>
          <w:iCs/>
          <w:color w:val="auto"/>
          <w:sz w:val="22"/>
          <w:szCs w:val="22"/>
          <w:lang w:val="en-GB"/>
        </w:rPr>
        <w:t>ZF</w:t>
      </w:r>
      <w:r w:rsidRPr="00C23A44">
        <w:rPr>
          <w:rFonts w:ascii="Arial" w:hAnsi="Arial" w:cs="Arial"/>
          <w:iCs/>
          <w:color w:val="auto"/>
          <w:sz w:val="22"/>
          <w:szCs w:val="22"/>
          <w:lang w:val="en-GB"/>
        </w:rPr>
        <w:t>A the RIY would be computed as an annualized Total Cost, defined broadly as The Total cost divided by the tenor of the product. This would ensure numbers in the cost table add up, and are comparable to UCITs funds.</w:t>
      </w:r>
      <w:r w:rsidRPr="00C23A44">
        <w:rPr>
          <w:rFonts w:ascii="Arial" w:hAnsi="Arial" w:cs="Arial"/>
          <w:iCs/>
          <w:color w:val="auto"/>
          <w:sz w:val="22"/>
          <w:szCs w:val="22"/>
          <w:lang w:val="en-GB"/>
        </w:rPr>
        <w:br/>
      </w:r>
    </w:p>
    <w:p w:rsidR="0014205A" w:rsidRDefault="0014205A" w:rsidP="0014205A">
      <w:pPr>
        <w:pStyle w:val="BodyText1"/>
        <w:spacing w:after="0"/>
        <w:ind w:left="0"/>
        <w:jc w:val="left"/>
        <w:rPr>
          <w:rFonts w:ascii="Arial" w:hAnsi="Arial" w:cs="Arial"/>
          <w:iCs/>
          <w:color w:val="auto"/>
          <w:sz w:val="22"/>
          <w:szCs w:val="22"/>
          <w:lang w:val="en-GB"/>
        </w:rPr>
      </w:pPr>
      <w:r>
        <w:rPr>
          <w:rFonts w:ascii="Arial" w:hAnsi="Arial" w:cs="Arial"/>
          <w:iCs/>
          <w:color w:val="auto"/>
          <w:sz w:val="22"/>
          <w:szCs w:val="22"/>
          <w:lang w:val="en-GB"/>
        </w:rPr>
        <w:t>ZF</w:t>
      </w:r>
      <w:r w:rsidRPr="00C23A44">
        <w:rPr>
          <w:rFonts w:ascii="Arial" w:hAnsi="Arial" w:cs="Arial"/>
          <w:iCs/>
          <w:color w:val="auto"/>
          <w:sz w:val="22"/>
          <w:szCs w:val="22"/>
          <w:lang w:val="en-GB"/>
        </w:rPr>
        <w:t>A believes that the calculation of the RIY (see paragraphs 66 and 68 of the consultation p</w:t>
      </w:r>
      <w:r w:rsidRPr="00C23A44">
        <w:rPr>
          <w:rFonts w:ascii="Arial" w:hAnsi="Arial" w:cs="Arial"/>
          <w:iCs/>
          <w:color w:val="auto"/>
          <w:sz w:val="22"/>
          <w:szCs w:val="22"/>
          <w:lang w:val="en-GB"/>
        </w:rPr>
        <w:t>a</w:t>
      </w:r>
      <w:r w:rsidRPr="00C23A44">
        <w:rPr>
          <w:rFonts w:ascii="Arial" w:hAnsi="Arial" w:cs="Arial"/>
          <w:iCs/>
          <w:color w:val="auto"/>
          <w:sz w:val="22"/>
          <w:szCs w:val="22"/>
          <w:lang w:val="en-GB"/>
        </w:rPr>
        <w:t>per) should be rephrased and that the ESA should provide practical examples for structured products.</w:t>
      </w:r>
    </w:p>
    <w:permEnd w:id="268386695"/>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14205A" w:rsidRDefault="0014205A" w:rsidP="0014205A">
      <w:pPr>
        <w:pStyle w:val="BodyText1"/>
        <w:spacing w:after="0"/>
        <w:ind w:left="0"/>
        <w:jc w:val="left"/>
        <w:rPr>
          <w:rFonts w:ascii="Arial" w:hAnsi="Arial" w:cs="Arial"/>
          <w:iCs/>
          <w:color w:val="auto"/>
          <w:sz w:val="22"/>
          <w:szCs w:val="22"/>
          <w:lang w:val="en-GB"/>
        </w:rPr>
      </w:pPr>
      <w:permStart w:id="888490373" w:edGrp="everyone"/>
      <w:r w:rsidRPr="00C23A44">
        <w:rPr>
          <w:rFonts w:ascii="Arial" w:hAnsi="Arial" w:cs="Arial"/>
          <w:iCs/>
          <w:color w:val="auto"/>
          <w:sz w:val="22"/>
          <w:szCs w:val="22"/>
          <w:lang w:val="en-GB"/>
        </w:rPr>
        <w:t>If the ESAs wish to keep the two</w:t>
      </w:r>
      <w:r>
        <w:rPr>
          <w:rFonts w:ascii="Arial" w:hAnsi="Arial" w:cs="Arial"/>
          <w:iCs/>
          <w:color w:val="auto"/>
          <w:sz w:val="22"/>
          <w:szCs w:val="22"/>
          <w:lang w:val="en-GB"/>
        </w:rPr>
        <w:t xml:space="preserve"> tables</w:t>
      </w:r>
      <w:r w:rsidRPr="00C23A44">
        <w:rPr>
          <w:rFonts w:ascii="Arial" w:hAnsi="Arial" w:cs="Arial"/>
          <w:iCs/>
          <w:color w:val="auto"/>
          <w:sz w:val="22"/>
          <w:szCs w:val="22"/>
          <w:lang w:val="en-GB"/>
        </w:rPr>
        <w:t xml:space="preserve">, </w:t>
      </w:r>
      <w:r>
        <w:rPr>
          <w:rFonts w:ascii="Arial" w:hAnsi="Arial" w:cs="Arial"/>
          <w:iCs/>
          <w:color w:val="auto"/>
          <w:sz w:val="22"/>
          <w:szCs w:val="22"/>
          <w:lang w:val="en-GB"/>
        </w:rPr>
        <w:t>ZF</w:t>
      </w:r>
      <w:r w:rsidRPr="00C23A44">
        <w:rPr>
          <w:rFonts w:ascii="Arial" w:hAnsi="Arial" w:cs="Arial"/>
          <w:iCs/>
          <w:color w:val="auto"/>
          <w:sz w:val="22"/>
          <w:szCs w:val="22"/>
          <w:lang w:val="en-GB"/>
        </w:rPr>
        <w:t>A would favour a shorter presentation showing only the total cost, also given the length restriction to 3 pages.</w:t>
      </w:r>
    </w:p>
    <w:p w:rsidR="0014205A" w:rsidRDefault="0014205A" w:rsidP="0014205A">
      <w:pPr>
        <w:pStyle w:val="BodyText1"/>
        <w:spacing w:after="0"/>
        <w:ind w:left="0"/>
        <w:jc w:val="left"/>
        <w:rPr>
          <w:rFonts w:ascii="Arial" w:hAnsi="Arial" w:cs="Arial"/>
          <w:iCs/>
          <w:color w:val="auto"/>
          <w:sz w:val="22"/>
          <w:szCs w:val="22"/>
          <w:lang w:val="en-GB"/>
        </w:rPr>
      </w:pPr>
    </w:p>
    <w:p w:rsidR="00847BB0" w:rsidRPr="0014205A" w:rsidRDefault="0014205A" w:rsidP="0014205A">
      <w:pPr>
        <w:pStyle w:val="BodyText1"/>
        <w:spacing w:after="0"/>
        <w:ind w:left="0"/>
        <w:jc w:val="left"/>
        <w:rPr>
          <w:rFonts w:ascii="Arial" w:hAnsi="Arial" w:cs="Arial"/>
          <w:iCs/>
          <w:color w:val="auto"/>
          <w:sz w:val="22"/>
          <w:szCs w:val="22"/>
          <w:lang w:val="en-GB"/>
        </w:rPr>
      </w:pPr>
      <w:r w:rsidRPr="00C23A44">
        <w:rPr>
          <w:rFonts w:ascii="Arial" w:hAnsi="Arial" w:cs="Arial"/>
          <w:iCs/>
          <w:color w:val="auto"/>
          <w:sz w:val="22"/>
          <w:szCs w:val="22"/>
          <w:lang w:val="en-GB"/>
        </w:rPr>
        <w:t xml:space="preserve">Should the ESAs agree to have 2 tables merged into 1, which would from a </w:t>
      </w:r>
      <w:r>
        <w:rPr>
          <w:rFonts w:ascii="Arial" w:hAnsi="Arial" w:cs="Arial"/>
          <w:iCs/>
          <w:color w:val="auto"/>
          <w:sz w:val="22"/>
          <w:szCs w:val="22"/>
          <w:lang w:val="en-GB"/>
        </w:rPr>
        <w:t>ZF</w:t>
      </w:r>
      <w:r w:rsidRPr="00C23A44">
        <w:rPr>
          <w:rFonts w:ascii="Arial" w:hAnsi="Arial" w:cs="Arial"/>
          <w:iCs/>
          <w:color w:val="auto"/>
          <w:sz w:val="22"/>
          <w:szCs w:val="22"/>
          <w:lang w:val="en-GB"/>
        </w:rPr>
        <w:t>A point of view</w:t>
      </w:r>
      <w:r>
        <w:rPr>
          <w:rFonts w:ascii="Arial" w:hAnsi="Arial" w:cs="Arial"/>
          <w:iCs/>
          <w:color w:val="auto"/>
          <w:sz w:val="22"/>
          <w:szCs w:val="22"/>
          <w:lang w:val="en-GB"/>
        </w:rPr>
        <w:t xml:space="preserve"> be</w:t>
      </w:r>
      <w:r w:rsidRPr="00C23A44">
        <w:rPr>
          <w:rFonts w:ascii="Arial" w:hAnsi="Arial" w:cs="Arial"/>
          <w:iCs/>
          <w:color w:val="auto"/>
          <w:sz w:val="22"/>
          <w:szCs w:val="22"/>
          <w:lang w:val="en-GB"/>
        </w:rPr>
        <w:t xml:space="preserve"> the preferred solution, we believe the breakdown of the first table is appropriate.</w:t>
      </w:r>
    </w:p>
    <w:permEnd w:id="888490373"/>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Pr="0014205A" w:rsidRDefault="0014205A" w:rsidP="0014205A">
      <w:pPr>
        <w:pStyle w:val="BodyText1"/>
        <w:spacing w:after="0"/>
        <w:ind w:left="0"/>
        <w:jc w:val="left"/>
        <w:rPr>
          <w:rFonts w:ascii="Arial" w:hAnsi="Arial" w:cs="Arial"/>
          <w:iCs/>
          <w:color w:val="000000" w:themeColor="text1"/>
          <w:sz w:val="22"/>
          <w:szCs w:val="22"/>
          <w:lang w:val="en-GB"/>
        </w:rPr>
      </w:pPr>
      <w:permStart w:id="1018056890" w:edGrp="everyone"/>
      <w:r w:rsidRPr="00C23A44">
        <w:rPr>
          <w:rFonts w:ascii="Arial" w:hAnsi="Arial" w:cs="Arial"/>
          <w:iCs/>
          <w:color w:val="000000" w:themeColor="text1"/>
          <w:sz w:val="22"/>
          <w:szCs w:val="22"/>
          <w:lang w:val="en-GB"/>
        </w:rPr>
        <w:t>No. For consistency and clarity reasons, all types of costs in table 2 should be expressed on the same basis, i.e. an annualized percentage homogeneous to an RIY. This would ensure that all figures/cost items of Table 2 are adding up to the RIY calculated in the first table.</w:t>
      </w:r>
    </w:p>
    <w:permEnd w:id="1018056890"/>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14205A" w:rsidRDefault="0014205A" w:rsidP="0014205A">
      <w:pPr>
        <w:pStyle w:val="BodyText1"/>
        <w:spacing w:after="0"/>
        <w:ind w:left="0"/>
        <w:jc w:val="left"/>
        <w:rPr>
          <w:rFonts w:ascii="Arial" w:hAnsi="Arial" w:cs="Arial"/>
          <w:iCs/>
          <w:color w:val="auto"/>
          <w:sz w:val="22"/>
          <w:szCs w:val="22"/>
          <w:lang w:val="en-GB"/>
        </w:rPr>
      </w:pPr>
      <w:permStart w:id="613948514" w:edGrp="everyone"/>
      <w:r w:rsidRPr="00C23A44">
        <w:rPr>
          <w:rFonts w:ascii="Arial" w:hAnsi="Arial" w:cs="Arial"/>
          <w:iCs/>
          <w:color w:val="auto"/>
          <w:sz w:val="22"/>
          <w:szCs w:val="22"/>
          <w:lang w:val="en-GB"/>
        </w:rPr>
        <w:t xml:space="preserve">While the issues related to risks, costs and performance scenarios have been largely dealt with under this consultation </w:t>
      </w:r>
      <w:r>
        <w:rPr>
          <w:rFonts w:ascii="Arial" w:hAnsi="Arial" w:cs="Arial"/>
          <w:iCs/>
          <w:color w:val="auto"/>
          <w:sz w:val="22"/>
          <w:szCs w:val="22"/>
          <w:lang w:val="en-GB"/>
        </w:rPr>
        <w:t>ZFA</w:t>
      </w:r>
      <w:r w:rsidRPr="00C23A44">
        <w:rPr>
          <w:rFonts w:ascii="Arial" w:hAnsi="Arial" w:cs="Arial"/>
          <w:iCs/>
          <w:color w:val="auto"/>
          <w:sz w:val="22"/>
          <w:szCs w:val="22"/>
          <w:lang w:val="en-GB"/>
        </w:rPr>
        <w:t xml:space="preserve"> is of the view that there are numerous items that urgently deserve attention and consideration in the implementation work-flow of ESAs and the EU Commission. </w:t>
      </w:r>
    </w:p>
    <w:p w:rsidR="0014205A" w:rsidRPr="00AA4227" w:rsidRDefault="0014205A" w:rsidP="0014205A">
      <w:pPr>
        <w:pStyle w:val="BodyText1"/>
        <w:spacing w:after="0"/>
        <w:ind w:left="0"/>
        <w:jc w:val="left"/>
        <w:rPr>
          <w:rFonts w:ascii="Arial" w:hAnsi="Arial" w:cs="Arial"/>
          <w:iCs/>
          <w:color w:val="auto"/>
          <w:sz w:val="22"/>
          <w:szCs w:val="22"/>
          <w:lang w:val="en-GB"/>
        </w:rPr>
      </w:pPr>
    </w:p>
    <w:p w:rsidR="0014205A" w:rsidRDefault="0014205A" w:rsidP="0014205A">
      <w:pPr>
        <w:pStyle w:val="BodyText1"/>
        <w:spacing w:after="0"/>
        <w:ind w:left="0"/>
        <w:jc w:val="left"/>
        <w:rPr>
          <w:rFonts w:ascii="Arial" w:hAnsi="Arial" w:cs="Arial"/>
          <w:iCs/>
          <w:color w:val="auto"/>
          <w:sz w:val="22"/>
          <w:szCs w:val="22"/>
          <w:lang w:val="en-GB"/>
        </w:rPr>
      </w:pPr>
      <w:r w:rsidRPr="00AA4227">
        <w:rPr>
          <w:rFonts w:ascii="Arial" w:hAnsi="Arial" w:cs="Arial"/>
          <w:iCs/>
          <w:color w:val="auto"/>
          <w:sz w:val="22"/>
          <w:szCs w:val="22"/>
          <w:lang w:val="en-GB"/>
        </w:rPr>
        <w:t xml:space="preserve">Insofar as these items are linked to problems rooted in the methodology used for establishing the approach set out in the Consultation Paper </w:t>
      </w:r>
      <w:r>
        <w:rPr>
          <w:rFonts w:ascii="Arial" w:hAnsi="Arial" w:cs="Arial"/>
          <w:iCs/>
          <w:color w:val="auto"/>
          <w:sz w:val="22"/>
          <w:szCs w:val="22"/>
          <w:lang w:val="en-GB"/>
        </w:rPr>
        <w:t xml:space="preserve">or to the alignment with MiFID2, </w:t>
      </w:r>
      <w:r w:rsidRPr="00AA4227">
        <w:rPr>
          <w:rFonts w:ascii="Arial" w:hAnsi="Arial" w:cs="Arial"/>
          <w:iCs/>
          <w:color w:val="auto"/>
          <w:sz w:val="22"/>
          <w:szCs w:val="22"/>
          <w:lang w:val="en-GB"/>
        </w:rPr>
        <w:t>reference on our criticism is made to the EUSIPA letter transferred to the EU institutions in advance of the ESA hearing on 09 November in Frankfurt, which can be found under the following link:</w:t>
      </w:r>
    </w:p>
    <w:p w:rsidR="0014205A" w:rsidRPr="00AA4227" w:rsidRDefault="0014205A" w:rsidP="0014205A">
      <w:pPr>
        <w:pStyle w:val="BodyText1"/>
        <w:spacing w:after="0"/>
        <w:ind w:left="0"/>
        <w:jc w:val="left"/>
        <w:rPr>
          <w:rFonts w:ascii="Arial" w:hAnsi="Arial" w:cs="Arial"/>
          <w:iCs/>
          <w:color w:val="auto"/>
          <w:sz w:val="22"/>
          <w:szCs w:val="22"/>
          <w:lang w:val="en-GB"/>
        </w:rPr>
      </w:pPr>
    </w:p>
    <w:p w:rsidR="0014205A" w:rsidRDefault="0014205A" w:rsidP="0014205A">
      <w:pPr>
        <w:pStyle w:val="BodyText1"/>
        <w:spacing w:after="0"/>
        <w:ind w:left="0"/>
        <w:jc w:val="left"/>
        <w:rPr>
          <w:rStyle w:val="Hyperlink"/>
          <w:rFonts w:ascii="Arial" w:hAnsi="Arial" w:cs="Arial"/>
          <w:iCs/>
          <w:color w:val="auto"/>
          <w:sz w:val="22"/>
          <w:szCs w:val="22"/>
          <w:lang w:val="en-GB"/>
        </w:rPr>
      </w:pPr>
      <w:hyperlink r:id="rId18" w:history="1">
        <w:r w:rsidRPr="00AA4227">
          <w:rPr>
            <w:rStyle w:val="Hyperlink"/>
            <w:rFonts w:ascii="Arial" w:hAnsi="Arial" w:cs="Arial"/>
            <w:iCs/>
            <w:color w:val="auto"/>
            <w:sz w:val="22"/>
            <w:szCs w:val="22"/>
            <w:lang w:val="en-GB"/>
          </w:rPr>
          <w:t>http://www.eusipa.org/images/Positions/EUSIPA_advance_comments_PRIIPs_hearing_09DEC2015_attachment_final.pdf</w:t>
        </w:r>
      </w:hyperlink>
    </w:p>
    <w:p w:rsidR="0014205A" w:rsidRPr="00AA4227" w:rsidRDefault="0014205A" w:rsidP="0014205A">
      <w:pPr>
        <w:pStyle w:val="BodyText1"/>
        <w:spacing w:after="0"/>
        <w:ind w:left="0"/>
        <w:jc w:val="left"/>
        <w:rPr>
          <w:rFonts w:ascii="Arial" w:hAnsi="Arial" w:cs="Arial"/>
          <w:iCs/>
          <w:color w:val="auto"/>
          <w:sz w:val="22"/>
          <w:szCs w:val="22"/>
          <w:lang w:val="en-GB"/>
        </w:rPr>
      </w:pPr>
    </w:p>
    <w:p w:rsidR="0014205A" w:rsidRDefault="0014205A" w:rsidP="0014205A">
      <w:pPr>
        <w:pStyle w:val="BodyText1"/>
        <w:spacing w:after="0"/>
        <w:ind w:left="0"/>
        <w:jc w:val="left"/>
        <w:rPr>
          <w:rFonts w:ascii="Arial" w:hAnsi="Arial" w:cs="Arial"/>
          <w:iCs/>
          <w:color w:val="auto"/>
          <w:sz w:val="22"/>
          <w:szCs w:val="22"/>
          <w:lang w:val="en-GB"/>
        </w:rPr>
      </w:pPr>
      <w:r w:rsidRPr="00AA4227">
        <w:rPr>
          <w:rFonts w:ascii="Arial" w:hAnsi="Arial" w:cs="Arial"/>
          <w:iCs/>
          <w:color w:val="auto"/>
          <w:sz w:val="22"/>
          <w:szCs w:val="22"/>
          <w:lang w:val="en-GB"/>
        </w:rPr>
        <w:t xml:space="preserve">Insofar as our concerns are linked to issues not dealt with in the Consultation Paper we wish to draw attention to an upcoming short summary of such items. These </w:t>
      </w:r>
      <w:proofErr w:type="gramStart"/>
      <w:r>
        <w:rPr>
          <w:rFonts w:ascii="Arial" w:hAnsi="Arial" w:cs="Arial"/>
          <w:iCs/>
          <w:color w:val="auto"/>
          <w:sz w:val="22"/>
          <w:szCs w:val="22"/>
          <w:lang w:val="en-GB"/>
        </w:rPr>
        <w:t>include,</w:t>
      </w:r>
      <w:proofErr w:type="gramEnd"/>
      <w:r>
        <w:rPr>
          <w:rFonts w:ascii="Arial" w:hAnsi="Arial" w:cs="Arial"/>
          <w:iCs/>
          <w:color w:val="auto"/>
          <w:sz w:val="22"/>
          <w:szCs w:val="22"/>
          <w:lang w:val="en-GB"/>
        </w:rPr>
        <w:t xml:space="preserve"> </w:t>
      </w:r>
      <w:proofErr w:type="spellStart"/>
      <w:r>
        <w:rPr>
          <w:rFonts w:ascii="Arial" w:hAnsi="Arial" w:cs="Arial"/>
          <w:iCs/>
          <w:color w:val="auto"/>
          <w:sz w:val="22"/>
          <w:szCs w:val="22"/>
          <w:lang w:val="en-GB"/>
        </w:rPr>
        <w:t>i.a</w:t>
      </w:r>
      <w:proofErr w:type="spellEnd"/>
      <w:r>
        <w:rPr>
          <w:rFonts w:ascii="Arial" w:hAnsi="Arial" w:cs="Arial"/>
          <w:iCs/>
          <w:color w:val="auto"/>
          <w:sz w:val="22"/>
          <w:szCs w:val="22"/>
          <w:lang w:val="en-GB"/>
        </w:rPr>
        <w:t>.</w:t>
      </w:r>
      <w:r w:rsidRPr="00AA4227">
        <w:rPr>
          <w:rFonts w:ascii="Arial" w:hAnsi="Arial" w:cs="Arial"/>
          <w:iCs/>
          <w:color w:val="auto"/>
          <w:sz w:val="22"/>
          <w:szCs w:val="22"/>
          <w:lang w:val="en-GB"/>
        </w:rPr>
        <w:t>:</w:t>
      </w:r>
    </w:p>
    <w:p w:rsidR="0014205A" w:rsidRPr="00AA4227" w:rsidRDefault="0014205A" w:rsidP="0014205A">
      <w:pPr>
        <w:pStyle w:val="BodyText1"/>
        <w:spacing w:after="0"/>
        <w:ind w:left="0"/>
        <w:jc w:val="left"/>
        <w:rPr>
          <w:rFonts w:ascii="Arial" w:hAnsi="Arial" w:cs="Arial"/>
          <w:iCs/>
          <w:color w:val="auto"/>
          <w:sz w:val="22"/>
          <w:szCs w:val="22"/>
          <w:lang w:val="en-GB"/>
        </w:rPr>
      </w:pPr>
    </w:p>
    <w:p w:rsidR="0014205A" w:rsidRPr="00AA4227" w:rsidRDefault="0014205A" w:rsidP="0014205A">
      <w:pPr>
        <w:pStyle w:val="BodyText1"/>
        <w:numPr>
          <w:ilvl w:val="0"/>
          <w:numId w:val="40"/>
        </w:numPr>
        <w:spacing w:after="0" w:line="276" w:lineRule="auto"/>
        <w:ind w:left="426"/>
        <w:jc w:val="left"/>
        <w:rPr>
          <w:rFonts w:ascii="Arial" w:hAnsi="Arial" w:cs="Arial"/>
          <w:color w:val="auto"/>
          <w:sz w:val="22"/>
          <w:szCs w:val="22"/>
          <w:lang w:val="en-GB"/>
        </w:rPr>
      </w:pPr>
      <w:r w:rsidRPr="00AA4227">
        <w:rPr>
          <w:rFonts w:ascii="Arial" w:hAnsi="Arial" w:cs="Arial"/>
          <w:color w:val="auto"/>
          <w:sz w:val="22"/>
          <w:szCs w:val="22"/>
          <w:lang w:val="en-GB"/>
        </w:rPr>
        <w:t xml:space="preserve">Clarity on the PRIIPs product scope </w:t>
      </w:r>
    </w:p>
    <w:p w:rsidR="0014205A" w:rsidRPr="00AA4227" w:rsidRDefault="0014205A" w:rsidP="0014205A">
      <w:pPr>
        <w:pStyle w:val="BodyText1"/>
        <w:numPr>
          <w:ilvl w:val="0"/>
          <w:numId w:val="40"/>
        </w:numPr>
        <w:spacing w:after="0" w:line="276" w:lineRule="auto"/>
        <w:ind w:left="426"/>
        <w:jc w:val="left"/>
        <w:rPr>
          <w:rFonts w:ascii="Arial" w:hAnsi="Arial" w:cs="Arial"/>
          <w:color w:val="auto"/>
          <w:sz w:val="22"/>
          <w:szCs w:val="22"/>
          <w:lang w:val="en-GB"/>
        </w:rPr>
      </w:pPr>
      <w:r w:rsidRPr="00AA4227">
        <w:rPr>
          <w:rFonts w:ascii="Arial" w:hAnsi="Arial" w:cs="Arial"/>
          <w:color w:val="auto"/>
          <w:sz w:val="22"/>
          <w:szCs w:val="22"/>
          <w:lang w:val="en-GB"/>
        </w:rPr>
        <w:t xml:space="preserve">Home/host country principle - use of KIDs in other than their original market </w:t>
      </w:r>
    </w:p>
    <w:p w:rsidR="0014205A" w:rsidRPr="006B4EDF" w:rsidRDefault="0014205A" w:rsidP="0014205A">
      <w:pPr>
        <w:pStyle w:val="BodyText1"/>
        <w:numPr>
          <w:ilvl w:val="0"/>
          <w:numId w:val="40"/>
        </w:numPr>
        <w:spacing w:after="0" w:line="276" w:lineRule="auto"/>
        <w:ind w:left="426"/>
        <w:jc w:val="left"/>
        <w:rPr>
          <w:rFonts w:ascii="Arial" w:hAnsi="Arial" w:cs="Arial"/>
          <w:color w:val="auto"/>
          <w:sz w:val="22"/>
          <w:szCs w:val="22"/>
          <w:lang w:val="en-GB"/>
        </w:rPr>
      </w:pPr>
      <w:r w:rsidRPr="00AA4227">
        <w:rPr>
          <w:rFonts w:ascii="Arial" w:hAnsi="Arial" w:cs="Arial"/>
          <w:color w:val="auto"/>
          <w:sz w:val="22"/>
          <w:szCs w:val="22"/>
          <w:lang w:val="en-GB"/>
        </w:rPr>
        <w:t>Guidance on content</w:t>
      </w:r>
      <w:r>
        <w:rPr>
          <w:rFonts w:ascii="Arial" w:hAnsi="Arial" w:cs="Arial"/>
          <w:color w:val="auto"/>
          <w:sz w:val="22"/>
          <w:szCs w:val="22"/>
          <w:lang w:val="en-GB"/>
        </w:rPr>
        <w:t xml:space="preserve">, </w:t>
      </w:r>
      <w:r w:rsidRPr="006B4EDF">
        <w:rPr>
          <w:rFonts w:ascii="Arial" w:hAnsi="Arial" w:cs="Arial"/>
          <w:color w:val="auto"/>
          <w:sz w:val="22"/>
          <w:szCs w:val="22"/>
          <w:lang w:val="en-GB"/>
        </w:rPr>
        <w:t>and</w:t>
      </w:r>
    </w:p>
    <w:p w:rsidR="0014205A" w:rsidRPr="00AA4227" w:rsidRDefault="0014205A" w:rsidP="0014205A">
      <w:pPr>
        <w:pStyle w:val="BodyText1"/>
        <w:numPr>
          <w:ilvl w:val="0"/>
          <w:numId w:val="40"/>
        </w:numPr>
        <w:spacing w:after="0" w:line="276" w:lineRule="auto"/>
        <w:ind w:left="426"/>
        <w:jc w:val="left"/>
        <w:rPr>
          <w:rFonts w:ascii="Arial" w:hAnsi="Arial" w:cs="Arial"/>
          <w:color w:val="auto"/>
          <w:sz w:val="22"/>
          <w:szCs w:val="22"/>
          <w:lang w:val="en-GB"/>
        </w:rPr>
      </w:pPr>
      <w:r w:rsidRPr="00AA4227">
        <w:rPr>
          <w:rFonts w:ascii="Arial" w:hAnsi="Arial" w:cs="Arial"/>
          <w:color w:val="auto"/>
          <w:sz w:val="22"/>
          <w:szCs w:val="22"/>
          <w:lang w:val="en-GB"/>
        </w:rPr>
        <w:t>Grandfathering.</w:t>
      </w:r>
    </w:p>
    <w:p w:rsidR="0014205A" w:rsidRPr="00AA4227" w:rsidRDefault="0014205A" w:rsidP="0014205A">
      <w:pPr>
        <w:pStyle w:val="BodyText1"/>
        <w:spacing w:after="0" w:line="276" w:lineRule="auto"/>
        <w:ind w:left="426"/>
        <w:jc w:val="left"/>
        <w:rPr>
          <w:rFonts w:ascii="Arial" w:hAnsi="Arial" w:cs="Arial"/>
          <w:color w:val="auto"/>
          <w:sz w:val="22"/>
          <w:szCs w:val="22"/>
          <w:lang w:val="en-GB"/>
        </w:rPr>
      </w:pPr>
    </w:p>
    <w:p w:rsidR="00491E49" w:rsidRPr="0014205A" w:rsidRDefault="0014205A" w:rsidP="0014205A">
      <w:pPr>
        <w:pStyle w:val="BodyText1"/>
        <w:spacing w:after="0"/>
        <w:ind w:left="0"/>
        <w:jc w:val="left"/>
        <w:rPr>
          <w:rFonts w:ascii="Arial" w:hAnsi="Arial" w:cs="Arial"/>
          <w:sz w:val="22"/>
          <w:szCs w:val="22"/>
          <w:lang w:val="en-GB"/>
        </w:rPr>
      </w:pPr>
      <w:r w:rsidRPr="00AA4227">
        <w:rPr>
          <w:rFonts w:ascii="Arial" w:hAnsi="Arial" w:cs="Arial"/>
          <w:color w:val="auto"/>
          <w:sz w:val="22"/>
          <w:szCs w:val="22"/>
          <w:lang w:val="en-GB"/>
        </w:rPr>
        <w:t xml:space="preserve">This letter will be sent to the institutions and published on the EUSIPA website on 02 </w:t>
      </w:r>
      <w:r w:rsidRPr="00AA4227">
        <w:rPr>
          <w:rFonts w:ascii="Arial" w:hAnsi="Arial" w:cs="Arial"/>
          <w:sz w:val="22"/>
          <w:szCs w:val="22"/>
          <w:lang w:val="en-GB"/>
        </w:rPr>
        <w:t>February 2016.</w:t>
      </w:r>
    </w:p>
    <w:permEnd w:id="613948514"/>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bookmarkStart w:id="3" w:name="_GoBack"/>
      <w:bookmarkEnd w:id="3"/>
    </w:p>
    <w:sectPr w:rsidR="00A2049D"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58" w:rsidRDefault="00A77258">
      <w:r>
        <w:separator/>
      </w:r>
    </w:p>
    <w:p w:rsidR="00A77258" w:rsidRDefault="00A77258"/>
  </w:endnote>
  <w:endnote w:type="continuationSeparator" w:id="0">
    <w:p w:rsidR="00A77258" w:rsidRDefault="00A77258">
      <w:r>
        <w:continuationSeparator/>
      </w:r>
    </w:p>
    <w:p w:rsidR="00A77258" w:rsidRDefault="00A77258"/>
  </w:endnote>
  <w:endnote w:type="continuationNotice" w:id="1">
    <w:p w:rsidR="00A77258" w:rsidRDefault="00A7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4205A">
            <w:rPr>
              <w:rFonts w:cs="Arial"/>
              <w:noProof/>
              <w:sz w:val="22"/>
              <w:szCs w:val="22"/>
            </w:rPr>
            <w:t>16</w:t>
          </w:r>
          <w:r w:rsidRPr="00616B9B">
            <w:rPr>
              <w:rFonts w:cs="Arial"/>
              <w:noProof/>
              <w:sz w:val="22"/>
              <w:szCs w:val="22"/>
            </w:rPr>
            <w:fldChar w:fldCharType="end"/>
          </w:r>
        </w:p>
      </w:tc>
    </w:tr>
  </w:tbl>
  <w:p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58" w:rsidRDefault="00A77258">
      <w:r>
        <w:separator/>
      </w:r>
    </w:p>
    <w:p w:rsidR="00A77258" w:rsidRDefault="00A77258"/>
  </w:footnote>
  <w:footnote w:type="continuationSeparator" w:id="0">
    <w:p w:rsidR="00A77258" w:rsidRDefault="00A77258">
      <w:r>
        <w:continuationSeparator/>
      </w:r>
    </w:p>
    <w:p w:rsidR="00A77258" w:rsidRDefault="00A77258"/>
  </w:footnote>
  <w:footnote w:type="continuationNotice" w:id="1">
    <w:p w:rsidR="00A77258" w:rsidRDefault="00A772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Kopfzeile"/>
    </w:pPr>
    <w:r>
      <w:rPr>
        <w:noProof/>
        <w:lang w:val="de-AT" w:eastAsia="de-A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Kopfzeile"/>
      <w:jc w:val="right"/>
    </w:pPr>
    <w:r>
      <w:rPr>
        <w:noProof/>
        <w:lang w:val="de-AT" w:eastAsia="de-A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Kopfzeile"/>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highlight w:val="yellow"/>
        <w:lang w:val="fr-FR"/>
      </w:rPr>
    </w:pPr>
  </w:p>
  <w:p w:rsidR="00811EDA" w:rsidRDefault="00DE66EB">
    <w:pPr>
      <w:pStyle w:val="Kopfzeile"/>
    </w:pPr>
    <w:r>
      <w:rPr>
        <w:noProof/>
        <w:lang w:val="de-AT" w:eastAsia="de-AT"/>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AT" w:eastAsia="de-AT"/>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114D03"/>
    <w:multiLevelType w:val="hybridMultilevel"/>
    <w:tmpl w:val="6952C4B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4CD0148A"/>
    <w:multiLevelType w:val="hybridMultilevel"/>
    <w:tmpl w:val="598CBF24"/>
    <w:lvl w:ilvl="0" w:tplc="F9A86D7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6"/>
  </w:num>
  <w:num w:numId="5">
    <w:abstractNumId w:val="28"/>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11"/>
  </w:num>
  <w:num w:numId="16">
    <w:abstractNumId w:val="1"/>
  </w:num>
  <w:num w:numId="17">
    <w:abstractNumId w:val="15"/>
  </w:num>
  <w:num w:numId="18">
    <w:abstractNumId w:val="16"/>
  </w:num>
  <w:num w:numId="19">
    <w:abstractNumId w:val="18"/>
  </w:num>
  <w:num w:numId="20">
    <w:abstractNumId w:val="29"/>
  </w:num>
  <w:num w:numId="21">
    <w:abstractNumId w:val="38"/>
  </w:num>
  <w:num w:numId="22">
    <w:abstractNumId w:val="27"/>
  </w:num>
  <w:num w:numId="23">
    <w:abstractNumId w:val="10"/>
  </w:num>
  <w:num w:numId="24">
    <w:abstractNumId w:val="32"/>
  </w:num>
  <w:num w:numId="25">
    <w:abstractNumId w:val="31"/>
  </w:num>
  <w:num w:numId="26">
    <w:abstractNumId w:val="20"/>
  </w:num>
  <w:num w:numId="27">
    <w:abstractNumId w:val="35"/>
  </w:num>
  <w:num w:numId="28">
    <w:abstractNumId w:val="40"/>
  </w:num>
  <w:num w:numId="29">
    <w:abstractNumId w:val="8"/>
  </w:num>
  <w:num w:numId="30">
    <w:abstractNumId w:val="4"/>
  </w:num>
  <w:num w:numId="31">
    <w:abstractNumId w:val="23"/>
  </w:num>
  <w:num w:numId="32">
    <w:abstractNumId w:val="3"/>
  </w:num>
  <w:num w:numId="33">
    <w:abstractNumId w:val="7"/>
  </w:num>
  <w:num w:numId="34">
    <w:abstractNumId w:val="21"/>
  </w:num>
  <w:num w:numId="35">
    <w:abstractNumId w:val="37"/>
  </w:num>
  <w:num w:numId="36">
    <w:abstractNumId w:val="36"/>
  </w:num>
  <w:num w:numId="37">
    <w:abstractNumId w:val="13"/>
  </w:num>
  <w:num w:numId="38">
    <w:abstractNumId w:val="22"/>
  </w:num>
  <w:num w:numId="39">
    <w:abstractNumId w:val="2"/>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05A"/>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2831"/>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6BF9"/>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141F"/>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enabsatz"/>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Absatz-Standardschriftart"/>
    <w:link w:val="QUESTIONSESMA"/>
    <w:rsid w:val="002E2BC1"/>
    <w:rPr>
      <w:rFonts w:ascii="Arial" w:hAnsi="Arial" w:cstheme="minorBidi"/>
      <w:b/>
      <w:szCs w:val="22"/>
      <w:lang w:eastAsia="en-US"/>
    </w:rPr>
  </w:style>
  <w:style w:type="paragraph" w:customStyle="1" w:styleId="BodyText1">
    <w:name w:val="Body Text 1"/>
    <w:uiPriority w:val="99"/>
    <w:rsid w:val="00C4141F"/>
    <w:pPr>
      <w:pBdr>
        <w:top w:val="nil"/>
        <w:left w:val="nil"/>
        <w:bottom w:val="nil"/>
        <w:right w:val="nil"/>
        <w:between w:val="nil"/>
        <w:bar w:val="nil"/>
      </w:pBdr>
      <w:spacing w:after="240"/>
      <w:ind w:left="720"/>
      <w:jc w:val="both"/>
    </w:pPr>
    <w:rPr>
      <w:rFonts w:eastAsia="Arial Unicode MS" w:cs="Arial Unicode MS"/>
      <w:color w:val="000000"/>
      <w:sz w:val="24"/>
      <w:szCs w:val="24"/>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enabsatz"/>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Absatz-Standardschriftart"/>
    <w:link w:val="QUESTIONSESMA"/>
    <w:rsid w:val="002E2BC1"/>
    <w:rPr>
      <w:rFonts w:ascii="Arial" w:hAnsi="Arial" w:cstheme="minorBidi"/>
      <w:b/>
      <w:szCs w:val="22"/>
      <w:lang w:eastAsia="en-US"/>
    </w:rPr>
  </w:style>
  <w:style w:type="paragraph" w:customStyle="1" w:styleId="BodyText1">
    <w:name w:val="Body Text 1"/>
    <w:uiPriority w:val="99"/>
    <w:rsid w:val="00C4141F"/>
    <w:pPr>
      <w:pBdr>
        <w:top w:val="nil"/>
        <w:left w:val="nil"/>
        <w:bottom w:val="nil"/>
        <w:right w:val="nil"/>
        <w:between w:val="nil"/>
        <w:bar w:val="nil"/>
      </w:pBdr>
      <w:spacing w:after="240"/>
      <w:ind w:left="720"/>
      <w:jc w:val="both"/>
    </w:pPr>
    <w:rPr>
      <w:rFonts w:eastAsia="Arial Unicode MS"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hyperlink" Target="http://www.eusipa.org/images/Positions/EUSIPA_advance_comments_PRIIPs_hearing_09DEC2015_attachment_final.pdf"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derivateverband.de/DE/MediaLibrary/Document/Politik/DDV%20PRIIPs%20Report%203.pdf"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B74C9-5541-4845-88F7-6E26DA591F13}">
  <ds:schemaRefs>
    <ds:schemaRef ds:uri="http://schemas.openxmlformats.org/officeDocument/2006/bibliography"/>
  </ds:schemaRefs>
</ds:datastoreItem>
</file>

<file path=customXml/itemProps2.xml><?xml version="1.0" encoding="utf-8"?>
<ds:datastoreItem xmlns:ds="http://schemas.openxmlformats.org/officeDocument/2006/customXml" ds:itemID="{8DC7FE7C-B000-4A49-9A46-98D9C78E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4715</Words>
  <Characters>26050</Characters>
  <Application>Microsoft Office Word</Application>
  <DocSecurity>8</DocSecurity>
  <Lines>217</Lines>
  <Paragraphs>61</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30704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Martina Beran</cp:lastModifiedBy>
  <cp:revision>4</cp:revision>
  <cp:lastPrinted>2015-02-18T11:01:00Z</cp:lastPrinted>
  <dcterms:created xsi:type="dcterms:W3CDTF">2016-01-27T09:26:00Z</dcterms:created>
  <dcterms:modified xsi:type="dcterms:W3CDTF">2016-01-29T10:40:00Z</dcterms:modified>
</cp:coreProperties>
</file>