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A72508" w:rsidRDefault="00A72508" w:rsidP="00D34282">
      <w:permStart w:id="602147404" w:edGrp="everyone"/>
      <w:r w:rsidRPr="00A72508">
        <w:t>In this comment the Federation of German Consumer Organisations (vzbv) places particular emphasis on understandable cost information and therefore focuses on selected questions of the consultation paper.</w:t>
      </w:r>
    </w:p>
    <w:permEnd w:id="602147404"/>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862718353" w:edGrp="everyone"/>
      <w:r>
        <w:t>TYPE YOUR TEXT HERE</w:t>
      </w:r>
    </w:p>
    <w:permEnd w:id="862718353"/>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A72508" w:rsidRDefault="00A72508" w:rsidP="00A72508">
      <w:pPr>
        <w:pStyle w:val="StellungnahmeFlietext"/>
        <w:numPr>
          <w:ilvl w:val="0"/>
          <w:numId w:val="52"/>
        </w:numPr>
        <w:ind w:left="426" w:hanging="426"/>
        <w:rPr>
          <w:lang w:val="en-US"/>
        </w:rPr>
      </w:pPr>
      <w:permStart w:id="1460239166" w:edGrp="everyone"/>
      <w:r w:rsidRPr="006E1C2F">
        <w:rPr>
          <w:lang w:val="en-US"/>
        </w:rPr>
        <w:t xml:space="preserve">Default amounts </w:t>
      </w:r>
      <w:r>
        <w:rPr>
          <w:lang w:val="en-US"/>
        </w:rPr>
        <w:t>make it easy for consumers to compare costs when the amount of money actually invested differs. In this sense, it is especially important to support a comparison between different forms of investment products. For this reasons the default should be equal always. A difference between investment funds and insurance-based investment products is not helpful.</w:t>
      </w:r>
    </w:p>
    <w:p w:rsidR="00A72508" w:rsidRDefault="00A72508" w:rsidP="00A72508">
      <w:pPr>
        <w:pStyle w:val="StellungnahmeFlietext"/>
        <w:ind w:left="426"/>
        <w:rPr>
          <w:lang w:val="en-US"/>
        </w:rPr>
      </w:pPr>
      <w:r>
        <w:rPr>
          <w:lang w:val="en-US"/>
        </w:rPr>
        <w:t xml:space="preserve">vzbv suggests to distinguish between one-time investments and ongoing, monthly investments. The default for one-time investments should be 10.000 Euro. The default for monthly investments should be 100 Euro (or yearly 1.200 Euro). These defaults ensure the </w:t>
      </w:r>
      <w:hyperlink r:id="rId14" w:anchor="/search=comparability&amp;searchLoc=0&amp;resultOrder=basic&amp;multiwordShowSingle=on" w:history="1">
        <w:r w:rsidRPr="00124316">
          <w:rPr>
            <w:lang w:val="en-US"/>
          </w:rPr>
          <w:t>comparability</w:t>
        </w:r>
      </w:hyperlink>
      <w:r>
        <w:rPr>
          <w:lang w:val="en-US"/>
        </w:rPr>
        <w:t xml:space="preserve"> and are easy to forecast to the actual investment. </w:t>
      </w:r>
    </w:p>
    <w:p w:rsidR="00A72508" w:rsidRDefault="00A72508" w:rsidP="00A72508">
      <w:pPr>
        <w:pStyle w:val="StellungnahmeFlietext"/>
        <w:numPr>
          <w:ilvl w:val="0"/>
          <w:numId w:val="52"/>
        </w:numPr>
        <w:ind w:left="426" w:hanging="426"/>
        <w:rPr>
          <w:lang w:val="en-US"/>
        </w:rPr>
      </w:pPr>
      <w:r>
        <w:rPr>
          <w:lang w:val="en-US"/>
        </w:rPr>
        <w:t xml:space="preserve">vzbv is in </w:t>
      </w:r>
      <w:r>
        <w:rPr>
          <w:lang w:val="en-US"/>
        </w:rPr>
        <w:t>favor</w:t>
      </w:r>
      <w:r>
        <w:rPr>
          <w:lang w:val="en-US"/>
        </w:rPr>
        <w:t xml:space="preserve"> of the same default even if the PRIIP has a known required investment. The same default is important to ensure the comparability to other investments. However vzbv proposes a clear note that the actual investment sum is different.</w:t>
      </w:r>
    </w:p>
    <w:permEnd w:id="1460239166"/>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400963794" w:edGrp="everyone"/>
      <w:r>
        <w:t>TYPE YOUR TEXT HERE</w:t>
      </w:r>
    </w:p>
    <w:permEnd w:id="400963794"/>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054672363" w:edGrp="everyone"/>
      <w:r>
        <w:t>TYPE YOUR TEXT HERE</w:t>
      </w:r>
    </w:p>
    <w:permEnd w:id="1054672363"/>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379881931" w:edGrp="everyone"/>
      <w:r>
        <w:t>TYPE YOUR TEXT HERE</w:t>
      </w:r>
    </w:p>
    <w:permEnd w:id="1379881931"/>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1408961791" w:edGrp="everyone"/>
      <w:r>
        <w:t>TYPE YOUR TEXT HERE</w:t>
      </w:r>
    </w:p>
    <w:permEnd w:id="1408961791"/>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2067009189" w:edGrp="everyone"/>
      <w:r>
        <w:t>TYPE YOUR TEXT HERE</w:t>
      </w:r>
    </w:p>
    <w:permEnd w:id="2067009189"/>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1827229093" w:edGrp="everyone"/>
      <w:r>
        <w:t>TYPE YOUR TEXT HERE</w:t>
      </w:r>
    </w:p>
    <w:permEnd w:id="1827229093"/>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A72508" w:rsidRDefault="00A72508" w:rsidP="003E4B00">
      <w:permStart w:id="44988497" w:edGrp="everyone"/>
      <w:r w:rsidRPr="00A72508">
        <w:t>vzbv does not agree with an allocation to MRM class 1 for any PRIIPs that offer a capital protection. This is only possible when the promise is underlayed with capital resources of the PRIIP offeror. Otherwise the default risk of the guarantor must be taken into account.</w:t>
      </w:r>
    </w:p>
    <w:permEnd w:id="44988497"/>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228526857" w:edGrp="everyone"/>
      <w:r>
        <w:t>TYPE YOUR TEXT HERE</w:t>
      </w:r>
    </w:p>
    <w:permEnd w:id="228526857"/>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339043" w:edGrp="everyone"/>
      <w:r>
        <w:t>TYPE YOUR TEXT HERE</w:t>
      </w:r>
    </w:p>
    <w:permEnd w:id="339043"/>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A72508" w:rsidRDefault="00A72508" w:rsidP="00A72508">
      <w:permStart w:id="1437884407" w:edGrp="everyone"/>
      <w:r>
        <w:t>From the investor’s point of view the currency risk is crucial. Therefore the risk indicator of PRIIPs should take into account currency risks.</w:t>
      </w:r>
    </w:p>
    <w:p w:rsidR="00A72508" w:rsidRDefault="00A72508" w:rsidP="003E4B00">
      <w:r>
        <w:t>The further effort of the manufacturer is manageable. It should be a matter of course to produce the KID referring the target market including foreign markets with other currencies. Only when the PRIIP is created for the Home Memberstate market soleley and foreign consumers ask for that specific PRIIP on their own initiative, currency risk need not to be considered.</w:t>
      </w:r>
    </w:p>
    <w:permEnd w:id="1437884407"/>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A72508" w:rsidP="003E4B00">
      <w:permStart w:id="1310930258" w:edGrp="everyone"/>
      <w:r w:rsidRPr="00A72508">
        <w:t>With respect to long running investments it is quite common that investors do not preserve the whole retention. For this reasons it is important to illustrate the risk of an early exit. vzbv strongly supports the option 5.2. of multiple time frames to illustrate this risk.</w:t>
      </w:r>
    </w:p>
    <w:permEnd w:id="1310930258"/>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2043566565" w:edGrp="everyone"/>
      <w:r>
        <w:t>TYPE YOUR TEXT HERE</w:t>
      </w:r>
    </w:p>
    <w:permEnd w:id="2043566565"/>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A72508" w:rsidRDefault="00A72508" w:rsidP="003E4B00">
      <w:permStart w:id="1775970005" w:edGrp="everyone"/>
      <w:r w:rsidRPr="00A72508">
        <w:t>In order to reduce information overload vzbv supports a graph only.</w:t>
      </w:r>
    </w:p>
    <w:permEnd w:id="177597000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811546067" w:edGrp="everyone"/>
      <w:r>
        <w:t>TYPE YOUR TEXT HERE</w:t>
      </w:r>
    </w:p>
    <w:permEnd w:id="811546067"/>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739480926" w:edGrp="everyone"/>
      <w:r>
        <w:t>TYPE YOUR TEXT HERE</w:t>
      </w:r>
    </w:p>
    <w:permEnd w:id="1739480926"/>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A72508" w:rsidRDefault="00A72508" w:rsidP="00A72508">
      <w:permStart w:id="1682718192" w:edGrp="everyone"/>
      <w:r>
        <w:t xml:space="preserve">vzbv strongly supports a sum of costs over the respective holding periods because clear sums are most informative to consumers. </w:t>
      </w:r>
    </w:p>
    <w:p w:rsidR="00A72508" w:rsidRDefault="00A72508" w:rsidP="003E4B00">
      <w:r>
        <w:t>With respect to the figure of the reduction in yield (RIY) it is absolutely needless and redundant to reflect annualized amounts.</w:t>
      </w:r>
    </w:p>
    <w:permEnd w:id="1682718192"/>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A72508" w:rsidRDefault="00A72508" w:rsidP="00A72508">
      <w:permStart w:id="140802509" w:edGrp="everyone"/>
      <w:r>
        <w:t>The approach to estimate a fair value of biometric risk premium is technically difficult and leads to undesirable market behavior by the insurers. Generally risk premiums are over calculated by uncertainties of the real payments to consumers. If an insurer chooses a very strict coverage policy picking out the good risks, he can calculate with a small surcharge. An insurer running an opener business model has to take into account a higher variety of risks leading to a higher average surcharge. Furthermore both have to keep an eye on the potential development of the collective of insured persons which has in the second case a higher uncertainty.</w:t>
      </w:r>
    </w:p>
    <w:p w:rsidR="00A72508" w:rsidRDefault="00A72508" w:rsidP="00A72508"/>
    <w:p w:rsidR="00A72508" w:rsidRDefault="00A72508" w:rsidP="00A72508">
      <w:r>
        <w:t>The estimation of a fair value is only possible by an obligation to conclude a contract with any consumer and clearing mechanism over all insurers. Only this creates a level playing field between all insurers and makes the calculated premium comparable.</w:t>
      </w:r>
    </w:p>
    <w:permEnd w:id="14080250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A72508" w:rsidRDefault="00A72508" w:rsidP="00A72508">
      <w:pPr>
        <w:pStyle w:val="StellungnahmeFlietext"/>
        <w:rPr>
          <w:i/>
          <w:lang w:val="en-US"/>
        </w:rPr>
      </w:pPr>
      <w:permStart w:id="311695354" w:edGrp="everyone"/>
      <w:r w:rsidRPr="00E7007A">
        <w:rPr>
          <w:lang w:val="en-US"/>
        </w:rPr>
        <w:t xml:space="preserve">vzbv </w:t>
      </w:r>
      <w:r>
        <w:rPr>
          <w:lang w:val="en-US"/>
        </w:rPr>
        <w:t>advocates a separation of saving and risk coverage</w:t>
      </w:r>
      <w:r w:rsidRPr="00E7007A">
        <w:rPr>
          <w:lang w:val="en-US"/>
        </w:rPr>
        <w:t xml:space="preserve">. </w:t>
      </w:r>
      <w:r>
        <w:rPr>
          <w:lang w:val="en-US"/>
        </w:rPr>
        <w:t>Only in case of mandatory bundling by national law a connection of these aspects is unavoidable</w:t>
      </w:r>
      <w:r w:rsidRPr="00E7007A">
        <w:rPr>
          <w:lang w:val="en-US"/>
        </w:rPr>
        <w:t>.</w:t>
      </w:r>
      <w:r>
        <w:rPr>
          <w:lang w:val="en-US"/>
        </w:rPr>
        <w:t xml:space="preserve"> Bundled products are highly intransparent. MiFID in </w:t>
      </w:r>
      <w:r w:rsidRPr="00E7007A">
        <w:rPr>
          <w:lang w:val="en-US"/>
        </w:rPr>
        <w:t xml:space="preserve">Article 24 </w:t>
      </w:r>
      <w:r>
        <w:rPr>
          <w:lang w:val="en-US"/>
        </w:rPr>
        <w:t>par. </w:t>
      </w:r>
      <w:r w:rsidRPr="00E7007A">
        <w:rPr>
          <w:lang w:val="en-US"/>
        </w:rPr>
        <w:t>11</w:t>
      </w:r>
      <w:r>
        <w:rPr>
          <w:lang w:val="en-US"/>
        </w:rPr>
        <w:t xml:space="preserve"> lays down: </w:t>
      </w:r>
      <w:r>
        <w:rPr>
          <w:lang w:val="en-US"/>
        </w:rPr>
        <w:br/>
      </w:r>
    </w:p>
    <w:p w:rsidR="00A72508" w:rsidRPr="00E7007A" w:rsidRDefault="00A72508" w:rsidP="00A72508">
      <w:pPr>
        <w:pStyle w:val="StellungnahmeFlietext"/>
        <w:ind w:left="708"/>
        <w:rPr>
          <w:lang w:val="en-US"/>
        </w:rPr>
      </w:pPr>
      <w:r w:rsidRPr="008E38C5">
        <w:rPr>
          <w:i/>
          <w:lang w:val="en-US"/>
        </w:rPr>
        <w:t>“When an investment service is offered together with another service or product as part of a package or as a condition for the same agreement or package, the investment firm shall inform the client whether it is possible to buy the different components separately and shall provide for a separate evidence of the costs and charges of each component.”</w:t>
      </w:r>
    </w:p>
    <w:p w:rsidR="00A72508" w:rsidRPr="00E7007A" w:rsidRDefault="00A72508" w:rsidP="00A72508">
      <w:pPr>
        <w:pStyle w:val="StellungnahmeFlietext"/>
        <w:rPr>
          <w:lang w:val="en-US"/>
        </w:rPr>
      </w:pPr>
    </w:p>
    <w:p w:rsidR="00A72508" w:rsidRDefault="00A72508" w:rsidP="00A72508">
      <w:pPr>
        <w:pStyle w:val="StellungnahmeFlietext"/>
        <w:rPr>
          <w:lang w:val="en-US"/>
        </w:rPr>
      </w:pPr>
      <w:r>
        <w:rPr>
          <w:lang w:val="en-US"/>
        </w:rPr>
        <w:t>In Germany “</w:t>
      </w:r>
      <w:r w:rsidRPr="00E7007A">
        <w:rPr>
          <w:lang w:val="en-US"/>
        </w:rPr>
        <w:t>Riester</w:t>
      </w:r>
      <w:r>
        <w:rPr>
          <w:lang w:val="en-US"/>
        </w:rPr>
        <w:t>”</w:t>
      </w:r>
      <w:r w:rsidRPr="00E7007A">
        <w:rPr>
          <w:lang w:val="en-US"/>
        </w:rPr>
        <w:t xml:space="preserve"> </w:t>
      </w:r>
      <w:r>
        <w:rPr>
          <w:lang w:val="en-US"/>
        </w:rPr>
        <w:t>and “</w:t>
      </w:r>
      <w:r w:rsidRPr="00E7007A">
        <w:rPr>
          <w:lang w:val="en-US"/>
        </w:rPr>
        <w:t>Rürup</w:t>
      </w:r>
      <w:r>
        <w:rPr>
          <w:lang w:val="en-US"/>
        </w:rPr>
        <w:t xml:space="preserve">” as </w:t>
      </w:r>
      <w:r w:rsidRPr="00A67A09">
        <w:rPr>
          <w:lang w:val="en-US"/>
        </w:rPr>
        <w:t>pension products which, under national law, are recognised as having the primary purpose of providing the investor with an income in retirement and which entitle the investor to certain benefits</w:t>
      </w:r>
      <w:r>
        <w:rPr>
          <w:lang w:val="en-US"/>
        </w:rPr>
        <w:t xml:space="preserve"> regarding to par.</w:t>
      </w:r>
      <w:r w:rsidRPr="00741999">
        <w:rPr>
          <w:lang w:val="en-US"/>
        </w:rPr>
        <w:t> </w:t>
      </w:r>
      <w:r w:rsidRPr="0027297D">
        <w:rPr>
          <w:lang w:val="en-US"/>
        </w:rPr>
        <w:t xml:space="preserve">12 </w:t>
      </w:r>
      <w:r w:rsidRPr="0027297D">
        <w:rPr>
          <w:i/>
          <w:lang w:val="en-US"/>
        </w:rPr>
        <w:t>Verordnung zum Produktinformationsblatt und zu weiteren Informationspflichten bei zertifizierten Altersvorsorge- und Basisrentenverträgen nach dem Altersvorsorgeverträge-Zertifizierungsgesetz</w:t>
      </w:r>
      <w:r w:rsidRPr="0027297D">
        <w:rPr>
          <w:lang w:val="en-US"/>
        </w:rPr>
        <w:t xml:space="preserve"> are obliged to numeralise the part of the payment using additional risk coverage in KID. </w:t>
      </w:r>
      <w:r>
        <w:rPr>
          <w:lang w:val="en-US"/>
        </w:rPr>
        <w:t>So insurers are able to calculate and to number biometric risk premium. In the moment these products are out of scope of PRIIP-Regulation. But from a view of level playing field it is useful to implement this rule in PRIIP-KID as well.</w:t>
      </w:r>
    </w:p>
    <w:p w:rsidR="00A72508" w:rsidRPr="00E7007A" w:rsidRDefault="00A72508" w:rsidP="00A72508">
      <w:pPr>
        <w:pStyle w:val="StellungnahmeFlietext"/>
        <w:rPr>
          <w:lang w:val="en-US"/>
        </w:rPr>
      </w:pPr>
    </w:p>
    <w:p w:rsidR="00A72508" w:rsidRDefault="00A72508" w:rsidP="00A72508">
      <w:pPr>
        <w:pStyle w:val="StellungnahmeFlietext"/>
        <w:rPr>
          <w:lang w:val="en-GB"/>
        </w:rPr>
      </w:pPr>
      <w:r>
        <w:rPr>
          <w:lang w:val="en-US"/>
        </w:rPr>
        <w:t xml:space="preserve">The Information must be based on a summarised, calculated risk premium. Possible returns, paybacks or set-offs coming from overcalculation have to be ignored. Because the cash flow is not certain. Furthermore risk profit flows into the common profit distribution, which is also used to </w:t>
      </w:r>
      <w:r w:rsidRPr="003741C0">
        <w:rPr>
          <w:lang w:val="en-GB"/>
        </w:rPr>
        <w:t>stabilise</w:t>
      </w:r>
      <w:r>
        <w:rPr>
          <w:lang w:val="en-GB"/>
        </w:rPr>
        <w:t xml:space="preserve"> the return over time. This enables insurer to offer a higher return on investment. A fair value approach would count the profit twice.</w:t>
      </w:r>
    </w:p>
    <w:permEnd w:id="311695354"/>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A72508" w:rsidRDefault="00A72508" w:rsidP="00A72508">
      <w:permStart w:id="1526619964" w:edGrp="everyone"/>
      <w:r>
        <w:t>As stated under question 18 vzbv strongly supports a sum of costs over the respective holding periods because clear sums are most comprehensive to consumers. Default amounts ensure the comprehensibility.</w:t>
      </w:r>
    </w:p>
    <w:p w:rsidR="00A72508" w:rsidRDefault="00A72508" w:rsidP="00A72508">
      <w:r>
        <w:t xml:space="preserve">As table 1 requires sums, table 2 requires percentage figures. This is a brake in the presentation and makes it hard to understand the connection between table 1 and table 2. For this reason table 2 should also require sums instead of percentage figures. </w:t>
      </w:r>
    </w:p>
    <w:p w:rsidR="00A72508" w:rsidRDefault="00A72508" w:rsidP="00A72508">
      <w:r>
        <w:t>The sum should not reflect annualized amounts. The sum should be accumulative over the investment period to demonstrate the effect of disposition of costs and to demonstrate the accumulative overall costs.</w:t>
      </w:r>
    </w:p>
    <w:p w:rsidR="00A72508" w:rsidRDefault="00A72508" w:rsidP="00491E49">
      <w:r>
        <w:t>RIY stands for an annual presentation/cost information.</w:t>
      </w:r>
    </w:p>
    <w:permEnd w:id="1526619964"/>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A72508" w:rsidRDefault="00A72508" w:rsidP="00491E49">
      <w:permStart w:id="2065439241" w:edGrp="everyone"/>
      <w:r w:rsidRPr="00A72508">
        <w:t xml:space="preserve">Even if a more graphic presentation might be easier to understand vzbv supports a presentation with a full table. The table is helpful and important to illustrate and explain the connection between the different cost components. </w:t>
      </w:r>
    </w:p>
    <w:permEnd w:id="2065439241"/>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A72508" w:rsidRDefault="00A72508" w:rsidP="00A72508">
      <w:permStart w:id="478101418" w:edGrp="everyone"/>
      <w:r>
        <w:t>vzbv is an opponent of the permission of performance fees. As performance fees lead to wrong incentives, performance fees should be forbidden.</w:t>
      </w:r>
    </w:p>
    <w:p w:rsidR="00A72508" w:rsidRDefault="00A72508" w:rsidP="00491E49">
      <w:r>
        <w:t>Besides, vzbv is of the opinion that a variability of performance fees by showing the level for all three performance scenarios leads to an information overload. Therefore vzbv supports only one scenario. This scenario should be the moderate scenario.</w:t>
      </w:r>
    </w:p>
    <w:permEnd w:id="478101418"/>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A72508" w:rsidRDefault="00A72508" w:rsidP="00A72508">
      <w:permStart w:id="1777824214" w:edGrp="everyone"/>
      <w:r>
        <w:t>vzbv supports two tables. The first table ensures a quick overview of costs. The second table gives deeper and more detailed information.</w:t>
      </w:r>
    </w:p>
    <w:p w:rsidR="00A72508" w:rsidRDefault="00A72508" w:rsidP="00A72508"/>
    <w:p w:rsidR="00A72508" w:rsidRDefault="00A72508" w:rsidP="00491E49">
      <w:r>
        <w:t xml:space="preserve">To ensure that both tables are understandable and connected, the cost information in table two shoud also numerical, not in percentage. </w:t>
      </w:r>
    </w:p>
    <w:permEnd w:id="177782421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930640748" w:edGrp="everyone"/>
      <w:r>
        <w:t>TYPE YOUR TEXT HERE</w:t>
      </w:r>
    </w:p>
    <w:permEnd w:id="930640748"/>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A72508" w:rsidRDefault="00A72508" w:rsidP="00A72508">
      <w:permStart w:id="1971399375" w:edGrp="everyone"/>
      <w:r>
        <w:t>Yes, vzbv supports a sophisticated detailed presentation of costs.</w:t>
      </w:r>
    </w:p>
    <w:p w:rsidR="00A72508" w:rsidRDefault="00A72508" w:rsidP="00A72508">
      <w:r>
        <w:t>One of the problems with the RIY approach is, that the value of the RIY depends on the time frame of the PRIIP and its return. This makes it very hard to compare different PRIIPs and can lead to confusing results. Furthermore the RIY is displayed in relative values which shrouds the real value for the investor and it does not include guaranteed costs. Another problem with RIY is that the costs it includes are dynamic and not static. They change during the investment (e.g. issue surcharges or success related costs) and have to be estimated.</w:t>
      </w:r>
    </w:p>
    <w:p w:rsidR="00A72508" w:rsidRDefault="00A72508" w:rsidP="00A72508"/>
    <w:p w:rsidR="00A72508" w:rsidRDefault="00A72508" w:rsidP="00847BB0">
      <w:r>
        <w:t>The reduction in payment (RIP) approach addresses the issues with other approaches mentioned in question 20 and can also be (and should be) expressed in monetary values via an easy calculation. Therefore we think it is the most suited method to prepare “total aggregate cost” figures.</w:t>
      </w:r>
    </w:p>
    <w:permEnd w:id="1971399375"/>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A72508" w:rsidRDefault="00A72508" w:rsidP="00A72508">
      <w:permStart w:id="415704583" w:edGrp="everyone"/>
      <w:r>
        <w:t>Yes, vzbv supports a sophisticated detailed presentation of costs.</w:t>
      </w:r>
    </w:p>
    <w:p w:rsidR="00A72508" w:rsidRDefault="00A72508" w:rsidP="00A72508">
      <w:r>
        <w:t>One of the problems with the RIY approach is, that the value of the RIY depends on the time frame of the PRIIP and its return. This makes it very hard to compare different PRIIPs and can lead to confusing results. Furthermore the RIY is displayed in relative values which shrouds the real value for the investor and it does not include guaranteed costs. Another problem with RIY is that the costs it includes are dynamic and not static. They change during the investment (e.g. issue surcharges or success related costs) and have to be estimated.</w:t>
      </w:r>
    </w:p>
    <w:p w:rsidR="00A72508" w:rsidRDefault="00A72508" w:rsidP="00A72508"/>
    <w:p w:rsidR="00A72508" w:rsidRDefault="00A72508" w:rsidP="00847BB0">
      <w:r>
        <w:t>The reduction in payment (RIP) approach addresses the issues with other approaches mentioned in question 20 and can also be (and should be) expressed in monetary values via an easy calculation. Therefore we think it is the most suited method to prepare “total aggregate cost” figures.</w:t>
      </w:r>
    </w:p>
    <w:permEnd w:id="415704583"/>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A72508" w:rsidRDefault="00A72508" w:rsidP="00A72508">
      <w:pPr>
        <w:pStyle w:val="StellungnahmeFlietext"/>
        <w:rPr>
          <w:lang w:val="en-US"/>
        </w:rPr>
      </w:pPr>
      <w:permStart w:id="1485195444" w:edGrp="everyone"/>
      <w:r>
        <w:rPr>
          <w:lang w:val="en-US"/>
        </w:rPr>
        <w:t xml:space="preserve">Form a consumer point of view a </w:t>
      </w:r>
      <w:r w:rsidRPr="00BD2E82">
        <w:rPr>
          <w:lang w:val="en-US"/>
        </w:rPr>
        <w:t xml:space="preserve">cost disclosure has to distinguish between </w:t>
      </w:r>
    </w:p>
    <w:p w:rsidR="00A72508" w:rsidRDefault="00A72508" w:rsidP="00A72508">
      <w:pPr>
        <w:pStyle w:val="StellungnahmeFlietext"/>
        <w:numPr>
          <w:ilvl w:val="0"/>
          <w:numId w:val="53"/>
        </w:numPr>
        <w:rPr>
          <w:lang w:val="en-US"/>
        </w:rPr>
      </w:pPr>
      <w:r w:rsidRPr="00BD2E82">
        <w:rPr>
          <w:lang w:val="en-US"/>
        </w:rPr>
        <w:t xml:space="preserve">costs of management/administration and </w:t>
      </w:r>
    </w:p>
    <w:p w:rsidR="00A72508" w:rsidRPr="007443D5" w:rsidRDefault="00A72508" w:rsidP="00A72508">
      <w:pPr>
        <w:pStyle w:val="StellungnahmeFlietext"/>
        <w:numPr>
          <w:ilvl w:val="0"/>
          <w:numId w:val="53"/>
        </w:numPr>
        <w:rPr>
          <w:lang w:val="en-US"/>
        </w:rPr>
      </w:pPr>
      <w:r w:rsidRPr="007443D5">
        <w:rPr>
          <w:lang w:val="en-US"/>
        </w:rPr>
        <w:t xml:space="preserve">distribution commissions (both direct commissions and internal commissions (kick-backs) also </w:t>
      </w:r>
    </w:p>
    <w:p w:rsidR="00A72508" w:rsidRPr="00BD2E82" w:rsidRDefault="00A72508" w:rsidP="00A72508">
      <w:pPr>
        <w:pStyle w:val="StellungnahmeFlietext"/>
        <w:numPr>
          <w:ilvl w:val="0"/>
          <w:numId w:val="53"/>
        </w:numPr>
        <w:rPr>
          <w:lang w:val="en-US"/>
        </w:rPr>
      </w:pPr>
      <w:r w:rsidRPr="00BD2E82">
        <w:rPr>
          <w:lang w:val="en-US"/>
        </w:rPr>
        <w:t>costs that accrue in the case of cancellation of the contract.</w:t>
      </w:r>
    </w:p>
    <w:p w:rsidR="00A72508" w:rsidRDefault="00A72508" w:rsidP="00A72508">
      <w:pPr>
        <w:widowControl w:val="0"/>
        <w:autoSpaceDE w:val="0"/>
        <w:autoSpaceDN w:val="0"/>
        <w:adjustRightInd w:val="0"/>
        <w:spacing w:before="120"/>
        <w:jc w:val="both"/>
        <w:rPr>
          <w:sz w:val="22"/>
          <w:lang w:val="en-US"/>
        </w:rPr>
      </w:pPr>
      <w:r w:rsidRPr="00BD2E82">
        <w:rPr>
          <w:sz w:val="22"/>
          <w:lang w:val="en-US"/>
        </w:rPr>
        <w:t xml:space="preserve">All costs are nominalised concretely, where appropriate under specification of the reference parameter. </w:t>
      </w:r>
    </w:p>
    <w:p w:rsidR="00A72508" w:rsidRDefault="00A72508" w:rsidP="00A72508">
      <w:pPr>
        <w:widowControl w:val="0"/>
        <w:autoSpaceDE w:val="0"/>
        <w:autoSpaceDN w:val="0"/>
        <w:adjustRightInd w:val="0"/>
        <w:spacing w:before="120"/>
        <w:jc w:val="both"/>
        <w:rPr>
          <w:sz w:val="22"/>
          <w:lang w:val="en-US"/>
        </w:rPr>
      </w:pPr>
      <w:r>
        <w:rPr>
          <w:sz w:val="22"/>
          <w:lang w:val="en-US"/>
        </w:rPr>
        <w:t>An information about distribution commissions is nessesarry to disclose the interests of the distributor. At least conflicts of interests in selling must be disclosed. This is the softest form of regulation to prevent miss-selling.</w:t>
      </w:r>
    </w:p>
    <w:p w:rsidR="00A72508" w:rsidRPr="00BD2E82" w:rsidRDefault="00A72508" w:rsidP="00A72508">
      <w:pPr>
        <w:widowControl w:val="0"/>
        <w:autoSpaceDE w:val="0"/>
        <w:autoSpaceDN w:val="0"/>
        <w:adjustRightInd w:val="0"/>
        <w:spacing w:before="120"/>
        <w:jc w:val="both"/>
        <w:rPr>
          <w:sz w:val="22"/>
          <w:lang w:val="en-US"/>
        </w:rPr>
      </w:pPr>
      <w:r>
        <w:rPr>
          <w:sz w:val="22"/>
          <w:lang w:val="en-US"/>
        </w:rPr>
        <w:t>Unfortunatelly PRIIP neglects any information regarding distribution commissions.</w:t>
      </w:r>
    </w:p>
    <w:p w:rsidR="00491E49" w:rsidRPr="00491E49" w:rsidRDefault="00491E49" w:rsidP="00491E49">
      <w:pPr>
        <w:rPr>
          <w:lang w:val="fr-FR"/>
        </w:rPr>
      </w:pPr>
      <w:bookmarkStart w:id="3" w:name="_GoBack"/>
      <w:bookmarkEnd w:id="3"/>
      <w:permEnd w:id="1485195444"/>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1202F">
            <w:rPr>
              <w:rFonts w:cs="Arial"/>
              <w:noProof/>
              <w:sz w:val="22"/>
              <w:szCs w:val="22"/>
            </w:rPr>
            <w:t>13</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19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F57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5958E3"/>
    <w:multiLevelType w:val="hybridMultilevel"/>
    <w:tmpl w:val="EC04D490"/>
    <w:lvl w:ilvl="0" w:tplc="C6D694D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505F3D"/>
    <w:multiLevelType w:val="hybridMultilevel"/>
    <w:tmpl w:val="D0C80FA0"/>
    <w:lvl w:ilvl="0" w:tplc="F9942466">
      <w:start w:val="13"/>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7"/>
  </w:num>
  <w:num w:numId="30">
    <w:abstractNumId w:val="3"/>
  </w:num>
  <w:num w:numId="31">
    <w:abstractNumId w:val="23"/>
  </w:num>
  <w:num w:numId="32">
    <w:abstractNumId w:val="2"/>
  </w:num>
  <w:num w:numId="33">
    <w:abstractNumId w:val="6"/>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13"/>
  </w:num>
  <w:num w:numId="51">
    <w:abstractNumId w:val="22"/>
  </w:num>
  <w:num w:numId="52">
    <w:abstractNumId w:val="9"/>
  </w:num>
  <w:num w:numId="53">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22C"/>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508"/>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02F"/>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1A48AFE1-0D77-4105-9D52-D74A9D60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customStyle="1" w:styleId="StellungnahmeFlietext">
    <w:name w:val="Stellungnahme Fließtext"/>
    <w:rsid w:val="00A72508"/>
    <w:pPr>
      <w:spacing w:after="120" w:line="280" w:lineRule="exact"/>
    </w:pPr>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dict.leo.org/ende/index_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C407-69A1-4400-92F8-0C010697DF68}">
  <ds:schemaRefs>
    <ds:schemaRef ds:uri="http://schemas.openxmlformats.org/officeDocument/2006/bibliography"/>
  </ds:schemaRefs>
</ds:datastoreItem>
</file>

<file path=customXml/itemProps2.xml><?xml version="1.0" encoding="utf-8"?>
<ds:datastoreItem xmlns:ds="http://schemas.openxmlformats.org/officeDocument/2006/customXml" ds:itemID="{99D42281-EF6F-4334-8F0B-7DB818A8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3496</Words>
  <Characters>19549</Characters>
  <Application>Microsoft Office Word</Application>
  <DocSecurity>8</DocSecurity>
  <Lines>162</Lines>
  <Paragraphs>45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23000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Gatschke, Lars (vzbv)</cp:lastModifiedBy>
  <cp:revision>2</cp:revision>
  <cp:lastPrinted>2015-02-18T11:01:00Z</cp:lastPrinted>
  <dcterms:created xsi:type="dcterms:W3CDTF">2016-01-25T14:27:00Z</dcterms:created>
  <dcterms:modified xsi:type="dcterms:W3CDTF">2016-01-25T14:27:00Z</dcterms:modified>
</cp:coreProperties>
</file>