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3A5DAC" w:rsidP="00EF0769">
            <w:pPr>
              <w:pStyle w:val="00bDBInfo"/>
              <w:rPr>
                <w:rFonts w:cs="Arial"/>
              </w:rPr>
            </w:pPr>
            <w:r>
              <w:rPr>
                <w:rFonts w:cs="Arial"/>
              </w:rPr>
              <w:t>1</w:t>
            </w:r>
            <w:r w:rsidR="00847BB0">
              <w:rPr>
                <w:rFonts w:cs="Arial"/>
              </w:rPr>
              <w:t>0 November</w:t>
            </w:r>
            <w:r w:rsidR="00ED351E" w:rsidRPr="004E49B0">
              <w:rPr>
                <w:rFonts w:cs="Arial"/>
              </w:rPr>
              <w:t xml:space="preserve"> </w:t>
            </w:r>
            <w:r w:rsidR="006F4B04" w:rsidRPr="004E49B0">
              <w:rPr>
                <w:rFonts w:cs="Arial"/>
              </w:rPr>
              <w:t>20</w:t>
            </w:r>
            <w:r>
              <w:rPr>
                <w:rFonts w:cs="Arial"/>
              </w:rPr>
              <w:t>15</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6F4403" w:rsidRPr="00616B9B" w:rsidRDefault="00AE627C" w:rsidP="00C000A5">
            <w:pPr>
              <w:pStyle w:val="01aDBTitle"/>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p>
          <w:p w:rsidR="00422A7D" w:rsidRPr="00616B9B" w:rsidRDefault="006646DF" w:rsidP="00C000A5">
            <w:pPr>
              <w:pStyle w:val="01aDBTitle"/>
              <w:rPr>
                <w:rFonts w:cs="Arial"/>
              </w:rPr>
            </w:pPr>
            <w:r>
              <w:rPr>
                <w:rFonts w:cs="Arial"/>
              </w:rPr>
              <w:t xml:space="preserve">Consultation Paper on </w:t>
            </w:r>
            <w:r>
              <w:t xml:space="preserve"> </w:t>
            </w:r>
            <w:r w:rsidRPr="006646DF">
              <w:rPr>
                <w:rFonts w:cs="Arial"/>
              </w:rPr>
              <w:t>PRIIPs Key Information Documents</w:t>
            </w:r>
          </w:p>
          <w:p w:rsidR="00791EB4" w:rsidRPr="00616B9B" w:rsidRDefault="00791EB4" w:rsidP="00C000A5">
            <w:pPr>
              <w:pStyle w:val="01aDBTitle"/>
              <w:rPr>
                <w:rFonts w:cs="Arial"/>
              </w:rPr>
            </w:pP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9"/>
          <w:footerReference w:type="default" r:id="rId10"/>
          <w:headerReference w:type="first" r:id="rId11"/>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4E49B0" w:rsidRDefault="00620D7C" w:rsidP="00EF0769">
            <w:pPr>
              <w:pStyle w:val="02Date"/>
              <w:rPr>
                <w:rFonts w:cs="Arial"/>
              </w:rPr>
            </w:pPr>
            <w:r w:rsidRPr="004E49B0">
              <w:rPr>
                <w:rFonts w:cs="Arial"/>
              </w:rPr>
              <w:lastRenderedPageBreak/>
              <w:t xml:space="preserve">Date: </w:t>
            </w:r>
            <w:r w:rsidR="004E49B0" w:rsidRPr="004E49B0">
              <w:rPr>
                <w:rFonts w:cs="Arial"/>
              </w:rPr>
              <w:t>1</w:t>
            </w:r>
            <w:r w:rsidR="00847BB0">
              <w:rPr>
                <w:rFonts w:cs="Arial"/>
              </w:rPr>
              <w:t>0</w:t>
            </w:r>
            <w:r w:rsidR="004E49B0" w:rsidRPr="004E49B0">
              <w:rPr>
                <w:rFonts w:cs="Arial"/>
              </w:rPr>
              <w:t xml:space="preserve"> </w:t>
            </w:r>
            <w:r w:rsidR="00847BB0">
              <w:t xml:space="preserve"> </w:t>
            </w:r>
            <w:r w:rsidR="00847BB0" w:rsidRPr="00847BB0">
              <w:rPr>
                <w:rFonts w:cs="Arial"/>
              </w:rPr>
              <w:t xml:space="preserve">November </w:t>
            </w:r>
            <w:r w:rsidR="004E49B0" w:rsidRPr="004E49B0">
              <w:rPr>
                <w:rFonts w:cs="Arial"/>
              </w:rPr>
              <w:t>201</w:t>
            </w:r>
            <w:r w:rsidR="003A5DAC">
              <w:rPr>
                <w:rFonts w:cs="Arial"/>
              </w:rPr>
              <w:t>5</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ESMA </w:t>
      </w:r>
      <w:r w:rsidR="00332304" w:rsidRPr="00EF0769">
        <w:rPr>
          <w:rFonts w:cs="Arial"/>
        </w:rPr>
        <w:t xml:space="preserve">Consultation Paper </w:t>
      </w:r>
      <w:r w:rsidR="00332304">
        <w:rPr>
          <w:rFonts w:cs="Arial"/>
        </w:rPr>
        <w:t xml:space="preserve">on </w:t>
      </w:r>
      <w:r w:rsidR="006646DF" w:rsidRPr="006646DF">
        <w:rPr>
          <w:rFonts w:cs="Arial"/>
        </w:rPr>
        <w:t>PRIIPs Key Information Documents</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except for annexes);</w:t>
      </w:r>
    </w:p>
    <w:p w:rsidR="00F574D0" w:rsidRPr="00EF0769" w:rsidRDefault="00D75FEE" w:rsidP="00C95702">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&lt;ESMA_</w:t>
      </w:r>
      <w:r w:rsidR="00955F48" w:rsidRPr="00EF0769">
        <w:rPr>
          <w:rFonts w:cs="Arial"/>
        </w:rPr>
        <w:t>QUESTION_</w:t>
      </w:r>
      <w:r w:rsidR="006646DF">
        <w:rPr>
          <w:rFonts w:cs="Arial"/>
        </w:rPr>
        <w:t>PRIIPS</w:t>
      </w:r>
      <w:r w:rsidR="00E9344E" w:rsidRPr="00EF0769">
        <w:rPr>
          <w:rFonts w:cs="Arial"/>
        </w:rPr>
        <w:t>_</w:t>
      </w:r>
      <w:r w:rsidR="00F574D0" w:rsidRPr="00EF0769">
        <w:rPr>
          <w:rFonts w:cs="Arial"/>
        </w:rPr>
        <w:t>1&gt; - i.e. the response to one question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following format:</w:t>
      </w:r>
    </w:p>
    <w:p w:rsidR="000D17AA" w:rsidRPr="00EF0769" w:rsidRDefault="00021E83" w:rsidP="000D17AA">
      <w:pPr>
        <w:pStyle w:val="04BodyText"/>
        <w:spacing w:before="120" w:after="120"/>
        <w:jc w:val="left"/>
        <w:rPr>
          <w:rFonts w:cs="Arial"/>
        </w:rPr>
      </w:pPr>
      <w:r w:rsidRPr="00EF0769">
        <w:rPr>
          <w:rFonts w:cs="Arial"/>
        </w:rPr>
        <w:t>ESMA_</w:t>
      </w:r>
      <w:r w:rsidR="006646DF" w:rsidRPr="006646DF">
        <w:rPr>
          <w:rFonts w:cs="Arial"/>
        </w:rPr>
        <w:t xml:space="preserve"> </w:t>
      </w:r>
      <w:r w:rsidR="006646DF">
        <w:rPr>
          <w:rFonts w:cs="Arial"/>
        </w:rPr>
        <w:t>PRIIPS</w:t>
      </w:r>
      <w:r w:rsidR="006646DF" w:rsidRPr="00EF0769">
        <w:rPr>
          <w:rFonts w:cs="Arial"/>
        </w:rPr>
        <w:t xml:space="preserve"> </w:t>
      </w:r>
      <w:r w:rsidRPr="00EF0769">
        <w:rPr>
          <w:rFonts w:cs="Arial"/>
        </w:rPr>
        <w:t>_NAMEOFCOMPANY_NAMEOFDOCUMENT</w:t>
      </w:r>
      <w:r w:rsidR="000D17AA" w:rsidRPr="00EF0769">
        <w:rPr>
          <w:rFonts w:cs="Arial"/>
        </w:rPr>
        <w:t>.</w:t>
      </w:r>
    </w:p>
    <w:p w:rsidR="00021E83" w:rsidRPr="00EF0769" w:rsidRDefault="000D17AA" w:rsidP="000D17AA">
      <w:pPr>
        <w:pStyle w:val="04BodyText"/>
        <w:spacing w:before="120" w:after="120"/>
        <w:jc w:val="left"/>
        <w:rPr>
          <w:rFonts w:cs="Arial"/>
        </w:rPr>
      </w:pPr>
      <w:r w:rsidRPr="00EF0769">
        <w:rPr>
          <w:rFonts w:cs="Arial"/>
        </w:rPr>
        <w:t xml:space="preserve">E.g. if the respondent were </w:t>
      </w:r>
      <w:r w:rsidR="006646DF">
        <w:rPr>
          <w:rFonts w:cs="Arial"/>
        </w:rPr>
        <w:t>XXXX</w:t>
      </w:r>
      <w:r w:rsidRPr="00EF0769">
        <w:rPr>
          <w:rFonts w:cs="Arial"/>
        </w:rPr>
        <w:t xml:space="preserve">, the </w:t>
      </w:r>
      <w:r w:rsidR="00021E83" w:rsidRPr="00EF0769">
        <w:rPr>
          <w:rFonts w:cs="Arial"/>
        </w:rPr>
        <w:t>name of the reply form would be:</w:t>
      </w:r>
    </w:p>
    <w:p w:rsidR="00021E83" w:rsidRPr="00EF0769" w:rsidRDefault="00021E83" w:rsidP="000D17AA">
      <w:pPr>
        <w:pStyle w:val="04BodyText"/>
        <w:spacing w:before="120" w:after="120"/>
        <w:jc w:val="left"/>
        <w:rPr>
          <w:rFonts w:cs="Arial"/>
        </w:rPr>
      </w:pPr>
      <w:r w:rsidRPr="00EF0769">
        <w:rPr>
          <w:rFonts w:cs="Arial"/>
        </w:rPr>
        <w:t>ESMA_</w:t>
      </w:r>
      <w:r w:rsidR="006646DF" w:rsidRPr="006646DF">
        <w:rPr>
          <w:rFonts w:cs="Arial"/>
        </w:rPr>
        <w:t xml:space="preserve"> </w:t>
      </w:r>
      <w:r w:rsidR="006646DF">
        <w:rPr>
          <w:rFonts w:cs="Arial"/>
        </w:rPr>
        <w:t>PRIIPS</w:t>
      </w:r>
      <w:r w:rsidR="00332304">
        <w:rPr>
          <w:rFonts w:cs="Arial"/>
        </w:rPr>
        <w:t>_</w:t>
      </w:r>
      <w:r w:rsidR="006646DF">
        <w:rPr>
          <w:rFonts w:cs="Arial"/>
        </w:rPr>
        <w:t>XXXX</w:t>
      </w:r>
      <w:r w:rsidRPr="00EF0769">
        <w:rPr>
          <w:rFonts w:cs="Arial"/>
        </w:rPr>
        <w:t xml:space="preserve">_REPLYFORM or </w:t>
      </w:r>
    </w:p>
    <w:p w:rsidR="000D17AA" w:rsidRPr="00EF0769" w:rsidRDefault="00021E83" w:rsidP="000D17AA">
      <w:pPr>
        <w:pStyle w:val="04BodyText"/>
        <w:spacing w:before="120" w:after="120"/>
        <w:jc w:val="left"/>
        <w:rPr>
          <w:rFonts w:cs="Arial"/>
        </w:rPr>
      </w:pPr>
      <w:r w:rsidRPr="00EF0769">
        <w:rPr>
          <w:rFonts w:cs="Arial"/>
        </w:rPr>
        <w:t>ESMA_</w:t>
      </w:r>
      <w:r w:rsidR="006646DF" w:rsidRPr="006646DF">
        <w:rPr>
          <w:rFonts w:cs="Arial"/>
        </w:rPr>
        <w:t xml:space="preserve"> </w:t>
      </w:r>
      <w:r w:rsidR="006646DF">
        <w:rPr>
          <w:rFonts w:cs="Arial"/>
        </w:rPr>
        <w:t>PRIIPS_XXXX</w:t>
      </w:r>
      <w:r w:rsidRPr="00EF0769">
        <w:rPr>
          <w:rFonts w:cs="Arial"/>
        </w:rPr>
        <w:t>_ANNEX1</w:t>
      </w:r>
    </w:p>
    <w:p w:rsidR="004E1A0F" w:rsidRPr="00EF0769" w:rsidRDefault="004E1A0F" w:rsidP="00F574D0">
      <w:pPr>
        <w:pStyle w:val="04bList"/>
        <w:numPr>
          <w:ilvl w:val="0"/>
          <w:numId w:val="0"/>
        </w:numPr>
        <w:spacing w:before="120" w:after="120"/>
        <w:rPr>
          <w:rFonts w:cs="Arial"/>
        </w:rPr>
      </w:pPr>
      <w:r w:rsidRPr="00EF0769">
        <w:rPr>
          <w:rFonts w:cs="Arial"/>
        </w:rPr>
        <w:t>To help you navigate this document more easily, bookmarks are available in “Navigation Pane” for Word 2010 and in “Document Map” for Word 2007.</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A90381" w:rsidRPr="00A90381">
        <w:rPr>
          <w:rFonts w:cs="Arial"/>
          <w:b/>
        </w:rPr>
        <w:t>29 January 2016</w:t>
      </w:r>
      <w:r w:rsidR="00021E83" w:rsidRPr="00EF0769">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2" w:history="1">
        <w:r w:rsidRPr="00EF0769">
          <w:rPr>
            <w:rStyle w:val="Hyperlink"/>
            <w:rFonts w:cs="Arial"/>
          </w:rPr>
          <w:t>www.esma.europa.eu</w:t>
        </w:r>
      </w:hyperlink>
      <w:r w:rsidRPr="00EF0769">
        <w:rPr>
          <w:rFonts w:cs="Arial"/>
        </w:rPr>
        <w:t xml:space="preserve"> under the heading ‘Your input/Consultations’.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3"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D34282" w:rsidRPr="000E35CB" w:rsidRDefault="00332304" w:rsidP="000E35CB">
      <w:pPr>
        <w:rPr>
          <w:rFonts w:cs="Arial"/>
          <w:b/>
          <w:bCs/>
          <w:kern w:val="32"/>
          <w:sz w:val="24"/>
          <w:szCs w:val="32"/>
        </w:rPr>
      </w:pPr>
      <w:r>
        <w:br w:type="page"/>
      </w:r>
    </w:p>
    <w:p w:rsidR="00D34282" w:rsidRDefault="00D34282" w:rsidP="00D34282">
      <w:pPr>
        <w:spacing w:after="120" w:line="264" w:lineRule="auto"/>
      </w:pPr>
    </w:p>
    <w:p w:rsidR="00D34282" w:rsidRDefault="00D34282" w:rsidP="00D34282">
      <w:pPr>
        <w:pStyle w:val="Kop1"/>
        <w:numPr>
          <w:ilvl w:val="0"/>
          <w:numId w:val="0"/>
        </w:numPr>
        <w:ind w:left="431" w:hanging="431"/>
      </w:pPr>
      <w:r>
        <w:t>Introduction</w:t>
      </w:r>
    </w:p>
    <w:p w:rsidR="00C33ACE" w:rsidRPr="00C33ACE" w:rsidRDefault="00C33ACE" w:rsidP="00C33ACE"/>
    <w:p w:rsidR="00D34282" w:rsidRDefault="00D34282" w:rsidP="00D34282">
      <w:pPr>
        <w:rPr>
          <w:rStyle w:val="Intensievebenadrukking"/>
        </w:rPr>
      </w:pPr>
      <w:r w:rsidRPr="001D47A5">
        <w:rPr>
          <w:rStyle w:val="Intensievebenadrukking"/>
        </w:rPr>
        <w:t>Please make your introductory comments below, if any:</w:t>
      </w:r>
    </w:p>
    <w:p w:rsidR="002E2BC1" w:rsidRPr="001D47A5" w:rsidRDefault="002E2BC1" w:rsidP="00D34282">
      <w:pPr>
        <w:rPr>
          <w:rStyle w:val="Intensievebenadrukking"/>
        </w:rPr>
      </w:pPr>
    </w:p>
    <w:p w:rsidR="00D34282" w:rsidRPr="00C25863" w:rsidRDefault="00D34282" w:rsidP="00D34282">
      <w:r w:rsidRPr="00C25863">
        <w:t>&lt;</w:t>
      </w:r>
      <w:r>
        <w:t>ESMA_COMMENT</w:t>
      </w:r>
      <w:r w:rsidRPr="00C25863">
        <w:t>_</w:t>
      </w:r>
      <w:r w:rsidR="000E35CB">
        <w:rPr>
          <w:rFonts w:cs="Arial"/>
        </w:rPr>
        <w:t>PRIIPS</w:t>
      </w:r>
      <w:r w:rsidRPr="00C25863">
        <w:t>_1&gt;</w:t>
      </w:r>
    </w:p>
    <w:p w:rsidR="00D34282" w:rsidRPr="00B514B7" w:rsidRDefault="005D3FE7" w:rsidP="00D34282">
      <w:pPr>
        <w:rPr>
          <w:rFonts w:ascii="Arial Narrow" w:hAnsi="Arial Narrow"/>
          <w:sz w:val="22"/>
        </w:rPr>
      </w:pPr>
      <w:permStart w:id="1949190685" w:edGrp="everyone"/>
      <w:r w:rsidRPr="00B514B7">
        <w:rPr>
          <w:rFonts w:ascii="Arial Narrow" w:hAnsi="Arial Narrow"/>
          <w:sz w:val="22"/>
        </w:rPr>
        <w:t xml:space="preserve">The Dutch Investors’ Association VEB </w:t>
      </w:r>
      <w:r w:rsidR="00C958CC" w:rsidRPr="00B514B7">
        <w:rPr>
          <w:rFonts w:ascii="Arial Narrow" w:hAnsi="Arial Narrow"/>
          <w:sz w:val="22"/>
        </w:rPr>
        <w:t>was founded in 1924 with the objective of representing</w:t>
      </w:r>
      <w:r w:rsidRPr="00B514B7">
        <w:rPr>
          <w:rFonts w:ascii="Arial Narrow" w:hAnsi="Arial Narrow"/>
          <w:sz w:val="22"/>
        </w:rPr>
        <w:t xml:space="preserve"> t</w:t>
      </w:r>
      <w:r w:rsidR="00C958CC" w:rsidRPr="00B514B7">
        <w:rPr>
          <w:rFonts w:ascii="Arial Narrow" w:hAnsi="Arial Narrow"/>
          <w:sz w:val="22"/>
        </w:rPr>
        <w:t>he interests of retail and institutional investors. Today, it is the largest investors’ association in the Benelux with more than 45,000 members. VEB aims to be a strong advocate for investors’ rights, both in and out of court, and always welcomes the opportunity to comment on Level 2 work that is being prepared by the European Supervisory Authorities (ESAs).</w:t>
      </w:r>
    </w:p>
    <w:p w:rsidR="00C958CC" w:rsidRPr="00B514B7" w:rsidRDefault="00C958CC" w:rsidP="00D34282">
      <w:pPr>
        <w:rPr>
          <w:rFonts w:ascii="Arial Narrow" w:hAnsi="Arial Narrow"/>
          <w:sz w:val="22"/>
        </w:rPr>
      </w:pPr>
    </w:p>
    <w:p w:rsidR="00C958CC" w:rsidRPr="00B514B7" w:rsidRDefault="00C958CC" w:rsidP="00D34282">
      <w:pPr>
        <w:rPr>
          <w:rFonts w:ascii="Arial Narrow" w:hAnsi="Arial Narrow"/>
          <w:sz w:val="22"/>
        </w:rPr>
      </w:pPr>
      <w:r w:rsidRPr="00B514B7">
        <w:rPr>
          <w:rFonts w:ascii="Arial Narrow" w:hAnsi="Arial Narrow"/>
          <w:sz w:val="22"/>
        </w:rPr>
        <w:t xml:space="preserve">VEB is very supportive of the introduction of a concise and standardized document for all Packaged Retail and Insurance-based Investment Products (PRIIPS). Before answering the specific question posed by the ESAs, VEB would like to </w:t>
      </w:r>
      <w:r w:rsidR="006F728F" w:rsidRPr="00B514B7">
        <w:rPr>
          <w:rFonts w:ascii="Arial Narrow" w:hAnsi="Arial Narrow"/>
          <w:sz w:val="22"/>
        </w:rPr>
        <w:t>list its most important suggestions regarding the contents and presentation of the main sections of the Key Information Document (KID):</w:t>
      </w:r>
    </w:p>
    <w:p w:rsidR="006F728F" w:rsidRPr="00B514B7" w:rsidRDefault="006F728F" w:rsidP="00D34282">
      <w:pPr>
        <w:rPr>
          <w:rFonts w:ascii="Arial Narrow" w:hAnsi="Arial Narrow"/>
          <w:sz w:val="22"/>
        </w:rPr>
      </w:pPr>
    </w:p>
    <w:p w:rsidR="006F728F" w:rsidRPr="00B514B7" w:rsidRDefault="006F728F" w:rsidP="006F728F">
      <w:pPr>
        <w:pStyle w:val="Lijstalinea"/>
        <w:numPr>
          <w:ilvl w:val="0"/>
          <w:numId w:val="54"/>
        </w:numPr>
        <w:rPr>
          <w:rFonts w:ascii="Arial Narrow" w:hAnsi="Arial Narrow"/>
          <w:sz w:val="22"/>
        </w:rPr>
      </w:pPr>
      <w:r w:rsidRPr="00355849">
        <w:rPr>
          <w:rFonts w:ascii="Arial Narrow" w:hAnsi="Arial Narrow"/>
          <w:i/>
          <w:sz w:val="22"/>
        </w:rPr>
        <w:t>Comprehension alert:</w:t>
      </w:r>
      <w:r w:rsidRPr="00B514B7">
        <w:rPr>
          <w:rFonts w:ascii="Arial Narrow" w:hAnsi="Arial Narrow"/>
          <w:sz w:val="22"/>
        </w:rPr>
        <w:t xml:space="preserve"> VEB would welcome Guidelines of the ESAs clarifying</w:t>
      </w:r>
      <w:r w:rsidR="00B514B7" w:rsidRPr="00B514B7">
        <w:rPr>
          <w:rFonts w:ascii="Arial Narrow" w:hAnsi="Arial Narrow"/>
          <w:sz w:val="22"/>
        </w:rPr>
        <w:t xml:space="preserve"> recital 18 to ensure the comprehension alert is applied adequately and consistently across the EU (see Question 1) </w:t>
      </w:r>
    </w:p>
    <w:p w:rsidR="00B514B7" w:rsidRPr="00B514B7" w:rsidRDefault="00B514B7" w:rsidP="00B514B7">
      <w:pPr>
        <w:pStyle w:val="Lijstalinea"/>
        <w:rPr>
          <w:rFonts w:ascii="Arial Narrow" w:hAnsi="Arial Narrow"/>
          <w:sz w:val="22"/>
        </w:rPr>
      </w:pPr>
    </w:p>
    <w:p w:rsidR="006F728F" w:rsidRPr="00B514B7" w:rsidRDefault="006F728F" w:rsidP="006F728F">
      <w:pPr>
        <w:pStyle w:val="Lijstalinea"/>
        <w:numPr>
          <w:ilvl w:val="0"/>
          <w:numId w:val="54"/>
        </w:numPr>
        <w:rPr>
          <w:rFonts w:ascii="Arial Narrow" w:hAnsi="Arial Narrow"/>
          <w:sz w:val="22"/>
        </w:rPr>
      </w:pPr>
      <w:r w:rsidRPr="00355849">
        <w:rPr>
          <w:rFonts w:ascii="Arial Narrow" w:hAnsi="Arial Narrow"/>
          <w:i/>
          <w:sz w:val="22"/>
        </w:rPr>
        <w:t>Risk:</w:t>
      </w:r>
      <w:r w:rsidRPr="00B514B7">
        <w:rPr>
          <w:rFonts w:ascii="Arial Narrow" w:hAnsi="Arial Narrow"/>
          <w:sz w:val="22"/>
        </w:rPr>
        <w:t xml:space="preserve"> </w:t>
      </w:r>
      <w:r w:rsidR="009F13DD" w:rsidRPr="00B514B7">
        <w:rPr>
          <w:rFonts w:ascii="Arial Narrow" w:hAnsi="Arial Narrow"/>
          <w:sz w:val="22"/>
        </w:rPr>
        <w:t xml:space="preserve">VEB supports the introduction of </w:t>
      </w:r>
      <w:r w:rsidR="00B514B7" w:rsidRPr="00B514B7">
        <w:rPr>
          <w:rFonts w:ascii="Arial Narrow" w:hAnsi="Arial Narrow"/>
          <w:sz w:val="22"/>
        </w:rPr>
        <w:t xml:space="preserve">a </w:t>
      </w:r>
      <w:r w:rsidR="009F13DD" w:rsidRPr="00B514B7">
        <w:rPr>
          <w:rFonts w:ascii="Arial Narrow" w:hAnsi="Arial Narrow"/>
          <w:sz w:val="22"/>
        </w:rPr>
        <w:t xml:space="preserve">Summary Risk Indicator (SRI). However, as the SRI does not allow for much differentiation between products of the same category, </w:t>
      </w:r>
      <w:r w:rsidR="00DB76D0" w:rsidRPr="00B514B7">
        <w:rPr>
          <w:rFonts w:ascii="Arial Narrow" w:hAnsi="Arial Narrow"/>
          <w:sz w:val="22"/>
        </w:rPr>
        <w:t xml:space="preserve">we believe products that score relatively high on credit, market or liquidity risk (i.e. compared to other products within the same category) </w:t>
      </w:r>
      <w:r w:rsidR="009F13DD" w:rsidRPr="00B514B7">
        <w:rPr>
          <w:rFonts w:ascii="Arial Narrow" w:hAnsi="Arial Narrow"/>
          <w:sz w:val="22"/>
        </w:rPr>
        <w:t>should be earmarked (see Question 8).</w:t>
      </w:r>
    </w:p>
    <w:p w:rsidR="00B514B7" w:rsidRPr="00B514B7" w:rsidRDefault="00B514B7" w:rsidP="00B514B7">
      <w:pPr>
        <w:pStyle w:val="Lijstalinea"/>
        <w:rPr>
          <w:rFonts w:ascii="Arial Narrow" w:hAnsi="Arial Narrow"/>
          <w:sz w:val="22"/>
        </w:rPr>
      </w:pPr>
    </w:p>
    <w:p w:rsidR="006F728F" w:rsidRPr="00B514B7" w:rsidRDefault="006F728F" w:rsidP="009F13DD">
      <w:pPr>
        <w:pStyle w:val="Lijstalinea"/>
        <w:numPr>
          <w:ilvl w:val="0"/>
          <w:numId w:val="54"/>
        </w:numPr>
        <w:rPr>
          <w:rFonts w:ascii="Arial Narrow" w:hAnsi="Arial Narrow"/>
          <w:sz w:val="22"/>
        </w:rPr>
      </w:pPr>
      <w:r w:rsidRPr="00355849">
        <w:rPr>
          <w:rFonts w:ascii="Arial Narrow" w:hAnsi="Arial Narrow"/>
          <w:i/>
          <w:sz w:val="22"/>
        </w:rPr>
        <w:t>Performance section:</w:t>
      </w:r>
      <w:r w:rsidRPr="00B514B7">
        <w:rPr>
          <w:rFonts w:ascii="Arial Narrow" w:hAnsi="Arial Narrow"/>
          <w:sz w:val="22"/>
        </w:rPr>
        <w:t xml:space="preserve"> VEB believes </w:t>
      </w:r>
      <w:r w:rsidR="009F13DD" w:rsidRPr="00B514B7">
        <w:rPr>
          <w:rFonts w:ascii="Arial Narrow" w:hAnsi="Arial Narrow"/>
          <w:sz w:val="22"/>
        </w:rPr>
        <w:t xml:space="preserve">the information on performance disclosed in the KID should not be based on forecasts of future returns under different market conditions, but on historical performance figures. However, assuming the ESAs will opt for a forward looking approach, VEB would </w:t>
      </w:r>
      <w:r w:rsidRPr="00B514B7">
        <w:rPr>
          <w:rFonts w:ascii="Arial Narrow" w:hAnsi="Arial Narrow"/>
          <w:sz w:val="22"/>
        </w:rPr>
        <w:t xml:space="preserve">support a more graphic presentation of the different performance scenario’s </w:t>
      </w:r>
      <w:r w:rsidR="009F13DD" w:rsidRPr="00B514B7">
        <w:rPr>
          <w:rFonts w:ascii="Arial Narrow" w:hAnsi="Arial Narrow"/>
          <w:sz w:val="22"/>
        </w:rPr>
        <w:t>which also provides information on the probability of each scenario</w:t>
      </w:r>
      <w:r w:rsidR="008B5556">
        <w:rPr>
          <w:rFonts w:ascii="Arial Narrow" w:hAnsi="Arial Narrow"/>
          <w:sz w:val="22"/>
        </w:rPr>
        <w:t>. In addition to the three scenario´s (unfavourable, moderate and favourable), there should be a fourth scenario: the so-called ´worst-case´ scenario</w:t>
      </w:r>
      <w:r w:rsidR="008B5556" w:rsidRPr="00B514B7">
        <w:rPr>
          <w:rFonts w:ascii="Arial Narrow" w:hAnsi="Arial Narrow"/>
          <w:sz w:val="22"/>
        </w:rPr>
        <w:t xml:space="preserve"> (see Question 15)</w:t>
      </w:r>
      <w:r w:rsidR="008B5556">
        <w:rPr>
          <w:rFonts w:ascii="Arial Narrow" w:hAnsi="Arial Narrow"/>
          <w:sz w:val="22"/>
        </w:rPr>
        <w:t xml:space="preserve">. </w:t>
      </w:r>
      <w:r w:rsidR="009F13DD" w:rsidRPr="00B514B7">
        <w:rPr>
          <w:rFonts w:ascii="Arial Narrow" w:hAnsi="Arial Narrow"/>
          <w:sz w:val="22"/>
        </w:rPr>
        <w:t xml:space="preserve"> (see Question 15)</w:t>
      </w:r>
    </w:p>
    <w:p w:rsidR="00B514B7" w:rsidRPr="00B514B7" w:rsidRDefault="00B514B7" w:rsidP="00B514B7">
      <w:pPr>
        <w:pStyle w:val="Lijstalinea"/>
        <w:rPr>
          <w:rFonts w:ascii="Arial Narrow" w:hAnsi="Arial Narrow"/>
          <w:sz w:val="22"/>
        </w:rPr>
      </w:pPr>
    </w:p>
    <w:p w:rsidR="006F728F" w:rsidRPr="00B514B7" w:rsidRDefault="006F728F" w:rsidP="00D34282">
      <w:pPr>
        <w:pStyle w:val="Lijstalinea"/>
        <w:numPr>
          <w:ilvl w:val="0"/>
          <w:numId w:val="54"/>
        </w:numPr>
        <w:rPr>
          <w:rFonts w:ascii="Arial Narrow" w:hAnsi="Arial Narrow"/>
          <w:sz w:val="22"/>
        </w:rPr>
      </w:pPr>
      <w:r w:rsidRPr="00355849">
        <w:rPr>
          <w:rFonts w:ascii="Arial Narrow" w:hAnsi="Arial Narrow"/>
          <w:i/>
          <w:sz w:val="22"/>
        </w:rPr>
        <w:t>Costs:</w:t>
      </w:r>
      <w:r w:rsidRPr="00B514B7">
        <w:rPr>
          <w:rFonts w:ascii="Arial Narrow" w:hAnsi="Arial Narrow"/>
          <w:sz w:val="22"/>
        </w:rPr>
        <w:t xml:space="preserve"> VEB supports a more graphic representation of the ‘composition of costs’ table (see Question 22). Also, we believe retail investors should be made aware of the compounding effects of cos</w:t>
      </w:r>
      <w:r w:rsidR="009F13DD" w:rsidRPr="00B514B7">
        <w:rPr>
          <w:rFonts w:ascii="Arial Narrow" w:hAnsi="Arial Narrow"/>
          <w:sz w:val="22"/>
        </w:rPr>
        <w:t>ts through a graph that shows the return over time in a ‘cost-free’ scenario compared to the return in a ‘cost-included’ scenario. Finally, VEB thinks benchmarking of costs would have added value</w:t>
      </w:r>
      <w:r w:rsidR="00B514B7" w:rsidRPr="00B514B7">
        <w:rPr>
          <w:rFonts w:ascii="Arial Narrow" w:hAnsi="Arial Narrow"/>
          <w:sz w:val="22"/>
        </w:rPr>
        <w:t xml:space="preserve"> (Question 26</w:t>
      </w:r>
      <w:r w:rsidR="009F13DD" w:rsidRPr="00B514B7">
        <w:rPr>
          <w:rFonts w:ascii="Arial Narrow" w:hAnsi="Arial Narrow"/>
          <w:sz w:val="22"/>
        </w:rPr>
        <w:t>)</w:t>
      </w:r>
    </w:p>
    <w:permEnd w:id="1949190685"/>
    <w:p w:rsidR="00D34282" w:rsidRPr="00C25863" w:rsidRDefault="00D34282" w:rsidP="00D34282">
      <w:r w:rsidRPr="00C25863">
        <w:t>&lt;</w:t>
      </w:r>
      <w:r>
        <w:t>ESMA_COMMENT</w:t>
      </w:r>
      <w:r w:rsidRPr="00C25863">
        <w:t>_</w:t>
      </w:r>
      <w:r w:rsidR="000E35CB" w:rsidRPr="000E35CB">
        <w:rPr>
          <w:rFonts w:cs="Arial"/>
        </w:rPr>
        <w:t xml:space="preserve"> </w:t>
      </w:r>
      <w:r w:rsidR="000E35CB">
        <w:rPr>
          <w:rFonts w:cs="Arial"/>
        </w:rPr>
        <w:t>PRIIPS</w:t>
      </w:r>
      <w:r w:rsidRPr="00C25863">
        <w:t>_1&gt;</w:t>
      </w:r>
    </w:p>
    <w:p w:rsidR="00580880" w:rsidRDefault="00F32462" w:rsidP="00580880">
      <w:pPr>
        <w:pStyle w:val="QUESTIONSESMA"/>
      </w:pPr>
      <w:r>
        <w:rPr>
          <w:rFonts w:cs="Arial"/>
        </w:rPr>
        <w:br w:type="page"/>
      </w:r>
    </w:p>
    <w:p w:rsidR="00580880" w:rsidRPr="005A512B" w:rsidRDefault="00580880" w:rsidP="00580880">
      <w:pPr>
        <w:pBdr>
          <w:top w:val="single" w:sz="4" w:space="1" w:color="auto"/>
          <w:left w:val="single" w:sz="4" w:space="4" w:color="auto"/>
          <w:bottom w:val="single" w:sz="4" w:space="2" w:color="auto"/>
          <w:right w:val="single" w:sz="4" w:space="4" w:color="auto"/>
        </w:pBdr>
        <w:jc w:val="both"/>
        <w:rPr>
          <w:b/>
          <w:i/>
          <w:iCs/>
        </w:rPr>
      </w:pPr>
      <w:r w:rsidRPr="005A512B">
        <w:rPr>
          <w:b/>
          <w:i/>
          <w:iCs/>
        </w:rPr>
        <w:lastRenderedPageBreak/>
        <w:t>Question 1</w:t>
      </w:r>
    </w:p>
    <w:p w:rsidR="00580880" w:rsidRPr="005A512B" w:rsidRDefault="00580880" w:rsidP="00580880">
      <w:pPr>
        <w:pBdr>
          <w:top w:val="single" w:sz="4" w:space="1" w:color="auto"/>
          <w:left w:val="single" w:sz="4" w:space="4" w:color="auto"/>
          <w:bottom w:val="single" w:sz="4" w:space="2" w:color="auto"/>
          <w:right w:val="single" w:sz="4" w:space="4" w:color="auto"/>
        </w:pBdr>
        <w:jc w:val="both"/>
      </w:pPr>
      <w:r w:rsidRPr="005A512B">
        <w:rPr>
          <w:i/>
          <w:iCs/>
        </w:rPr>
        <w:t>Would you see merit in the ESAs clarifying further the criteria set out in Recital 18 mentioned above by way of guidelines?</w:t>
      </w:r>
    </w:p>
    <w:p w:rsidR="00580880" w:rsidRDefault="00580880" w:rsidP="00750796"/>
    <w:p w:rsidR="00750796" w:rsidRDefault="00750796" w:rsidP="00750796">
      <w:r>
        <w:t>&lt;ESMA_QUESTION_</w:t>
      </w:r>
      <w:r w:rsidR="003E4B00">
        <w:t>PRIIPS</w:t>
      </w:r>
      <w:r>
        <w:t>_1&gt;</w:t>
      </w:r>
    </w:p>
    <w:p w:rsidR="005D3FE7" w:rsidRPr="00B514B7" w:rsidRDefault="005D3FE7" w:rsidP="005D3FE7">
      <w:pPr>
        <w:spacing w:after="120"/>
        <w:rPr>
          <w:rFonts w:ascii="Arial Narrow" w:hAnsi="Arial Narrow" w:cs="Arial"/>
          <w:sz w:val="22"/>
        </w:rPr>
      </w:pPr>
      <w:permStart w:id="619080488" w:edGrp="everyone"/>
      <w:r w:rsidRPr="00B514B7">
        <w:rPr>
          <w:rFonts w:ascii="Arial Narrow" w:hAnsi="Arial Narrow" w:cs="Arial"/>
          <w:sz w:val="22"/>
        </w:rPr>
        <w:t>Yes. The comprehension alert is crucial for the mitigation of misselling risks. VEB therefore thinks a pro-active approach is required to ensure this alert is applied adequately and consistently across the EU. ESA guidelines clarifying the criteria set out in recital 18 would definitely be helpful in this regard, especially because the wording in recital 18 is rather vague:</w:t>
      </w:r>
    </w:p>
    <w:p w:rsidR="005D3FE7" w:rsidRPr="00B514B7" w:rsidRDefault="005D3FE7" w:rsidP="005D3FE7">
      <w:pPr>
        <w:rPr>
          <w:rFonts w:ascii="Arial Narrow" w:hAnsi="Arial Narrow" w:cs="Arial"/>
          <w:sz w:val="22"/>
        </w:rPr>
      </w:pPr>
      <w:r w:rsidRPr="00B514B7">
        <w:rPr>
          <w:rFonts w:ascii="Arial Narrow" w:hAnsi="Arial Narrow" w:cs="Arial"/>
          <w:sz w:val="22"/>
        </w:rPr>
        <w:t>“A product should be regarded as not being simple and as being difficult to understand in particular if it invests in underlying assets in which retail investors do not commonly invest, if it uses a number of different mechanisms to calculate the final return of the investment, creating a greater risk of misunderstanding on the part of the retail investor or if the investment's pay-off takes advantage of retail investor's behavioural biases, such as a teaser rate followed by a much higher floating conditional rate, or an iterative formula”.</w:t>
      </w:r>
    </w:p>
    <w:permEnd w:id="619080488"/>
    <w:p w:rsidR="00750796" w:rsidRDefault="00750796" w:rsidP="00750796">
      <w:r>
        <w:t>&lt;ESMA_QUESTION_</w:t>
      </w:r>
      <w:r w:rsidR="003E4B00">
        <w:t>PRIIPS</w:t>
      </w:r>
      <w:r>
        <w:t>_1&gt;</w:t>
      </w:r>
    </w:p>
    <w:p w:rsidR="00580880" w:rsidRDefault="00580880" w:rsidP="00750796"/>
    <w:p w:rsidR="00580880" w:rsidRDefault="00580880" w:rsidP="00750796">
      <w:pPr>
        <w:rPr>
          <w:rFonts w:cstheme="minorBidi"/>
          <w:b/>
          <w:szCs w:val="22"/>
          <w:lang w:eastAsia="en-US"/>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2</w:t>
      </w:r>
    </w:p>
    <w:p w:rsidR="00580880" w:rsidRPr="00580880" w:rsidRDefault="00580880" w:rsidP="00580880">
      <w:pPr>
        <w:numPr>
          <w:ilvl w:val="0"/>
          <w:numId w:val="51"/>
        </w:numPr>
        <w:pBdr>
          <w:top w:val="single" w:sz="4" w:space="1" w:color="auto"/>
          <w:left w:val="single" w:sz="4" w:space="4" w:color="auto"/>
          <w:bottom w:val="single" w:sz="4" w:space="1" w:color="auto"/>
          <w:right w:val="single" w:sz="4" w:space="4" w:color="auto"/>
        </w:pBdr>
        <w:contextualSpacing/>
        <w:rPr>
          <w:rFonts w:ascii="Calibri" w:hAnsi="Calibri"/>
          <w:i/>
          <w:sz w:val="22"/>
          <w:lang w:eastAsia="en-US"/>
        </w:rPr>
      </w:pPr>
      <w:r w:rsidRPr="00580880">
        <w:rPr>
          <w:rFonts w:ascii="Calibri" w:hAnsi="Calibri"/>
          <w:i/>
          <w:sz w:val="22"/>
          <w:lang w:eastAsia="en-US"/>
        </w:rPr>
        <w:t>Would you agree with the assumptions used for the proposed default amounts? Are you of the opinion that these prescribed amounts should be amended? If yes, how and why?</w:t>
      </w:r>
    </w:p>
    <w:p w:rsidR="00580880" w:rsidRPr="00580880" w:rsidRDefault="00580880" w:rsidP="00580880">
      <w:pPr>
        <w:numPr>
          <w:ilvl w:val="0"/>
          <w:numId w:val="51"/>
        </w:numPr>
        <w:pBdr>
          <w:top w:val="single" w:sz="4" w:space="1" w:color="auto"/>
          <w:left w:val="single" w:sz="4" w:space="4" w:color="auto"/>
          <w:bottom w:val="single" w:sz="4" w:space="1" w:color="auto"/>
          <w:right w:val="single" w:sz="4" w:space="4" w:color="auto"/>
        </w:pBdr>
        <w:contextualSpacing/>
        <w:rPr>
          <w:rFonts w:ascii="Calibri" w:hAnsi="Calibri"/>
          <w:sz w:val="22"/>
          <w:lang w:eastAsia="en-US"/>
        </w:rPr>
      </w:pPr>
      <w:r w:rsidRPr="00580880">
        <w:rPr>
          <w:rFonts w:ascii="Calibri" w:hAnsi="Calibri"/>
          <w:i/>
          <w:sz w:val="22"/>
          <w:lang w:eastAsia="en-US"/>
        </w:rPr>
        <w:t>Would you favour an approach in which the prescribed standardised amount is the default option, unless the PRIIP has a known required investment amount and price which can be used instead?</w:t>
      </w:r>
    </w:p>
    <w:p w:rsidR="00580880" w:rsidRDefault="00580880" w:rsidP="00750796">
      <w:pPr>
        <w:rPr>
          <w:rFonts w:cstheme="minorBidi"/>
          <w:b/>
          <w:szCs w:val="22"/>
          <w:lang w:eastAsia="en-US"/>
        </w:rPr>
      </w:pPr>
    </w:p>
    <w:p w:rsidR="00750796" w:rsidRDefault="00750796" w:rsidP="00750796">
      <w:r>
        <w:t>&lt;ESMA_QUESTION_</w:t>
      </w:r>
      <w:r w:rsidR="003E4B00">
        <w:t>PRIIPS</w:t>
      </w:r>
      <w:r>
        <w:t>_2&gt;</w:t>
      </w:r>
    </w:p>
    <w:p w:rsidR="005D3FE7" w:rsidRPr="00B514B7" w:rsidRDefault="005D3FE7" w:rsidP="005D3FE7">
      <w:pPr>
        <w:spacing w:after="120"/>
        <w:rPr>
          <w:rFonts w:ascii="Arial Narrow" w:hAnsi="Arial Narrow" w:cs="Arial"/>
          <w:sz w:val="22"/>
          <w:lang w:val="en-US"/>
        </w:rPr>
      </w:pPr>
      <w:permStart w:id="1127566362" w:edGrp="everyone"/>
      <w:r w:rsidRPr="00B514B7">
        <w:rPr>
          <w:rFonts w:ascii="Arial Narrow" w:hAnsi="Arial Narrow" w:cs="Arial"/>
          <w:sz w:val="22"/>
          <w:lang w:val="en-US"/>
        </w:rPr>
        <w:t xml:space="preserve">VEB supports the use of standardized investment amounts, in order to allow consumers to easily compare monetary values provided in the PRIIP. An important question is whether the standardized investment amount for investment funds should be based on (i) the average amount that is invested in a single investment fund per transaction, or (ii) the average total amount invested in a single investment fund (one or more transactions). </w:t>
      </w:r>
    </w:p>
    <w:p w:rsidR="005D3FE7" w:rsidRPr="00B514B7" w:rsidRDefault="005D3FE7" w:rsidP="005D3FE7">
      <w:pPr>
        <w:spacing w:after="120"/>
        <w:rPr>
          <w:rFonts w:ascii="Arial Narrow" w:hAnsi="Arial Narrow" w:cs="Arial"/>
          <w:sz w:val="22"/>
          <w:lang w:val="en-US"/>
        </w:rPr>
      </w:pPr>
      <w:r w:rsidRPr="00B514B7">
        <w:rPr>
          <w:rFonts w:ascii="Arial Narrow" w:hAnsi="Arial Narrow" w:cs="Arial"/>
          <w:sz w:val="22"/>
          <w:lang w:val="en-US"/>
        </w:rPr>
        <w:t>We believe it should be based on (i). We therefore think €1.000,- as the standardized investment amount for investment funds seems appropriate.</w:t>
      </w:r>
    </w:p>
    <w:p w:rsidR="005D3FE7" w:rsidRPr="00B514B7" w:rsidRDefault="005D3FE7" w:rsidP="005D3FE7">
      <w:pPr>
        <w:rPr>
          <w:rFonts w:ascii="Arial Narrow" w:hAnsi="Arial Narrow" w:cs="Arial"/>
          <w:sz w:val="22"/>
          <w:lang w:val="en-US"/>
        </w:rPr>
      </w:pPr>
      <w:r w:rsidRPr="00B514B7">
        <w:rPr>
          <w:rFonts w:ascii="Arial Narrow" w:hAnsi="Arial Narrow" w:cs="Arial"/>
          <w:sz w:val="22"/>
          <w:lang w:val="en-US"/>
        </w:rPr>
        <w:t xml:space="preserve">For the sake of comparability of information provided on costs and performance, VEB believes it is of great importance that the standardized investment amount also applies to PRIIPs which have a known required investment amount, provided that the consumer is clearly informed that the information on costs and performance is not based on the investment amount required. </w:t>
      </w:r>
    </w:p>
    <w:permEnd w:id="1127566362"/>
    <w:p w:rsidR="00750796" w:rsidRPr="00580880" w:rsidRDefault="00750796" w:rsidP="00750796">
      <w:pPr>
        <w:rPr>
          <w:lang w:val="fr-FR"/>
        </w:rPr>
      </w:pPr>
      <w:r w:rsidRPr="00580880">
        <w:rPr>
          <w:lang w:val="fr-FR"/>
        </w:rPr>
        <w:t>&lt;ESMA_QUESTION_</w:t>
      </w:r>
      <w:r w:rsidR="003E4B00">
        <w:rPr>
          <w:lang w:val="fr-FR"/>
        </w:rPr>
        <w:t>PRIIPS</w:t>
      </w:r>
      <w:r w:rsidRPr="00580880">
        <w:rPr>
          <w:lang w:val="fr-FR"/>
        </w:rPr>
        <w:t>_2&gt;</w:t>
      </w:r>
    </w:p>
    <w:p w:rsidR="00855D9F" w:rsidRDefault="00855D9F" w:rsidP="00750796">
      <w:pPr>
        <w:rPr>
          <w:lang w:val="fr-FR"/>
        </w:rPr>
      </w:pPr>
    </w:p>
    <w:p w:rsidR="00580880" w:rsidRPr="00580880" w:rsidRDefault="00580880" w:rsidP="00750796">
      <w:pPr>
        <w:rPr>
          <w:lang w:val="fr-FR"/>
        </w:rPr>
      </w:pPr>
    </w:p>
    <w:p w:rsidR="00580880" w:rsidRPr="00580880" w:rsidRDefault="00580880" w:rsidP="00580880">
      <w:pPr>
        <w:keepNext/>
        <w:keepLines/>
        <w:pBdr>
          <w:top w:val="single" w:sz="4" w:space="1" w:color="auto"/>
          <w:left w:val="single" w:sz="4" w:space="4" w:color="auto"/>
          <w:bottom w:val="single" w:sz="4" w:space="1" w:color="auto"/>
          <w:right w:val="single" w:sz="4" w:space="4" w:color="auto"/>
        </w:pBdr>
        <w:rPr>
          <w:b/>
          <w:i/>
          <w:lang w:val="fr-FR"/>
        </w:rPr>
      </w:pPr>
      <w:r w:rsidRPr="00580880">
        <w:rPr>
          <w:b/>
          <w:i/>
          <w:lang w:val="fr-FR"/>
        </w:rPr>
        <w:t>Question 3</w:t>
      </w:r>
    </w:p>
    <w:p w:rsidR="00580880" w:rsidRPr="00EF0F1C" w:rsidRDefault="00580880" w:rsidP="00580880">
      <w:pPr>
        <w:keepNext/>
        <w:keepLines/>
        <w:pBdr>
          <w:top w:val="single" w:sz="4" w:space="1" w:color="auto"/>
          <w:left w:val="single" w:sz="4" w:space="4" w:color="auto"/>
          <w:bottom w:val="single" w:sz="4" w:space="1" w:color="auto"/>
          <w:right w:val="single" w:sz="4" w:space="4" w:color="auto"/>
        </w:pBdr>
      </w:pPr>
      <w:r w:rsidRPr="00EF0F1C">
        <w:rPr>
          <w:i/>
        </w:rPr>
        <w:t xml:space="preserve">For PRIIPs that fall into category II and for which the Cornish Fisher expansion is used as a methodology to compute the VaR equivalent Volatility do you think a bootstrapping approach should be used instead? Please explain the reasons for your opinion? </w:t>
      </w:r>
    </w:p>
    <w:p w:rsidR="00580880" w:rsidRDefault="00580880" w:rsidP="00750796"/>
    <w:p w:rsidR="00750796" w:rsidRDefault="00750796" w:rsidP="00750796">
      <w:r>
        <w:t>&lt;ESMA_QUESTION_</w:t>
      </w:r>
      <w:r w:rsidR="003E4B00">
        <w:t>PRIIPS</w:t>
      </w:r>
      <w:r>
        <w:t>_3&gt;</w:t>
      </w:r>
    </w:p>
    <w:p w:rsidR="005D3FE7" w:rsidRPr="00B514B7" w:rsidRDefault="005D3FE7" w:rsidP="005D3FE7">
      <w:pPr>
        <w:rPr>
          <w:rFonts w:ascii="Arial Narrow" w:hAnsi="Arial Narrow" w:cs="Arial"/>
          <w:sz w:val="22"/>
          <w:lang w:val="en-US"/>
        </w:rPr>
      </w:pPr>
      <w:permStart w:id="1569000263" w:edGrp="everyone"/>
      <w:r w:rsidRPr="00B514B7">
        <w:rPr>
          <w:rFonts w:ascii="Arial Narrow" w:hAnsi="Arial Narrow" w:cs="Arial"/>
          <w:sz w:val="22"/>
          <w:lang w:val="en-US"/>
        </w:rPr>
        <w:t xml:space="preserve">Ideally, the same methodology should be used for all PRIIPS. However, if for categories II PRIIPs, the Corner Fisher expansion is easier to implement as the bootstrapping approach, we do not object to its use, provided that it yields the same </w:t>
      </w:r>
      <w:proofErr w:type="spellStart"/>
      <w:r w:rsidRPr="00B514B7">
        <w:rPr>
          <w:rFonts w:ascii="Arial Narrow" w:hAnsi="Arial Narrow" w:cs="Arial"/>
          <w:sz w:val="22"/>
          <w:lang w:val="en-US"/>
        </w:rPr>
        <w:t>VaR</w:t>
      </w:r>
      <w:proofErr w:type="spellEnd"/>
      <w:r w:rsidRPr="00B514B7">
        <w:rPr>
          <w:rFonts w:ascii="Arial Narrow" w:hAnsi="Arial Narrow" w:cs="Arial"/>
          <w:sz w:val="22"/>
          <w:lang w:val="en-US"/>
        </w:rPr>
        <w:t xml:space="preserve"> equivalent volatility. The method used should of course not have any impact of the MRM class the PRIIP is assigned to. We believe it is important to emphasize that the choice of methodology should not be left to the manufacturer. </w:t>
      </w:r>
    </w:p>
    <w:permEnd w:id="1569000263"/>
    <w:p w:rsidR="00750796" w:rsidRDefault="00750796" w:rsidP="00750796">
      <w:pPr>
        <w:rPr>
          <w:lang w:val="fr-FR"/>
        </w:rPr>
      </w:pPr>
      <w:r w:rsidRPr="00580880">
        <w:rPr>
          <w:lang w:val="fr-FR"/>
        </w:rPr>
        <w:t>&lt;ESMA_QUESTION_</w:t>
      </w:r>
      <w:r w:rsidR="003E4B00">
        <w:rPr>
          <w:lang w:val="fr-FR"/>
        </w:rPr>
        <w:t>PRIIPS</w:t>
      </w:r>
      <w:r w:rsidRPr="00580880">
        <w:rPr>
          <w:lang w:val="fr-FR"/>
        </w:rPr>
        <w:t>_3&gt;</w:t>
      </w:r>
    </w:p>
    <w:p w:rsidR="00580880" w:rsidRDefault="00580880" w:rsidP="00750796">
      <w:pPr>
        <w:rPr>
          <w:lang w:val="fr-FR"/>
        </w:rPr>
      </w:pPr>
    </w:p>
    <w:p w:rsidR="00580880" w:rsidRPr="00580880" w:rsidRDefault="00580880" w:rsidP="00750796">
      <w:pPr>
        <w:rPr>
          <w:lang w:val="fr-FR"/>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val="fr-FR" w:eastAsia="en-US"/>
        </w:rPr>
      </w:pPr>
      <w:r w:rsidRPr="00580880">
        <w:rPr>
          <w:rFonts w:ascii="Calibri" w:hAnsi="Calibri"/>
          <w:b/>
          <w:i/>
          <w:sz w:val="22"/>
          <w:lang w:val="fr-FR" w:eastAsia="en-US"/>
        </w:rPr>
        <w:t>Question 4</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 xml:space="preserve">Would you favour a different confidence interval to compute the VaR? If so, please explain which confidence interval you would use and state your reasons why. </w:t>
      </w:r>
    </w:p>
    <w:p w:rsidR="00580880" w:rsidRDefault="00580880" w:rsidP="00750796">
      <w:pPr>
        <w:rPr>
          <w:rFonts w:cstheme="minorBidi"/>
          <w:b/>
          <w:szCs w:val="22"/>
          <w:lang w:eastAsia="en-US"/>
        </w:rPr>
      </w:pPr>
    </w:p>
    <w:p w:rsidR="00750796" w:rsidRDefault="00750796" w:rsidP="00750796">
      <w:r>
        <w:t>&lt;ESMA_QUESTION_</w:t>
      </w:r>
      <w:r w:rsidR="003E4B00">
        <w:t>PRIIPS</w:t>
      </w:r>
      <w:r>
        <w:t>_4&gt;</w:t>
      </w:r>
    </w:p>
    <w:p w:rsidR="005D3FE7" w:rsidRPr="00B514B7" w:rsidRDefault="005D3FE7" w:rsidP="005D3FE7">
      <w:pPr>
        <w:rPr>
          <w:rFonts w:ascii="Arial Narrow" w:hAnsi="Arial Narrow" w:cs="Arial"/>
          <w:sz w:val="22"/>
          <w:lang w:val="en-US"/>
        </w:rPr>
      </w:pPr>
      <w:permStart w:id="1868395036" w:edGrp="everyone"/>
      <w:r w:rsidRPr="00B514B7">
        <w:rPr>
          <w:rFonts w:ascii="Arial Narrow" w:hAnsi="Arial Narrow" w:cs="Arial"/>
          <w:sz w:val="22"/>
          <w:lang w:val="en-US"/>
        </w:rPr>
        <w:t xml:space="preserve">We would prefer a lower confidence interval than 2,5% to compute the </w:t>
      </w:r>
      <w:proofErr w:type="spellStart"/>
      <w:r w:rsidRPr="00B514B7">
        <w:rPr>
          <w:rFonts w:ascii="Arial Narrow" w:hAnsi="Arial Narrow" w:cs="Arial"/>
          <w:sz w:val="22"/>
          <w:lang w:val="en-US"/>
        </w:rPr>
        <w:t>VaR.</w:t>
      </w:r>
      <w:proofErr w:type="spellEnd"/>
      <w:r w:rsidRPr="00B514B7">
        <w:rPr>
          <w:rFonts w:ascii="Arial Narrow" w:hAnsi="Arial Narrow" w:cs="Arial"/>
          <w:sz w:val="22"/>
          <w:lang w:val="en-US"/>
        </w:rPr>
        <w:t xml:space="preserve"> We believe a 1% confidence interval would be appropriate. The lower the confidence interval, the smaller the probability that the investor might lose more than the </w:t>
      </w:r>
      <w:proofErr w:type="spellStart"/>
      <w:r w:rsidRPr="00B514B7">
        <w:rPr>
          <w:rFonts w:ascii="Arial Narrow" w:hAnsi="Arial Narrow" w:cs="Arial"/>
          <w:sz w:val="22"/>
          <w:lang w:val="en-US"/>
        </w:rPr>
        <w:t>VaR</w:t>
      </w:r>
      <w:proofErr w:type="spellEnd"/>
      <w:r w:rsidRPr="00B514B7">
        <w:rPr>
          <w:rFonts w:ascii="Arial Narrow" w:hAnsi="Arial Narrow" w:cs="Arial"/>
          <w:sz w:val="22"/>
          <w:lang w:val="en-US"/>
        </w:rPr>
        <w:t xml:space="preserve"> over a certain specified period, so the more reliable the </w:t>
      </w:r>
      <w:proofErr w:type="spellStart"/>
      <w:r w:rsidRPr="00B514B7">
        <w:rPr>
          <w:rFonts w:ascii="Arial Narrow" w:hAnsi="Arial Narrow" w:cs="Arial"/>
          <w:sz w:val="22"/>
          <w:lang w:val="en-US"/>
        </w:rPr>
        <w:t>VaR.</w:t>
      </w:r>
      <w:proofErr w:type="spellEnd"/>
      <w:r w:rsidRPr="00B514B7">
        <w:rPr>
          <w:rFonts w:ascii="Arial Narrow" w:hAnsi="Arial Narrow" w:cs="Arial"/>
          <w:sz w:val="22"/>
          <w:lang w:val="en-US"/>
        </w:rPr>
        <w:t xml:space="preserve"> </w:t>
      </w:r>
    </w:p>
    <w:permEnd w:id="1868395036"/>
    <w:p w:rsidR="00750796" w:rsidRDefault="00750796" w:rsidP="00750796">
      <w:r>
        <w:t>&lt;ESMA_QUESTION_</w:t>
      </w:r>
      <w:r w:rsidR="003E4B00">
        <w:t>PRIIPS</w:t>
      </w:r>
      <w:r>
        <w:t>_4&gt;</w:t>
      </w:r>
    </w:p>
    <w:p w:rsidR="00580880" w:rsidRDefault="00580880" w:rsidP="00750796">
      <w:pPr>
        <w:rPr>
          <w:rFonts w:cstheme="minorBidi"/>
          <w:b/>
          <w:szCs w:val="22"/>
          <w:lang w:eastAsia="en-US"/>
        </w:rPr>
      </w:pPr>
    </w:p>
    <w:p w:rsidR="00580880" w:rsidRDefault="00580880" w:rsidP="00750796">
      <w:pPr>
        <w:rPr>
          <w:rFonts w:cstheme="minorBidi"/>
          <w:b/>
          <w:szCs w:val="22"/>
          <w:lang w:eastAsia="en-US"/>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5</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sz w:val="22"/>
          <w:lang w:eastAsia="en-US"/>
        </w:rPr>
      </w:pPr>
      <w:r w:rsidRPr="00580880">
        <w:rPr>
          <w:rFonts w:ascii="Calibri" w:hAnsi="Calibri"/>
          <w:i/>
          <w:sz w:val="22"/>
          <w:lang w:eastAsia="en-US"/>
        </w:rPr>
        <w:t>Are you of the view that the existence of a compensation or guarantee scheme should be taken into account in the credit risk assessment of a PRIIP? And if you agree, how would you propose to do so?</w:t>
      </w:r>
    </w:p>
    <w:p w:rsidR="00580880" w:rsidRDefault="00580880" w:rsidP="00750796">
      <w:pPr>
        <w:rPr>
          <w:rFonts w:cstheme="minorBidi"/>
          <w:b/>
          <w:szCs w:val="22"/>
          <w:lang w:eastAsia="en-US"/>
        </w:rPr>
      </w:pPr>
    </w:p>
    <w:p w:rsidR="00750796" w:rsidRDefault="00750796" w:rsidP="00750796">
      <w:r>
        <w:t>&lt;ESMA_QUESTION_</w:t>
      </w:r>
      <w:r w:rsidR="003E4B00">
        <w:t>PRIIPS</w:t>
      </w:r>
      <w:r>
        <w:t>_5&gt;</w:t>
      </w:r>
    </w:p>
    <w:p w:rsidR="005D3FE7" w:rsidRPr="00384731" w:rsidRDefault="005D3FE7" w:rsidP="005D3FE7">
      <w:pPr>
        <w:rPr>
          <w:rFonts w:ascii="Arial Narrow" w:hAnsi="Arial Narrow" w:cs="Arial"/>
          <w:lang w:val="en-US"/>
        </w:rPr>
      </w:pPr>
      <w:permStart w:id="1736313321" w:edGrp="everyone"/>
      <w:r w:rsidRPr="00B514B7">
        <w:rPr>
          <w:rFonts w:ascii="Arial Narrow" w:hAnsi="Arial Narrow" w:cs="Arial"/>
          <w:sz w:val="22"/>
          <w:lang w:val="en-US"/>
        </w:rPr>
        <w:t>No, the existence of a compensation or guarantee scheme is not intrinsic to the PRIIP. However, the consumer should be informed on the existence of a compensation or guarantee scheme in the narrative</w:t>
      </w:r>
      <w:r w:rsidRPr="00384731">
        <w:rPr>
          <w:rFonts w:ascii="Arial Narrow" w:hAnsi="Arial Narrow" w:cs="Arial"/>
          <w:lang w:val="en-US"/>
        </w:rPr>
        <w:t>.</w:t>
      </w:r>
    </w:p>
    <w:permEnd w:id="1736313321"/>
    <w:p w:rsidR="00750796" w:rsidRPr="00580880" w:rsidRDefault="00750796" w:rsidP="00750796">
      <w:pPr>
        <w:rPr>
          <w:lang w:val="fr-FR"/>
        </w:rPr>
      </w:pPr>
      <w:r w:rsidRPr="00580880">
        <w:rPr>
          <w:lang w:val="fr-FR"/>
        </w:rPr>
        <w:t>&lt;ESMA_QUESTION_</w:t>
      </w:r>
      <w:r w:rsidR="003E4B00">
        <w:rPr>
          <w:lang w:val="fr-FR"/>
        </w:rPr>
        <w:t>PRIIPS</w:t>
      </w:r>
      <w:r w:rsidRPr="00580880">
        <w:rPr>
          <w:lang w:val="fr-FR"/>
        </w:rPr>
        <w:t>_5&gt;</w:t>
      </w:r>
    </w:p>
    <w:p w:rsidR="00855D9F" w:rsidRDefault="00855D9F" w:rsidP="00750796">
      <w:pPr>
        <w:rPr>
          <w:lang w:val="fr-FR"/>
        </w:rPr>
      </w:pPr>
    </w:p>
    <w:p w:rsidR="00847BB0" w:rsidRPr="00580880" w:rsidRDefault="00847BB0" w:rsidP="00750796">
      <w:pPr>
        <w:rPr>
          <w:lang w:val="fr-FR"/>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val="fr-FR" w:eastAsia="en-US"/>
        </w:rPr>
      </w:pPr>
      <w:r w:rsidRPr="00580880">
        <w:rPr>
          <w:rFonts w:ascii="Calibri" w:hAnsi="Calibri"/>
          <w:b/>
          <w:i/>
          <w:sz w:val="22"/>
          <w:lang w:val="fr-FR" w:eastAsia="en-US"/>
        </w:rPr>
        <w:t>Question 6</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Would you favour PRIIP manufacturers having the option to voluntarily increase the disclosed SRI? In which circumstances? Would such an approach entail unintended consequences?</w:t>
      </w:r>
    </w:p>
    <w:p w:rsidR="00580880" w:rsidRDefault="00580880" w:rsidP="00580880">
      <w:pPr>
        <w:rPr>
          <w:rFonts w:ascii="Calibri" w:hAnsi="Calibri"/>
          <w:b/>
          <w:sz w:val="22"/>
          <w:lang w:eastAsia="en-US"/>
        </w:rPr>
      </w:pPr>
    </w:p>
    <w:p w:rsidR="003E4B00" w:rsidRDefault="003E4B00" w:rsidP="003E4B00">
      <w:r>
        <w:t>&lt;ESMA_QUESTION_PRIIPS_6&gt;</w:t>
      </w:r>
    </w:p>
    <w:p w:rsidR="005D3FE7" w:rsidRPr="00384731" w:rsidRDefault="005D3FE7" w:rsidP="005D3FE7">
      <w:pPr>
        <w:rPr>
          <w:rFonts w:ascii="Arial Narrow" w:hAnsi="Arial Narrow" w:cs="Arial"/>
          <w:lang w:val="en-US"/>
        </w:rPr>
      </w:pPr>
      <w:permStart w:id="1217202898" w:edGrp="everyone"/>
      <w:r w:rsidRPr="00B514B7">
        <w:rPr>
          <w:rFonts w:ascii="Arial Narrow" w:hAnsi="Arial Narrow" w:cs="Arial"/>
          <w:sz w:val="22"/>
          <w:lang w:val="en-US"/>
        </w:rPr>
        <w:t>VEB finds it difficult to imagine why a PRIIP manufacturer would voluntarily increase the disclosed SRI. However, it would be good practice that if a product has a high liquidity risk, or another risk which is not included in the SRI, the manufacturer would decide to disclose a higher SRI than prescribed by the RTS. As long as it is clearly disclosed and explained why the manufacturer discloses a higher SRI than required in the narrative, the VEB would support such an approach</w:t>
      </w:r>
      <w:r w:rsidRPr="00384731">
        <w:rPr>
          <w:rFonts w:ascii="Arial Narrow" w:hAnsi="Arial Narrow" w:cs="Arial"/>
          <w:lang w:val="en-US"/>
        </w:rPr>
        <w:t>.</w:t>
      </w:r>
    </w:p>
    <w:permEnd w:id="1217202898"/>
    <w:p w:rsidR="003E4B00" w:rsidRPr="00580880" w:rsidRDefault="003E4B00" w:rsidP="003E4B00">
      <w:pPr>
        <w:rPr>
          <w:lang w:val="fr-FR"/>
        </w:rPr>
      </w:pPr>
      <w:r w:rsidRPr="00580880">
        <w:rPr>
          <w:lang w:val="fr-FR"/>
        </w:rPr>
        <w:t>&lt;ESMA_QUESTION_</w:t>
      </w:r>
      <w:r>
        <w:rPr>
          <w:lang w:val="fr-FR"/>
        </w:rPr>
        <w:t>PRIIPS_6</w:t>
      </w:r>
      <w:r w:rsidRPr="00580880">
        <w:rPr>
          <w:lang w:val="fr-FR"/>
        </w:rPr>
        <w:t>&gt;</w:t>
      </w:r>
    </w:p>
    <w:p w:rsidR="003E4B00" w:rsidRDefault="003E4B00" w:rsidP="00580880">
      <w:pPr>
        <w:rPr>
          <w:rFonts w:ascii="Calibri" w:hAnsi="Calibri"/>
          <w:b/>
          <w:sz w:val="22"/>
          <w:lang w:eastAsia="en-US"/>
        </w:rPr>
      </w:pPr>
    </w:p>
    <w:p w:rsidR="003E4B00" w:rsidRPr="00580880" w:rsidRDefault="003E4B00" w:rsidP="00580880">
      <w:pPr>
        <w:rPr>
          <w:rFonts w:ascii="Calibri" w:hAnsi="Calibri"/>
          <w:b/>
          <w:sz w:val="22"/>
          <w:lang w:eastAsia="en-US"/>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7</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Do you agree with an adjustment of the credit risk for the tenor, and how would you propose to make such an adjustment?</w:t>
      </w:r>
    </w:p>
    <w:p w:rsidR="003E4B00" w:rsidRDefault="003E4B00" w:rsidP="003E4B00"/>
    <w:p w:rsidR="003E4B00" w:rsidRDefault="003E4B00" w:rsidP="003E4B00">
      <w:r>
        <w:t>&lt;ESMA_QUESTION_PRIIPS_7&gt;</w:t>
      </w:r>
    </w:p>
    <w:p w:rsidR="005D3FE7" w:rsidRPr="00B514B7" w:rsidRDefault="005D3FE7" w:rsidP="005D3FE7">
      <w:pPr>
        <w:rPr>
          <w:rFonts w:ascii="Arial Narrow" w:hAnsi="Arial Narrow" w:cs="Arial"/>
          <w:sz w:val="22"/>
          <w:lang w:val="en-US"/>
        </w:rPr>
      </w:pPr>
      <w:permStart w:id="1289059945" w:edGrp="everyone"/>
      <w:r w:rsidRPr="00B514B7">
        <w:rPr>
          <w:rFonts w:ascii="Arial Narrow" w:hAnsi="Arial Narrow" w:cs="Arial"/>
          <w:sz w:val="22"/>
          <w:lang w:val="en-US"/>
        </w:rPr>
        <w:t xml:space="preserve">VEB thinks an adjustment of the credit risk to take into account the tenor would be appropriate. The longer the tenor, the higher the credit risk. </w:t>
      </w:r>
    </w:p>
    <w:permEnd w:id="1289059945"/>
    <w:p w:rsidR="003E4B00" w:rsidRPr="00580880" w:rsidRDefault="003E4B00" w:rsidP="003E4B00">
      <w:pPr>
        <w:rPr>
          <w:lang w:val="fr-FR"/>
        </w:rPr>
      </w:pPr>
      <w:r w:rsidRPr="00580880">
        <w:rPr>
          <w:lang w:val="fr-FR"/>
        </w:rPr>
        <w:t>&lt;ESMA_QUESTION_</w:t>
      </w:r>
      <w:r>
        <w:rPr>
          <w:lang w:val="fr-FR"/>
        </w:rPr>
        <w:t>PRIIPS_7</w:t>
      </w:r>
      <w:r w:rsidRPr="00580880">
        <w:rPr>
          <w:lang w:val="fr-FR"/>
        </w:rPr>
        <w:t>&gt;</w:t>
      </w:r>
    </w:p>
    <w:p w:rsidR="00F32462" w:rsidRDefault="00F32462" w:rsidP="00750796">
      <w:pPr>
        <w:pStyle w:val="CPQuestions"/>
        <w:numPr>
          <w:ilvl w:val="0"/>
          <w:numId w:val="0"/>
        </w:numPr>
        <w:rPr>
          <w:rFonts w:cs="Arial"/>
          <w:b w:val="0"/>
          <w:szCs w:val="22"/>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8</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sz w:val="22"/>
          <w:lang w:eastAsia="en-US"/>
        </w:rPr>
      </w:pPr>
      <w:r w:rsidRPr="00580880">
        <w:rPr>
          <w:rFonts w:ascii="Calibri" w:hAnsi="Calibri"/>
          <w:i/>
          <w:sz w:val="22"/>
          <w:lang w:eastAsia="en-US"/>
        </w:rPr>
        <w:t xml:space="preserve">Do you agree with the scales of the classes MRM, CRM and SRI? If not, please specify your alternative proposal and include your reasoning. </w:t>
      </w:r>
    </w:p>
    <w:p w:rsidR="003E4B00" w:rsidRDefault="003E4B00" w:rsidP="003E4B00"/>
    <w:p w:rsidR="003E4B00" w:rsidRDefault="003E4B00" w:rsidP="003E4B00">
      <w:r>
        <w:lastRenderedPageBreak/>
        <w:t>&lt;ESMA_QUESTION_PRIIPS_8&gt;</w:t>
      </w:r>
    </w:p>
    <w:p w:rsidR="005D3FE7" w:rsidRPr="00355849" w:rsidRDefault="005D3FE7" w:rsidP="005D3FE7">
      <w:pPr>
        <w:rPr>
          <w:rFonts w:ascii="Arial Narrow" w:hAnsi="Arial Narrow" w:cs="Arial"/>
          <w:i/>
          <w:sz w:val="22"/>
          <w:lang w:val="en-US"/>
        </w:rPr>
      </w:pPr>
      <w:permStart w:id="956513705" w:edGrp="everyone"/>
      <w:r w:rsidRPr="00355849">
        <w:rPr>
          <w:rFonts w:ascii="Arial Narrow" w:hAnsi="Arial Narrow" w:cs="Arial"/>
          <w:i/>
          <w:sz w:val="22"/>
          <w:lang w:val="en-US"/>
        </w:rPr>
        <w:t>Credit risk (CRM)</w:t>
      </w:r>
    </w:p>
    <w:p w:rsidR="005D3FE7" w:rsidRDefault="005D3FE7" w:rsidP="005D3FE7">
      <w:pPr>
        <w:rPr>
          <w:rFonts w:ascii="Arial Narrow" w:hAnsi="Arial Narrow" w:cs="Arial"/>
          <w:sz w:val="22"/>
          <w:lang w:val="en-US"/>
        </w:rPr>
      </w:pPr>
      <w:r w:rsidRPr="00355849">
        <w:rPr>
          <w:rFonts w:ascii="Arial Narrow" w:hAnsi="Arial Narrow" w:cs="Arial"/>
          <w:sz w:val="22"/>
          <w:lang w:val="en-US"/>
        </w:rPr>
        <w:t>Regarding the credit risk assessment of PRIIPs, VEB would like to express its concerns about the reliance on credit rating agencies (CRAs). While this method is clearly preferable over internal assessments, it conflicts with the work done by the EU to actually reduce reliance of financial institutions on CRAs in EU law. We would have preferred an assessment based on quantitative standardized measures, which are then applied by an independent party (which does not have to be a CRA).</w:t>
      </w:r>
    </w:p>
    <w:p w:rsidR="00355849" w:rsidRPr="00355849" w:rsidRDefault="00355849" w:rsidP="005D3FE7">
      <w:pPr>
        <w:rPr>
          <w:rFonts w:ascii="Arial Narrow" w:hAnsi="Arial Narrow" w:cs="Arial"/>
          <w:sz w:val="22"/>
          <w:lang w:val="en-US"/>
        </w:rPr>
      </w:pPr>
    </w:p>
    <w:p w:rsidR="005D3FE7" w:rsidRPr="00355849" w:rsidRDefault="005D3FE7" w:rsidP="005D3FE7">
      <w:pPr>
        <w:rPr>
          <w:rFonts w:ascii="Arial Narrow" w:hAnsi="Arial Narrow" w:cs="Arial"/>
          <w:i/>
          <w:sz w:val="22"/>
          <w:lang w:val="en-US"/>
        </w:rPr>
      </w:pPr>
      <w:r w:rsidRPr="00355849">
        <w:rPr>
          <w:rFonts w:ascii="Arial Narrow" w:hAnsi="Arial Narrow" w:cs="Arial"/>
          <w:i/>
          <w:sz w:val="22"/>
          <w:lang w:val="en-US"/>
        </w:rPr>
        <w:t>Market risk (MRM)</w:t>
      </w: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Regarding the automatic assignment of certain PRIIPS to MRM classes, it is important that the qualitative characteristics of a PRIIP are actually an adequate proxy of the actual market risk of the PRIIP. We trust the ESAs to have run tests to ensure this is the case.</w:t>
      </w:r>
    </w:p>
    <w:p w:rsidR="00DB76D0" w:rsidRPr="00355849" w:rsidRDefault="00DB76D0" w:rsidP="005D3FE7">
      <w:pPr>
        <w:rPr>
          <w:rFonts w:ascii="Arial Narrow" w:hAnsi="Arial Narrow" w:cs="Arial"/>
          <w:sz w:val="22"/>
          <w:lang w:val="en-US"/>
        </w:rPr>
      </w:pPr>
    </w:p>
    <w:p w:rsidR="005D3FE7" w:rsidRPr="00355849" w:rsidRDefault="005D3FE7" w:rsidP="005D3FE7">
      <w:pPr>
        <w:rPr>
          <w:rFonts w:ascii="Arial Narrow" w:hAnsi="Arial Narrow" w:cs="Arial"/>
          <w:i/>
          <w:sz w:val="22"/>
          <w:lang w:val="en-US"/>
        </w:rPr>
      </w:pPr>
      <w:r w:rsidRPr="00355849">
        <w:rPr>
          <w:rFonts w:ascii="Arial Narrow" w:hAnsi="Arial Narrow" w:cs="Arial"/>
          <w:i/>
          <w:sz w:val="22"/>
          <w:lang w:val="en-US"/>
        </w:rPr>
        <w:t>Summary risk indicator (SRI)</w:t>
      </w:r>
    </w:p>
    <w:p w:rsidR="005D3FE7" w:rsidRPr="00355849" w:rsidRDefault="005D3FE7" w:rsidP="005D3FE7">
      <w:pPr>
        <w:rPr>
          <w:rFonts w:ascii="Arial Narrow" w:hAnsi="Arial Narrow" w:cs="Arial"/>
          <w:sz w:val="22"/>
          <w:lang w:val="en-US"/>
        </w:rPr>
      </w:pPr>
    </w:p>
    <w:p w:rsidR="005D3FE7" w:rsidRPr="00355849" w:rsidRDefault="00241FC8" w:rsidP="005D3FE7">
      <w:pPr>
        <w:rPr>
          <w:rFonts w:ascii="Arial Narrow" w:hAnsi="Arial Narrow" w:cs="Arial"/>
          <w:sz w:val="22"/>
          <w:lang w:val="en-US"/>
        </w:rPr>
      </w:pPr>
      <w:r w:rsidRPr="00355849">
        <w:rPr>
          <w:rFonts w:ascii="Arial Narrow" w:hAnsi="Arial Narrow" w:cs="Arial"/>
          <w:sz w:val="22"/>
          <w:lang w:val="en-US"/>
        </w:rPr>
        <w:t>A single SRI</w:t>
      </w:r>
      <w:r w:rsidR="005D3FE7" w:rsidRPr="00355849">
        <w:rPr>
          <w:rFonts w:ascii="Arial Narrow" w:hAnsi="Arial Narrow" w:cs="Arial"/>
          <w:sz w:val="22"/>
          <w:lang w:val="en-US"/>
        </w:rPr>
        <w:t xml:space="preserve"> makes it easier for retail investors to understand the overall risk and to compare products. However, weighing the different types of risk is of course a very complex task. VEB notes that, according to PART 3 of Annex II, (see Figure 1): if the MRM is very high, the CRM score does not have an impact on the SRI and vice versa (e.g. if the MRM is 5, the SRI is also 5, regardless of the CRM class of the PRIIP). VEB believes that, although this means that information gets lost, it is the right approach. We would however not support to include more risks in the SRI (liquidity or currency risk).</w:t>
      </w:r>
    </w:p>
    <w:p w:rsidR="00DB76D0" w:rsidRPr="00355849" w:rsidRDefault="00DB76D0" w:rsidP="005D3FE7">
      <w:pPr>
        <w:rPr>
          <w:rFonts w:ascii="Arial Narrow" w:hAnsi="Arial Narrow" w:cs="Arial"/>
          <w:sz w:val="22"/>
          <w:lang w:val="en-US"/>
        </w:rPr>
      </w:pPr>
    </w:p>
    <w:p w:rsidR="005D3FE7" w:rsidRDefault="005D3FE7" w:rsidP="005D3FE7">
      <w:pPr>
        <w:rPr>
          <w:rFonts w:ascii="Arial Narrow" w:hAnsi="Arial Narrow" w:cs="Arial"/>
          <w:sz w:val="22"/>
        </w:rPr>
      </w:pPr>
      <w:r w:rsidRPr="00355849">
        <w:rPr>
          <w:rFonts w:ascii="Arial Narrow" w:hAnsi="Arial Narrow" w:cs="Arial"/>
          <w:sz w:val="22"/>
          <w:lang w:val="en-US"/>
        </w:rPr>
        <w:t xml:space="preserve">We do have one serious concern, however, regarding the use of the SRI. </w:t>
      </w:r>
      <w:r w:rsidRPr="00355849">
        <w:rPr>
          <w:rFonts w:ascii="Arial Narrow" w:hAnsi="Arial Narrow" w:cs="Arial"/>
          <w:sz w:val="22"/>
        </w:rPr>
        <w:t xml:space="preserve">The PRIIPs Regulation covers a wide array of products. The SRI does not allow for much differentiation between products of the same category. </w:t>
      </w:r>
      <w:r w:rsidR="00B514B7" w:rsidRPr="00355849">
        <w:rPr>
          <w:rFonts w:ascii="Arial Narrow" w:hAnsi="Arial Narrow" w:cs="Arial"/>
          <w:sz w:val="22"/>
        </w:rPr>
        <w:t xml:space="preserve">Introducing a separate SRI for each category of PRIIPs would solve this, but might also cause confusion among investors. </w:t>
      </w:r>
      <w:r w:rsidRPr="00355849">
        <w:rPr>
          <w:rFonts w:ascii="Arial Narrow" w:hAnsi="Arial Narrow" w:cs="Arial"/>
          <w:sz w:val="22"/>
        </w:rPr>
        <w:t>We therefore would lik</w:t>
      </w:r>
      <w:r w:rsidR="00DB76D0" w:rsidRPr="00355849">
        <w:rPr>
          <w:rFonts w:ascii="Arial Narrow" w:hAnsi="Arial Narrow" w:cs="Arial"/>
          <w:sz w:val="22"/>
        </w:rPr>
        <w:t>e to suggest</w:t>
      </w:r>
      <w:r w:rsidRPr="00355849">
        <w:rPr>
          <w:rFonts w:ascii="Arial Narrow" w:hAnsi="Arial Narrow" w:cs="Arial"/>
          <w:sz w:val="22"/>
        </w:rPr>
        <w:t xml:space="preserve"> that PRIIPs with a relatively </w:t>
      </w:r>
      <w:r w:rsidR="00DB76D0" w:rsidRPr="00355849">
        <w:rPr>
          <w:rFonts w:ascii="Arial Narrow" w:hAnsi="Arial Narrow" w:cs="Arial"/>
          <w:sz w:val="22"/>
        </w:rPr>
        <w:t xml:space="preserve">high </w:t>
      </w:r>
      <w:r w:rsidRPr="00355849">
        <w:rPr>
          <w:rFonts w:ascii="Arial Narrow" w:hAnsi="Arial Narrow" w:cs="Arial"/>
          <w:sz w:val="22"/>
        </w:rPr>
        <w:t>(</w:t>
      </w:r>
      <w:r w:rsidR="00DB76D0" w:rsidRPr="00355849">
        <w:rPr>
          <w:rFonts w:ascii="Arial Narrow" w:hAnsi="Arial Narrow" w:cs="Arial"/>
          <w:sz w:val="22"/>
        </w:rPr>
        <w:t xml:space="preserve">i.e. </w:t>
      </w:r>
      <w:r w:rsidRPr="00355849">
        <w:rPr>
          <w:rFonts w:ascii="Arial Narrow" w:hAnsi="Arial Narrow" w:cs="Arial"/>
          <w:sz w:val="22"/>
        </w:rPr>
        <w:t xml:space="preserve">compared to PRIIPS of the same category) </w:t>
      </w:r>
      <w:r w:rsidR="00DB76D0" w:rsidRPr="00355849">
        <w:rPr>
          <w:rFonts w:ascii="Arial Narrow" w:hAnsi="Arial Narrow" w:cs="Arial"/>
          <w:sz w:val="22"/>
        </w:rPr>
        <w:t xml:space="preserve">credit, market or liquidity risk </w:t>
      </w:r>
      <w:r w:rsidRPr="00355849">
        <w:rPr>
          <w:rFonts w:ascii="Arial Narrow" w:hAnsi="Arial Narrow" w:cs="Arial"/>
          <w:sz w:val="22"/>
        </w:rPr>
        <w:t>need to be earmarked to indicate to the investor that there are less risky options available in the same category.</w:t>
      </w:r>
    </w:p>
    <w:p w:rsidR="00355849" w:rsidRDefault="00355849" w:rsidP="005D3FE7">
      <w:pPr>
        <w:rPr>
          <w:rFonts w:ascii="Arial Narrow" w:hAnsi="Arial Narrow" w:cs="Arial"/>
          <w:sz w:val="22"/>
        </w:rPr>
      </w:pPr>
    </w:p>
    <w:p w:rsidR="00355849" w:rsidRDefault="00355849" w:rsidP="005D3FE7">
      <w:pPr>
        <w:rPr>
          <w:rFonts w:ascii="Arial Narrow" w:hAnsi="Arial Narrow" w:cs="Arial"/>
          <w:sz w:val="22"/>
        </w:rPr>
      </w:pPr>
      <w:r w:rsidRPr="00355849">
        <w:rPr>
          <w:noProof/>
          <w:sz w:val="22"/>
          <w:lang w:val="nl-NL" w:eastAsia="nl-NL"/>
        </w:rPr>
        <w:drawing>
          <wp:inline distT="0" distB="0" distL="0" distR="0" wp14:anchorId="4DBA4883" wp14:editId="7E7C9B68">
            <wp:extent cx="2730038" cy="11715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2877" cy="1194251"/>
                    </a:xfrm>
                    <a:prstGeom prst="rect">
                      <a:avLst/>
                    </a:prstGeom>
                  </pic:spPr>
                </pic:pic>
              </a:graphicData>
            </a:graphic>
          </wp:inline>
        </w:drawing>
      </w:r>
    </w:p>
    <w:p w:rsidR="00355849" w:rsidRDefault="00355849" w:rsidP="005D3FE7">
      <w:pPr>
        <w:rPr>
          <w:rFonts w:ascii="Arial Narrow" w:hAnsi="Arial Narrow" w:cs="Arial"/>
          <w:sz w:val="22"/>
        </w:rPr>
      </w:pPr>
    </w:p>
    <w:p w:rsidR="00355849" w:rsidRPr="00355849" w:rsidRDefault="00355849" w:rsidP="005D3FE7">
      <w:pPr>
        <w:rPr>
          <w:rFonts w:ascii="Arial Narrow" w:hAnsi="Arial Narrow" w:cs="Arial"/>
          <w:sz w:val="22"/>
          <w:lang w:val="en-US"/>
        </w:rPr>
      </w:pPr>
      <w:r w:rsidRPr="00355849">
        <w:rPr>
          <w:rFonts w:ascii="Arial Narrow" w:hAnsi="Arial Narrow" w:cs="Arial"/>
          <w:sz w:val="22"/>
          <w:lang w:val="en-US"/>
        </w:rPr>
        <w:t>Figure 1</w:t>
      </w:r>
    </w:p>
    <w:permEnd w:id="956513705"/>
    <w:p w:rsidR="003E4B00" w:rsidRPr="00580880" w:rsidRDefault="003E4B00" w:rsidP="003E4B00">
      <w:pPr>
        <w:rPr>
          <w:lang w:val="fr-FR"/>
        </w:rPr>
      </w:pPr>
      <w:r w:rsidRPr="00580880">
        <w:rPr>
          <w:lang w:val="fr-FR"/>
        </w:rPr>
        <w:t>&lt;ESMA_QUESTION_</w:t>
      </w:r>
      <w:r>
        <w:rPr>
          <w:lang w:val="fr-FR"/>
        </w:rPr>
        <w:t>PRIIPS_8</w:t>
      </w:r>
      <w:r w:rsidRPr="00580880">
        <w:rPr>
          <w:lang w:val="fr-FR"/>
        </w:rPr>
        <w:t>&gt;</w:t>
      </w:r>
    </w:p>
    <w:p w:rsidR="00580880" w:rsidRDefault="00580880" w:rsidP="00750796">
      <w:pPr>
        <w:pStyle w:val="CPQuestions"/>
        <w:numPr>
          <w:ilvl w:val="0"/>
          <w:numId w:val="0"/>
        </w:numPr>
        <w:rPr>
          <w:rFonts w:cs="Arial"/>
          <w:b w:val="0"/>
          <w:szCs w:val="22"/>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9</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 xml:space="preserve">Are you of the opinion that for PRIIPs that offer a capital protection during their whole lifespan and can be redeemed against their initial investment at any time over the life of the PRIIP a qualitatively assessment and automatic allocation to MRM class 1 should be permitted? </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Are you of the opinion that the criteria of the 5 year tenor is relevant, irrespective of the redemption characteristics?</w:t>
      </w:r>
    </w:p>
    <w:p w:rsidR="003E4B00" w:rsidRDefault="003E4B00" w:rsidP="003E4B00"/>
    <w:p w:rsidR="003E4B00" w:rsidRDefault="003E4B00" w:rsidP="003E4B00">
      <w:r>
        <w:t>&lt;ESMA_QUESTION_PRIIPS_9&gt;</w:t>
      </w:r>
    </w:p>
    <w:p w:rsidR="005D3FE7" w:rsidRPr="00355849" w:rsidRDefault="005D3FE7" w:rsidP="005D3FE7">
      <w:pPr>
        <w:rPr>
          <w:rFonts w:ascii="Arial Narrow" w:hAnsi="Arial Narrow" w:cs="Arial"/>
          <w:sz w:val="22"/>
          <w:lang w:val="en-US"/>
        </w:rPr>
      </w:pPr>
      <w:permStart w:id="987913620" w:edGrp="everyone"/>
      <w:r w:rsidRPr="00355849">
        <w:rPr>
          <w:rFonts w:ascii="Arial Narrow" w:hAnsi="Arial Narrow" w:cs="Arial"/>
          <w:sz w:val="22"/>
          <w:lang w:val="en-US"/>
        </w:rPr>
        <w:lastRenderedPageBreak/>
        <w:t xml:space="preserve">Yes, we believe if it is appropriate to automatically allocate such PRIIPs to MRM class 1, provided that the five  year tenor criteria is maintained (due to inflation risk). </w:t>
      </w:r>
    </w:p>
    <w:permEnd w:id="987913620"/>
    <w:p w:rsidR="003E4B00" w:rsidRPr="00580880" w:rsidRDefault="003E4B00" w:rsidP="003E4B00">
      <w:pPr>
        <w:rPr>
          <w:lang w:val="fr-FR"/>
        </w:rPr>
      </w:pPr>
      <w:r w:rsidRPr="00580880">
        <w:rPr>
          <w:lang w:val="fr-FR"/>
        </w:rPr>
        <w:t>&lt;ESMA_QUESTION_</w:t>
      </w:r>
      <w:r>
        <w:rPr>
          <w:lang w:val="fr-FR"/>
        </w:rPr>
        <w:t>PRIIPS_9</w:t>
      </w:r>
      <w:r w:rsidRPr="00580880">
        <w:rPr>
          <w:lang w:val="fr-FR"/>
        </w:rPr>
        <w:t>&gt;</w:t>
      </w:r>
    </w:p>
    <w:p w:rsidR="00580880" w:rsidRDefault="00580880" w:rsidP="00750796">
      <w:pPr>
        <w:pStyle w:val="CPQuestions"/>
        <w:numPr>
          <w:ilvl w:val="0"/>
          <w:numId w:val="0"/>
        </w:numPr>
        <w:rPr>
          <w:rFonts w:cs="Arial"/>
          <w:b w:val="0"/>
          <w:szCs w:val="22"/>
        </w:rPr>
      </w:pPr>
    </w:p>
    <w:p w:rsidR="00580880" w:rsidRPr="00580880" w:rsidRDefault="00580880" w:rsidP="00580880">
      <w:pPr>
        <w:keepNext/>
        <w:keepLines/>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10</w:t>
      </w:r>
    </w:p>
    <w:p w:rsidR="00580880" w:rsidRPr="00580880" w:rsidRDefault="00580880" w:rsidP="00580880">
      <w:pPr>
        <w:keepNext/>
        <w:keepLines/>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 xml:space="preserve">Are you aware of other circumstances in which the credit risk assessment should be assumed to be mitigated? If so, please explain why and to what degree it should be assumed to be mitigated? </w:t>
      </w:r>
    </w:p>
    <w:p w:rsidR="003E4B00" w:rsidRDefault="003E4B00" w:rsidP="003E4B00"/>
    <w:p w:rsidR="003E4B00" w:rsidRDefault="003E4B00" w:rsidP="003E4B00">
      <w:r>
        <w:t>&lt;ESMA_QUESTION_PRIIPS_10&gt;</w:t>
      </w:r>
    </w:p>
    <w:p w:rsidR="003E4B00" w:rsidRDefault="003E4B00" w:rsidP="003E4B00">
      <w:permStart w:id="1127161222" w:edGrp="everyone"/>
      <w:r>
        <w:t>TYPE YOUR TEXT HERE</w:t>
      </w:r>
    </w:p>
    <w:permEnd w:id="1127161222"/>
    <w:p w:rsidR="003E4B00" w:rsidRPr="00580880" w:rsidRDefault="003E4B00" w:rsidP="003E4B00">
      <w:pPr>
        <w:rPr>
          <w:lang w:val="fr-FR"/>
        </w:rPr>
      </w:pPr>
      <w:r w:rsidRPr="00580880">
        <w:rPr>
          <w:lang w:val="fr-FR"/>
        </w:rPr>
        <w:t>&lt;ESMA_QUESTION_</w:t>
      </w:r>
      <w:r>
        <w:rPr>
          <w:lang w:val="fr-FR"/>
        </w:rPr>
        <w:t>PRIIPS_10</w:t>
      </w:r>
      <w:r w:rsidRPr="00580880">
        <w:rPr>
          <w:lang w:val="fr-FR"/>
        </w:rPr>
        <w:t>&gt;</w:t>
      </w:r>
    </w:p>
    <w:p w:rsidR="00580880" w:rsidRDefault="00580880" w:rsidP="00750796">
      <w:pPr>
        <w:pStyle w:val="CPQuestions"/>
        <w:numPr>
          <w:ilvl w:val="0"/>
          <w:numId w:val="0"/>
        </w:numPr>
        <w:rPr>
          <w:rFonts w:cs="Arial"/>
          <w:b w:val="0"/>
          <w:szCs w:val="22"/>
        </w:rPr>
      </w:pPr>
    </w:p>
    <w:p w:rsidR="00A2049D" w:rsidRPr="00A2049D" w:rsidRDefault="00A2049D" w:rsidP="00A2049D">
      <w:pPr>
        <w:keepNext/>
        <w:keepLines/>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A2049D">
        <w:rPr>
          <w:rFonts w:ascii="Calibri" w:hAnsi="Calibri"/>
          <w:b/>
          <w:i/>
          <w:sz w:val="22"/>
          <w:lang w:eastAsia="en-US"/>
        </w:rPr>
        <w:t>Question 11</w:t>
      </w:r>
    </w:p>
    <w:p w:rsidR="00A2049D" w:rsidRPr="00A2049D" w:rsidRDefault="00A2049D" w:rsidP="00A2049D">
      <w:pPr>
        <w:keepNext/>
        <w:keepLines/>
        <w:pBdr>
          <w:top w:val="single" w:sz="4" w:space="1" w:color="auto"/>
          <w:left w:val="single" w:sz="4" w:space="4" w:color="auto"/>
          <w:bottom w:val="single" w:sz="4" w:space="1" w:color="auto"/>
          <w:right w:val="single" w:sz="4" w:space="4" w:color="auto"/>
        </w:pBdr>
        <w:rPr>
          <w:rFonts w:ascii="Calibri" w:hAnsi="Calibri"/>
          <w:i/>
          <w:sz w:val="22"/>
          <w:lang w:eastAsia="en-US"/>
        </w:rPr>
      </w:pPr>
      <w:r w:rsidRPr="00A2049D">
        <w:rPr>
          <w:rFonts w:ascii="Calibri" w:hAnsi="Calibri"/>
          <w:i/>
          <w:sz w:val="22"/>
          <w:lang w:eastAsia="en-US"/>
        </w:rPr>
        <w:t xml:space="preserve">Do you think that the look through approach to the assessment of credit risk for a PRIIP packaged into another PRIIP is appropriate? </w:t>
      </w:r>
    </w:p>
    <w:p w:rsidR="003E4B00" w:rsidRDefault="003E4B00" w:rsidP="003E4B00"/>
    <w:p w:rsidR="003E4B00" w:rsidRDefault="003E4B00" w:rsidP="003E4B00">
      <w:r>
        <w:t>&lt;ESMA_QUESTION_PRIIPS_11&gt;</w:t>
      </w:r>
    </w:p>
    <w:p w:rsidR="005D3FE7" w:rsidRPr="00355849" w:rsidRDefault="005D3FE7" w:rsidP="005D3FE7">
      <w:pPr>
        <w:rPr>
          <w:rFonts w:ascii="Arial Narrow" w:hAnsi="Arial Narrow"/>
          <w:sz w:val="22"/>
        </w:rPr>
      </w:pPr>
      <w:permStart w:id="1378097995" w:edGrp="everyone"/>
      <w:r w:rsidRPr="00355849">
        <w:rPr>
          <w:rFonts w:ascii="Arial Narrow" w:hAnsi="Arial Narrow" w:cs="Arial"/>
          <w:sz w:val="22"/>
          <w:lang w:val="en-US"/>
        </w:rPr>
        <w:t>Yes, for a</w:t>
      </w:r>
      <w:r w:rsidRPr="00355849">
        <w:rPr>
          <w:rFonts w:ascii="Arial Narrow" w:hAnsi="Arial Narrow"/>
          <w:sz w:val="22"/>
        </w:rPr>
        <w:t xml:space="preserve"> PRIIP manufacturer who offers a PRIIP that invests in other PRIIPs (whether in the form of a MOP, or otherwise, as in the case for instance of a fund-of-funds), the credit risk should be calculated as the weighted average of the creditworthiness of the underlying investments. </w:t>
      </w:r>
    </w:p>
    <w:permEnd w:id="1378097995"/>
    <w:p w:rsidR="003E4B00" w:rsidRPr="00580880" w:rsidRDefault="003E4B00" w:rsidP="003E4B00">
      <w:pPr>
        <w:rPr>
          <w:lang w:val="fr-FR"/>
        </w:rPr>
      </w:pPr>
      <w:r w:rsidRPr="00580880">
        <w:rPr>
          <w:lang w:val="fr-FR"/>
        </w:rPr>
        <w:t>&lt;ESMA_QUESTION_</w:t>
      </w:r>
      <w:r>
        <w:rPr>
          <w:lang w:val="fr-FR"/>
        </w:rPr>
        <w:t>PRIIPS_11</w:t>
      </w:r>
      <w:r w:rsidRPr="00580880">
        <w:rPr>
          <w:lang w:val="fr-FR"/>
        </w:rPr>
        <w:t>&gt;</w:t>
      </w:r>
    </w:p>
    <w:p w:rsidR="00580880" w:rsidRDefault="00580880" w:rsidP="00750796">
      <w:pPr>
        <w:pStyle w:val="CPQuestions"/>
        <w:numPr>
          <w:ilvl w:val="0"/>
          <w:numId w:val="0"/>
        </w:numPr>
        <w:rPr>
          <w:rFonts w:cs="Arial"/>
          <w:b w:val="0"/>
          <w:szCs w:val="22"/>
        </w:rPr>
      </w:pPr>
    </w:p>
    <w:p w:rsidR="00A2049D" w:rsidRPr="005A512B" w:rsidRDefault="00A2049D" w:rsidP="00A2049D">
      <w:pPr>
        <w:pBdr>
          <w:top w:val="single" w:sz="4" w:space="1" w:color="auto"/>
          <w:left w:val="single" w:sz="4" w:space="4" w:color="auto"/>
          <w:bottom w:val="single" w:sz="4" w:space="1" w:color="auto"/>
          <w:right w:val="single" w:sz="4" w:space="4" w:color="auto"/>
        </w:pBdr>
        <w:rPr>
          <w:b/>
          <w:i/>
        </w:rPr>
      </w:pPr>
      <w:r w:rsidRPr="005A512B">
        <w:rPr>
          <w:b/>
          <w:i/>
        </w:rPr>
        <w:t>Question 1</w:t>
      </w:r>
      <w:r>
        <w:rPr>
          <w:b/>
          <w:i/>
        </w:rPr>
        <w:t>2</w:t>
      </w:r>
    </w:p>
    <w:p w:rsidR="00A2049D" w:rsidRPr="005A512B" w:rsidRDefault="00A2049D" w:rsidP="00A2049D">
      <w:pPr>
        <w:pBdr>
          <w:top w:val="single" w:sz="4" w:space="1" w:color="auto"/>
          <w:left w:val="single" w:sz="4" w:space="4" w:color="auto"/>
          <w:bottom w:val="single" w:sz="4" w:space="1" w:color="auto"/>
          <w:right w:val="single" w:sz="4" w:space="4" w:color="auto"/>
        </w:pBdr>
        <w:rPr>
          <w:i/>
        </w:rPr>
      </w:pPr>
      <w:r w:rsidRPr="005A512B">
        <w:rPr>
          <w:i/>
        </w:rPr>
        <w:t>Do you think the risk indicator should take into account currency risk when there is a difference between the currency of the PRIIP and the national currency of the investor targeted by the PRIIP manufacturer, even though this risk is not intrinsic to the PRIIP itself, but relates to the typical situation of the targeted investor?</w:t>
      </w:r>
    </w:p>
    <w:p w:rsidR="003E4B00" w:rsidRDefault="003E4B00" w:rsidP="003E4B00"/>
    <w:p w:rsidR="003E4B00" w:rsidRDefault="003E4B00" w:rsidP="003E4B00">
      <w:r>
        <w:t>&lt;ESMA_QUESTION_PRIIPS_12&gt;</w:t>
      </w:r>
    </w:p>
    <w:p w:rsidR="005D3FE7" w:rsidRPr="00355849" w:rsidRDefault="005D3FE7" w:rsidP="005D3FE7">
      <w:pPr>
        <w:spacing w:after="120"/>
        <w:rPr>
          <w:rFonts w:ascii="Arial Narrow" w:hAnsi="Arial Narrow" w:cs="Arial"/>
          <w:sz w:val="22"/>
          <w:lang w:val="en-US"/>
        </w:rPr>
      </w:pPr>
      <w:permStart w:id="1292764795" w:edGrp="everyone"/>
      <w:r w:rsidRPr="00355849">
        <w:rPr>
          <w:rFonts w:ascii="Arial Narrow" w:hAnsi="Arial Narrow" w:cs="Arial"/>
          <w:sz w:val="22"/>
          <w:lang w:val="en-US"/>
        </w:rPr>
        <w:t xml:space="preserve">No, since currency risk is not intrinsic to the PRIIP. It is a risk that comes with all investments in products expressed in different currency than the one of the investor. Moreover, VEB does not see how the currency risk could be included adequately in the SRI. It is already a complex task to combine two types of risk (credit and market risk) in one SRI with only seven classes. </w:t>
      </w:r>
    </w:p>
    <w:p w:rsidR="005D3FE7" w:rsidRPr="00355849" w:rsidRDefault="005D3FE7" w:rsidP="005D3FE7">
      <w:pPr>
        <w:spacing w:after="120"/>
        <w:rPr>
          <w:rFonts w:ascii="Arial Narrow" w:hAnsi="Arial Narrow" w:cs="Arial"/>
          <w:sz w:val="22"/>
          <w:lang w:val="en-US"/>
        </w:rPr>
      </w:pPr>
      <w:r w:rsidRPr="00355849">
        <w:rPr>
          <w:rFonts w:ascii="Arial Narrow" w:hAnsi="Arial Narrow" w:cs="Arial"/>
          <w:sz w:val="22"/>
          <w:lang w:val="en-US"/>
        </w:rPr>
        <w:t xml:space="preserve">The currency risk should however be disclosed in the narrative. It is important for the investor to know whether the investment fund applies currency hedging strategies. </w:t>
      </w:r>
    </w:p>
    <w:permEnd w:id="1292764795"/>
    <w:p w:rsidR="003E4B00" w:rsidRPr="00580880" w:rsidRDefault="003E4B00" w:rsidP="003E4B00">
      <w:pPr>
        <w:rPr>
          <w:lang w:val="fr-FR"/>
        </w:rPr>
      </w:pPr>
      <w:r w:rsidRPr="00580880">
        <w:rPr>
          <w:lang w:val="fr-FR"/>
        </w:rPr>
        <w:t>&lt;ESMA_QUESTION_</w:t>
      </w:r>
      <w:r>
        <w:rPr>
          <w:lang w:val="fr-FR"/>
        </w:rPr>
        <w:t>PRIIPS_12</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keepNext/>
        <w:keepLines/>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A2049D">
        <w:rPr>
          <w:rFonts w:ascii="Calibri" w:hAnsi="Calibri"/>
          <w:b/>
          <w:i/>
          <w:sz w:val="22"/>
          <w:lang w:eastAsia="en-US"/>
        </w:rPr>
        <w:t>Question 13</w:t>
      </w:r>
    </w:p>
    <w:p w:rsidR="00A2049D" w:rsidRPr="00A2049D" w:rsidRDefault="00A2049D" w:rsidP="00A2049D">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A2049D">
        <w:rPr>
          <w:rFonts w:ascii="Calibri" w:hAnsi="Calibri"/>
          <w:i/>
          <w:sz w:val="22"/>
          <w:lang w:eastAsia="en-US"/>
        </w:rPr>
        <w:t xml:space="preserve">Are you of the opinion that the current Consultation Paper sufficiently addresses this issue? Do you it is made sufficiently clear that the value of a PRIIP could be significantly less compared to the guaranteed value during the life of the PRIIP? Several alternatives are analysed in the Impact Assessment under policy option 5: do you see any additional analysis for these assessment? </w:t>
      </w:r>
    </w:p>
    <w:p w:rsidR="00A2049D" w:rsidRPr="00A2049D" w:rsidRDefault="00A2049D" w:rsidP="00A2049D">
      <w:pPr>
        <w:rPr>
          <w:rFonts w:ascii="Calibri" w:hAnsi="Calibri"/>
          <w:color w:val="1F497D"/>
          <w:sz w:val="22"/>
          <w:lang w:eastAsia="en-US"/>
        </w:rPr>
      </w:pPr>
    </w:p>
    <w:p w:rsidR="003E4B00" w:rsidRDefault="003E4B00" w:rsidP="003E4B00">
      <w:r>
        <w:t>&lt;ESMA_QUESTION_PRIIPS_13&gt;</w:t>
      </w:r>
    </w:p>
    <w:p w:rsidR="005D3FE7" w:rsidRPr="00355849" w:rsidRDefault="005D3FE7" w:rsidP="005D3FE7">
      <w:pPr>
        <w:rPr>
          <w:rFonts w:ascii="Arial Narrow" w:hAnsi="Arial Narrow" w:cs="Arial"/>
          <w:sz w:val="22"/>
          <w:lang w:val="en-US"/>
        </w:rPr>
      </w:pPr>
      <w:permStart w:id="1040672682" w:edGrp="everyone"/>
      <w:r w:rsidRPr="00355849">
        <w:rPr>
          <w:rFonts w:ascii="Arial Narrow" w:hAnsi="Arial Narrow" w:cs="Arial"/>
          <w:sz w:val="22"/>
          <w:lang w:val="en-US"/>
        </w:rPr>
        <w:t>Many retail investors do not hold the PRIIP for the recommended holding period. To ensure the PRIIP provides valuable and adequate information on risk both for investors with a buy-and-hold strategy as well as for investors who restructure their portfolio according to market evolution, VEB thinks the risk should be calculated over multiple time frames.</w:t>
      </w:r>
    </w:p>
    <w:permEnd w:id="1040672682"/>
    <w:p w:rsidR="003E4B00" w:rsidRPr="00580880" w:rsidRDefault="003E4B00" w:rsidP="003E4B00">
      <w:pPr>
        <w:rPr>
          <w:lang w:val="fr-FR"/>
        </w:rPr>
      </w:pPr>
      <w:r w:rsidRPr="00580880">
        <w:rPr>
          <w:lang w:val="fr-FR"/>
        </w:rPr>
        <w:t>&lt;ESMA_QUESTION_</w:t>
      </w:r>
      <w:r>
        <w:rPr>
          <w:lang w:val="fr-FR"/>
        </w:rPr>
        <w:t>PRIIPS_13</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0" w:color="auto"/>
          <w:right w:val="single" w:sz="4" w:space="4" w:color="auto"/>
        </w:pBdr>
        <w:rPr>
          <w:rFonts w:ascii="Calibri" w:hAnsi="Calibri"/>
          <w:b/>
          <w:i/>
          <w:sz w:val="22"/>
          <w:lang w:eastAsia="en-US"/>
        </w:rPr>
      </w:pPr>
      <w:r w:rsidRPr="00A2049D">
        <w:rPr>
          <w:rFonts w:ascii="Calibri" w:hAnsi="Calibri"/>
          <w:b/>
          <w:i/>
          <w:sz w:val="22"/>
          <w:lang w:eastAsia="en-US"/>
        </w:rPr>
        <w:t>Question 14</w:t>
      </w:r>
    </w:p>
    <w:p w:rsidR="00A2049D" w:rsidRPr="00A2049D" w:rsidRDefault="00A2049D" w:rsidP="00A2049D">
      <w:pPr>
        <w:pBdr>
          <w:top w:val="single" w:sz="4" w:space="1" w:color="auto"/>
          <w:left w:val="single" w:sz="4" w:space="4" w:color="auto"/>
          <w:bottom w:val="single" w:sz="4" w:space="0" w:color="auto"/>
          <w:right w:val="single" w:sz="4" w:space="4" w:color="auto"/>
        </w:pBdr>
        <w:rPr>
          <w:rFonts w:ascii="Calibri" w:hAnsi="Calibri"/>
          <w:i/>
          <w:sz w:val="22"/>
          <w:lang w:eastAsia="en-US"/>
        </w:rPr>
      </w:pPr>
      <w:r w:rsidRPr="00A2049D">
        <w:rPr>
          <w:rFonts w:ascii="Calibri" w:hAnsi="Calibri"/>
          <w:i/>
          <w:sz w:val="22"/>
          <w:lang w:eastAsia="en-US"/>
        </w:rPr>
        <w:t>Do you agree to use the performance fee, as prescribed in the cost section, as a basis for the calculations in the performance section (i.e. calculate the return of the benchmark for the moderate scenario in such a way that the return generates the performance fee as prescribed in the cost section)?  Do you agree the same benchmark return should be used for calculating performance fees for the unfavourable and favourable scenarios, or would you propose another approach, for instance automatically setting the performance fees to zero for the unfavourable scenario? Please justify your proposal.</w:t>
      </w:r>
    </w:p>
    <w:p w:rsidR="003E4B00" w:rsidRDefault="003E4B00" w:rsidP="003E4B00"/>
    <w:p w:rsidR="003E4B00" w:rsidRDefault="003E4B00" w:rsidP="003E4B00">
      <w:r>
        <w:t>&lt;ESMA_QUESTION_PRIIPS_14&gt;</w:t>
      </w:r>
    </w:p>
    <w:p w:rsidR="005D3FE7" w:rsidRPr="00355849" w:rsidRDefault="005D3FE7" w:rsidP="005D3FE7">
      <w:pPr>
        <w:spacing w:after="120"/>
        <w:rPr>
          <w:rFonts w:ascii="Arial Narrow" w:hAnsi="Arial Narrow" w:cs="Arial"/>
          <w:b/>
          <w:sz w:val="22"/>
          <w:lang w:val="en-US"/>
        </w:rPr>
      </w:pPr>
      <w:permStart w:id="1486710322" w:edGrp="everyone"/>
      <w:r w:rsidRPr="00355849">
        <w:rPr>
          <w:rFonts w:ascii="Arial Narrow" w:hAnsi="Arial Narrow" w:cs="Arial"/>
          <w:sz w:val="22"/>
        </w:rPr>
        <w:t xml:space="preserve">Ideally, we believe information on performance should be based on </w:t>
      </w:r>
      <w:r w:rsidRPr="00355849">
        <w:rPr>
          <w:rFonts w:ascii="Arial Narrow" w:hAnsi="Arial Narrow" w:cs="Arial"/>
          <w:sz w:val="22"/>
          <w:u w:val="single"/>
        </w:rPr>
        <w:t>historical performance figures (</w:t>
      </w:r>
      <w:r w:rsidRPr="00355849">
        <w:rPr>
          <w:rFonts w:ascii="Arial Narrow" w:hAnsi="Arial Narrow" w:cs="Arial"/>
          <w:sz w:val="22"/>
        </w:rPr>
        <w:t xml:space="preserve">average performance of PRIIPs sold in the last ten years), not on ‘shaky’ forecasts of future returns. </w:t>
      </w:r>
    </w:p>
    <w:p w:rsidR="005D3FE7" w:rsidRPr="00355849" w:rsidRDefault="005D3FE7" w:rsidP="005D3FE7">
      <w:pPr>
        <w:spacing w:after="120"/>
        <w:rPr>
          <w:rFonts w:ascii="Arial Narrow" w:hAnsi="Arial Narrow" w:cs="Arial"/>
          <w:sz w:val="22"/>
          <w:lang w:val="en-US"/>
        </w:rPr>
      </w:pPr>
      <w:r w:rsidRPr="00355849">
        <w:rPr>
          <w:rFonts w:ascii="Arial Narrow" w:hAnsi="Arial Narrow" w:cs="Arial"/>
          <w:sz w:val="22"/>
          <w:lang w:val="en-US"/>
        </w:rPr>
        <w:t>When using such a historical approach, the performance fee disclosed in the cost section should be the average performance fee in the period over which the historical performance figures are calculated.</w:t>
      </w:r>
    </w:p>
    <w:p w:rsidR="005D3FE7" w:rsidRPr="00355849" w:rsidRDefault="005D3FE7" w:rsidP="005D3FE7">
      <w:pPr>
        <w:spacing w:after="120"/>
        <w:rPr>
          <w:rFonts w:ascii="Arial Narrow" w:hAnsi="Arial Narrow" w:cs="Arial"/>
          <w:sz w:val="22"/>
          <w:lang w:val="en-US"/>
        </w:rPr>
      </w:pPr>
      <w:r w:rsidRPr="00355849">
        <w:rPr>
          <w:rFonts w:ascii="Arial Narrow" w:hAnsi="Arial Narrow" w:cs="Arial"/>
          <w:sz w:val="22"/>
        </w:rPr>
        <w:t xml:space="preserve">However, assuming the ESAs (as now in the draft RTS) nevertheless stick with forecasts of future returns. </w:t>
      </w:r>
      <w:r w:rsidRPr="00355849">
        <w:rPr>
          <w:rFonts w:ascii="Arial Narrow" w:hAnsi="Arial Narrow" w:cs="Arial"/>
          <w:sz w:val="22"/>
          <w:lang w:val="en-US"/>
        </w:rPr>
        <w:t>VEB believes the performance fee disclosed in the cost section should be an ex ante estimation of the performance fee that would be taken in a moderate scenario according to the performance fee formula used by the PRIIP manufacturer. It should be mentioned explicitly in narrative of composition of costs table that the performance fee could be higher or lower depending on the performance of the PRIIP (and, ideally, what the performance fee would be in the favorable and non-favorable scenario).</w:t>
      </w: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The performance fee used for the calculation of the net return in both the favorable and non-favorable scenario should be based on an ex-ante estimation of the performance fee in these scenarios according to the performance fee formula of the PRIIP manufacturer.</w:t>
      </w:r>
    </w:p>
    <w:permEnd w:id="1486710322"/>
    <w:p w:rsidR="00A2049D" w:rsidRPr="003E4B00" w:rsidRDefault="003E4B00" w:rsidP="003E4B00">
      <w:pPr>
        <w:rPr>
          <w:lang w:val="fr-FR"/>
        </w:rPr>
      </w:pPr>
      <w:r w:rsidRPr="00580880">
        <w:rPr>
          <w:lang w:val="fr-FR"/>
        </w:rPr>
        <w:t>&lt;ESMA_QUESTION_</w:t>
      </w:r>
      <w:r>
        <w:rPr>
          <w:lang w:val="fr-FR"/>
        </w:rPr>
        <w:t>PRIIPS_14</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A2049D">
        <w:rPr>
          <w:rFonts w:ascii="Calibri" w:hAnsi="Calibri"/>
          <w:b/>
          <w:i/>
          <w:sz w:val="22"/>
          <w:lang w:eastAsia="en-US"/>
        </w:rPr>
        <w:t>Question 15</w:t>
      </w:r>
    </w:p>
    <w:p w:rsidR="00A2049D" w:rsidRPr="00A2049D" w:rsidRDefault="00A2049D" w:rsidP="00A2049D">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A2049D">
        <w:rPr>
          <w:rFonts w:ascii="Calibri" w:hAnsi="Calibri"/>
          <w:i/>
          <w:sz w:val="22"/>
          <w:lang w:eastAsia="en-US"/>
        </w:rPr>
        <w:t xml:space="preserve">Given the number of tables displayed in the KID and the to a degree mixed consumer testing results on whether presentation of performance scenarios as a table or a graph would be most effective, do you think a presentation of the performance scenarios in the form of a graph should be preferred, or both a table and a graph? </w:t>
      </w:r>
    </w:p>
    <w:p w:rsidR="003E4B00" w:rsidRDefault="003E4B00" w:rsidP="003E4B00"/>
    <w:p w:rsidR="003E4B00" w:rsidRDefault="003E4B00" w:rsidP="003E4B00">
      <w:r>
        <w:t>&lt;ESMA_QUESTION_PRIIPS_15&gt;</w:t>
      </w:r>
    </w:p>
    <w:p w:rsidR="005D3FE7" w:rsidRPr="00355849" w:rsidRDefault="005D3FE7" w:rsidP="005D3FE7">
      <w:pPr>
        <w:spacing w:after="120"/>
        <w:rPr>
          <w:rFonts w:ascii="Arial Narrow" w:hAnsi="Arial Narrow" w:cs="Arial"/>
          <w:sz w:val="22"/>
        </w:rPr>
      </w:pPr>
      <w:permStart w:id="1268790690" w:edGrp="everyone"/>
      <w:r w:rsidRPr="00355849">
        <w:rPr>
          <w:rFonts w:ascii="Arial Narrow" w:hAnsi="Arial Narrow" w:cs="Arial"/>
          <w:sz w:val="22"/>
        </w:rPr>
        <w:t xml:space="preserve">We have some serious concerns with the approach adopted towards performance in the draft RTS. The construction of the different performance scenarios is almost left entirely to the choice of the manufacturer which clearly facilitates ‘window-dressing’. </w:t>
      </w:r>
    </w:p>
    <w:p w:rsidR="005D3FE7" w:rsidRPr="00355849" w:rsidRDefault="005D3FE7" w:rsidP="005D3FE7">
      <w:pPr>
        <w:spacing w:after="120"/>
        <w:rPr>
          <w:rFonts w:ascii="Arial Narrow" w:hAnsi="Arial Narrow" w:cs="Arial"/>
          <w:sz w:val="22"/>
        </w:rPr>
      </w:pPr>
      <w:r w:rsidRPr="00355849">
        <w:rPr>
          <w:rFonts w:ascii="Arial Narrow" w:hAnsi="Arial Narrow" w:cs="Arial"/>
          <w:sz w:val="22"/>
        </w:rPr>
        <w:t xml:space="preserve">As stated in our answer to question 14, we believe information on performance should be based on </w:t>
      </w:r>
      <w:r w:rsidRPr="00355849">
        <w:rPr>
          <w:rFonts w:ascii="Arial Narrow" w:hAnsi="Arial Narrow" w:cs="Arial"/>
          <w:sz w:val="22"/>
          <w:u w:val="single"/>
        </w:rPr>
        <w:t xml:space="preserve">historical performance figures </w:t>
      </w:r>
      <w:r w:rsidRPr="00355849">
        <w:rPr>
          <w:rFonts w:ascii="Arial Narrow" w:hAnsi="Arial Narrow" w:cs="Arial"/>
          <w:sz w:val="22"/>
        </w:rPr>
        <w:t>(e.g. average performance of PRIIPs sold in the last ten years).</w:t>
      </w:r>
    </w:p>
    <w:p w:rsidR="005D3FE7" w:rsidRPr="00355849" w:rsidRDefault="005D3FE7" w:rsidP="005D3FE7">
      <w:pPr>
        <w:spacing w:after="120"/>
        <w:rPr>
          <w:rFonts w:ascii="Arial Narrow" w:hAnsi="Arial Narrow" w:cs="Arial"/>
          <w:sz w:val="22"/>
        </w:rPr>
      </w:pPr>
      <w:r w:rsidRPr="00355849">
        <w:rPr>
          <w:rFonts w:ascii="Arial Narrow" w:hAnsi="Arial Narrow" w:cs="Arial"/>
          <w:sz w:val="22"/>
        </w:rPr>
        <w:lastRenderedPageBreak/>
        <w:t xml:space="preserve">However, assuming the ESAs (as now in the draft RTS) nevertheless stick with forecasts of future returns, it should be clearly prescribed how the different scenarios are constructed, by prescribing:  </w:t>
      </w:r>
    </w:p>
    <w:p w:rsidR="00241FC8" w:rsidRPr="00355849" w:rsidRDefault="005D3FE7" w:rsidP="00241FC8">
      <w:pPr>
        <w:pStyle w:val="Lijstalinea"/>
        <w:numPr>
          <w:ilvl w:val="0"/>
          <w:numId w:val="53"/>
        </w:numPr>
        <w:ind w:left="714" w:hanging="357"/>
        <w:contextualSpacing w:val="0"/>
        <w:rPr>
          <w:rFonts w:ascii="Arial Narrow" w:hAnsi="Arial Narrow" w:cs="Arial"/>
          <w:sz w:val="22"/>
        </w:rPr>
      </w:pPr>
      <w:r w:rsidRPr="00355849">
        <w:rPr>
          <w:rFonts w:ascii="Arial Narrow" w:hAnsi="Arial Narrow" w:cs="Arial"/>
          <w:sz w:val="22"/>
        </w:rPr>
        <w:t xml:space="preserve">the percentiles in case of a probabilistic approach </w:t>
      </w:r>
    </w:p>
    <w:p w:rsidR="005D3FE7" w:rsidRPr="00355849" w:rsidRDefault="005D3FE7" w:rsidP="00241FC8">
      <w:pPr>
        <w:pStyle w:val="Lijstalinea"/>
        <w:numPr>
          <w:ilvl w:val="0"/>
          <w:numId w:val="53"/>
        </w:numPr>
        <w:ind w:left="714" w:hanging="357"/>
        <w:contextualSpacing w:val="0"/>
        <w:rPr>
          <w:rFonts w:ascii="Arial Narrow" w:hAnsi="Arial Narrow" w:cs="Arial"/>
          <w:sz w:val="22"/>
        </w:rPr>
      </w:pPr>
      <w:r w:rsidRPr="00355849">
        <w:rPr>
          <w:rFonts w:ascii="Arial Narrow" w:hAnsi="Arial Narrow" w:cs="Arial"/>
          <w:sz w:val="22"/>
        </w:rPr>
        <w:t>the exact market conditions in case of a what-if approach.</w:t>
      </w:r>
    </w:p>
    <w:p w:rsidR="00241FC8" w:rsidRPr="00355849" w:rsidRDefault="00241FC8" w:rsidP="005D3FE7">
      <w:pPr>
        <w:spacing w:after="120"/>
        <w:rPr>
          <w:rFonts w:ascii="Arial Narrow" w:hAnsi="Arial Narrow" w:cs="Arial"/>
          <w:sz w:val="22"/>
        </w:rPr>
      </w:pPr>
    </w:p>
    <w:p w:rsidR="005D3FE7" w:rsidRPr="00355849" w:rsidRDefault="005D3FE7" w:rsidP="005D3FE7">
      <w:pPr>
        <w:spacing w:after="120"/>
        <w:rPr>
          <w:rFonts w:ascii="Arial Narrow" w:hAnsi="Arial Narrow" w:cs="Arial"/>
          <w:sz w:val="22"/>
        </w:rPr>
      </w:pPr>
      <w:r w:rsidRPr="00355849">
        <w:rPr>
          <w:rFonts w:ascii="Arial Narrow" w:hAnsi="Arial Narrow" w:cs="Arial"/>
          <w:sz w:val="22"/>
        </w:rPr>
        <w:t xml:space="preserve">We would clearly favour a </w:t>
      </w:r>
      <w:r w:rsidRPr="00355849">
        <w:rPr>
          <w:rFonts w:ascii="Arial Narrow" w:hAnsi="Arial Narrow" w:cs="Arial"/>
          <w:sz w:val="22"/>
          <w:u w:val="single"/>
        </w:rPr>
        <w:t>probabilistic approach</w:t>
      </w:r>
      <w:r w:rsidRPr="00355849">
        <w:rPr>
          <w:rFonts w:ascii="Arial Narrow" w:hAnsi="Arial Narrow" w:cs="Arial"/>
          <w:sz w:val="22"/>
        </w:rPr>
        <w:t>. We believe there is clear added value for investors from the information about the likelihood of different scenario’s. If that information is not provided, there is the risk that investors will draw (mostly incorrect) inferences themselves. Moreover, we believe one extra scenario, the so-called worst-case scenario should be included.</w:t>
      </w:r>
    </w:p>
    <w:p w:rsidR="005D3FE7" w:rsidRPr="00355849" w:rsidRDefault="005D3FE7" w:rsidP="005D3FE7">
      <w:pPr>
        <w:rPr>
          <w:rFonts w:ascii="Arial Narrow" w:hAnsi="Arial Narrow" w:cs="Arial"/>
          <w:sz w:val="22"/>
        </w:rPr>
      </w:pPr>
      <w:r w:rsidRPr="00355849">
        <w:rPr>
          <w:rFonts w:ascii="Arial Narrow" w:hAnsi="Arial Narrow" w:cs="Arial"/>
          <w:sz w:val="22"/>
        </w:rPr>
        <w:t xml:space="preserve">Regarding the presentation of the performance scenario’s, VEB’s view is that there should indeed be a more graphic presentation along the lines of the graph presented in the CP (figure 2). We think it gives the consumer a much better understanding of what happens to their money in the different scenario’s (than the table provided in the RTS, see figure 3). However, it should be clearly indicated next to the graphs what the chances are of getting less, and what are the chances of getting more (both in a probabilistic approach, in which this would be standardized, as in a what-if approach, in which this information will of course differ per PRIIP). Also, we believe the average return (net of costs) that applies to each scenario should be disclosed. </w:t>
      </w:r>
    </w:p>
    <w:p w:rsidR="005D3FE7" w:rsidRDefault="005D3FE7" w:rsidP="005D3FE7">
      <w:pPr>
        <w:rPr>
          <w:rFonts w:ascii="Arial Narrow" w:hAnsi="Arial Narrow" w:cs="Arial"/>
        </w:rPr>
      </w:pPr>
    </w:p>
    <w:p w:rsidR="005D3FE7" w:rsidRDefault="005D3FE7" w:rsidP="005D3FE7">
      <w:pPr>
        <w:rPr>
          <w:rFonts w:ascii="Arial Narrow" w:hAnsi="Arial Narrow" w:cs="Arial"/>
        </w:rPr>
      </w:pPr>
      <w:r>
        <w:rPr>
          <w:noProof/>
          <w:lang w:val="nl-NL" w:eastAsia="nl-NL"/>
        </w:rPr>
        <w:drawing>
          <wp:inline distT="0" distB="0" distL="0" distR="0" wp14:anchorId="3FC3123E" wp14:editId="399FA838">
            <wp:extent cx="5495925" cy="23907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5925" cy="2390775"/>
                    </a:xfrm>
                    <a:prstGeom prst="rect">
                      <a:avLst/>
                    </a:prstGeom>
                  </pic:spPr>
                </pic:pic>
              </a:graphicData>
            </a:graphic>
          </wp:inline>
        </w:drawing>
      </w:r>
    </w:p>
    <w:p w:rsidR="005D3FE7" w:rsidRPr="00355849" w:rsidRDefault="005D3FE7" w:rsidP="005D3FE7">
      <w:pPr>
        <w:rPr>
          <w:rFonts w:ascii="Arial Narrow" w:hAnsi="Arial Narrow" w:cs="Arial"/>
          <w:sz w:val="22"/>
        </w:rPr>
      </w:pPr>
      <w:r w:rsidRPr="00355849">
        <w:rPr>
          <w:rFonts w:ascii="Arial Narrow" w:hAnsi="Arial Narrow" w:cs="Arial"/>
          <w:sz w:val="22"/>
        </w:rPr>
        <w:t>Figure 2</w:t>
      </w:r>
    </w:p>
    <w:p w:rsidR="005D3FE7" w:rsidRDefault="005D3FE7" w:rsidP="005D3FE7">
      <w:pPr>
        <w:rPr>
          <w:rFonts w:ascii="Arial Narrow" w:hAnsi="Arial Narrow" w:cs="Arial"/>
        </w:rPr>
      </w:pPr>
    </w:p>
    <w:p w:rsidR="005D3FE7" w:rsidRDefault="005D3FE7" w:rsidP="005D3FE7">
      <w:pPr>
        <w:rPr>
          <w:rFonts w:ascii="Arial Narrow" w:hAnsi="Arial Narrow" w:cs="Arial"/>
        </w:rPr>
      </w:pPr>
      <w:r>
        <w:rPr>
          <w:noProof/>
          <w:lang w:val="nl-NL" w:eastAsia="nl-NL"/>
        </w:rPr>
        <w:drawing>
          <wp:inline distT="0" distB="0" distL="0" distR="0" wp14:anchorId="3D054210" wp14:editId="0DC431DD">
            <wp:extent cx="5676900" cy="25812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6900" cy="2581275"/>
                    </a:xfrm>
                    <a:prstGeom prst="rect">
                      <a:avLst/>
                    </a:prstGeom>
                  </pic:spPr>
                </pic:pic>
              </a:graphicData>
            </a:graphic>
          </wp:inline>
        </w:drawing>
      </w:r>
    </w:p>
    <w:p w:rsidR="005D3FE7" w:rsidRPr="00355849" w:rsidRDefault="005D3FE7" w:rsidP="005D3FE7">
      <w:pPr>
        <w:rPr>
          <w:rFonts w:ascii="Arial Narrow" w:hAnsi="Arial Narrow" w:cs="Arial"/>
          <w:sz w:val="22"/>
        </w:rPr>
      </w:pPr>
      <w:r w:rsidRPr="00355849">
        <w:rPr>
          <w:rFonts w:ascii="Arial Narrow" w:hAnsi="Arial Narrow" w:cs="Arial"/>
          <w:sz w:val="22"/>
        </w:rPr>
        <w:lastRenderedPageBreak/>
        <w:t>Figure 3</w:t>
      </w:r>
    </w:p>
    <w:permEnd w:id="1268790690"/>
    <w:p w:rsidR="003E4B00" w:rsidRPr="003E4B00" w:rsidRDefault="003E4B00" w:rsidP="003E4B00">
      <w:pPr>
        <w:rPr>
          <w:lang w:val="fr-FR"/>
        </w:rPr>
      </w:pPr>
      <w:r w:rsidRPr="00580880">
        <w:rPr>
          <w:lang w:val="fr-FR"/>
        </w:rPr>
        <w:t>&lt;ESMA_QUESTION_</w:t>
      </w:r>
      <w:r>
        <w:rPr>
          <w:lang w:val="fr-FR"/>
        </w:rPr>
        <w:t>PRIIPS_15</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16</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agree with the scope of the assets mentioned in paragraph 25 of Annex VI on transaction costs for which this methodology is prescribed? If not, what alternative scope would you recommend?</w:t>
      </w:r>
    </w:p>
    <w:p w:rsidR="00A2049D" w:rsidRDefault="00A2049D" w:rsidP="00A2049D">
      <w:pPr>
        <w:rPr>
          <w:rFonts w:ascii="Times New Roman" w:hAnsi="Times New Roman"/>
          <w:i/>
          <w:sz w:val="22"/>
          <w:szCs w:val="22"/>
          <w:lang w:eastAsia="en-US"/>
        </w:rPr>
      </w:pPr>
    </w:p>
    <w:p w:rsidR="003E4B00" w:rsidRDefault="003E4B00" w:rsidP="003E4B00">
      <w:r>
        <w:t>&lt;ESMA_QUESTION_PRIIPS_16&gt;</w:t>
      </w:r>
    </w:p>
    <w:p w:rsidR="00B514B7" w:rsidRPr="00355849" w:rsidRDefault="005D3FE7" w:rsidP="005D3FE7">
      <w:pPr>
        <w:rPr>
          <w:rFonts w:ascii="Arial Narrow" w:hAnsi="Arial Narrow" w:cs="Arial"/>
          <w:sz w:val="22"/>
          <w:lang w:val="en-US"/>
        </w:rPr>
      </w:pPr>
      <w:permStart w:id="1650946895" w:edGrp="everyone"/>
      <w:r w:rsidRPr="00355849">
        <w:rPr>
          <w:rFonts w:ascii="Arial Narrow" w:hAnsi="Arial Narrow" w:cs="Arial"/>
          <w:sz w:val="22"/>
          <w:lang w:val="en-US"/>
        </w:rPr>
        <w:t xml:space="preserve">We note convertibles are not mentioned in the list of liquid asset classes. </w:t>
      </w:r>
    </w:p>
    <w:permEnd w:id="1650946895"/>
    <w:p w:rsidR="003E4B00" w:rsidRPr="003E4B00" w:rsidRDefault="003E4B00" w:rsidP="003E4B00">
      <w:pPr>
        <w:rPr>
          <w:lang w:val="fr-FR"/>
        </w:rPr>
      </w:pPr>
      <w:r w:rsidRPr="00580880">
        <w:rPr>
          <w:lang w:val="fr-FR"/>
        </w:rPr>
        <w:t>&lt;ESMA_QUESTION_</w:t>
      </w:r>
      <w:r>
        <w:rPr>
          <w:lang w:val="fr-FR"/>
        </w:rPr>
        <w:t>PRIIPS_16</w:t>
      </w:r>
      <w:r w:rsidRPr="00580880">
        <w:rPr>
          <w:lang w:val="fr-FR"/>
        </w:rPr>
        <w:t>&gt;</w:t>
      </w:r>
    </w:p>
    <w:p w:rsidR="00A2049D" w:rsidRDefault="00A2049D" w:rsidP="00A2049D">
      <w:pPr>
        <w:rPr>
          <w:rFonts w:ascii="Times New Roman" w:hAnsi="Times New Roman"/>
          <w:i/>
          <w:sz w:val="22"/>
          <w:szCs w:val="22"/>
          <w:lang w:eastAsia="en-US"/>
        </w:rPr>
      </w:pPr>
    </w:p>
    <w:p w:rsidR="00A2049D" w:rsidRPr="00A2049D" w:rsidRDefault="00A2049D" w:rsidP="00A2049D">
      <w:pPr>
        <w:rPr>
          <w:rFonts w:ascii="Times New Roman" w:hAnsi="Times New Roman"/>
          <w:i/>
          <w:sz w:val="22"/>
          <w:szCs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17</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agree with the values of the figures included in this table? If not, which values would you suggest? (please note that this table could as well be included in guidelines, to allow for more flexibility in the revision of the figures)</w:t>
      </w:r>
    </w:p>
    <w:p w:rsidR="003E4B00" w:rsidRDefault="003E4B00" w:rsidP="003E4B00"/>
    <w:p w:rsidR="003E4B00" w:rsidRDefault="003E4B00" w:rsidP="003E4B00">
      <w:r>
        <w:t>&lt;ESMA_QUESTION_PRIIPS_17&gt;</w:t>
      </w:r>
    </w:p>
    <w:p w:rsidR="005D3FE7" w:rsidRPr="00355849" w:rsidRDefault="005D3FE7" w:rsidP="005D3FE7">
      <w:pPr>
        <w:rPr>
          <w:rFonts w:ascii="Arial Narrow" w:hAnsi="Arial Narrow" w:cs="Arial"/>
          <w:sz w:val="22"/>
          <w:lang w:val="en-US"/>
        </w:rPr>
      </w:pPr>
      <w:permStart w:id="1817136379" w:edGrp="everyone"/>
      <w:r w:rsidRPr="00355849">
        <w:rPr>
          <w:rFonts w:ascii="Arial Narrow" w:hAnsi="Arial Narrow" w:cs="Arial"/>
          <w:sz w:val="22"/>
          <w:lang w:val="en-US"/>
        </w:rPr>
        <w:t>Yes. It is important that these figures are frequently updated on the basis of historical figures. Guidelines would provide such flexibility to the ESAs, but would not be binding (if we understand it correctly) on PRIIPs providers. If that is the case, the table should be included in the RTS.</w:t>
      </w:r>
    </w:p>
    <w:p w:rsidR="00B514B7" w:rsidRPr="00355849" w:rsidRDefault="00B514B7" w:rsidP="005D3FE7">
      <w:pPr>
        <w:rPr>
          <w:rFonts w:ascii="Arial Narrow" w:hAnsi="Arial Narrow" w:cs="Arial"/>
          <w:sz w:val="22"/>
          <w:lang w:val="en-US"/>
        </w:rPr>
      </w:pPr>
    </w:p>
    <w:p w:rsidR="00B514B7" w:rsidRPr="00355849" w:rsidRDefault="00B514B7" w:rsidP="00B514B7">
      <w:pPr>
        <w:contextualSpacing/>
        <w:jc w:val="both"/>
        <w:rPr>
          <w:rFonts w:ascii="Arial Narrow" w:hAnsi="Arial Narrow" w:cs="Arial"/>
          <w:sz w:val="22"/>
          <w:lang w:val="en-US"/>
        </w:rPr>
      </w:pPr>
      <w:r w:rsidRPr="00355849">
        <w:rPr>
          <w:rFonts w:ascii="Arial Narrow" w:hAnsi="Arial Narrow" w:cs="Arial"/>
          <w:sz w:val="22"/>
          <w:lang w:val="en-US"/>
        </w:rPr>
        <w:t>We have one further comment regarding transaction costs. T</w:t>
      </w:r>
      <w:r w:rsidRPr="00355849">
        <w:rPr>
          <w:rFonts w:ascii="Arial Narrow" w:hAnsi="Arial Narrow" w:cs="Arial"/>
          <w:sz w:val="22"/>
        </w:rPr>
        <w:t>he transaction costs expressed in the KID are the average of the annual transaction costs in the previous three years. VEB’s view is that the KID therefore needs to be revised every year in order to make sure the costs disclosed as well as the performance net-of-costs is accurate.</w:t>
      </w:r>
    </w:p>
    <w:permEnd w:id="1817136379"/>
    <w:p w:rsidR="003E4B00" w:rsidRPr="003E4B00" w:rsidRDefault="003E4B00" w:rsidP="003E4B00">
      <w:pPr>
        <w:rPr>
          <w:lang w:val="fr-FR"/>
        </w:rPr>
      </w:pPr>
      <w:r w:rsidRPr="00580880">
        <w:rPr>
          <w:lang w:val="fr-FR"/>
        </w:rPr>
        <w:t>&lt;ESMA_QUESTION_</w:t>
      </w:r>
      <w:r>
        <w:rPr>
          <w:lang w:val="fr-FR"/>
        </w:rPr>
        <w:t>PRIIPS_17</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18</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sz w:val="22"/>
          <w:lang w:eastAsia="en-US"/>
        </w:rPr>
        <w:t>Do you agree that the monetary values indicated in the first table are a sum of costs over the respective holding periods? Or should the values reflect annualized amounts? If you prefer annualized amounts, which method for annualisation should be used (e.g. arithmetic average or methods that consider discounting effects)?</w:t>
      </w:r>
    </w:p>
    <w:p w:rsidR="003E4B00" w:rsidRDefault="003E4B00" w:rsidP="003E4B00"/>
    <w:p w:rsidR="003E4B00" w:rsidRDefault="003E4B00" w:rsidP="003E4B00">
      <w:r>
        <w:t>&lt;ESMA_QUESTION_PRIIPS_18&gt;</w:t>
      </w:r>
    </w:p>
    <w:p w:rsidR="005D3FE7" w:rsidRPr="00355849" w:rsidRDefault="005D3FE7" w:rsidP="005D3FE7">
      <w:pPr>
        <w:spacing w:after="120"/>
        <w:rPr>
          <w:rFonts w:ascii="Arial Narrow" w:hAnsi="Arial Narrow" w:cs="Arial"/>
          <w:sz w:val="22"/>
          <w:lang w:val="en-US"/>
        </w:rPr>
      </w:pPr>
      <w:permStart w:id="474373380" w:edGrp="everyone"/>
      <w:r w:rsidRPr="00355849">
        <w:rPr>
          <w:rFonts w:ascii="Arial Narrow" w:hAnsi="Arial Narrow" w:cs="Arial"/>
          <w:sz w:val="22"/>
          <w:lang w:val="en-US"/>
        </w:rPr>
        <w:t>Indicating the sum of costs over the respective holding periods allows consumers to immediately see the total costs (</w:t>
      </w:r>
      <w:r w:rsidRPr="00355849">
        <w:rPr>
          <w:rFonts w:ascii="Arial Narrow" w:hAnsi="Arial Narrow" w:cs="Arial"/>
          <w:i/>
          <w:sz w:val="22"/>
          <w:lang w:val="en-US"/>
        </w:rPr>
        <w:t xml:space="preserve">or </w:t>
      </w:r>
      <w:r w:rsidRPr="00355849">
        <w:rPr>
          <w:rFonts w:ascii="Arial Narrow" w:hAnsi="Arial Narrow" w:cs="Arial"/>
          <w:sz w:val="22"/>
          <w:lang w:val="en-US"/>
        </w:rPr>
        <w:t xml:space="preserve">total one-off costs </w:t>
      </w:r>
      <w:r w:rsidRPr="00355849">
        <w:rPr>
          <w:rFonts w:ascii="Arial Narrow" w:hAnsi="Arial Narrow" w:cs="Arial"/>
          <w:i/>
          <w:sz w:val="22"/>
          <w:lang w:val="en-US"/>
        </w:rPr>
        <w:t xml:space="preserve">or </w:t>
      </w:r>
      <w:r w:rsidRPr="00355849">
        <w:rPr>
          <w:rFonts w:ascii="Arial Narrow" w:hAnsi="Arial Narrow" w:cs="Arial"/>
          <w:sz w:val="22"/>
          <w:lang w:val="en-US"/>
        </w:rPr>
        <w:t>total</w:t>
      </w:r>
      <w:r w:rsidRPr="00355849">
        <w:rPr>
          <w:rFonts w:ascii="Arial Narrow" w:hAnsi="Arial Narrow" w:cs="Arial"/>
          <w:i/>
          <w:sz w:val="22"/>
          <w:lang w:val="en-US"/>
        </w:rPr>
        <w:t xml:space="preserve"> </w:t>
      </w:r>
      <w:r w:rsidRPr="00355849">
        <w:rPr>
          <w:rFonts w:ascii="Arial Narrow" w:hAnsi="Arial Narrow" w:cs="Arial"/>
          <w:sz w:val="22"/>
          <w:lang w:val="en-US"/>
        </w:rPr>
        <w:t xml:space="preserve">recurring costs </w:t>
      </w:r>
      <w:r w:rsidRPr="00355849">
        <w:rPr>
          <w:rFonts w:ascii="Arial Narrow" w:hAnsi="Arial Narrow" w:cs="Arial"/>
          <w:i/>
          <w:sz w:val="22"/>
          <w:lang w:val="en-US"/>
        </w:rPr>
        <w:t xml:space="preserve">or </w:t>
      </w:r>
      <w:r w:rsidRPr="00355849">
        <w:rPr>
          <w:rFonts w:ascii="Arial Narrow" w:hAnsi="Arial Narrow" w:cs="Arial"/>
          <w:sz w:val="22"/>
          <w:lang w:val="en-US"/>
        </w:rPr>
        <w:t xml:space="preserve">total incidental costs) they will have incurred if they will cash out after a certain holding period. However, VEB would not object to also show the total costs in annualized amounts € per year (in addition the sum of costs), based on the arithmetic average. This would mean a row should be added in the table below (figure 4), in between the “Total costs” row and the “RIY” row. The one-off costs/recurring costs/incidental costs in the table would not need to be annualized. </w:t>
      </w:r>
    </w:p>
    <w:p w:rsidR="005D3FE7" w:rsidRDefault="005D3FE7" w:rsidP="005D3FE7">
      <w:pPr>
        <w:rPr>
          <w:rFonts w:ascii="Arial Narrow" w:hAnsi="Arial Narrow" w:cs="Arial"/>
          <w:lang w:val="en-US"/>
        </w:rPr>
      </w:pPr>
      <w:r>
        <w:rPr>
          <w:noProof/>
          <w:lang w:val="nl-NL" w:eastAsia="nl-NL"/>
        </w:rPr>
        <w:lastRenderedPageBreak/>
        <w:drawing>
          <wp:inline distT="0" distB="0" distL="0" distR="0" wp14:anchorId="0569937B" wp14:editId="3E4B91C7">
            <wp:extent cx="5760720" cy="19329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932940"/>
                    </a:xfrm>
                    <a:prstGeom prst="rect">
                      <a:avLst/>
                    </a:prstGeom>
                  </pic:spPr>
                </pic:pic>
              </a:graphicData>
            </a:graphic>
          </wp:inline>
        </w:drawing>
      </w: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Figure 4</w:t>
      </w:r>
    </w:p>
    <w:permEnd w:id="474373380"/>
    <w:p w:rsidR="003E4B00" w:rsidRPr="003E4B00" w:rsidRDefault="003E4B00" w:rsidP="003E4B00">
      <w:pPr>
        <w:rPr>
          <w:lang w:val="fr-FR"/>
        </w:rPr>
      </w:pPr>
      <w:r w:rsidRPr="00580880">
        <w:rPr>
          <w:lang w:val="fr-FR"/>
        </w:rPr>
        <w:t>&lt;ESMA_QUESTION_</w:t>
      </w:r>
      <w:r>
        <w:rPr>
          <w:lang w:val="fr-FR"/>
        </w:rPr>
        <w:t>PRIIPS_18</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19</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think that estimating the fair value of biometric risk premiums as stated in paragraph 55(b) of Annex VI would raise any technical or practical difficulties?</w:t>
      </w:r>
    </w:p>
    <w:p w:rsidR="00A2049D" w:rsidRDefault="00A2049D" w:rsidP="00A2049D">
      <w:pPr>
        <w:jc w:val="both"/>
        <w:rPr>
          <w:rFonts w:ascii="Times New Roman" w:hAnsi="Times New Roman"/>
          <w:sz w:val="22"/>
          <w:lang w:eastAsia="en-US"/>
        </w:rPr>
      </w:pPr>
    </w:p>
    <w:p w:rsidR="003E4B00" w:rsidRDefault="003E4B00" w:rsidP="003E4B00">
      <w:r>
        <w:t>&lt;ESMA_QUESTION_PRIIPS_1</w:t>
      </w:r>
      <w:r w:rsidR="00491E49">
        <w:t>9</w:t>
      </w:r>
      <w:r>
        <w:t>&gt;</w:t>
      </w:r>
    </w:p>
    <w:p w:rsidR="005D3FE7" w:rsidRDefault="001365B1" w:rsidP="005D3FE7">
      <w:pPr>
        <w:jc w:val="both"/>
        <w:rPr>
          <w:rFonts w:ascii="Arial Narrow" w:hAnsi="Arial Narrow"/>
          <w:color w:val="000000"/>
          <w:sz w:val="22"/>
        </w:rPr>
      </w:pPr>
      <w:permStart w:id="406738222" w:edGrp="everyone"/>
      <w:r>
        <w:rPr>
          <w:rFonts w:ascii="Arial Narrow" w:hAnsi="Arial Narrow"/>
          <w:color w:val="000000"/>
          <w:sz w:val="22"/>
        </w:rPr>
        <w:t>G</w:t>
      </w:r>
      <w:r w:rsidR="005D3FE7" w:rsidRPr="00355849">
        <w:rPr>
          <w:rFonts w:ascii="Arial Narrow" w:hAnsi="Arial Narrow"/>
          <w:color w:val="000000"/>
          <w:sz w:val="22"/>
        </w:rPr>
        <w:t xml:space="preserve">enerally speaking, </w:t>
      </w:r>
      <w:r>
        <w:rPr>
          <w:rFonts w:ascii="Arial Narrow" w:hAnsi="Arial Narrow"/>
          <w:color w:val="000000"/>
          <w:sz w:val="22"/>
        </w:rPr>
        <w:t xml:space="preserve">it is difficult to </w:t>
      </w:r>
      <w:r w:rsidR="005D3FE7" w:rsidRPr="00355849">
        <w:rPr>
          <w:rFonts w:ascii="Arial Narrow" w:hAnsi="Arial Narrow"/>
          <w:color w:val="000000"/>
          <w:sz w:val="22"/>
        </w:rPr>
        <w:t>understand why the cost of providing life insurance cover should not be fully disclosed. The presented calculation of a “fair value” seems to deduct benefits and to understate costs. If a guarantee, external to a fund, is provided to a client, then that “benefit” is a cost and should have to be fully disclosed and taken into account in the cost calculation.</w:t>
      </w:r>
    </w:p>
    <w:p w:rsidR="00355849" w:rsidRPr="00355849" w:rsidRDefault="00355849" w:rsidP="005D3FE7">
      <w:pPr>
        <w:jc w:val="both"/>
        <w:rPr>
          <w:rFonts w:ascii="Arial Narrow" w:hAnsi="Arial Narrow"/>
          <w:color w:val="000000"/>
          <w:sz w:val="22"/>
        </w:rPr>
      </w:pPr>
    </w:p>
    <w:p w:rsidR="005D3FE7" w:rsidRDefault="005D3FE7" w:rsidP="005D3FE7">
      <w:pPr>
        <w:jc w:val="both"/>
        <w:rPr>
          <w:rFonts w:ascii="Arial Narrow" w:hAnsi="Arial Narrow"/>
          <w:color w:val="000000"/>
          <w:sz w:val="22"/>
        </w:rPr>
      </w:pPr>
      <w:r w:rsidRPr="00355849">
        <w:rPr>
          <w:rFonts w:ascii="Arial Narrow" w:hAnsi="Arial Narrow"/>
          <w:color w:val="000000"/>
          <w:sz w:val="22"/>
        </w:rPr>
        <w:t>As estimating the fair value of biometric risk premiums will raise some technical difficulties, especially linked to underlying asset projection (stochastic mode</w:t>
      </w:r>
      <w:r w:rsidR="001365B1">
        <w:rPr>
          <w:rFonts w:ascii="Arial Narrow" w:hAnsi="Arial Narrow"/>
          <w:color w:val="000000"/>
          <w:sz w:val="22"/>
        </w:rPr>
        <w:t>lling, profit-sharing, etc.), VEB</w:t>
      </w:r>
      <w:r w:rsidRPr="00355849">
        <w:rPr>
          <w:rFonts w:ascii="Arial Narrow" w:hAnsi="Arial Narrow"/>
          <w:color w:val="000000"/>
          <w:sz w:val="22"/>
        </w:rPr>
        <w:t xml:space="preserve"> suggest</w:t>
      </w:r>
      <w:r w:rsidR="001365B1">
        <w:rPr>
          <w:rFonts w:ascii="Arial Narrow" w:hAnsi="Arial Narrow"/>
          <w:color w:val="000000"/>
          <w:sz w:val="22"/>
        </w:rPr>
        <w:t>s</w:t>
      </w:r>
      <w:r w:rsidRPr="00355849">
        <w:rPr>
          <w:rFonts w:ascii="Arial Narrow" w:hAnsi="Arial Narrow"/>
          <w:color w:val="000000"/>
          <w:sz w:val="22"/>
        </w:rPr>
        <w:t xml:space="preserve"> that the ESAs develop Level-3 guidelines on the assumption to be used when calculating the fair value of biometric risk premiums in order to allow a common methodology not only among insurance PRIIPs, but also among o</w:t>
      </w:r>
      <w:r w:rsidR="001365B1">
        <w:rPr>
          <w:rFonts w:ascii="Arial Narrow" w:hAnsi="Arial Narrow"/>
          <w:color w:val="000000"/>
          <w:sz w:val="22"/>
        </w:rPr>
        <w:t>ther PRIIP types. In any case, VEB</w:t>
      </w:r>
      <w:r w:rsidRPr="00355849">
        <w:rPr>
          <w:rFonts w:ascii="Arial Narrow" w:hAnsi="Arial Narrow"/>
          <w:color w:val="000000"/>
          <w:sz w:val="22"/>
        </w:rPr>
        <w:t xml:space="preserve"> agree</w:t>
      </w:r>
      <w:r w:rsidR="001365B1">
        <w:rPr>
          <w:rFonts w:ascii="Arial Narrow" w:hAnsi="Arial Narrow"/>
          <w:color w:val="000000"/>
          <w:sz w:val="22"/>
        </w:rPr>
        <w:t>s</w:t>
      </w:r>
      <w:r w:rsidRPr="00355849">
        <w:rPr>
          <w:rFonts w:ascii="Arial Narrow" w:hAnsi="Arial Narrow"/>
          <w:color w:val="000000"/>
          <w:sz w:val="22"/>
        </w:rPr>
        <w:t xml:space="preserve"> with the ESAs that if the insurance undertaking is not able to establish the fair value of a biometric risk premium based on sound estimations of future benefit payments, it should be obliged to include the full biometric risk premium in the cost calculations.</w:t>
      </w:r>
    </w:p>
    <w:p w:rsidR="00355849" w:rsidRPr="00355849" w:rsidRDefault="00355849" w:rsidP="005D3FE7">
      <w:pPr>
        <w:jc w:val="both"/>
        <w:rPr>
          <w:rFonts w:ascii="Arial Narrow" w:hAnsi="Arial Narrow"/>
          <w:color w:val="000000"/>
          <w:sz w:val="22"/>
        </w:rPr>
      </w:pPr>
    </w:p>
    <w:p w:rsidR="005D3FE7" w:rsidRPr="00355849" w:rsidRDefault="005D3FE7" w:rsidP="005D3FE7">
      <w:pPr>
        <w:jc w:val="both"/>
        <w:rPr>
          <w:rFonts w:ascii="Arial Narrow" w:hAnsi="Arial Narrow"/>
          <w:color w:val="000000"/>
          <w:sz w:val="22"/>
        </w:rPr>
      </w:pPr>
      <w:r w:rsidRPr="00355849">
        <w:rPr>
          <w:rFonts w:ascii="Arial Narrow" w:hAnsi="Arial Narrow"/>
          <w:color w:val="000000"/>
          <w:sz w:val="22"/>
        </w:rPr>
        <w:t>Para. 55(b) allows for profit-sharing mechanisms to be deducted from the costs of an insurance PRIIP. As profit-sharing mechanisms are already part of the performance calculation (see page 52, para. 11(c) in the performance scenarios section), this would allow insurance PRIIPs to add them to the PRIIP’s performance and also deduct them from its costs. Profit-sharing mechanisms should be used either to reduce costs or to increase performance, but not both.</w:t>
      </w:r>
    </w:p>
    <w:permEnd w:id="406738222"/>
    <w:p w:rsidR="003E4B00" w:rsidRPr="003E4B00" w:rsidRDefault="003E4B00" w:rsidP="003E4B00">
      <w:pPr>
        <w:rPr>
          <w:lang w:val="fr-FR"/>
        </w:rPr>
      </w:pPr>
      <w:r w:rsidRPr="00580880">
        <w:rPr>
          <w:lang w:val="fr-FR"/>
        </w:rPr>
        <w:t>&lt;ESMA_QUESTION_</w:t>
      </w:r>
      <w:r>
        <w:rPr>
          <w:lang w:val="fr-FR"/>
        </w:rPr>
        <w:t>PRIIPS_1</w:t>
      </w:r>
      <w:r w:rsidR="00491E49">
        <w:rPr>
          <w:lang w:val="fr-FR"/>
        </w:rPr>
        <w:t>9</w:t>
      </w:r>
      <w:r w:rsidRPr="00580880">
        <w:rPr>
          <w:lang w:val="fr-FR"/>
        </w:rPr>
        <w:t>&gt;</w:t>
      </w:r>
    </w:p>
    <w:p w:rsidR="003E4B00" w:rsidRDefault="003E4B00" w:rsidP="00A2049D">
      <w:pPr>
        <w:jc w:val="both"/>
        <w:rPr>
          <w:rFonts w:ascii="Times New Roman" w:hAnsi="Times New Roman"/>
          <w:sz w:val="22"/>
          <w:lang w:eastAsia="en-US"/>
        </w:rPr>
      </w:pPr>
    </w:p>
    <w:p w:rsidR="003E4B00" w:rsidRDefault="003E4B00" w:rsidP="00A2049D">
      <w:pPr>
        <w:jc w:val="both"/>
        <w:rPr>
          <w:rFonts w:ascii="Times New Roman" w:hAnsi="Times New Roman"/>
          <w:sz w:val="22"/>
          <w:lang w:eastAsia="en-US"/>
        </w:rPr>
      </w:pPr>
    </w:p>
    <w:p w:rsidR="00491E49" w:rsidRPr="00A2049D" w:rsidRDefault="00491E49" w:rsidP="00A2049D">
      <w:pPr>
        <w:jc w:val="both"/>
        <w:rPr>
          <w:rFonts w:ascii="Times New Roman" w:hAnsi="Times New Roman"/>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20</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sz w:val="22"/>
          <w:lang w:eastAsia="en-US"/>
        </w:rPr>
      </w:pPr>
      <w:r w:rsidRPr="00A2049D">
        <w:rPr>
          <w:rFonts w:ascii="Calibri" w:hAnsi="Calibri"/>
          <w:i/>
          <w:sz w:val="22"/>
          <w:lang w:eastAsia="en-US"/>
        </w:rPr>
        <w:t xml:space="preserve">Knowing that the cost element of the biometric risk premium is included in the total costs calculation, how do you think the investor might be most efficiently informed about the other part of the biometric risk premium (i.e. the fair value), and/or the size of biometric risk premium overall? Do you consider it useful to include the fair value in a separate line in the first table, potentially below the RIY? Or should information on the fair value be disclosed in another part of the KID (for instance, the “What is this product?” section, where the draft RTS currently disclose biometric risk premiums in total, and/or in the performance section)? </w:t>
      </w:r>
      <w:r w:rsidRPr="00A2049D">
        <w:rPr>
          <w:rFonts w:ascii="Calibri" w:hAnsi="Calibri"/>
          <w:i/>
          <w:sz w:val="22"/>
          <w:lang w:eastAsia="en-US"/>
        </w:rPr>
        <w:lastRenderedPageBreak/>
        <w:t xml:space="preserve">What accompanying narrative text do you think is needed, and where should this be placed, including specifically narrative text in the cost section? </w:t>
      </w:r>
    </w:p>
    <w:p w:rsidR="00491E49" w:rsidRDefault="00491E49" w:rsidP="00491E49"/>
    <w:p w:rsidR="00491E49" w:rsidRDefault="00491E49" w:rsidP="00491E49">
      <w:r>
        <w:t>&lt;ESMA_QUESTION_PRIIPS_20&gt;</w:t>
      </w:r>
    </w:p>
    <w:p w:rsidR="001365B1" w:rsidRPr="001365B1" w:rsidRDefault="001365B1" w:rsidP="001365B1">
      <w:pPr>
        <w:jc w:val="both"/>
        <w:rPr>
          <w:rFonts w:ascii="Arial Narrow" w:hAnsi="Arial Narrow" w:cs="Arial"/>
          <w:sz w:val="22"/>
          <w:lang w:val="en-US"/>
        </w:rPr>
      </w:pPr>
      <w:permStart w:id="265104243" w:edGrp="everyone"/>
      <w:r w:rsidRPr="001365B1">
        <w:rPr>
          <w:rFonts w:ascii="Arial Narrow" w:hAnsi="Arial Narrow"/>
          <w:color w:val="000000"/>
          <w:sz w:val="22"/>
        </w:rPr>
        <w:t>I</w:t>
      </w:r>
      <w:r w:rsidR="005D3FE7" w:rsidRPr="00355849">
        <w:rPr>
          <w:rFonts w:ascii="Arial Narrow" w:hAnsi="Arial Narrow"/>
          <w:color w:val="000000"/>
          <w:sz w:val="22"/>
        </w:rPr>
        <w:t xml:space="preserve">t would be useful to include the biometric risk premium in the presentation of costs (Annex VII) in the second cost table as “Insurance costs” of a PRIIP. </w:t>
      </w:r>
      <w:r>
        <w:rPr>
          <w:rFonts w:ascii="Arial Narrow" w:hAnsi="Arial Narrow" w:cs="Arial"/>
          <w:sz w:val="22"/>
          <w:lang w:val="en-US"/>
        </w:rPr>
        <w:t xml:space="preserve">VEB therefore supports the proposal below, coming from the </w:t>
      </w:r>
      <w:r w:rsidR="00AE70B7">
        <w:rPr>
          <w:rFonts w:ascii="Arial Narrow" w:hAnsi="Arial Narrow" w:cs="Arial"/>
          <w:sz w:val="22"/>
          <w:lang w:val="en-US"/>
        </w:rPr>
        <w:t>European Fund and Asset Management Association (EFAMA).</w:t>
      </w:r>
    </w:p>
    <w:p w:rsidR="005D3FE7" w:rsidRPr="001365B1" w:rsidRDefault="005D3FE7" w:rsidP="005D3FE7">
      <w:pPr>
        <w:jc w:val="both"/>
        <w:rPr>
          <w:rFonts w:ascii="Arial Narrow" w:hAnsi="Arial Narrow"/>
          <w:color w:val="000000"/>
          <w:lang w:val="en-US"/>
        </w:rPr>
      </w:pPr>
    </w:p>
    <w:tbl>
      <w:tblPr>
        <w:tblW w:w="9262" w:type="dxa"/>
        <w:tblCellMar>
          <w:left w:w="0" w:type="dxa"/>
          <w:right w:w="0" w:type="dxa"/>
        </w:tblCellMar>
        <w:tblLook w:val="04A0" w:firstRow="1" w:lastRow="0" w:firstColumn="1" w:lastColumn="0" w:noHBand="0" w:noVBand="1"/>
      </w:tblPr>
      <w:tblGrid>
        <w:gridCol w:w="1674"/>
        <w:gridCol w:w="979"/>
        <w:gridCol w:w="2230"/>
        <w:gridCol w:w="1208"/>
        <w:gridCol w:w="1275"/>
        <w:gridCol w:w="1896"/>
      </w:tblGrid>
      <w:tr w:rsidR="005D3FE7" w:rsidRPr="000E2CA7" w:rsidTr="005B4AA0">
        <w:trPr>
          <w:trHeight w:val="411"/>
        </w:trPr>
        <w:tc>
          <w:tcPr>
            <w:tcW w:w="4883" w:type="dxa"/>
            <w:gridSpan w:val="3"/>
            <w:tcBorders>
              <w:top w:val="single" w:sz="8" w:space="0" w:color="auto"/>
              <w:left w:val="single" w:sz="8" w:space="0" w:color="auto"/>
              <w:bottom w:val="nil"/>
              <w:right w:val="nil"/>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sz w:val="24"/>
                <w:lang w:eastAsia="en-GB"/>
              </w:rPr>
            </w:pPr>
            <w:r w:rsidRPr="000E2CA7">
              <w:rPr>
                <w:rFonts w:ascii="Arial Narrow" w:hAnsi="Arial Narrow"/>
                <w:b/>
                <w:bCs/>
                <w:color w:val="000000"/>
                <w:lang w:eastAsia="en-GB"/>
              </w:rPr>
              <w:t>What are the costs?</w:t>
            </w:r>
          </w:p>
        </w:tc>
        <w:tc>
          <w:tcPr>
            <w:tcW w:w="1208" w:type="dxa"/>
            <w:tcBorders>
              <w:top w:val="single" w:sz="8" w:space="0" w:color="auto"/>
              <w:left w:val="nil"/>
              <w:bottom w:val="nil"/>
              <w:right w:val="nil"/>
            </w:tcBorders>
            <w:noWrap/>
            <w:tcMar>
              <w:top w:w="0" w:type="dxa"/>
              <w:left w:w="108" w:type="dxa"/>
              <w:bottom w:w="0" w:type="dxa"/>
              <w:right w:w="108" w:type="dxa"/>
            </w:tcMar>
            <w:vAlign w:val="bottom"/>
            <w:hideMark/>
          </w:tcPr>
          <w:p w:rsidR="005D3FE7" w:rsidRPr="000E2CA7" w:rsidRDefault="005D3FE7" w:rsidP="005B4AA0">
            <w:pPr>
              <w:rPr>
                <w:rFonts w:ascii="Arial Narrow" w:hAnsi="Arial Narrow"/>
                <w:b/>
                <w:bCs/>
                <w:color w:val="000000"/>
                <w:sz w:val="24"/>
                <w:lang w:eastAsia="en-GB"/>
              </w:rPr>
            </w:pPr>
          </w:p>
        </w:tc>
        <w:tc>
          <w:tcPr>
            <w:tcW w:w="1275" w:type="dxa"/>
            <w:tcBorders>
              <w:top w:val="single" w:sz="8" w:space="0" w:color="auto"/>
              <w:left w:val="nil"/>
              <w:bottom w:val="nil"/>
              <w:right w:val="nil"/>
            </w:tcBorders>
            <w:noWrap/>
            <w:tcMar>
              <w:top w:w="0" w:type="dxa"/>
              <w:left w:w="108" w:type="dxa"/>
              <w:bottom w:w="0" w:type="dxa"/>
              <w:right w:w="108" w:type="dxa"/>
            </w:tcMar>
            <w:vAlign w:val="bottom"/>
            <w:hideMark/>
          </w:tcPr>
          <w:p w:rsidR="005D3FE7" w:rsidRPr="000E2CA7" w:rsidRDefault="005D3FE7" w:rsidP="005B4AA0">
            <w:pPr>
              <w:rPr>
                <w:rFonts w:ascii="Arial Narrow" w:hAnsi="Arial Narrow"/>
                <w:szCs w:val="20"/>
                <w:lang w:eastAsia="nl-NL"/>
              </w:rPr>
            </w:pPr>
          </w:p>
        </w:tc>
        <w:tc>
          <w:tcPr>
            <w:tcW w:w="1896"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5D3FE7" w:rsidRPr="000E2CA7" w:rsidRDefault="005D3FE7" w:rsidP="005B4AA0">
            <w:pPr>
              <w:rPr>
                <w:rFonts w:ascii="Arial Narrow" w:hAnsi="Arial Narrow"/>
                <w:szCs w:val="20"/>
                <w:lang w:eastAsia="nl-NL"/>
              </w:rPr>
            </w:pPr>
          </w:p>
        </w:tc>
      </w:tr>
      <w:tr w:rsidR="005D3FE7" w:rsidRPr="00AA258A" w:rsidTr="005B4AA0">
        <w:trPr>
          <w:trHeight w:val="997"/>
        </w:trPr>
        <w:tc>
          <w:tcPr>
            <w:tcW w:w="9262"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jc w:val="both"/>
              <w:rPr>
                <w:rFonts w:ascii="Arial Narrow" w:hAnsi="Arial Narrow"/>
                <w:color w:val="000000"/>
                <w:sz w:val="24"/>
                <w:lang w:eastAsia="en-GB"/>
              </w:rPr>
            </w:pPr>
            <w:r w:rsidRPr="000E2CA7">
              <w:rPr>
                <w:rFonts w:ascii="Arial Narrow" w:hAnsi="Arial Narrow"/>
                <w:color w:val="000000"/>
                <w:lang w:eastAsia="en-GB"/>
              </w:rPr>
              <w:t>This section tells you the effect that costs might have on what you get back from your investment and explains the different types of costs. The amounts shown are the costs of this product. Your adviser or the person selling you this product will tell you about any additional costs of distribution not included in these amounts.</w:t>
            </w:r>
          </w:p>
        </w:tc>
      </w:tr>
      <w:tr w:rsidR="005D3FE7" w:rsidRPr="000E2CA7" w:rsidTr="005B4AA0">
        <w:trPr>
          <w:trHeight w:val="375"/>
        </w:trPr>
        <w:tc>
          <w:tcPr>
            <w:tcW w:w="2653" w:type="dxa"/>
            <w:gridSpan w:val="2"/>
            <w:tcBorders>
              <w:top w:val="nil"/>
              <w:left w:val="single" w:sz="8" w:space="0" w:color="auto"/>
              <w:bottom w:val="single" w:sz="8" w:space="0" w:color="auto"/>
              <w:right w:val="nil"/>
            </w:tcBorders>
            <w:shd w:val="clear" w:color="auto" w:fill="D9D9D9"/>
            <w:noWrap/>
            <w:tcMar>
              <w:top w:w="0" w:type="dxa"/>
              <w:left w:w="108" w:type="dxa"/>
              <w:bottom w:w="0" w:type="dxa"/>
              <w:right w:w="108" w:type="dxa"/>
            </w:tcMar>
            <w:vAlign w:val="bottom"/>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Estimate of costs over time</w:t>
            </w:r>
          </w:p>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If you invest €1,000</w:t>
            </w:r>
          </w:p>
        </w:tc>
        <w:tc>
          <w:tcPr>
            <w:tcW w:w="2230" w:type="dxa"/>
            <w:tcBorders>
              <w:top w:val="nil"/>
              <w:left w:val="nil"/>
              <w:bottom w:val="single" w:sz="8" w:space="0" w:color="auto"/>
              <w:right w:val="nil"/>
            </w:tcBorders>
            <w:shd w:val="clear" w:color="auto" w:fill="D9D9D9"/>
            <w:noWrap/>
            <w:tcMar>
              <w:top w:w="0" w:type="dxa"/>
              <w:left w:w="108" w:type="dxa"/>
              <w:bottom w:w="0" w:type="dxa"/>
              <w:right w:w="108" w:type="dxa"/>
            </w:tcMar>
            <w:vAlign w:val="bottom"/>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 </w:t>
            </w:r>
          </w:p>
        </w:tc>
        <w:tc>
          <w:tcPr>
            <w:tcW w:w="1208" w:type="dxa"/>
            <w:tcBorders>
              <w:top w:val="nil"/>
              <w:left w:val="nil"/>
              <w:bottom w:val="single" w:sz="8" w:space="0" w:color="auto"/>
              <w:right w:val="nil"/>
            </w:tcBorders>
            <w:shd w:val="clear" w:color="auto" w:fill="D9D9D9"/>
            <w:noWrap/>
            <w:tcMar>
              <w:top w:w="0" w:type="dxa"/>
              <w:left w:w="108" w:type="dxa"/>
              <w:bottom w:w="0" w:type="dxa"/>
              <w:right w:w="108" w:type="dxa"/>
            </w:tcMar>
            <w:vAlign w:val="bottom"/>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Over a year</w:t>
            </w:r>
          </w:p>
        </w:tc>
        <w:tc>
          <w:tcPr>
            <w:tcW w:w="1275" w:type="dxa"/>
            <w:tcBorders>
              <w:top w:val="nil"/>
              <w:left w:val="nil"/>
              <w:bottom w:val="single" w:sz="8" w:space="0" w:color="auto"/>
              <w:right w:val="nil"/>
            </w:tcBorders>
            <w:shd w:val="clear" w:color="auto" w:fill="D9D9D9"/>
            <w:noWrap/>
            <w:tcMar>
              <w:top w:w="0" w:type="dxa"/>
              <w:left w:w="108" w:type="dxa"/>
              <w:bottom w:w="0" w:type="dxa"/>
              <w:right w:w="108" w:type="dxa"/>
            </w:tcMar>
            <w:vAlign w:val="bottom"/>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Over 3 years</w:t>
            </w:r>
          </w:p>
        </w:tc>
        <w:tc>
          <w:tcPr>
            <w:tcW w:w="1896"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Over 5 years</w:t>
            </w:r>
          </w:p>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(recommended)</w:t>
            </w:r>
          </w:p>
        </w:tc>
      </w:tr>
      <w:tr w:rsidR="005D3FE7" w:rsidRPr="000E2CA7" w:rsidTr="005B4AA0">
        <w:trPr>
          <w:trHeight w:val="375"/>
        </w:trPr>
        <w:tc>
          <w:tcPr>
            <w:tcW w:w="4883" w:type="dxa"/>
            <w:gridSpan w:val="3"/>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Total impact of costs over each time period</w:t>
            </w:r>
          </w:p>
        </w:tc>
        <w:tc>
          <w:tcPr>
            <w:tcW w:w="1208" w:type="dxa"/>
            <w:tcBorders>
              <w:top w:val="nil"/>
              <w:left w:val="nil"/>
              <w:bottom w:val="single" w:sz="8" w:space="0" w:color="auto"/>
              <w:right w:val="nil"/>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color w:val="000000"/>
                <w:lang w:eastAsia="en-GB"/>
              </w:rPr>
            </w:pPr>
            <w:r w:rsidRPr="000E2CA7">
              <w:rPr>
                <w:rFonts w:ascii="Arial Narrow" w:hAnsi="Arial Narrow"/>
                <w:color w:val="000000"/>
                <w:lang w:eastAsia="en-GB"/>
              </w:rPr>
              <w:t>€ 53</w:t>
            </w:r>
          </w:p>
        </w:tc>
        <w:tc>
          <w:tcPr>
            <w:tcW w:w="1275" w:type="dxa"/>
            <w:tcBorders>
              <w:top w:val="nil"/>
              <w:left w:val="nil"/>
              <w:bottom w:val="single" w:sz="8" w:space="0" w:color="auto"/>
              <w:right w:val="nil"/>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color w:val="000000"/>
                <w:lang w:eastAsia="en-GB"/>
              </w:rPr>
            </w:pPr>
            <w:r w:rsidRPr="000E2CA7">
              <w:rPr>
                <w:rFonts w:ascii="Arial Narrow" w:hAnsi="Arial Narrow"/>
                <w:color w:val="000000"/>
                <w:lang w:eastAsia="en-GB"/>
              </w:rPr>
              <w:t>€ 85</w:t>
            </w:r>
          </w:p>
        </w:tc>
        <w:tc>
          <w:tcPr>
            <w:tcW w:w="18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€ 125</w:t>
            </w:r>
          </w:p>
        </w:tc>
      </w:tr>
      <w:tr w:rsidR="005D3FE7" w:rsidRPr="000E2CA7" w:rsidTr="005B4AA0">
        <w:trPr>
          <w:trHeight w:val="375"/>
        </w:trPr>
        <w:tc>
          <w:tcPr>
            <w:tcW w:w="4883" w:type="dxa"/>
            <w:gridSpan w:val="3"/>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Equivalent annual percentage rate (N.B. “RIY”)</w:t>
            </w:r>
          </w:p>
        </w:tc>
        <w:tc>
          <w:tcPr>
            <w:tcW w:w="1208" w:type="dxa"/>
            <w:tcBorders>
              <w:top w:val="nil"/>
              <w:left w:val="nil"/>
              <w:bottom w:val="single" w:sz="8" w:space="0" w:color="auto"/>
              <w:right w:val="nil"/>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color w:val="000000"/>
                <w:lang w:eastAsia="en-GB"/>
              </w:rPr>
            </w:pPr>
            <w:r w:rsidRPr="000E2CA7">
              <w:rPr>
                <w:rFonts w:ascii="Arial Narrow" w:hAnsi="Arial Narrow"/>
                <w:color w:val="000000"/>
                <w:lang w:eastAsia="en-GB"/>
              </w:rPr>
              <w:t>5,3%</w:t>
            </w:r>
          </w:p>
        </w:tc>
        <w:tc>
          <w:tcPr>
            <w:tcW w:w="1275" w:type="dxa"/>
            <w:tcBorders>
              <w:top w:val="nil"/>
              <w:left w:val="nil"/>
              <w:bottom w:val="single" w:sz="8" w:space="0" w:color="auto"/>
              <w:right w:val="nil"/>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color w:val="000000"/>
                <w:lang w:eastAsia="en-GB"/>
              </w:rPr>
            </w:pPr>
            <w:r w:rsidRPr="000E2CA7">
              <w:rPr>
                <w:rFonts w:ascii="Arial Narrow" w:hAnsi="Arial Narrow"/>
                <w:color w:val="000000"/>
                <w:lang w:eastAsia="en-GB"/>
              </w:rPr>
              <w:t>2,6%</w:t>
            </w:r>
          </w:p>
        </w:tc>
        <w:tc>
          <w:tcPr>
            <w:tcW w:w="18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2,2%</w:t>
            </w:r>
          </w:p>
        </w:tc>
      </w:tr>
      <w:tr w:rsidR="005D3FE7" w:rsidRPr="00AA258A" w:rsidTr="005B4AA0">
        <w:trPr>
          <w:trHeight w:val="1534"/>
        </w:trPr>
        <w:tc>
          <w:tcPr>
            <w:tcW w:w="9262"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jc w:val="both"/>
              <w:rPr>
                <w:rFonts w:ascii="Arial Narrow" w:hAnsi="Arial Narrow"/>
                <w:color w:val="000000"/>
                <w:lang w:eastAsia="en-GB"/>
              </w:rPr>
            </w:pPr>
            <w:r w:rsidRPr="000E2CA7">
              <w:rPr>
                <w:rFonts w:ascii="Arial Narrow" w:hAnsi="Arial Narrow"/>
                <w:color w:val="000000"/>
                <w:lang w:eastAsia="en-GB"/>
              </w:rPr>
              <w:t>The table above shows you the estimated impact of costs on what you might get back from your investment. To see what you might get back after these costs you should read the performance scenarios section of this document.</w:t>
            </w:r>
            <w:r w:rsidRPr="000E2CA7">
              <w:rPr>
                <w:rFonts w:ascii="Arial Narrow" w:hAnsi="Arial Narrow"/>
                <w:color w:val="000000"/>
                <w:lang w:eastAsia="en-GB"/>
              </w:rPr>
              <w:br/>
              <w:t>The table above is based on the moderate performance scenario and assumes you invest €1,000 and leave it invested for the time periods shown. The costs used are estimated based on data from the past and therefore are likely to be different in the future.</w:t>
            </w:r>
          </w:p>
        </w:tc>
      </w:tr>
      <w:tr w:rsidR="005D3FE7" w:rsidRPr="000E2CA7" w:rsidTr="005B4AA0">
        <w:trPr>
          <w:trHeight w:val="465"/>
        </w:trPr>
        <w:tc>
          <w:tcPr>
            <w:tcW w:w="9262" w:type="dxa"/>
            <w:gridSpan w:val="6"/>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The costs explained</w:t>
            </w:r>
          </w:p>
        </w:tc>
      </w:tr>
      <w:tr w:rsidR="005D3FE7" w:rsidRPr="00AA258A" w:rsidTr="005B4AA0">
        <w:trPr>
          <w:trHeight w:val="375"/>
        </w:trPr>
        <w:tc>
          <w:tcPr>
            <w:tcW w:w="9262" w:type="dxa"/>
            <w:gridSpan w:val="6"/>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One-off costs taken before or after your money is invested</w:t>
            </w:r>
          </w:p>
        </w:tc>
      </w:tr>
      <w:tr w:rsidR="005D3FE7" w:rsidRPr="000E2CA7" w:rsidTr="005B4AA0">
        <w:trPr>
          <w:trHeight w:val="649"/>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Entry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3,00%</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This is the maximum that might be taken out of your money before it is invested. In some cases you might pay less.</w:t>
            </w:r>
          </w:p>
        </w:tc>
      </w:tr>
      <w:tr w:rsidR="005D3FE7" w:rsidRPr="000E2CA7" w:rsidTr="005B4AA0">
        <w:trPr>
          <w:trHeight w:val="559"/>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Exit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 </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This is the maximum that might be taken out of your money before the proceeds of your investment are paid to you. In some cases you might pay less.</w:t>
            </w:r>
          </w:p>
        </w:tc>
      </w:tr>
      <w:tr w:rsidR="005D3FE7" w:rsidRPr="00AA258A" w:rsidTr="005B4AA0">
        <w:trPr>
          <w:trHeight w:val="375"/>
        </w:trPr>
        <w:tc>
          <w:tcPr>
            <w:tcW w:w="9262" w:type="dxa"/>
            <w:gridSpan w:val="6"/>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Costs taken from the product over a year</w:t>
            </w:r>
          </w:p>
        </w:tc>
      </w:tr>
      <w:tr w:rsidR="005D3FE7" w:rsidRPr="00AA258A" w:rsidTr="005B4AA0">
        <w:trPr>
          <w:trHeight w:val="923"/>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Recurring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0,80%</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This is taken from your investment each year to cover the costs of managing and operating the product. The figure shown is based on actual costs for the year ending xx/xx/xx.</w:t>
            </w:r>
          </w:p>
        </w:tc>
      </w:tr>
      <w:tr w:rsidR="005D3FE7" w:rsidRPr="00AA258A" w:rsidTr="005B4AA0">
        <w:trPr>
          <w:trHeight w:val="837"/>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Insurance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rPr>
                <w:rFonts w:ascii="Arial Narrow" w:hAnsi="Arial Narrow"/>
                <w:color w:val="000000"/>
                <w:sz w:val="24"/>
                <w:lang w:eastAsia="en-GB"/>
              </w:rPr>
            </w:pPr>
            <w:r w:rsidRPr="000E2CA7">
              <w:rPr>
                <w:rFonts w:ascii="Arial Narrow" w:hAnsi="Arial Narrow"/>
                <w:color w:val="000000"/>
                <w:lang w:eastAsia="en-GB"/>
              </w:rPr>
              <w:t>This is taken from your investment each year to cover the cost of your insurance cover. The figure shown is based on actual costs for the year ending xx/xx/xx.</w:t>
            </w:r>
          </w:p>
        </w:tc>
      </w:tr>
      <w:tr w:rsidR="005D3FE7" w:rsidRPr="00AA258A" w:rsidTr="005B4AA0">
        <w:trPr>
          <w:trHeight w:val="1119"/>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Transaction costs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0,50%</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This is incurred each time the fund's underlying investments are bought and sold. The figure shown is the yearly average for the last three years. These costs vary depending on the frequency of buying and selling and the nature of the investments involved.</w:t>
            </w:r>
          </w:p>
        </w:tc>
      </w:tr>
      <w:tr w:rsidR="005D3FE7" w:rsidRPr="00AA258A" w:rsidTr="005B4AA0">
        <w:trPr>
          <w:trHeight w:val="375"/>
        </w:trPr>
        <w:tc>
          <w:tcPr>
            <w:tcW w:w="9262" w:type="dxa"/>
            <w:gridSpan w:val="6"/>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Costs taken from the product under certain specific conditions</w:t>
            </w:r>
          </w:p>
        </w:tc>
      </w:tr>
      <w:tr w:rsidR="005D3FE7" w:rsidRPr="00AA258A" w:rsidTr="005B4AA0">
        <w:trPr>
          <w:trHeight w:val="1510"/>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lastRenderedPageBreak/>
              <w:t>Performance fees</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1,00%</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We charge a performance fee of 20% of any outperformance only when the product outperforms its benchmark, the [name of benchmark].  The figure shown is the yearly average for the last five years. The performance fee varies depending on the performance of both the product and the benchmark and may not arise at all.</w:t>
            </w:r>
          </w:p>
        </w:tc>
      </w:tr>
      <w:tr w:rsidR="005D3FE7" w:rsidRPr="00AA258A" w:rsidTr="005B4AA0">
        <w:trPr>
          <w:trHeight w:val="795"/>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Carried interest</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 </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Our carried interest in the product is 20% of the profits generated each year. The figure shown is the yearly average for the last five years.</w:t>
            </w:r>
          </w:p>
        </w:tc>
      </w:tr>
      <w:tr w:rsidR="005D3FE7" w:rsidRPr="00AA258A" w:rsidTr="005B4AA0">
        <w:trPr>
          <w:trHeight w:val="1022"/>
        </w:trPr>
        <w:tc>
          <w:tcPr>
            <w:tcW w:w="1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rPr>
                <w:rFonts w:ascii="Arial Narrow" w:hAnsi="Arial Narrow"/>
                <w:b/>
                <w:bCs/>
                <w:color w:val="000000"/>
                <w:lang w:eastAsia="en-GB"/>
              </w:rPr>
            </w:pPr>
            <w:r w:rsidRPr="000E2CA7">
              <w:rPr>
                <w:rFonts w:ascii="Arial Narrow" w:hAnsi="Arial Narrow"/>
                <w:b/>
                <w:bCs/>
                <w:color w:val="000000"/>
                <w:lang w:eastAsia="en-GB"/>
              </w:rPr>
              <w:t>Exit penalty/Exit cost</w:t>
            </w:r>
          </w:p>
        </w:tc>
        <w:tc>
          <w:tcPr>
            <w:tcW w:w="9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D3FE7" w:rsidRPr="000E2CA7" w:rsidRDefault="005D3FE7" w:rsidP="005B4AA0">
            <w:pPr>
              <w:jc w:val="center"/>
              <w:rPr>
                <w:rFonts w:ascii="Arial Narrow" w:hAnsi="Arial Narrow"/>
                <w:b/>
                <w:bCs/>
                <w:color w:val="000000"/>
                <w:lang w:eastAsia="en-GB"/>
              </w:rPr>
            </w:pPr>
            <w:r w:rsidRPr="000E2CA7">
              <w:rPr>
                <w:rFonts w:ascii="Arial Narrow" w:hAnsi="Arial Narrow"/>
                <w:b/>
                <w:bCs/>
                <w:color w:val="000000"/>
                <w:lang w:eastAsia="en-GB"/>
              </w:rPr>
              <w:t> </w:t>
            </w:r>
          </w:p>
        </w:tc>
        <w:tc>
          <w:tcPr>
            <w:tcW w:w="6609"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D3FE7" w:rsidRPr="000E2CA7" w:rsidRDefault="005D3FE7" w:rsidP="005B4AA0">
            <w:pPr>
              <w:rPr>
                <w:rFonts w:ascii="Arial Narrow" w:hAnsi="Arial Narrow"/>
                <w:color w:val="000000"/>
                <w:lang w:eastAsia="en-GB"/>
              </w:rPr>
            </w:pPr>
            <w:r w:rsidRPr="000E2CA7">
              <w:rPr>
                <w:rFonts w:ascii="Arial Narrow" w:hAnsi="Arial Narrow"/>
                <w:color w:val="000000"/>
                <w:lang w:eastAsia="en-GB"/>
              </w:rPr>
              <w:t>An exit penalty will apply if you leave early. The figure shown is the maximum which applies if you leave in the first year. The exit penalty does not apply if you hold the product for at least five years. (N.B. The intention is to cover any penalties/costs that are not included in the one-off “exit costs”)</w:t>
            </w:r>
          </w:p>
        </w:tc>
      </w:tr>
      <w:tr w:rsidR="005D3FE7" w:rsidRPr="00AA258A" w:rsidTr="005B4AA0">
        <w:tc>
          <w:tcPr>
            <w:tcW w:w="1674" w:type="dxa"/>
            <w:vAlign w:val="center"/>
            <w:hideMark/>
          </w:tcPr>
          <w:p w:rsidR="005D3FE7" w:rsidRPr="000E2CA7" w:rsidRDefault="005D3FE7" w:rsidP="005B4AA0">
            <w:pPr>
              <w:rPr>
                <w:rFonts w:ascii="Arial Narrow" w:hAnsi="Arial Narrow"/>
                <w:color w:val="000000"/>
                <w:lang w:eastAsia="en-GB"/>
              </w:rPr>
            </w:pPr>
          </w:p>
        </w:tc>
        <w:tc>
          <w:tcPr>
            <w:tcW w:w="979" w:type="dxa"/>
            <w:vAlign w:val="center"/>
            <w:hideMark/>
          </w:tcPr>
          <w:p w:rsidR="005D3FE7" w:rsidRPr="000E2CA7" w:rsidRDefault="005D3FE7" w:rsidP="005B4AA0">
            <w:pPr>
              <w:rPr>
                <w:rFonts w:ascii="Arial Narrow" w:hAnsi="Arial Narrow"/>
                <w:szCs w:val="20"/>
                <w:lang w:eastAsia="nl-NL"/>
              </w:rPr>
            </w:pPr>
          </w:p>
        </w:tc>
        <w:tc>
          <w:tcPr>
            <w:tcW w:w="2230" w:type="dxa"/>
            <w:vAlign w:val="center"/>
            <w:hideMark/>
          </w:tcPr>
          <w:p w:rsidR="005D3FE7" w:rsidRPr="000E2CA7" w:rsidRDefault="005D3FE7" w:rsidP="005B4AA0">
            <w:pPr>
              <w:rPr>
                <w:rFonts w:ascii="Arial Narrow" w:hAnsi="Arial Narrow"/>
                <w:szCs w:val="20"/>
                <w:lang w:eastAsia="nl-NL"/>
              </w:rPr>
            </w:pPr>
          </w:p>
        </w:tc>
        <w:tc>
          <w:tcPr>
            <w:tcW w:w="1208" w:type="dxa"/>
            <w:vAlign w:val="center"/>
            <w:hideMark/>
          </w:tcPr>
          <w:p w:rsidR="005D3FE7" w:rsidRPr="000E2CA7" w:rsidRDefault="005D3FE7" w:rsidP="005B4AA0">
            <w:pPr>
              <w:rPr>
                <w:rFonts w:ascii="Arial Narrow" w:hAnsi="Arial Narrow"/>
                <w:szCs w:val="20"/>
                <w:lang w:eastAsia="nl-NL"/>
              </w:rPr>
            </w:pPr>
          </w:p>
        </w:tc>
        <w:tc>
          <w:tcPr>
            <w:tcW w:w="1275" w:type="dxa"/>
            <w:vAlign w:val="center"/>
            <w:hideMark/>
          </w:tcPr>
          <w:p w:rsidR="005D3FE7" w:rsidRPr="000E2CA7" w:rsidRDefault="005D3FE7" w:rsidP="005B4AA0">
            <w:pPr>
              <w:rPr>
                <w:rFonts w:ascii="Arial Narrow" w:hAnsi="Arial Narrow"/>
                <w:szCs w:val="20"/>
                <w:lang w:eastAsia="nl-NL"/>
              </w:rPr>
            </w:pPr>
          </w:p>
        </w:tc>
        <w:tc>
          <w:tcPr>
            <w:tcW w:w="1896" w:type="dxa"/>
            <w:vAlign w:val="center"/>
            <w:hideMark/>
          </w:tcPr>
          <w:p w:rsidR="005D3FE7" w:rsidRPr="000E2CA7" w:rsidRDefault="005D3FE7" w:rsidP="005B4AA0">
            <w:pPr>
              <w:rPr>
                <w:rFonts w:ascii="Arial Narrow" w:hAnsi="Arial Narrow"/>
                <w:szCs w:val="20"/>
                <w:lang w:eastAsia="nl-NL"/>
              </w:rPr>
            </w:pPr>
          </w:p>
        </w:tc>
      </w:tr>
    </w:tbl>
    <w:permEnd w:id="265104243"/>
    <w:p w:rsidR="00491E49" w:rsidRPr="003E4B00" w:rsidRDefault="00491E49" w:rsidP="00491E49">
      <w:pPr>
        <w:rPr>
          <w:lang w:val="fr-FR"/>
        </w:rPr>
      </w:pPr>
      <w:r w:rsidRPr="00580880">
        <w:rPr>
          <w:lang w:val="fr-FR"/>
        </w:rPr>
        <w:t>&lt;ESMA_QUESTION_</w:t>
      </w:r>
      <w:r>
        <w:rPr>
          <w:lang w:val="fr-FR"/>
        </w:rPr>
        <w:t>PRIIPS_20</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21</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sz w:val="22"/>
          <w:lang w:eastAsia="en-US"/>
        </w:rPr>
        <w:t>Given evidence as to the difficulties consumers may have using percentage figures, would you prefer an alternative presentation of the second table, solely using monetary values instead? As with the first table, please also explain what difficulties you think might arise from calculating monetary values, and whether this should be on an annualized basis, and if so, how?</w:t>
      </w:r>
    </w:p>
    <w:p w:rsidR="00A2049D" w:rsidRDefault="00A2049D" w:rsidP="00A2049D">
      <w:pPr>
        <w:jc w:val="both"/>
        <w:rPr>
          <w:rFonts w:ascii="Calibri" w:hAnsi="Calibri"/>
          <w:b/>
          <w:sz w:val="22"/>
          <w:lang w:eastAsia="en-US"/>
        </w:rPr>
      </w:pPr>
    </w:p>
    <w:p w:rsidR="00491E49" w:rsidRDefault="00491E49" w:rsidP="00491E49">
      <w:r>
        <w:t>&lt;ESMA_QUESTION_PRIIPS_21&gt;</w:t>
      </w:r>
    </w:p>
    <w:p w:rsidR="00491E49" w:rsidRPr="00355849" w:rsidRDefault="005D3FE7" w:rsidP="00491E49">
      <w:pPr>
        <w:rPr>
          <w:sz w:val="22"/>
          <w:lang w:val="en-US"/>
        </w:rPr>
      </w:pPr>
      <w:permStart w:id="396317524" w:edGrp="everyone"/>
      <w:r w:rsidRPr="00355849">
        <w:rPr>
          <w:rFonts w:ascii="Arial Narrow" w:hAnsi="Arial Narrow" w:cs="Arial"/>
          <w:sz w:val="22"/>
          <w:lang w:val="en-US"/>
        </w:rPr>
        <w:t>No, we do not support solely using monetary values instead of percentage figures. The monetary values in the KID are calculated on the basis of the standardized investment amount. While this allows consumers to easily compare costs, they will need percentage figures to understand the different costs they incur when investing an amount higher (which is very likely) or lower than €1.000 (for a 5 year period).</w:t>
      </w:r>
    </w:p>
    <w:permEnd w:id="396317524"/>
    <w:p w:rsidR="00491E49" w:rsidRPr="003E4B00" w:rsidRDefault="00491E49" w:rsidP="00491E49">
      <w:pPr>
        <w:rPr>
          <w:lang w:val="fr-FR"/>
        </w:rPr>
      </w:pPr>
      <w:r w:rsidRPr="00580880">
        <w:rPr>
          <w:lang w:val="fr-FR"/>
        </w:rPr>
        <w:t>&lt;ESMA_QUESTION_</w:t>
      </w:r>
      <w:r>
        <w:rPr>
          <w:lang w:val="fr-FR"/>
        </w:rPr>
        <w:t>PRIIPS_21</w:t>
      </w:r>
      <w:r w:rsidRPr="00580880">
        <w:rPr>
          <w:lang w:val="fr-FR"/>
        </w:rPr>
        <w:t>&gt;</w:t>
      </w:r>
    </w:p>
    <w:p w:rsidR="00491E49" w:rsidRDefault="00491E49" w:rsidP="00A2049D">
      <w:pPr>
        <w:jc w:val="both"/>
        <w:rPr>
          <w:rFonts w:ascii="Calibri" w:hAnsi="Calibri"/>
          <w:b/>
          <w:sz w:val="22"/>
          <w:lang w:eastAsia="en-US"/>
        </w:rPr>
      </w:pPr>
    </w:p>
    <w:p w:rsidR="00491E49" w:rsidRPr="00A2049D" w:rsidRDefault="00491E49" w:rsidP="00A2049D">
      <w:pPr>
        <w:jc w:val="both"/>
        <w:rPr>
          <w:rFonts w:ascii="Calibri" w:hAnsi="Calibri"/>
          <w:b/>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22</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sz w:val="22"/>
          <w:lang w:eastAsia="en-US"/>
        </w:rPr>
        <w:t>Given the number of tables shown in the KID, do you think a more graphic presentation of the breakout table should be preferred?</w:t>
      </w:r>
    </w:p>
    <w:p w:rsidR="00491E49" w:rsidRDefault="00491E49" w:rsidP="00491E49"/>
    <w:p w:rsidR="00491E49" w:rsidRDefault="00491E49" w:rsidP="00491E49">
      <w:r>
        <w:t>&lt;ESMA_QUESTION_PRIIPS_22&gt;</w:t>
      </w:r>
    </w:p>
    <w:p w:rsidR="005D3FE7" w:rsidRPr="00355849" w:rsidRDefault="005D3FE7" w:rsidP="005B4AA0">
      <w:pPr>
        <w:spacing w:after="120"/>
        <w:rPr>
          <w:rFonts w:ascii="Arial Narrow" w:hAnsi="Arial Narrow" w:cs="Arial"/>
          <w:sz w:val="22"/>
          <w:lang w:val="en-US"/>
        </w:rPr>
      </w:pPr>
      <w:permStart w:id="840455881" w:edGrp="everyone"/>
      <w:r w:rsidRPr="00355849">
        <w:rPr>
          <w:rFonts w:ascii="Arial Narrow" w:hAnsi="Arial Narrow" w:cs="Arial"/>
          <w:sz w:val="22"/>
          <w:lang w:val="en-US"/>
        </w:rPr>
        <w:t>Yes, we do prefer a more graphic presentation of the ‘composition of costs’ table along the lines of the example provided in the Consultation Paper (figure 5). However, the breakdown provided in this graphic representation should have the same level of detail as the table in the draft RTS (figure 6), percentage figures should be used (instead of monetary values) and the explanation of the different types of costs in column 4 of the table in the draft RTS should be provided in a narrative below the presentation.  The RIY should be part of the presentation.</w:t>
      </w:r>
    </w:p>
    <w:p w:rsidR="005D3FE7" w:rsidRPr="00384731" w:rsidRDefault="005D3FE7" w:rsidP="005B4AA0">
      <w:pPr>
        <w:spacing w:after="120"/>
        <w:rPr>
          <w:rFonts w:ascii="Arial Narrow" w:hAnsi="Arial Narrow" w:cs="Arial"/>
          <w:lang w:val="en-US"/>
        </w:rPr>
      </w:pPr>
      <w:r>
        <w:rPr>
          <w:noProof/>
          <w:lang w:val="nl-NL" w:eastAsia="nl-NL"/>
        </w:rPr>
        <w:lastRenderedPageBreak/>
        <w:drawing>
          <wp:inline distT="0" distB="0" distL="0" distR="0" wp14:anchorId="6B5A299B" wp14:editId="7CFB226E">
            <wp:extent cx="3800475" cy="13430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0475" cy="1343025"/>
                    </a:xfrm>
                    <a:prstGeom prst="rect">
                      <a:avLst/>
                    </a:prstGeom>
                  </pic:spPr>
                </pic:pic>
              </a:graphicData>
            </a:graphic>
          </wp:inline>
        </w:drawing>
      </w:r>
    </w:p>
    <w:p w:rsidR="005D3FE7" w:rsidRPr="00355849" w:rsidRDefault="005D3FE7" w:rsidP="00491E49">
      <w:pPr>
        <w:rPr>
          <w:rFonts w:ascii="Arial Narrow" w:hAnsi="Arial Narrow" w:cs="Arial"/>
          <w:sz w:val="22"/>
        </w:rPr>
      </w:pPr>
      <w:r w:rsidRPr="00355849">
        <w:rPr>
          <w:rFonts w:ascii="Arial Narrow" w:hAnsi="Arial Narrow" w:cs="Arial"/>
          <w:sz w:val="22"/>
        </w:rPr>
        <w:t>Figure 5</w:t>
      </w:r>
    </w:p>
    <w:p w:rsidR="005D3FE7" w:rsidRDefault="005D3FE7" w:rsidP="00491E49">
      <w:pPr>
        <w:rPr>
          <w:rFonts w:ascii="Arial Narrow" w:hAnsi="Arial Narrow" w:cs="Arial"/>
        </w:rPr>
      </w:pPr>
    </w:p>
    <w:p w:rsidR="005D3FE7" w:rsidRDefault="005D3FE7" w:rsidP="005D3FE7">
      <w:pPr>
        <w:rPr>
          <w:rFonts w:ascii="Arial Narrow" w:hAnsi="Arial Narrow" w:cs="Arial"/>
          <w:color w:val="C00000"/>
        </w:rPr>
      </w:pPr>
      <w:r>
        <w:rPr>
          <w:noProof/>
          <w:lang w:val="nl-NL" w:eastAsia="nl-NL"/>
        </w:rPr>
        <w:drawing>
          <wp:inline distT="0" distB="0" distL="0" distR="0" wp14:anchorId="69592216" wp14:editId="1B7D9231">
            <wp:extent cx="4705350" cy="26289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5350" cy="2628900"/>
                    </a:xfrm>
                    <a:prstGeom prst="rect">
                      <a:avLst/>
                    </a:prstGeom>
                  </pic:spPr>
                </pic:pic>
              </a:graphicData>
            </a:graphic>
          </wp:inline>
        </w:drawing>
      </w:r>
    </w:p>
    <w:p w:rsidR="005D3FE7" w:rsidRPr="00CB711B" w:rsidRDefault="005D3FE7" w:rsidP="005D3FE7">
      <w:pPr>
        <w:rPr>
          <w:rFonts w:ascii="Arial Narrow" w:hAnsi="Arial Narrow" w:cs="Arial"/>
          <w:color w:val="C00000"/>
        </w:rPr>
      </w:pPr>
    </w:p>
    <w:p w:rsidR="00491E49" w:rsidRPr="003E4B00" w:rsidRDefault="005D3FE7" w:rsidP="00491E49">
      <w:pPr>
        <w:rPr>
          <w:lang w:val="fr-FR"/>
        </w:rPr>
      </w:pPr>
      <w:r>
        <w:rPr>
          <w:rFonts w:ascii="Arial Narrow" w:hAnsi="Arial Narrow" w:cs="Arial"/>
          <w:lang w:val="en-US"/>
        </w:rPr>
        <w:t>Figure 6</w:t>
      </w:r>
      <w:r w:rsidRPr="00CB711B">
        <w:rPr>
          <w:rFonts w:ascii="Arial Narrow" w:hAnsi="Arial Narrow" w:cs="Arial"/>
        </w:rPr>
        <w:t xml:space="preserve"> </w:t>
      </w:r>
      <w:permEnd w:id="840455881"/>
      <w:r w:rsidR="00491E49" w:rsidRPr="00580880">
        <w:rPr>
          <w:lang w:val="fr-FR"/>
        </w:rPr>
        <w:t>&lt;ESMA_QUESTION_</w:t>
      </w:r>
      <w:r w:rsidR="00491E49">
        <w:rPr>
          <w:lang w:val="fr-FR"/>
        </w:rPr>
        <w:t>PRIIPS_22</w:t>
      </w:r>
      <w:r w:rsidR="00491E49"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23</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The example presented above includes a possible way of showing the variability of performance fees, by showing the level for all three performance scenarios in the KID, highlighting the ‘moderate‘ scenario, which would be used for the calculation of the total costs. Do you believe that this additional information should be included in the KID?</w:t>
      </w:r>
    </w:p>
    <w:p w:rsidR="00A2049D" w:rsidRDefault="00A2049D" w:rsidP="00A2049D">
      <w:pPr>
        <w:jc w:val="both"/>
        <w:rPr>
          <w:rFonts w:ascii="Times New Roman" w:hAnsi="Times New Roman"/>
          <w:sz w:val="22"/>
          <w:lang w:eastAsia="en-US"/>
        </w:rPr>
      </w:pPr>
    </w:p>
    <w:p w:rsidR="00491E49" w:rsidRDefault="00491E49" w:rsidP="00491E49">
      <w:r>
        <w:t>&lt;ESMA_QUESTION_PRIIPS_23&gt;</w:t>
      </w:r>
    </w:p>
    <w:p w:rsidR="005D3FE7" w:rsidRPr="00355849" w:rsidRDefault="005D3FE7" w:rsidP="005D3FE7">
      <w:pPr>
        <w:spacing w:after="120"/>
        <w:rPr>
          <w:rFonts w:ascii="Arial Narrow" w:hAnsi="Arial Narrow" w:cs="Arial"/>
          <w:sz w:val="22"/>
          <w:lang w:val="en-US"/>
        </w:rPr>
      </w:pPr>
      <w:permStart w:id="98633687" w:edGrp="everyone"/>
      <w:r w:rsidRPr="00355849">
        <w:rPr>
          <w:rFonts w:ascii="Arial Narrow" w:hAnsi="Arial Narrow" w:cs="Arial"/>
          <w:sz w:val="22"/>
          <w:lang w:val="en-US"/>
        </w:rPr>
        <w:t>Yes, it is important that investors are informed about the variability in performance fees depending on the performance of the PRIIP and the implications it has on the costs they incur. However, VEB believes such information should be provided in the narrative of the composition of costs table. Providing such information in the graphic presentation would make it overly complex and cause confusion.</w:t>
      </w: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We would like to stress again that VEB believes a fourth scenario, a so-called worst case scenario, should be provided. We assume the performance fee in the non-favorable scenario and the worst-case scenario is €0.- Ideally, performance fees should be negative if the fund underperforms.</w:t>
      </w:r>
    </w:p>
    <w:permEnd w:id="98633687"/>
    <w:p w:rsidR="00491E49" w:rsidRPr="003E4B00" w:rsidRDefault="00491E49" w:rsidP="00491E49">
      <w:pPr>
        <w:rPr>
          <w:lang w:val="fr-FR"/>
        </w:rPr>
      </w:pPr>
      <w:r w:rsidRPr="00580880">
        <w:rPr>
          <w:lang w:val="fr-FR"/>
        </w:rPr>
        <w:t>&lt;ESMA_QUESTION_</w:t>
      </w:r>
      <w:r>
        <w:rPr>
          <w:lang w:val="fr-FR"/>
        </w:rPr>
        <w:t>PRIIPS_23</w:t>
      </w:r>
      <w:r w:rsidRPr="00580880">
        <w:rPr>
          <w:lang w:val="fr-FR"/>
        </w:rPr>
        <w:t>&gt;</w:t>
      </w:r>
    </w:p>
    <w:p w:rsidR="00491E49" w:rsidRDefault="00491E49" w:rsidP="00A2049D">
      <w:pPr>
        <w:jc w:val="both"/>
        <w:rPr>
          <w:rFonts w:ascii="Times New Roman" w:hAnsi="Times New Roman"/>
          <w:sz w:val="22"/>
          <w:lang w:eastAsia="en-US"/>
        </w:rPr>
      </w:pPr>
    </w:p>
    <w:p w:rsidR="00491E49" w:rsidRDefault="00491E49" w:rsidP="00A2049D">
      <w:pPr>
        <w:jc w:val="both"/>
        <w:rPr>
          <w:rFonts w:ascii="Times New Roman" w:hAnsi="Times New Roman"/>
          <w:sz w:val="22"/>
          <w:lang w:eastAsia="en-US"/>
        </w:rPr>
      </w:pPr>
    </w:p>
    <w:p w:rsidR="00491E49" w:rsidRPr="00A2049D" w:rsidRDefault="00491E49" w:rsidP="00A2049D">
      <w:pPr>
        <w:jc w:val="both"/>
        <w:rPr>
          <w:rFonts w:ascii="Times New Roman" w:hAnsi="Times New Roman"/>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lastRenderedPageBreak/>
        <w:t>Question 24</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 xml:space="preserve">To reduce the volume of information, should the first and the second table of Annex VII be combined in one table? Should this be supplemented with a breakdown of costs as suggested in the graphic above? </w:t>
      </w:r>
    </w:p>
    <w:p w:rsidR="00491E49" w:rsidRDefault="00491E49" w:rsidP="00491E49"/>
    <w:p w:rsidR="00491E49" w:rsidRDefault="00491E49" w:rsidP="00491E49">
      <w:r>
        <w:t>&lt;ESMA_QUESTION_PRIIPS_24&gt;</w:t>
      </w:r>
    </w:p>
    <w:p w:rsidR="005D3FE7" w:rsidRPr="00355849" w:rsidRDefault="005D3FE7" w:rsidP="005D3FE7">
      <w:pPr>
        <w:rPr>
          <w:rFonts w:ascii="Arial Narrow" w:hAnsi="Arial Narrow" w:cs="Arial"/>
          <w:sz w:val="22"/>
          <w:lang w:val="en-US"/>
        </w:rPr>
      </w:pPr>
      <w:permStart w:id="74923989" w:edGrp="everyone"/>
      <w:r w:rsidRPr="00355849">
        <w:rPr>
          <w:rFonts w:ascii="Arial Narrow" w:hAnsi="Arial Narrow" w:cs="Arial"/>
          <w:sz w:val="22"/>
          <w:lang w:val="en-US"/>
        </w:rPr>
        <w:t>No, VEB does not see how the two tables could be combined without making the table too complex (or alternatively, without losing valuable information by simplifying it).</w:t>
      </w:r>
    </w:p>
    <w:p w:rsidR="00241FC8" w:rsidRPr="00355849" w:rsidRDefault="00241FC8" w:rsidP="005D3FE7">
      <w:pPr>
        <w:rPr>
          <w:rFonts w:ascii="Arial Narrow" w:hAnsi="Arial Narrow" w:cs="Arial"/>
          <w:sz w:val="22"/>
          <w:lang w:val="en-US"/>
        </w:rPr>
      </w:pPr>
    </w:p>
    <w:p w:rsidR="005D3FE7" w:rsidRPr="00384731" w:rsidRDefault="005D3FE7" w:rsidP="005D3FE7">
      <w:pPr>
        <w:rPr>
          <w:rFonts w:ascii="Arial Narrow" w:hAnsi="Arial Narrow" w:cs="Arial"/>
          <w:lang w:val="en-US"/>
        </w:rPr>
      </w:pPr>
      <w:r w:rsidRPr="00355849">
        <w:rPr>
          <w:rFonts w:ascii="Arial Narrow" w:hAnsi="Arial Narrow" w:cs="Arial"/>
          <w:sz w:val="22"/>
          <w:lang w:val="en-US"/>
        </w:rPr>
        <w:t>The two tables have different purposes. The first table should shows the development of the different types of costs (one-off costs, recurring costs, incidental costs) and the total costs over time, allowing the investor to understand why the RIY generally declines the longer you hold the period. The second shows the composition of costs at more detail at a specific point in time (namely after the recommended holding period), allowing the investor to see what how much he pays for what</w:t>
      </w:r>
      <w:r>
        <w:rPr>
          <w:rFonts w:ascii="Arial Narrow" w:hAnsi="Arial Narrow" w:cs="Arial"/>
          <w:lang w:val="en-US"/>
        </w:rPr>
        <w:t xml:space="preserve">. </w:t>
      </w:r>
    </w:p>
    <w:permEnd w:id="74923989"/>
    <w:p w:rsidR="00491E49" w:rsidRPr="003E4B00" w:rsidRDefault="00491E49" w:rsidP="00491E49">
      <w:pPr>
        <w:rPr>
          <w:lang w:val="fr-FR"/>
        </w:rPr>
      </w:pPr>
      <w:r w:rsidRPr="00580880">
        <w:rPr>
          <w:lang w:val="fr-FR"/>
        </w:rPr>
        <w:t>&lt;ESMA_QUESTION_</w:t>
      </w:r>
      <w:r>
        <w:rPr>
          <w:lang w:val="fr-FR"/>
        </w:rPr>
        <w:t>PRIIPS_24</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25</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In relation to paragraph 68 a) of Annex VI: Shall the RTS specify that for structured products calculations for the cost free scenario have always to be based on an adjustment of the payments by the investor?</w:t>
      </w:r>
    </w:p>
    <w:p w:rsidR="00491E49" w:rsidRDefault="00491E49" w:rsidP="00491E49"/>
    <w:p w:rsidR="00491E49" w:rsidRDefault="00491E49" w:rsidP="00491E49">
      <w:r>
        <w:t>&lt;ESMA_QUESTION_PRIIPS_25&gt;</w:t>
      </w:r>
    </w:p>
    <w:p w:rsidR="00491E49" w:rsidRDefault="00491E49" w:rsidP="00491E49">
      <w:permStart w:id="503146536" w:edGrp="everyone"/>
      <w:r>
        <w:t>TYPE YOUR TEXT HERE</w:t>
      </w:r>
    </w:p>
    <w:permEnd w:id="503146536"/>
    <w:p w:rsidR="00A2049D" w:rsidRPr="00491E49" w:rsidRDefault="00491E49" w:rsidP="00491E49">
      <w:pPr>
        <w:rPr>
          <w:lang w:val="fr-FR"/>
        </w:rPr>
      </w:pPr>
      <w:r w:rsidRPr="00580880">
        <w:rPr>
          <w:lang w:val="fr-FR"/>
        </w:rPr>
        <w:t>&lt;ESMA_QUESTION_</w:t>
      </w:r>
      <w:r>
        <w:rPr>
          <w:lang w:val="fr-FR"/>
        </w:rPr>
        <w:t>PRIIPS_25</w:t>
      </w:r>
      <w:r w:rsidRPr="00580880">
        <w:rPr>
          <w:lang w:val="fr-FR"/>
        </w:rPr>
        <w:t>&gt;</w:t>
      </w:r>
    </w:p>
    <w:p w:rsidR="00A2049D" w:rsidRDefault="00A2049D" w:rsidP="00750796">
      <w:pPr>
        <w:pStyle w:val="CPQuestions"/>
        <w:numPr>
          <w:ilvl w:val="0"/>
          <w:numId w:val="0"/>
        </w:numPr>
        <w:rPr>
          <w:rFonts w:cs="Arial"/>
          <w:b w:val="0"/>
          <w:szCs w:val="22"/>
        </w:rPr>
      </w:pPr>
    </w:p>
    <w:p w:rsidR="00847BB0" w:rsidRPr="00847BB0" w:rsidRDefault="00847BB0" w:rsidP="00847BB0">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847BB0">
        <w:rPr>
          <w:rFonts w:ascii="Calibri" w:hAnsi="Calibri"/>
          <w:b/>
          <w:i/>
          <w:iCs/>
          <w:sz w:val="22"/>
          <w:lang w:eastAsia="en-US"/>
        </w:rPr>
        <w:t>Question 26</w:t>
      </w:r>
    </w:p>
    <w:p w:rsidR="00847BB0" w:rsidRPr="00847BB0" w:rsidRDefault="00847BB0" w:rsidP="00847BB0">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847BB0">
        <w:rPr>
          <w:rFonts w:ascii="Calibri" w:hAnsi="Calibri"/>
          <w:i/>
          <w:iCs/>
          <w:sz w:val="22"/>
          <w:lang w:eastAsia="en-US"/>
        </w:rPr>
        <w:t>Regarding the first table of the cost section presented in Annex VII, would you favour a detailed presentation of the different types of costs, as suggested in the Annex, including a split between one-off, recurring and incidental costs? Alternatively, would you favour a shorter presentation of costs showing only the total costs and the RIY?</w:t>
      </w:r>
    </w:p>
    <w:p w:rsidR="00847BB0" w:rsidRDefault="00847BB0" w:rsidP="00847BB0"/>
    <w:p w:rsidR="00847BB0" w:rsidRDefault="00847BB0" w:rsidP="00847BB0">
      <w:r>
        <w:t>&lt;ESMA_QUESTION_PRIIPS_26&gt;</w:t>
      </w:r>
    </w:p>
    <w:p w:rsidR="005D3FE7" w:rsidRPr="00355849" w:rsidRDefault="005D3FE7" w:rsidP="005D3FE7">
      <w:pPr>
        <w:rPr>
          <w:rFonts w:ascii="Arial Narrow" w:hAnsi="Arial Narrow" w:cs="Arial"/>
          <w:sz w:val="22"/>
          <w:lang w:val="en-US"/>
        </w:rPr>
      </w:pPr>
      <w:permStart w:id="154220414" w:edGrp="everyone"/>
      <w:r w:rsidRPr="00355849">
        <w:rPr>
          <w:rFonts w:ascii="Arial Narrow" w:hAnsi="Arial Narrow" w:cs="Arial"/>
          <w:sz w:val="22"/>
          <w:lang w:val="en-US"/>
        </w:rPr>
        <w:t xml:space="preserve">No, while the ‘costs over time’ table of course does not have to provide the same level of detail on costs as the composition of costs table, VEB believe a split between one-off, recurring and incidental costs does have added value for consumers. It provides them with an understanding how the different types of costs develop over time and why the RIY (or annualized total costs per year) generally declines the longer you hold the product. </w:t>
      </w:r>
    </w:p>
    <w:p w:rsidR="00241FC8" w:rsidRPr="00355849" w:rsidRDefault="00241FC8" w:rsidP="005D3FE7">
      <w:pPr>
        <w:rPr>
          <w:rFonts w:ascii="Arial Narrow" w:hAnsi="Arial Narrow" w:cs="Arial"/>
          <w:sz w:val="22"/>
          <w:lang w:val="en-US"/>
        </w:rPr>
      </w:pPr>
    </w:p>
    <w:p w:rsidR="005D3FE7" w:rsidRPr="00355849" w:rsidRDefault="005D3FE7" w:rsidP="00241FC8">
      <w:pPr>
        <w:rPr>
          <w:rFonts w:ascii="Arial Narrow" w:hAnsi="Arial Narrow" w:cs="Arial"/>
          <w:sz w:val="22"/>
          <w:lang w:val="en-US"/>
        </w:rPr>
      </w:pPr>
      <w:r w:rsidRPr="00355849">
        <w:rPr>
          <w:rFonts w:ascii="Arial Narrow" w:hAnsi="Arial Narrow" w:cs="Arial"/>
          <w:sz w:val="22"/>
          <w:lang w:val="en-US"/>
        </w:rPr>
        <w:t xml:space="preserve">VEB would furthermore support a graphic presentation to show the </w:t>
      </w:r>
      <w:r w:rsidRPr="00355849">
        <w:rPr>
          <w:rFonts w:ascii="Arial Narrow" w:hAnsi="Arial Narrow" w:cs="Arial"/>
          <w:sz w:val="22"/>
          <w:u w:val="single"/>
          <w:lang w:val="en-US"/>
        </w:rPr>
        <w:t>compounding effect of costs</w:t>
      </w:r>
      <w:r w:rsidRPr="00355849">
        <w:rPr>
          <w:rFonts w:ascii="Arial Narrow" w:hAnsi="Arial Narrow" w:cs="Arial"/>
          <w:sz w:val="22"/>
          <w:lang w:val="en-US"/>
        </w:rPr>
        <w:t xml:space="preserve"> on the return for investors after a certain holding period. This could be done by providing a graph which shows the value of one’s investment (in monetary values) in the moderate scenario (net of costs) and in the moderate scenario (cost-free) over the recommended holding period and show the aggregate reduction in net investment returns as a monetary value as well as percentage figure.</w:t>
      </w:r>
    </w:p>
    <w:p w:rsidR="00241FC8" w:rsidRPr="00355849" w:rsidRDefault="00241FC8" w:rsidP="00241FC8">
      <w:pPr>
        <w:rPr>
          <w:rFonts w:ascii="Arial Narrow" w:hAnsi="Arial Narrow" w:cs="Arial"/>
          <w:sz w:val="22"/>
          <w:lang w:val="en-US"/>
        </w:rPr>
      </w:pPr>
    </w:p>
    <w:p w:rsidR="005D3FE7" w:rsidRPr="00355849" w:rsidRDefault="005D3FE7" w:rsidP="005D3FE7">
      <w:pPr>
        <w:rPr>
          <w:rFonts w:ascii="Arial Narrow" w:hAnsi="Arial Narrow" w:cs="Arial"/>
          <w:sz w:val="22"/>
          <w:lang w:val="en-US"/>
        </w:rPr>
      </w:pPr>
      <w:r w:rsidRPr="00355849">
        <w:rPr>
          <w:rFonts w:ascii="Arial Narrow" w:hAnsi="Arial Narrow" w:cs="Arial"/>
          <w:sz w:val="22"/>
          <w:lang w:val="en-US"/>
        </w:rPr>
        <w:t>We think this has added value because the compound effect of costs is higher than the total costs expressed in the costs over time table, as the reduction in return resulting from not being able to invest the costs incurred are not taken into account in the costs over time table. F</w:t>
      </w:r>
      <w:r w:rsidR="00DB76D0" w:rsidRPr="00355849">
        <w:rPr>
          <w:rFonts w:ascii="Arial Narrow" w:hAnsi="Arial Narrow" w:cs="Arial"/>
          <w:sz w:val="22"/>
          <w:lang w:val="en-US"/>
        </w:rPr>
        <w:t xml:space="preserve">urther, expressing costs in an </w:t>
      </w:r>
      <w:r w:rsidRPr="00355849">
        <w:rPr>
          <w:rFonts w:ascii="Arial Narrow" w:hAnsi="Arial Narrow" w:cs="Arial"/>
          <w:sz w:val="22"/>
          <w:lang w:val="en-US"/>
        </w:rPr>
        <w:t xml:space="preserve">annualized percentage rate (RIY) might cause consumers to underestimate the total reduction in investment return in percentage terms after the recommended holding period. </w:t>
      </w:r>
    </w:p>
    <w:p w:rsidR="00B514B7" w:rsidRPr="00355849" w:rsidRDefault="00B514B7" w:rsidP="005D3FE7">
      <w:pPr>
        <w:rPr>
          <w:rFonts w:ascii="Arial Narrow" w:hAnsi="Arial Narrow" w:cs="Arial"/>
          <w:sz w:val="22"/>
          <w:lang w:val="en-US"/>
        </w:rPr>
      </w:pPr>
    </w:p>
    <w:p w:rsidR="00B514B7" w:rsidRPr="00355849" w:rsidRDefault="00B514B7" w:rsidP="00B514B7">
      <w:pPr>
        <w:contextualSpacing/>
        <w:jc w:val="both"/>
        <w:rPr>
          <w:rFonts w:ascii="Arial Narrow" w:hAnsi="Arial Narrow" w:cs="Arial"/>
          <w:sz w:val="22"/>
        </w:rPr>
      </w:pPr>
      <w:r w:rsidRPr="00355849">
        <w:rPr>
          <w:rFonts w:ascii="Arial Narrow" w:hAnsi="Arial Narrow" w:cs="Arial"/>
          <w:sz w:val="22"/>
        </w:rPr>
        <w:t>The draft RTS do not foresee benchmarking of costs, as was included in the consumer testing (figure 7). We think this would also have much added value for consumers. It is in the ESAs mandate to collect, analyse and report on consumer trends. The ESAs could decide to monitor the RIY of PRIIPs in the EU and, on that basis, develop a costs benchmark.</w:t>
      </w:r>
    </w:p>
    <w:p w:rsidR="00B514B7" w:rsidRDefault="00B514B7" w:rsidP="00B514B7">
      <w:pPr>
        <w:contextualSpacing/>
        <w:jc w:val="both"/>
        <w:rPr>
          <w:rFonts w:ascii="Arial Narrow" w:hAnsi="Arial Narrow" w:cs="Arial"/>
        </w:rPr>
      </w:pPr>
    </w:p>
    <w:p w:rsidR="00B514B7" w:rsidRDefault="00B514B7" w:rsidP="00B514B7">
      <w:pPr>
        <w:contextualSpacing/>
        <w:jc w:val="both"/>
        <w:rPr>
          <w:rFonts w:ascii="Arial Narrow" w:hAnsi="Arial Narrow" w:cs="Arial"/>
        </w:rPr>
      </w:pPr>
      <w:r>
        <w:rPr>
          <w:noProof/>
          <w:lang w:val="nl-NL" w:eastAsia="nl-NL"/>
        </w:rPr>
        <w:drawing>
          <wp:inline distT="0" distB="0" distL="0" distR="0" wp14:anchorId="250C01D9" wp14:editId="58AF977B">
            <wp:extent cx="3495675" cy="10001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5675" cy="1000125"/>
                    </a:xfrm>
                    <a:prstGeom prst="rect">
                      <a:avLst/>
                    </a:prstGeom>
                  </pic:spPr>
                </pic:pic>
              </a:graphicData>
            </a:graphic>
          </wp:inline>
        </w:drawing>
      </w:r>
    </w:p>
    <w:p w:rsidR="00B514B7" w:rsidRPr="000C21B5" w:rsidRDefault="00B514B7" w:rsidP="00B514B7">
      <w:pPr>
        <w:contextualSpacing/>
        <w:jc w:val="both"/>
        <w:rPr>
          <w:rFonts w:ascii="Arial Narrow" w:hAnsi="Arial Narrow" w:cs="Arial"/>
        </w:rPr>
      </w:pPr>
      <w:r w:rsidRPr="000C21B5">
        <w:rPr>
          <w:rFonts w:ascii="Arial Narrow" w:hAnsi="Arial Narrow" w:cs="Arial"/>
        </w:rPr>
        <w:t xml:space="preserve">Figure </w:t>
      </w:r>
      <w:r>
        <w:rPr>
          <w:rFonts w:ascii="Arial Narrow" w:hAnsi="Arial Narrow" w:cs="Arial"/>
        </w:rPr>
        <w:t>7</w:t>
      </w:r>
    </w:p>
    <w:p w:rsidR="00B514B7" w:rsidRPr="00384731" w:rsidRDefault="00B514B7" w:rsidP="00B514B7">
      <w:pPr>
        <w:contextualSpacing/>
        <w:jc w:val="both"/>
        <w:rPr>
          <w:rFonts w:ascii="Arial Narrow" w:hAnsi="Arial Narrow" w:cs="Arial"/>
        </w:rPr>
      </w:pPr>
    </w:p>
    <w:permEnd w:id="154220414"/>
    <w:p w:rsidR="00847BB0" w:rsidRPr="00847BB0" w:rsidRDefault="00847BB0" w:rsidP="00847BB0">
      <w:r w:rsidRPr="00847BB0">
        <w:t>&lt;ESMA_QUESTION_PRIIPS_26&gt;</w:t>
      </w:r>
    </w:p>
    <w:p w:rsidR="00847BB0" w:rsidRDefault="00847BB0" w:rsidP="00750796">
      <w:pPr>
        <w:pStyle w:val="CPQuestions"/>
        <w:numPr>
          <w:ilvl w:val="0"/>
          <w:numId w:val="0"/>
        </w:numPr>
        <w:rPr>
          <w:rFonts w:cs="Arial"/>
          <w:b w:val="0"/>
          <w:szCs w:val="22"/>
        </w:rPr>
      </w:pPr>
    </w:p>
    <w:p w:rsidR="00847BB0" w:rsidRPr="00847BB0" w:rsidRDefault="00847BB0" w:rsidP="00847BB0">
      <w:pPr>
        <w:keepNext/>
        <w:keepLines/>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847BB0">
        <w:rPr>
          <w:rFonts w:ascii="Calibri" w:hAnsi="Calibri"/>
          <w:b/>
          <w:i/>
          <w:iCs/>
          <w:sz w:val="22"/>
          <w:lang w:eastAsia="en-US"/>
        </w:rPr>
        <w:t>Question 27</w:t>
      </w:r>
    </w:p>
    <w:p w:rsidR="00847BB0" w:rsidRPr="00847BB0" w:rsidRDefault="00847BB0" w:rsidP="00847BB0">
      <w:pPr>
        <w:pBdr>
          <w:top w:val="single" w:sz="4" w:space="1" w:color="auto"/>
          <w:left w:val="single" w:sz="4" w:space="4" w:color="auto"/>
          <w:bottom w:val="single" w:sz="4" w:space="1" w:color="auto"/>
          <w:right w:val="single" w:sz="4" w:space="4" w:color="auto"/>
        </w:pBdr>
        <w:jc w:val="both"/>
        <w:rPr>
          <w:rFonts w:ascii="Calibri" w:hAnsi="Calibri"/>
          <w:sz w:val="22"/>
          <w:lang w:eastAsia="en-US"/>
        </w:rPr>
      </w:pPr>
      <w:r w:rsidRPr="00847BB0">
        <w:rPr>
          <w:rFonts w:ascii="Calibri" w:hAnsi="Calibri"/>
          <w:i/>
          <w:iCs/>
          <w:sz w:val="22"/>
          <w:lang w:eastAsia="en-US"/>
        </w:rPr>
        <w:t>Regarding the second table of the cost section presented in Annex VII, would you favour a presentation of the different types of costs showing RIY figures, as suggested in the Annex, or would you favour a presentation of costs under which each type of costs line would be expressed differently, and not as a RIY figure -expressed as a percentage of the initial invested amount, NAV, etc.?</w:t>
      </w:r>
    </w:p>
    <w:p w:rsidR="00847BB0" w:rsidRDefault="00847BB0" w:rsidP="00847BB0"/>
    <w:p w:rsidR="00847BB0" w:rsidRDefault="00847BB0" w:rsidP="00847BB0">
      <w:r>
        <w:t>&lt;ESMA_QUESTION_PRIIPS_27&gt;</w:t>
      </w:r>
    </w:p>
    <w:p w:rsidR="005D3FE7" w:rsidRPr="00355849" w:rsidRDefault="005D3FE7" w:rsidP="005D3FE7">
      <w:pPr>
        <w:spacing w:after="120"/>
        <w:rPr>
          <w:rFonts w:ascii="Arial Narrow" w:hAnsi="Arial Narrow" w:cs="Arial"/>
          <w:sz w:val="22"/>
          <w:lang w:val="en-US"/>
        </w:rPr>
      </w:pPr>
      <w:permStart w:id="1191263881" w:edGrp="everyone"/>
      <w:r w:rsidRPr="00355849">
        <w:rPr>
          <w:rFonts w:ascii="Arial Narrow" w:hAnsi="Arial Narrow" w:cs="Arial"/>
          <w:sz w:val="22"/>
          <w:lang w:val="en-US"/>
        </w:rPr>
        <w:t xml:space="preserve">VEB believes it is important that the same indicator is used for all PRIIPs. We therefore support the use of RIY for all PRIIPS, incl. funds which normally use TCR, since TCR is difficult to use for insurance-based PRIIPs. We moreover believe that RIY is easier to understand for consumers, provided it is explained clearly in the narrative what it entails. </w:t>
      </w:r>
    </w:p>
    <w:p w:rsidR="005D3FE7" w:rsidRPr="00355849" w:rsidRDefault="005D3FE7" w:rsidP="005D3FE7">
      <w:pPr>
        <w:rPr>
          <w:rFonts w:ascii="Arial Narrow" w:hAnsi="Arial Narrow" w:cs="Arial"/>
          <w:sz w:val="22"/>
        </w:rPr>
      </w:pPr>
      <w:r w:rsidRPr="00355849">
        <w:rPr>
          <w:rFonts w:ascii="Arial Narrow" w:hAnsi="Arial Narrow" w:cs="Arial"/>
          <w:sz w:val="22"/>
          <w:lang w:val="en-US"/>
        </w:rPr>
        <w:t xml:space="preserve">In the KIDs tested with consumers, it is said in the narrative: “For this product, if you held it 5 years it would be 2,2%; this means for a £1.000 investment, the costs are equivalent to a reduction in what you get back by £22 per year”. </w:t>
      </w:r>
      <w:r w:rsidRPr="00355849">
        <w:rPr>
          <w:rFonts w:ascii="Arial Narrow" w:hAnsi="Arial Narrow" w:cs="Arial"/>
          <w:sz w:val="22"/>
        </w:rPr>
        <w:t>Strictly speaking this is not true. The reduction in what you get back per year becomes higher the longer you hold the product. As an example:</w:t>
      </w:r>
    </w:p>
    <w:p w:rsidR="005D3FE7" w:rsidRPr="00355849" w:rsidRDefault="005D3FE7" w:rsidP="005D3FE7">
      <w:pPr>
        <w:rPr>
          <w:rFonts w:ascii="Arial Narrow" w:hAnsi="Arial Narrow" w:cs="Arial"/>
          <w:sz w:val="22"/>
        </w:rPr>
      </w:pPr>
    </w:p>
    <w:p w:rsidR="005D3FE7" w:rsidRPr="00355849" w:rsidRDefault="005D3FE7" w:rsidP="005D3FE7">
      <w:pPr>
        <w:rPr>
          <w:rFonts w:ascii="Arial Narrow" w:hAnsi="Arial Narrow" w:cs="Arial"/>
          <w:sz w:val="22"/>
        </w:rPr>
      </w:pPr>
      <w:r w:rsidRPr="00355849">
        <w:rPr>
          <w:rFonts w:ascii="Arial Narrow" w:hAnsi="Arial Narrow" w:cs="Arial"/>
          <w:sz w:val="22"/>
        </w:rPr>
        <w:t>Assume the average annual return in the cost-free scenario is 5% and in the scenario incl. costs 2,8%. The RIY is 2,2%. The amount invested is €1.000,-. The reduction in what you get back as a consumer in year 1 is indeed €22,- ((€1.000,-*1,05)-(€1,000,-*1,028). However, in year 2, the reduction in what you get back is more than €22,-</w:t>
      </w:r>
      <w:r w:rsidR="00B514B7" w:rsidRPr="00355849">
        <w:rPr>
          <w:rFonts w:ascii="Arial Narrow" w:hAnsi="Arial Narrow" w:cs="Arial"/>
          <w:sz w:val="22"/>
        </w:rPr>
        <w:t xml:space="preserve"> (compounding effect of costs).</w:t>
      </w:r>
    </w:p>
    <w:p w:rsidR="005D3FE7" w:rsidRPr="00355849" w:rsidRDefault="005D3FE7" w:rsidP="005D3FE7">
      <w:pPr>
        <w:rPr>
          <w:rFonts w:ascii="Arial Narrow" w:hAnsi="Arial Narrow" w:cs="Arial"/>
          <w:sz w:val="22"/>
        </w:rPr>
      </w:pPr>
    </w:p>
    <w:p w:rsidR="005D3FE7" w:rsidRPr="00355849" w:rsidRDefault="005D3FE7" w:rsidP="005D3FE7">
      <w:pPr>
        <w:rPr>
          <w:rFonts w:ascii="Arial Narrow" w:hAnsi="Arial Narrow" w:cs="Arial"/>
          <w:sz w:val="22"/>
        </w:rPr>
      </w:pPr>
      <w:r w:rsidRPr="00355849">
        <w:rPr>
          <w:rFonts w:ascii="Arial Narrow" w:hAnsi="Arial Narrow" w:cs="Arial"/>
          <w:sz w:val="22"/>
        </w:rPr>
        <w:t xml:space="preserve">Return Year 2 (cost-free scenario): </w:t>
      </w:r>
      <w:r w:rsidRPr="00355849">
        <w:rPr>
          <w:rFonts w:ascii="Arial Narrow" w:hAnsi="Arial Narrow" w:cs="Arial"/>
          <w:sz w:val="22"/>
        </w:rPr>
        <w:tab/>
      </w:r>
      <w:r w:rsidRPr="00355849">
        <w:rPr>
          <w:rFonts w:ascii="Arial Narrow" w:hAnsi="Arial Narrow" w:cs="Arial"/>
          <w:sz w:val="22"/>
        </w:rPr>
        <w:tab/>
        <w:t>€1.000,-*1.05*0,05 = €52,50</w:t>
      </w:r>
    </w:p>
    <w:p w:rsidR="005D3FE7" w:rsidRPr="00355849" w:rsidRDefault="005D3FE7" w:rsidP="005D3FE7">
      <w:pPr>
        <w:rPr>
          <w:rFonts w:ascii="Arial Narrow" w:hAnsi="Arial Narrow" w:cs="Arial"/>
          <w:sz w:val="22"/>
        </w:rPr>
      </w:pPr>
      <w:r w:rsidRPr="00355849">
        <w:rPr>
          <w:rFonts w:ascii="Arial Narrow" w:hAnsi="Arial Narrow" w:cs="Arial"/>
          <w:sz w:val="22"/>
        </w:rPr>
        <w:t xml:space="preserve">Return Year 2 (scenario including costs): </w:t>
      </w:r>
      <w:r w:rsidRPr="00355849">
        <w:rPr>
          <w:rFonts w:ascii="Arial Narrow" w:hAnsi="Arial Narrow" w:cs="Arial"/>
          <w:sz w:val="22"/>
        </w:rPr>
        <w:tab/>
        <w:t>€1.000,-*1,028*-0,028 = €28,78</w:t>
      </w:r>
    </w:p>
    <w:p w:rsidR="005D3FE7" w:rsidRPr="00355849" w:rsidRDefault="005D3FE7" w:rsidP="005D3FE7">
      <w:pPr>
        <w:rPr>
          <w:rFonts w:ascii="Arial Narrow" w:hAnsi="Arial Narrow" w:cs="Arial"/>
          <w:sz w:val="22"/>
        </w:rPr>
      </w:pPr>
      <w:r w:rsidRPr="00355849">
        <w:rPr>
          <w:rFonts w:ascii="Arial Narrow" w:hAnsi="Arial Narrow" w:cs="Arial"/>
          <w:sz w:val="22"/>
        </w:rPr>
        <w:t>Reduction in what you get back is</w:t>
      </w:r>
      <w:r w:rsidRPr="00355849">
        <w:rPr>
          <w:rFonts w:ascii="Arial Narrow" w:hAnsi="Arial Narrow" w:cs="Arial"/>
          <w:sz w:val="22"/>
        </w:rPr>
        <w:tab/>
      </w:r>
      <w:r w:rsidRPr="00355849">
        <w:rPr>
          <w:rFonts w:ascii="Arial Narrow" w:hAnsi="Arial Narrow" w:cs="Arial"/>
          <w:sz w:val="22"/>
        </w:rPr>
        <w:tab/>
        <w:t>€52,50 - €28,78 = €23,72</w:t>
      </w:r>
    </w:p>
    <w:permEnd w:id="1191263881"/>
    <w:p w:rsidR="00847BB0" w:rsidRPr="00847BB0" w:rsidRDefault="00847BB0" w:rsidP="00847BB0">
      <w:r w:rsidRPr="00847BB0">
        <w:t>&lt;ESMA_QUESTION_PRIIPS_2</w:t>
      </w:r>
      <w:r>
        <w:t>7</w:t>
      </w:r>
      <w:r w:rsidRPr="00847BB0">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28</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have any comments on the problem definition provided in the Impact Assessment?</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Are the policy issues that have been highlighted, in your view, the correct ones? If not, what issues would you highlight?</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lastRenderedPageBreak/>
        <w:t>Do you have any views on the identified benefits and costs associated with each policy option?</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Is there data or evidence on the highlighted impacts that you believe needs to be taken into account?</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have any views on the possible impacts for providers of underlying investments for multi-option products, and in particular indirect impacts for manufacturers of underlying investments used by these products, including where these manufacturers benefit from the arrangements foreseen until the end of 2019 under Article 32 of the PRIIPs Regulation?</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Are there significant impacts you are aware of that have not been addressed in the Impact Assessment? Please provide data on their scale and extent as far as possible.</w:t>
      </w:r>
    </w:p>
    <w:p w:rsidR="00491E49" w:rsidRDefault="00491E49" w:rsidP="00491E49"/>
    <w:p w:rsidR="00491E49" w:rsidRDefault="00491E49" w:rsidP="00491E49">
      <w:r>
        <w:t>&lt;ESMA_QUESTION_PRIIPS_28&gt;</w:t>
      </w:r>
    </w:p>
    <w:p w:rsidR="005D3FE7" w:rsidRPr="00355849" w:rsidRDefault="00DB76D0" w:rsidP="00B514B7">
      <w:pPr>
        <w:contextualSpacing/>
        <w:jc w:val="both"/>
        <w:rPr>
          <w:rFonts w:ascii="Arial Narrow" w:hAnsi="Arial Narrow" w:cs="Arial"/>
          <w:sz w:val="22"/>
        </w:rPr>
      </w:pPr>
      <w:permStart w:id="385626348" w:edGrp="everyone"/>
      <w:r>
        <w:rPr>
          <w:rFonts w:ascii="Arial Narrow" w:hAnsi="Arial Narrow" w:cs="Arial"/>
        </w:rPr>
        <w:t xml:space="preserve"> </w:t>
      </w:r>
      <w:r w:rsidR="00241FC8" w:rsidRPr="00355849">
        <w:rPr>
          <w:rFonts w:ascii="Arial Narrow" w:hAnsi="Arial Narrow" w:cs="Arial"/>
          <w:sz w:val="22"/>
        </w:rPr>
        <w:t xml:space="preserve">The exemption for UCITS (which we do not support) entails that UCITS funds </w:t>
      </w:r>
      <w:r w:rsidR="003A6DCB">
        <w:rPr>
          <w:rFonts w:ascii="Arial Narrow" w:hAnsi="Arial Narrow" w:cs="Arial"/>
          <w:sz w:val="22"/>
        </w:rPr>
        <w:t xml:space="preserve">(as well as AIFs that are sold nationally and have to comply with the UCITS information disclosure requirement)  </w:t>
      </w:r>
      <w:r w:rsidR="00241FC8" w:rsidRPr="00355849">
        <w:rPr>
          <w:rFonts w:ascii="Arial Narrow" w:hAnsi="Arial Narrow" w:cs="Arial"/>
          <w:sz w:val="22"/>
        </w:rPr>
        <w:t xml:space="preserve">that are part of a PRIIPS with multiple investment options </w:t>
      </w:r>
      <w:r w:rsidR="00B514B7" w:rsidRPr="00355849">
        <w:rPr>
          <w:rFonts w:ascii="Arial Narrow" w:hAnsi="Arial Narrow" w:cs="Arial"/>
          <w:sz w:val="22"/>
        </w:rPr>
        <w:t>in practice will have to provide both a KIID as well as a KID</w:t>
      </w:r>
    </w:p>
    <w:permEnd w:id="385626348"/>
    <w:p w:rsidR="00491E49" w:rsidRPr="00491E49" w:rsidRDefault="00491E49" w:rsidP="00491E49">
      <w:pPr>
        <w:rPr>
          <w:lang w:val="fr-FR"/>
        </w:rPr>
      </w:pPr>
      <w:r w:rsidRPr="00580880">
        <w:rPr>
          <w:lang w:val="fr-FR"/>
        </w:rPr>
        <w:t>&lt;ESMA_QUESTION_</w:t>
      </w:r>
      <w:r>
        <w:rPr>
          <w:lang w:val="fr-FR"/>
        </w:rPr>
        <w:t>PRIIPS_28</w:t>
      </w:r>
      <w:r w:rsidRPr="00580880">
        <w:rPr>
          <w:lang w:val="fr-FR"/>
        </w:rPr>
        <w:t>&gt;</w:t>
      </w: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bookmarkStart w:id="3" w:name="_GoBack"/>
      <w:bookmarkEnd w:id="3"/>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sectPr w:rsidR="00A2049D" w:rsidSect="00A8728B">
      <w:headerReference w:type="even" r:id="rId21"/>
      <w:headerReference w:type="first" r:id="rId22"/>
      <w:footerReference w:type="first" r:id="rId23"/>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258" w:rsidRDefault="00A77258">
      <w:r>
        <w:separator/>
      </w:r>
    </w:p>
    <w:p w:rsidR="00A77258" w:rsidRDefault="00A77258"/>
  </w:endnote>
  <w:endnote w:type="continuationSeparator" w:id="0">
    <w:p w:rsidR="00A77258" w:rsidRDefault="00A77258">
      <w:r>
        <w:continuationSeparator/>
      </w:r>
    </w:p>
    <w:p w:rsidR="00A77258" w:rsidRDefault="00A77258"/>
  </w:endnote>
  <w:endnote w:type="continuationNotice" w:id="1">
    <w:p w:rsidR="00A77258" w:rsidRDefault="00A77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616B9B" w:rsidTr="00315E96">
      <w:trPr>
        <w:trHeight w:val="284"/>
      </w:trPr>
      <w:tc>
        <w:tcPr>
          <w:tcW w:w="8460" w:type="dxa"/>
        </w:tcPr>
        <w:p w:rsidR="00811EDA" w:rsidRPr="00315E96" w:rsidRDefault="00811EDA" w:rsidP="00315E96">
          <w:pPr>
            <w:pStyle w:val="00Footer"/>
            <w:rPr>
              <w:lang w:val="fr-FR"/>
            </w:rPr>
          </w:pPr>
        </w:p>
      </w:tc>
      <w:tc>
        <w:tcPr>
          <w:tcW w:w="952" w:type="dxa"/>
        </w:tcPr>
        <w:p w:rsidR="00811EDA" w:rsidRPr="00616B9B" w:rsidRDefault="00811EDA"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3A6DCB">
            <w:rPr>
              <w:rFonts w:cs="Arial"/>
              <w:noProof/>
              <w:sz w:val="22"/>
              <w:szCs w:val="22"/>
            </w:rPr>
            <w:t>14</w:t>
          </w:r>
          <w:r w:rsidRPr="00616B9B">
            <w:rPr>
              <w:rFonts w:cs="Arial"/>
              <w:noProof/>
              <w:sz w:val="22"/>
              <w:szCs w:val="22"/>
            </w:rPr>
            <w:fldChar w:fldCharType="end"/>
          </w:r>
        </w:p>
      </w:tc>
    </w:tr>
  </w:tbl>
  <w:p w:rsidR="00811EDA" w:rsidRDefault="00811ED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EDA" w:rsidRDefault="00811E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258" w:rsidRDefault="00A77258">
      <w:r>
        <w:separator/>
      </w:r>
    </w:p>
    <w:p w:rsidR="00A77258" w:rsidRDefault="00A77258"/>
  </w:footnote>
  <w:footnote w:type="continuationSeparator" w:id="0">
    <w:p w:rsidR="00A77258" w:rsidRDefault="00A77258">
      <w:r>
        <w:continuationSeparator/>
      </w:r>
    </w:p>
    <w:p w:rsidR="00A77258" w:rsidRDefault="00A77258"/>
  </w:footnote>
  <w:footnote w:type="continuationNotice" w:id="1">
    <w:p w:rsidR="00A77258" w:rsidRDefault="00A772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EDA" w:rsidRDefault="00DE66EB">
    <w:pPr>
      <w:pStyle w:val="Koptekst"/>
    </w:pPr>
    <w:r>
      <w:rPr>
        <w:noProof/>
        <w:lang w:val="nl-NL" w:eastAsia="nl-NL"/>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9DD72"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EDA" w:rsidRDefault="00DE66EB" w:rsidP="00013CCE">
    <w:pPr>
      <w:pStyle w:val="Koptekst"/>
      <w:jc w:val="right"/>
    </w:pPr>
    <w:r>
      <w:rPr>
        <w:noProof/>
        <w:lang w:val="nl-NL" w:eastAsia="nl-NL"/>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D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EDA" w:rsidRDefault="00811ED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2F4496" w:rsidTr="000C06C9">
      <w:trPr>
        <w:trHeight w:val="284"/>
      </w:trPr>
      <w:tc>
        <w:tcPr>
          <w:tcW w:w="8460" w:type="dxa"/>
        </w:tcPr>
        <w:p w:rsidR="00811EDA" w:rsidRPr="000C3B6D" w:rsidRDefault="00811EDA" w:rsidP="000C06C9">
          <w:pPr>
            <w:pStyle w:val="00Footer"/>
            <w:rPr>
              <w:lang w:val="fr-FR"/>
            </w:rPr>
          </w:pPr>
        </w:p>
      </w:tc>
      <w:tc>
        <w:tcPr>
          <w:tcW w:w="952" w:type="dxa"/>
        </w:tcPr>
        <w:p w:rsidR="00811EDA" w:rsidRPr="00146B34" w:rsidRDefault="00811EDA" w:rsidP="000C06C9">
          <w:pPr>
            <w:pStyle w:val="00aPagenumber"/>
            <w:rPr>
              <w:lang w:val="fr-FR"/>
            </w:rPr>
          </w:pPr>
        </w:p>
      </w:tc>
    </w:tr>
  </w:tbl>
  <w:p w:rsidR="00811EDA" w:rsidRPr="00DB46C3" w:rsidRDefault="00811EDA">
    <w:pPr>
      <w:rPr>
        <w:lang w:val="fr-FR"/>
      </w:rPr>
    </w:pPr>
  </w:p>
  <w:p w:rsidR="00811EDA" w:rsidRPr="002F4496" w:rsidRDefault="00811EDA">
    <w:pPr>
      <w:pStyle w:val="Koptekst"/>
      <w:rPr>
        <w:lang w:val="fr-FR"/>
      </w:rPr>
    </w:pPr>
  </w:p>
  <w:p w:rsidR="00811EDA" w:rsidRPr="002F4496" w:rsidRDefault="00811EDA" w:rsidP="000C06C9">
    <w:pPr>
      <w:pStyle w:val="Koptekst"/>
      <w:tabs>
        <w:tab w:val="clear" w:pos="4536"/>
        <w:tab w:val="clear" w:pos="9072"/>
        <w:tab w:val="left" w:pos="8227"/>
      </w:tabs>
      <w:rPr>
        <w:lang w:val="fr-FR"/>
      </w:rPr>
    </w:pPr>
  </w:p>
  <w:p w:rsidR="00811EDA" w:rsidRPr="002F4496" w:rsidRDefault="00811EDA" w:rsidP="000C06C9">
    <w:pPr>
      <w:pStyle w:val="Koptekst"/>
      <w:tabs>
        <w:tab w:val="clear" w:pos="4536"/>
        <w:tab w:val="clear" w:pos="9072"/>
        <w:tab w:val="left" w:pos="8227"/>
      </w:tabs>
      <w:rPr>
        <w:lang w:val="fr-FR"/>
      </w:rPr>
    </w:pPr>
  </w:p>
  <w:p w:rsidR="00811EDA" w:rsidRPr="002F4496" w:rsidRDefault="00811EDA">
    <w:pPr>
      <w:pStyle w:val="Koptekst"/>
      <w:rPr>
        <w:lang w:val="fr-FR"/>
      </w:rPr>
    </w:pPr>
  </w:p>
  <w:p w:rsidR="00811EDA" w:rsidRPr="002F4496" w:rsidRDefault="00811EDA">
    <w:pPr>
      <w:pStyle w:val="Koptekst"/>
      <w:rPr>
        <w:lang w:val="fr-FR"/>
      </w:rPr>
    </w:pPr>
  </w:p>
  <w:p w:rsidR="00811EDA" w:rsidRPr="002F4496" w:rsidRDefault="00811EDA">
    <w:pPr>
      <w:pStyle w:val="Koptekst"/>
      <w:rPr>
        <w:lang w:val="fr-FR"/>
      </w:rPr>
    </w:pPr>
  </w:p>
  <w:p w:rsidR="00811EDA" w:rsidRPr="002F4496" w:rsidRDefault="00811EDA">
    <w:pPr>
      <w:pStyle w:val="Koptekst"/>
      <w:rPr>
        <w:lang w:val="fr-FR"/>
      </w:rPr>
    </w:pPr>
  </w:p>
  <w:p w:rsidR="00811EDA" w:rsidRPr="002F4496" w:rsidRDefault="00811EDA">
    <w:pPr>
      <w:pStyle w:val="Koptekst"/>
      <w:rPr>
        <w:highlight w:val="yellow"/>
        <w:lang w:val="fr-FR"/>
      </w:rPr>
    </w:pPr>
  </w:p>
  <w:p w:rsidR="00811EDA" w:rsidRDefault="00DE66EB">
    <w:pPr>
      <w:pStyle w:val="Koptekst"/>
    </w:pPr>
    <w:r>
      <w:rPr>
        <w:noProof/>
        <w:lang w:val="nl-NL" w:eastAsia="nl-NL"/>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C7E90"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val="nl-NL" w:eastAsia="nl-NL"/>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jstopsomteken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33447"/>
    <w:multiLevelType w:val="hybridMultilevel"/>
    <w:tmpl w:val="F7ECD44E"/>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6" w15:restartNumberingAfterBreak="0">
    <w:nsid w:val="1DAE53C8"/>
    <w:multiLevelType w:val="multilevel"/>
    <w:tmpl w:val="ACFA87A8"/>
    <w:lvl w:ilvl="0">
      <w:start w:val="1"/>
      <w:numFmt w:val="decimal"/>
      <w:pStyle w:val="Platteteks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3757383A"/>
    <w:multiLevelType w:val="hybridMultilevel"/>
    <w:tmpl w:val="99502A40"/>
    <w:lvl w:ilvl="0" w:tplc="B5DEB59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2232B"/>
    <w:multiLevelType w:val="hybridMultilevel"/>
    <w:tmpl w:val="FE8A8E64"/>
    <w:lvl w:ilvl="0" w:tplc="C4C8C0B2">
      <w:start w:val="1"/>
      <w:numFmt w:val="decimal"/>
      <w:pStyle w:val="QUESTIONSESMA"/>
      <w:lvlText w:val="Q%1"/>
      <w:lvlJc w:val="left"/>
      <w:pPr>
        <w:ind w:left="142" w:firstLine="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6" w15:restartNumberingAfterBreak="0">
    <w:nsid w:val="3A841364"/>
    <w:multiLevelType w:val="hybridMultilevel"/>
    <w:tmpl w:val="21CCF614"/>
    <w:lvl w:ilvl="0" w:tplc="08090017">
      <w:start w:val="1"/>
      <w:numFmt w:val="lowerLetter"/>
      <w:pStyle w:val="Lijstopsomteken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8"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0"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1"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15:restartNumberingAfterBreak="0">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314E20"/>
    <w:multiLevelType w:val="hybridMultilevel"/>
    <w:tmpl w:val="F1363300"/>
    <w:lvl w:ilvl="0" w:tplc="E27AFA40">
      <w:start w:val="1"/>
      <w:numFmt w:val="lowerRoman"/>
      <w:lvlText w:val="(%1)"/>
      <w:lvlJc w:val="left"/>
      <w:pPr>
        <w:ind w:left="720" w:hanging="720"/>
      </w:pPr>
      <w:rPr>
        <w:rFonts w:hint="default"/>
        <w: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15:restartNumberingAfterBreak="0">
    <w:nsid w:val="4C7151D2"/>
    <w:multiLevelType w:val="hybridMultilevel"/>
    <w:tmpl w:val="DE90C632"/>
    <w:lvl w:ilvl="0" w:tplc="08090001">
      <w:start w:val="1"/>
      <w:numFmt w:val="bullet"/>
      <w:pStyle w:val="Lijstopsomteken"/>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55DE60E9"/>
    <w:multiLevelType w:val="hybridMultilevel"/>
    <w:tmpl w:val="1084069A"/>
    <w:lvl w:ilvl="0" w:tplc="B532C018">
      <w:start w:val="2"/>
      <w:numFmt w:val="upperRoman"/>
      <w:pStyle w:val="Kop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0"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2"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3" w15:restartNumberingAfterBreak="0">
    <w:nsid w:val="605735B9"/>
    <w:multiLevelType w:val="hybridMultilevel"/>
    <w:tmpl w:val="AD1C76E8"/>
    <w:lvl w:ilvl="0" w:tplc="6658B948">
      <w:start w:val="1"/>
      <w:numFmt w:val="decimal"/>
      <w:pStyle w:val="Kop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970F71"/>
    <w:multiLevelType w:val="singleLevel"/>
    <w:tmpl w:val="A8CADBFA"/>
    <w:name w:val="Bullet 0"/>
    <w:lvl w:ilvl="0">
      <w:start w:val="1"/>
      <w:numFmt w:val="bullet"/>
      <w:pStyle w:val="Lijstnummering"/>
      <w:lvlText w:val="–"/>
      <w:lvlJc w:val="left"/>
      <w:pPr>
        <w:tabs>
          <w:tab w:val="num" w:pos="1417"/>
        </w:tabs>
        <w:ind w:left="1417" w:hanging="567"/>
      </w:pPr>
    </w:lvl>
  </w:abstractNum>
  <w:abstractNum w:abstractNumId="35" w15:restartNumberingAfterBreak="0">
    <w:nsid w:val="64DE5E34"/>
    <w:multiLevelType w:val="hybridMultilevel"/>
    <w:tmpl w:val="AC82A478"/>
    <w:lvl w:ilvl="0" w:tplc="8C424EA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8"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8"/>
  </w:num>
  <w:num w:numId="2">
    <w:abstractNumId w:val="20"/>
  </w:num>
  <w:num w:numId="3">
    <w:abstractNumId w:val="13"/>
  </w:num>
  <w:num w:numId="4">
    <w:abstractNumId w:val="26"/>
  </w:num>
  <w:num w:numId="5">
    <w:abstractNumId w:val="28"/>
  </w:num>
  <w:num w:numId="6">
    <w:abstractNumId w:val="0"/>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33"/>
  </w:num>
  <w:num w:numId="14">
    <w:abstractNumId w:val="25"/>
  </w:num>
  <w:num w:numId="15">
    <w:abstractNumId w:val="11"/>
  </w:num>
  <w:num w:numId="16">
    <w:abstractNumId w:val="1"/>
  </w:num>
  <w:num w:numId="17">
    <w:abstractNumId w:val="16"/>
  </w:num>
  <w:num w:numId="18">
    <w:abstractNumId w:val="17"/>
  </w:num>
  <w:num w:numId="19">
    <w:abstractNumId w:val="19"/>
  </w:num>
  <w:num w:numId="20">
    <w:abstractNumId w:val="29"/>
  </w:num>
  <w:num w:numId="21">
    <w:abstractNumId w:val="39"/>
  </w:num>
  <w:num w:numId="22">
    <w:abstractNumId w:val="27"/>
  </w:num>
  <w:num w:numId="23">
    <w:abstractNumId w:val="10"/>
  </w:num>
  <w:num w:numId="24">
    <w:abstractNumId w:val="32"/>
  </w:num>
  <w:num w:numId="25">
    <w:abstractNumId w:val="31"/>
  </w:num>
  <w:num w:numId="26">
    <w:abstractNumId w:val="21"/>
  </w:num>
  <w:num w:numId="27">
    <w:abstractNumId w:val="36"/>
  </w:num>
  <w:num w:numId="28">
    <w:abstractNumId w:val="41"/>
  </w:num>
  <w:num w:numId="29">
    <w:abstractNumId w:val="8"/>
  </w:num>
  <w:num w:numId="30">
    <w:abstractNumId w:val="4"/>
  </w:num>
  <w:num w:numId="31">
    <w:abstractNumId w:val="24"/>
  </w:num>
  <w:num w:numId="32">
    <w:abstractNumId w:val="2"/>
  </w:num>
  <w:num w:numId="33">
    <w:abstractNumId w:val="7"/>
  </w:num>
  <w:num w:numId="34">
    <w:abstractNumId w:val="22"/>
  </w:num>
  <w:num w:numId="35">
    <w:abstractNumId w:val="38"/>
  </w:num>
  <w:num w:numId="36">
    <w:abstractNumId w:val="38"/>
    <w:lvlOverride w:ilvl="0">
      <w:startOverride w:val="1"/>
    </w:lvlOverride>
  </w:num>
  <w:num w:numId="37">
    <w:abstractNumId w:val="38"/>
    <w:lvlOverride w:ilvl="0">
      <w:startOverride w:val="1"/>
    </w:lvlOverride>
  </w:num>
  <w:num w:numId="38">
    <w:abstractNumId w:val="38"/>
    <w:lvlOverride w:ilvl="0">
      <w:startOverride w:val="1"/>
    </w:lvlOverride>
  </w:num>
  <w:num w:numId="39">
    <w:abstractNumId w:val="38"/>
    <w:lvlOverride w:ilvl="0">
      <w:startOverride w:val="1"/>
    </w:lvlOverride>
  </w:num>
  <w:num w:numId="40">
    <w:abstractNumId w:val="38"/>
    <w:lvlOverride w:ilvl="0">
      <w:startOverride w:val="1"/>
    </w:lvlOverride>
  </w:num>
  <w:num w:numId="41">
    <w:abstractNumId w:val="38"/>
  </w:num>
  <w:num w:numId="42">
    <w:abstractNumId w:val="38"/>
    <w:lvlOverride w:ilvl="0">
      <w:startOverride w:val="1"/>
    </w:lvlOverride>
  </w:num>
  <w:num w:numId="43">
    <w:abstractNumId w:val="38"/>
    <w:lvlOverride w:ilvl="0">
      <w:startOverride w:val="1"/>
    </w:lvlOverride>
  </w:num>
  <w:num w:numId="44">
    <w:abstractNumId w:val="38"/>
    <w:lvlOverride w:ilvl="0">
      <w:startOverride w:val="1"/>
    </w:lvlOverride>
  </w:num>
  <w:num w:numId="45">
    <w:abstractNumId w:val="38"/>
    <w:lvlOverride w:ilvl="0">
      <w:startOverride w:val="1"/>
    </w:lvlOverride>
  </w:num>
  <w:num w:numId="46">
    <w:abstractNumId w:val="38"/>
    <w:lvlOverride w:ilvl="0">
      <w:startOverride w:val="1"/>
    </w:lvlOverride>
  </w:num>
  <w:num w:numId="47">
    <w:abstractNumId w:val="37"/>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num>
  <w:num w:numId="50">
    <w:abstractNumId w:val="14"/>
  </w:num>
  <w:num w:numId="51">
    <w:abstractNumId w:val="23"/>
  </w:num>
  <w:num w:numId="52">
    <w:abstractNumId w:val="35"/>
  </w:num>
  <w:num w:numId="53">
    <w:abstractNumId w:val="3"/>
  </w:num>
  <w:num w:numId="54">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uLUYmNbrz4JiE86QVmYXRrTxMUo=" w:salt="bwWIKoZBezExpOy3oq12Pg=="/>
  <w:defaultTabStop w:val="709"/>
  <w:autoHyphenation/>
  <w:hyphenationZone w:val="567"/>
  <w:characterSpacingControl w:val="doNotCompress"/>
  <w:hdrShapeDefaults>
    <o:shapedefaults v:ext="edit" spidmax="14337">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378E"/>
    <w:rsid w:val="00003A6A"/>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5CB"/>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65B1"/>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5D4"/>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1FC8"/>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2BC1"/>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5584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DAC"/>
    <w:rsid w:val="003A6591"/>
    <w:rsid w:val="003A6DCB"/>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4B00"/>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1E49"/>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880"/>
    <w:rsid w:val="00580B3F"/>
    <w:rsid w:val="005825F2"/>
    <w:rsid w:val="005860AF"/>
    <w:rsid w:val="00587F1D"/>
    <w:rsid w:val="00590348"/>
    <w:rsid w:val="00591161"/>
    <w:rsid w:val="00592318"/>
    <w:rsid w:val="00593133"/>
    <w:rsid w:val="0059575D"/>
    <w:rsid w:val="00596825"/>
    <w:rsid w:val="005A150A"/>
    <w:rsid w:val="005A1F5C"/>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3FE7"/>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5ACF"/>
    <w:rsid w:val="005F60DC"/>
    <w:rsid w:val="006000DD"/>
    <w:rsid w:val="00600F63"/>
    <w:rsid w:val="006012E1"/>
    <w:rsid w:val="00602253"/>
    <w:rsid w:val="006023E1"/>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46D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28F"/>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0796"/>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65A"/>
    <w:rsid w:val="00844DFF"/>
    <w:rsid w:val="00845D87"/>
    <w:rsid w:val="00846C3A"/>
    <w:rsid w:val="008477BF"/>
    <w:rsid w:val="00847BB0"/>
    <w:rsid w:val="008503DA"/>
    <w:rsid w:val="00850B68"/>
    <w:rsid w:val="00850E82"/>
    <w:rsid w:val="0085122D"/>
    <w:rsid w:val="008519E8"/>
    <w:rsid w:val="008525FF"/>
    <w:rsid w:val="00852C03"/>
    <w:rsid w:val="0085590C"/>
    <w:rsid w:val="00855D9F"/>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96A15"/>
    <w:rsid w:val="008A2585"/>
    <w:rsid w:val="008A2718"/>
    <w:rsid w:val="008A4CF6"/>
    <w:rsid w:val="008A4E42"/>
    <w:rsid w:val="008A51AA"/>
    <w:rsid w:val="008A6A12"/>
    <w:rsid w:val="008B0DC6"/>
    <w:rsid w:val="008B2B9E"/>
    <w:rsid w:val="008B31F5"/>
    <w:rsid w:val="008B4C79"/>
    <w:rsid w:val="008B5556"/>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220"/>
    <w:rsid w:val="009D55CA"/>
    <w:rsid w:val="009D5EF0"/>
    <w:rsid w:val="009D6401"/>
    <w:rsid w:val="009D6574"/>
    <w:rsid w:val="009E0711"/>
    <w:rsid w:val="009E1917"/>
    <w:rsid w:val="009E3594"/>
    <w:rsid w:val="009E6B77"/>
    <w:rsid w:val="009E7724"/>
    <w:rsid w:val="009E7D1F"/>
    <w:rsid w:val="009F13DD"/>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049D"/>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77258"/>
    <w:rsid w:val="00A824A7"/>
    <w:rsid w:val="00A83644"/>
    <w:rsid w:val="00A83C07"/>
    <w:rsid w:val="00A83F40"/>
    <w:rsid w:val="00A84945"/>
    <w:rsid w:val="00A85543"/>
    <w:rsid w:val="00A8728B"/>
    <w:rsid w:val="00A90381"/>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E70B7"/>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14B7"/>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27F40"/>
    <w:rsid w:val="00C30A54"/>
    <w:rsid w:val="00C316F7"/>
    <w:rsid w:val="00C31DF0"/>
    <w:rsid w:val="00C33916"/>
    <w:rsid w:val="00C33ACE"/>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95702"/>
    <w:rsid w:val="00C958C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B76D0"/>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1A08"/>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2d4491,#283583"/>
    </o:shapedefaults>
    <o:shapelayout v:ext="edit">
      <o:idmap v:ext="edit" data="1"/>
    </o:shapelayout>
  </w:shapeDefaults>
  <w:decimalSymbol w:val=","/>
  <w:listSeparator w:val=";"/>
  <w14:docId w14:val="4B86B9EE"/>
  <w15:docId w15:val="{A5491628-780B-4008-A860-D8597A427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F0769"/>
    <w:rPr>
      <w:rFonts w:ascii="Arial" w:hAnsi="Arial"/>
      <w:szCs w:val="24"/>
      <w:lang w:eastAsia="de-DE"/>
    </w:rPr>
  </w:style>
  <w:style w:type="paragraph" w:styleId="Kop1">
    <w:name w:val="heading 1"/>
    <w:basedOn w:val="Standaard"/>
    <w:next w:val="Standaard"/>
    <w:link w:val="Kop1Char"/>
    <w:qFormat/>
    <w:rsid w:val="009E7724"/>
    <w:pPr>
      <w:keepNext/>
      <w:numPr>
        <w:numId w:val="5"/>
      </w:numPr>
      <w:spacing w:before="240" w:after="60"/>
      <w:outlineLvl w:val="0"/>
    </w:pPr>
    <w:rPr>
      <w:rFonts w:cs="Arial"/>
      <w:b/>
      <w:bCs/>
      <w:kern w:val="32"/>
      <w:sz w:val="24"/>
      <w:szCs w:val="32"/>
    </w:rPr>
  </w:style>
  <w:style w:type="paragraph" w:styleId="Kop2">
    <w:name w:val="heading 2"/>
    <w:basedOn w:val="Standaard"/>
    <w:next w:val="Standaard"/>
    <w:link w:val="Kop2Char"/>
    <w:qFormat/>
    <w:rsid w:val="00886A60"/>
    <w:pPr>
      <w:keepNext/>
      <w:keepLines/>
      <w:spacing w:before="200" w:after="120"/>
      <w:outlineLvl w:val="1"/>
    </w:pPr>
    <w:rPr>
      <w:b/>
      <w:bCs/>
      <w:szCs w:val="26"/>
    </w:rPr>
  </w:style>
  <w:style w:type="paragraph" w:styleId="Kop3">
    <w:name w:val="heading 3"/>
    <w:basedOn w:val="Standaard"/>
    <w:next w:val="Standaard"/>
    <w:link w:val="Kop3Char"/>
    <w:qFormat/>
    <w:rsid w:val="003865E5"/>
    <w:pPr>
      <w:keepNext/>
      <w:keepLines/>
      <w:spacing w:before="200"/>
      <w:outlineLvl w:val="2"/>
    </w:pPr>
    <w:rPr>
      <w:rFonts w:ascii="Cambria" w:hAnsi="Cambria"/>
      <w:b/>
      <w:bCs/>
      <w:color w:val="4F81BD"/>
    </w:rPr>
  </w:style>
  <w:style w:type="paragraph" w:styleId="Kop4">
    <w:name w:val="heading 4"/>
    <w:basedOn w:val="Standaard"/>
    <w:next w:val="Standaard"/>
    <w:link w:val="Kop4Char"/>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Kop5">
    <w:name w:val="heading 5"/>
    <w:aliases w:val="Questions"/>
    <w:basedOn w:val="Standaard"/>
    <w:next w:val="Standaard"/>
    <w:link w:val="Kop5Char"/>
    <w:qFormat/>
    <w:rsid w:val="00E9344E"/>
    <w:pPr>
      <w:keepNext/>
      <w:keepLines/>
      <w:numPr>
        <w:numId w:val="13"/>
      </w:numPr>
      <w:spacing w:before="200"/>
      <w:jc w:val="both"/>
      <w:outlineLvl w:val="4"/>
    </w:pPr>
    <w:rPr>
      <w:b/>
    </w:rPr>
  </w:style>
  <w:style w:type="paragraph" w:styleId="Kop6">
    <w:name w:val="heading 6"/>
    <w:basedOn w:val="Standaard"/>
    <w:next w:val="Standaard"/>
    <w:link w:val="Kop6Char"/>
    <w:qFormat/>
    <w:rsid w:val="003609B6"/>
    <w:pPr>
      <w:numPr>
        <w:ilvl w:val="5"/>
        <w:numId w:val="4"/>
      </w:numPr>
      <w:spacing w:before="240" w:after="60"/>
      <w:outlineLvl w:val="5"/>
    </w:pPr>
    <w:rPr>
      <w:rFonts w:ascii="Times New Roman" w:hAnsi="Times New Roman"/>
      <w:b/>
      <w:bCs/>
      <w:szCs w:val="22"/>
    </w:rPr>
  </w:style>
  <w:style w:type="paragraph" w:styleId="Kop7">
    <w:name w:val="heading 7"/>
    <w:basedOn w:val="Standaard"/>
    <w:next w:val="Standaard"/>
    <w:link w:val="Kop7Char"/>
    <w:unhideWhenUsed/>
    <w:qFormat/>
    <w:rsid w:val="002D6E1A"/>
    <w:pPr>
      <w:spacing w:before="240" w:after="60"/>
      <w:ind w:left="1296" w:hanging="1296"/>
      <w:outlineLvl w:val="6"/>
    </w:pPr>
    <w:rPr>
      <w:rFonts w:ascii="Times New Roman" w:hAnsi="Times New Roman"/>
    </w:rPr>
  </w:style>
  <w:style w:type="paragraph" w:styleId="Kop8">
    <w:name w:val="heading 8"/>
    <w:basedOn w:val="Standaard"/>
    <w:next w:val="Standaard"/>
    <w:link w:val="Kop8Char"/>
    <w:qFormat/>
    <w:rsid w:val="003609B6"/>
    <w:pPr>
      <w:numPr>
        <w:ilvl w:val="7"/>
        <w:numId w:val="4"/>
      </w:numPr>
      <w:spacing w:before="240" w:after="60"/>
      <w:outlineLvl w:val="7"/>
    </w:pPr>
    <w:rPr>
      <w:rFonts w:ascii="Times New Roman" w:hAnsi="Times New Roman"/>
      <w:i/>
      <w:iCs/>
    </w:rPr>
  </w:style>
  <w:style w:type="paragraph" w:styleId="Kop9">
    <w:name w:val="heading 9"/>
    <w:basedOn w:val="Standaard"/>
    <w:next w:val="Standaard"/>
    <w:link w:val="Kop9Char"/>
    <w:qFormat/>
    <w:rsid w:val="00A06867"/>
    <w:pPr>
      <w:tabs>
        <w:tab w:val="num" w:pos="1584"/>
      </w:tabs>
      <w:spacing w:before="240" w:after="60"/>
      <w:ind w:left="1584" w:hanging="1584"/>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5B64CB"/>
    <w:pPr>
      <w:tabs>
        <w:tab w:val="center" w:pos="4536"/>
        <w:tab w:val="right" w:pos="9072"/>
      </w:tabs>
    </w:pPr>
  </w:style>
  <w:style w:type="paragraph" w:styleId="Voettekst">
    <w:name w:val="footer"/>
    <w:basedOn w:val="Standaard"/>
    <w:link w:val="VoettekstChar"/>
    <w:rsid w:val="005B64CB"/>
    <w:pPr>
      <w:tabs>
        <w:tab w:val="center" w:pos="4536"/>
        <w:tab w:val="right" w:pos="9072"/>
      </w:tabs>
    </w:pPr>
  </w:style>
  <w:style w:type="table" w:styleId="Tabelraster">
    <w:name w:val="Table Grid"/>
    <w:basedOn w:val="Standaardtabe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Standaard"/>
    <w:rsid w:val="003E3ACA"/>
    <w:pPr>
      <w:spacing w:line="200" w:lineRule="exact"/>
    </w:pPr>
    <w:rPr>
      <w:color w:val="2D4190"/>
      <w:sz w:val="16"/>
    </w:rPr>
  </w:style>
  <w:style w:type="paragraph" w:customStyle="1" w:styleId="05aTitle">
    <w:name w:val="05a_Title"/>
    <w:basedOn w:val="Standaard"/>
    <w:rsid w:val="00791EB4"/>
    <w:pPr>
      <w:spacing w:line="340" w:lineRule="exact"/>
    </w:pPr>
    <w:rPr>
      <w:b/>
      <w:color w:val="000000"/>
      <w:sz w:val="28"/>
    </w:rPr>
  </w:style>
  <w:style w:type="paragraph" w:customStyle="1" w:styleId="02Date">
    <w:name w:val="02_Date"/>
    <w:basedOn w:val="Standaard"/>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Standaard"/>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inanummer">
    <w:name w:val="page number"/>
    <w:basedOn w:val="Standaardalinea-lettertype"/>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Inhopg1">
    <w:name w:val="toc 1"/>
    <w:basedOn w:val="Standaard"/>
    <w:next w:val="Standaard"/>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Voetnoottekst">
    <w:name w:val="footnote text"/>
    <w:aliases w:val="Char3, Char3,Fußnotentextf,Fußnotentextr,stile 1,Footnote1,Footnote2,Footnote3,Footnote4,Footnote5,Footnote6,Footnote7,Footnote8,Footnote9,Footnote10,Footnote11,Footnote21,Footnote31,Footnote41,Footnote51,Footnote61,Footnote71"/>
    <w:basedOn w:val="Standaard"/>
    <w:link w:val="VoetnoottekstChar"/>
    <w:qFormat/>
    <w:rsid w:val="001725A5"/>
    <w:pPr>
      <w:spacing w:line="200" w:lineRule="exact"/>
    </w:pPr>
    <w:rPr>
      <w:sz w:val="16"/>
      <w:szCs w:val="20"/>
    </w:rPr>
  </w:style>
  <w:style w:type="character" w:styleId="Voetnootmarkering">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Inhopg2">
    <w:name w:val="toc 2"/>
    <w:basedOn w:val="Standaard"/>
    <w:next w:val="Standaard"/>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Standaard"/>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Verwijzingopmerking">
    <w:name w:val="annotation reference"/>
    <w:rsid w:val="004B1E61"/>
    <w:rPr>
      <w:sz w:val="16"/>
      <w:szCs w:val="16"/>
    </w:rPr>
  </w:style>
  <w:style w:type="paragraph" w:styleId="Tekstopmerking">
    <w:name w:val="annotation text"/>
    <w:basedOn w:val="Standaard"/>
    <w:link w:val="TekstopmerkingChar"/>
    <w:rsid w:val="004B1E61"/>
    <w:rPr>
      <w:szCs w:val="20"/>
    </w:rPr>
  </w:style>
  <w:style w:type="character" w:customStyle="1" w:styleId="TekstopmerkingChar">
    <w:name w:val="Tekst opmerking Char"/>
    <w:link w:val="Tekstopmerking"/>
    <w:uiPriority w:val="99"/>
    <w:rsid w:val="004B1E61"/>
    <w:rPr>
      <w:rFonts w:ascii="Georgia" w:hAnsi="Georgia"/>
      <w:lang w:eastAsia="de-DE"/>
    </w:rPr>
  </w:style>
  <w:style w:type="paragraph" w:styleId="Onderwerpvanopmerking">
    <w:name w:val="annotation subject"/>
    <w:basedOn w:val="Tekstopmerking"/>
    <w:next w:val="Tekstopmerking"/>
    <w:link w:val="OnderwerpvanopmerkingChar"/>
    <w:rsid w:val="004B1E61"/>
    <w:rPr>
      <w:b/>
      <w:bCs/>
    </w:rPr>
  </w:style>
  <w:style w:type="character" w:customStyle="1" w:styleId="OnderwerpvanopmerkingChar">
    <w:name w:val="Onderwerp van opmerking Char"/>
    <w:link w:val="Onderwerpvanopmerking"/>
    <w:rsid w:val="004B1E61"/>
    <w:rPr>
      <w:rFonts w:ascii="Georgia" w:hAnsi="Georgia"/>
      <w:b/>
      <w:bCs/>
      <w:lang w:eastAsia="de-DE"/>
    </w:rPr>
  </w:style>
  <w:style w:type="paragraph" w:styleId="Ballontekst">
    <w:name w:val="Balloon Text"/>
    <w:basedOn w:val="Standaard"/>
    <w:link w:val="BallontekstChar"/>
    <w:rsid w:val="004B1E61"/>
    <w:rPr>
      <w:rFonts w:ascii="Tahoma" w:hAnsi="Tahoma" w:cs="Tahoma"/>
      <w:sz w:val="16"/>
      <w:szCs w:val="16"/>
    </w:rPr>
  </w:style>
  <w:style w:type="character" w:customStyle="1" w:styleId="BallontekstChar">
    <w:name w:val="Ballontekst Char"/>
    <w:link w:val="Ballontekst"/>
    <w:rsid w:val="004B1E61"/>
    <w:rPr>
      <w:rFonts w:ascii="Tahoma" w:hAnsi="Tahoma" w:cs="Tahoma"/>
      <w:sz w:val="16"/>
      <w:szCs w:val="16"/>
      <w:lang w:eastAsia="de-DE"/>
    </w:rPr>
  </w:style>
  <w:style w:type="paragraph" w:styleId="Lijstalinea">
    <w:name w:val="List Paragraph"/>
    <w:aliases w:val="Paragraphe EI,Paragraphe de liste1,EC"/>
    <w:basedOn w:val="Standaard"/>
    <w:link w:val="LijstalineaChar"/>
    <w:uiPriority w:val="34"/>
    <w:qFormat/>
    <w:rsid w:val="002A0C82"/>
    <w:pPr>
      <w:ind w:left="720"/>
      <w:contextualSpacing/>
    </w:pPr>
  </w:style>
  <w:style w:type="paragraph" w:styleId="Kopvaninhoudsopgave">
    <w:name w:val="TOC Heading"/>
    <w:basedOn w:val="Kop1"/>
    <w:next w:val="Standaard"/>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VoetnoottekstChar">
    <w:name w:val="Voetnoottekst Char"/>
    <w:aliases w:val="Char3 Char, Char3 Char,Fußnotentextf Char,Fußnotentextr Char,stile 1 Char,Footnote1 Char,Footnote2 Char,Footnote3 Char,Footnote4 Char,Footnote5 Char,Footnote6 Char,Footnote7 Char,Footnote8 Char,Footnote9 Char,Footnote10 Char"/>
    <w:link w:val="Voetnoottekst"/>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Standaardalinea-lettertype"/>
    <w:rsid w:val="008E1B6A"/>
  </w:style>
  <w:style w:type="paragraph" w:customStyle="1" w:styleId="ManualNumPar1">
    <w:name w:val="Manual NumPar 1"/>
    <w:basedOn w:val="Standaard"/>
    <w:next w:val="Standaard"/>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Kop1Char">
    <w:name w:val="Kop 1 Char"/>
    <w:link w:val="Kop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Nadruk">
    <w:name w:val="Emphasis"/>
    <w:uiPriority w:val="20"/>
    <w:qFormat/>
    <w:rsid w:val="005F028E"/>
    <w:rPr>
      <w:i/>
      <w:iCs/>
    </w:rPr>
  </w:style>
  <w:style w:type="paragraph" w:styleId="Revisie">
    <w:name w:val="Revision"/>
    <w:link w:val="RevisieChar"/>
    <w:hidden/>
    <w:uiPriority w:val="99"/>
    <w:semiHidden/>
    <w:rsid w:val="008E6A37"/>
    <w:rPr>
      <w:rFonts w:ascii="Georgia" w:hAnsi="Georgia"/>
      <w:sz w:val="22"/>
      <w:szCs w:val="24"/>
      <w:lang w:eastAsia="de-DE"/>
    </w:rPr>
  </w:style>
  <w:style w:type="paragraph" w:styleId="Inhopg3">
    <w:name w:val="toc 3"/>
    <w:basedOn w:val="Standaard"/>
    <w:next w:val="Standaard"/>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Standaard"/>
    <w:next w:val="Standaard"/>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Standaard"/>
    <w:next w:val="Standaard"/>
    <w:uiPriority w:val="99"/>
    <w:rsid w:val="00F377CD"/>
    <w:pPr>
      <w:autoSpaceDE w:val="0"/>
      <w:autoSpaceDN w:val="0"/>
      <w:adjustRightInd w:val="0"/>
    </w:pPr>
    <w:rPr>
      <w:rFonts w:ascii="EUAlbertina" w:eastAsia="Calibri" w:hAnsi="EUAlbertina"/>
      <w:sz w:val="24"/>
      <w:lang w:val="fr-FR" w:eastAsia="en-US"/>
    </w:rPr>
  </w:style>
  <w:style w:type="paragraph" w:styleId="Inhopg4">
    <w:name w:val="toc 4"/>
    <w:basedOn w:val="Standaard"/>
    <w:next w:val="Standaard"/>
    <w:autoRedefine/>
    <w:uiPriority w:val="39"/>
    <w:unhideWhenUsed/>
    <w:rsid w:val="00F377CD"/>
    <w:pPr>
      <w:spacing w:after="100" w:line="276" w:lineRule="auto"/>
      <w:ind w:left="660"/>
    </w:pPr>
    <w:rPr>
      <w:rFonts w:ascii="Calibri" w:hAnsi="Calibri"/>
      <w:szCs w:val="22"/>
      <w:lang w:eastAsia="en-GB"/>
    </w:rPr>
  </w:style>
  <w:style w:type="paragraph" w:styleId="Inhopg5">
    <w:name w:val="toc 5"/>
    <w:basedOn w:val="Standaard"/>
    <w:next w:val="Standaard"/>
    <w:autoRedefine/>
    <w:uiPriority w:val="39"/>
    <w:unhideWhenUsed/>
    <w:rsid w:val="00F377CD"/>
    <w:pPr>
      <w:spacing w:after="100" w:line="276" w:lineRule="auto"/>
      <w:ind w:left="880"/>
    </w:pPr>
    <w:rPr>
      <w:rFonts w:ascii="Calibri" w:hAnsi="Calibri"/>
      <w:szCs w:val="22"/>
      <w:lang w:eastAsia="en-GB"/>
    </w:rPr>
  </w:style>
  <w:style w:type="paragraph" w:styleId="Inhopg6">
    <w:name w:val="toc 6"/>
    <w:basedOn w:val="Standaard"/>
    <w:next w:val="Standaard"/>
    <w:autoRedefine/>
    <w:uiPriority w:val="39"/>
    <w:unhideWhenUsed/>
    <w:rsid w:val="00F377CD"/>
    <w:pPr>
      <w:spacing w:after="100" w:line="276" w:lineRule="auto"/>
      <w:ind w:left="1100"/>
    </w:pPr>
    <w:rPr>
      <w:rFonts w:ascii="Calibri" w:hAnsi="Calibri"/>
      <w:szCs w:val="22"/>
      <w:lang w:eastAsia="en-GB"/>
    </w:rPr>
  </w:style>
  <w:style w:type="paragraph" w:styleId="Inhopg7">
    <w:name w:val="toc 7"/>
    <w:basedOn w:val="Standaard"/>
    <w:next w:val="Standaard"/>
    <w:autoRedefine/>
    <w:uiPriority w:val="39"/>
    <w:unhideWhenUsed/>
    <w:rsid w:val="00F377CD"/>
    <w:pPr>
      <w:spacing w:after="100" w:line="276" w:lineRule="auto"/>
      <w:ind w:left="1320"/>
    </w:pPr>
    <w:rPr>
      <w:rFonts w:ascii="Calibri" w:hAnsi="Calibri"/>
      <w:szCs w:val="22"/>
      <w:lang w:eastAsia="en-GB"/>
    </w:rPr>
  </w:style>
  <w:style w:type="paragraph" w:styleId="Inhopg8">
    <w:name w:val="toc 8"/>
    <w:basedOn w:val="Standaard"/>
    <w:next w:val="Standaard"/>
    <w:autoRedefine/>
    <w:uiPriority w:val="39"/>
    <w:unhideWhenUsed/>
    <w:rsid w:val="00F377CD"/>
    <w:pPr>
      <w:spacing w:after="100" w:line="276" w:lineRule="auto"/>
      <w:ind w:left="1540"/>
    </w:pPr>
    <w:rPr>
      <w:rFonts w:ascii="Calibri" w:hAnsi="Calibri"/>
      <w:szCs w:val="22"/>
      <w:lang w:eastAsia="en-GB"/>
    </w:rPr>
  </w:style>
  <w:style w:type="paragraph" w:styleId="Inhopg9">
    <w:name w:val="toc 9"/>
    <w:basedOn w:val="Standaard"/>
    <w:next w:val="Standaard"/>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Bijschrift">
    <w:name w:val="caption"/>
    <w:basedOn w:val="Standaard"/>
    <w:next w:val="Standaard"/>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alweb">
    <w:name w:val="Normal (Web)"/>
    <w:basedOn w:val="Standaard"/>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structuur">
    <w:name w:val="Document Map"/>
    <w:basedOn w:val="Standaard"/>
    <w:link w:val="DocumentstructuurChar"/>
    <w:rsid w:val="00AA016B"/>
    <w:rPr>
      <w:rFonts w:ascii="Tahoma" w:hAnsi="Tahoma" w:cs="Tahoma"/>
      <w:sz w:val="16"/>
      <w:szCs w:val="16"/>
    </w:rPr>
  </w:style>
  <w:style w:type="character" w:customStyle="1" w:styleId="DocumentstructuurChar">
    <w:name w:val="Documentstructuur Char"/>
    <w:link w:val="Documentstructuur"/>
    <w:rsid w:val="00AA016B"/>
    <w:rPr>
      <w:rFonts w:ascii="Tahoma" w:hAnsi="Tahoma" w:cs="Tahoma"/>
      <w:sz w:val="16"/>
      <w:szCs w:val="16"/>
      <w:lang w:eastAsia="de-DE"/>
    </w:rPr>
  </w:style>
  <w:style w:type="paragraph" w:styleId="Tekstzonderopmaak">
    <w:name w:val="Plain Text"/>
    <w:basedOn w:val="Standaard"/>
    <w:link w:val="TekstzonderopmaakChar"/>
    <w:unhideWhenUsed/>
    <w:rsid w:val="00AA016B"/>
    <w:rPr>
      <w:rFonts w:ascii="Consolas" w:hAnsi="Consolas"/>
      <w:sz w:val="21"/>
      <w:szCs w:val="21"/>
      <w:lang w:val="de-DE"/>
    </w:rPr>
  </w:style>
  <w:style w:type="character" w:customStyle="1" w:styleId="TekstzonderopmaakChar">
    <w:name w:val="Tekst zonder opmaak Char"/>
    <w:link w:val="Tekstzonderopmaak"/>
    <w:rsid w:val="00AA016B"/>
    <w:rPr>
      <w:rFonts w:ascii="Consolas" w:hAnsi="Consolas"/>
      <w:sz w:val="21"/>
      <w:szCs w:val="21"/>
      <w:lang w:val="de-DE" w:eastAsia="de-DE"/>
    </w:rPr>
  </w:style>
  <w:style w:type="paragraph" w:styleId="Plattetekst">
    <w:name w:val="Body Text"/>
    <w:basedOn w:val="Standaard"/>
    <w:link w:val="PlattetekstChar"/>
    <w:unhideWhenUsed/>
    <w:rsid w:val="00AA016B"/>
    <w:pPr>
      <w:numPr>
        <w:numId w:val="8"/>
      </w:numPr>
      <w:spacing w:after="240"/>
      <w:jc w:val="both"/>
    </w:pPr>
    <w:rPr>
      <w:rFonts w:ascii="Times New Roman" w:hAnsi="Times New Roman"/>
      <w:sz w:val="24"/>
      <w:szCs w:val="20"/>
      <w:lang w:eastAsia="en-GB"/>
    </w:rPr>
  </w:style>
  <w:style w:type="character" w:customStyle="1" w:styleId="PlattetekstChar">
    <w:name w:val="Platte tekst Char"/>
    <w:link w:val="Plattetekst"/>
    <w:rsid w:val="00AA016B"/>
    <w:rPr>
      <w:sz w:val="24"/>
    </w:rPr>
  </w:style>
  <w:style w:type="paragraph" w:customStyle="1" w:styleId="ListParagraph1">
    <w:name w:val="List Paragraph1"/>
    <w:basedOn w:val="Standaard"/>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Zwaar">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Kop2Char">
    <w:name w:val="Kop 2 Char"/>
    <w:link w:val="Kop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Kop9Char">
    <w:name w:val="Kop 9 Char"/>
    <w:link w:val="Kop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Standaard"/>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Kop7Char">
    <w:name w:val="Kop 7 Char"/>
    <w:link w:val="Kop7"/>
    <w:rsid w:val="002D6E1A"/>
    <w:rPr>
      <w:sz w:val="22"/>
      <w:szCs w:val="24"/>
      <w:lang w:eastAsia="de-DE"/>
    </w:rPr>
  </w:style>
  <w:style w:type="character" w:customStyle="1" w:styleId="Kop6Char">
    <w:name w:val="Kop 6 Char"/>
    <w:link w:val="Kop6"/>
    <w:rsid w:val="002D6E1A"/>
    <w:rPr>
      <w:b/>
      <w:bCs/>
      <w:szCs w:val="22"/>
      <w:lang w:eastAsia="de-DE"/>
    </w:rPr>
  </w:style>
  <w:style w:type="character" w:customStyle="1" w:styleId="Kop8Char">
    <w:name w:val="Kop 8 Char"/>
    <w:link w:val="Kop8"/>
    <w:rsid w:val="002D6E1A"/>
    <w:rPr>
      <w:i/>
      <w:iCs/>
      <w:szCs w:val="24"/>
      <w:lang w:eastAsia="de-DE"/>
    </w:rPr>
  </w:style>
  <w:style w:type="numbering" w:customStyle="1" w:styleId="NoList1">
    <w:name w:val="No List1"/>
    <w:next w:val="Geenlijst"/>
    <w:uiPriority w:val="99"/>
    <w:semiHidden/>
    <w:unhideWhenUsed/>
    <w:rsid w:val="002D6E1A"/>
  </w:style>
  <w:style w:type="character" w:styleId="GevolgdeHyperlink">
    <w:name w:val="FollowedHyperlink"/>
    <w:unhideWhenUsed/>
    <w:rsid w:val="002D6E1A"/>
    <w:rPr>
      <w:color w:val="800080"/>
      <w:u w:val="single"/>
    </w:rPr>
  </w:style>
  <w:style w:type="character" w:customStyle="1" w:styleId="KoptekstChar">
    <w:name w:val="Koptekst Char"/>
    <w:link w:val="Koptekst"/>
    <w:rsid w:val="002D6E1A"/>
    <w:rPr>
      <w:rFonts w:ascii="Georgia" w:hAnsi="Georgia"/>
      <w:sz w:val="22"/>
      <w:szCs w:val="24"/>
      <w:lang w:eastAsia="de-DE"/>
    </w:rPr>
  </w:style>
  <w:style w:type="character" w:customStyle="1" w:styleId="VoettekstChar">
    <w:name w:val="Voettekst Char"/>
    <w:link w:val="Voettekst"/>
    <w:rsid w:val="002D6E1A"/>
    <w:rPr>
      <w:rFonts w:ascii="Georgia" w:hAnsi="Georgia"/>
      <w:sz w:val="22"/>
      <w:szCs w:val="24"/>
      <w:lang w:eastAsia="de-DE"/>
    </w:rPr>
  </w:style>
  <w:style w:type="paragraph" w:styleId="Eindnoottekst">
    <w:name w:val="endnote text"/>
    <w:basedOn w:val="Standaard"/>
    <w:link w:val="EindnoottekstChar"/>
    <w:unhideWhenUsed/>
    <w:rsid w:val="002D6E1A"/>
    <w:rPr>
      <w:szCs w:val="20"/>
    </w:rPr>
  </w:style>
  <w:style w:type="character" w:customStyle="1" w:styleId="EindnoottekstChar">
    <w:name w:val="Eindnoottekst Char"/>
    <w:link w:val="Eindnoottekst"/>
    <w:rsid w:val="002D6E1A"/>
    <w:rPr>
      <w:rFonts w:ascii="Georgia" w:hAnsi="Georgia"/>
      <w:lang w:eastAsia="de-DE"/>
    </w:rPr>
  </w:style>
  <w:style w:type="paragraph" w:styleId="Lijstnummering">
    <w:name w:val="List Number"/>
    <w:basedOn w:val="Standaard"/>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jstalineaChar">
    <w:name w:val="Lijstalinea Char"/>
    <w:aliases w:val="Paragraphe EI Char,Paragraphe de liste1 Char,EC Char"/>
    <w:link w:val="Lijstalinea"/>
    <w:uiPriority w:val="34"/>
    <w:locked/>
    <w:rsid w:val="002D6E1A"/>
    <w:rPr>
      <w:rFonts w:ascii="Georgia" w:hAnsi="Georgia"/>
      <w:sz w:val="22"/>
      <w:szCs w:val="24"/>
      <w:lang w:eastAsia="de-DE"/>
    </w:rPr>
  </w:style>
  <w:style w:type="paragraph" w:customStyle="1" w:styleId="04anumbering0">
    <w:name w:val="04anumbering"/>
    <w:basedOn w:val="Standaard"/>
    <w:rsid w:val="002D6E1A"/>
    <w:pPr>
      <w:tabs>
        <w:tab w:val="num" w:pos="360"/>
      </w:tabs>
      <w:spacing w:after="250" w:line="276" w:lineRule="auto"/>
      <w:jc w:val="both"/>
    </w:pPr>
    <w:rPr>
      <w:rFonts w:eastAsia="Calibri"/>
      <w:szCs w:val="20"/>
      <w:lang w:eastAsia="en-GB"/>
    </w:rPr>
  </w:style>
  <w:style w:type="paragraph" w:customStyle="1" w:styleId="Tiret1">
    <w:name w:val="Tiret 1"/>
    <w:basedOn w:val="Standaar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jstalinea"/>
    <w:link w:val="DPChar"/>
    <w:qFormat/>
    <w:rsid w:val="002D6E1A"/>
    <w:pPr>
      <w:ind w:left="708"/>
      <w:contextualSpacing w:val="0"/>
      <w:jc w:val="both"/>
    </w:pPr>
    <w:rPr>
      <w:b/>
      <w:szCs w:val="20"/>
      <w:u w:val="single"/>
    </w:rPr>
  </w:style>
  <w:style w:type="paragraph" w:customStyle="1" w:styleId="Bullet">
    <w:name w:val="Bullet"/>
    <w:basedOn w:val="Standaard"/>
    <w:rsid w:val="002D6E1A"/>
    <w:pPr>
      <w:numPr>
        <w:numId w:val="11"/>
      </w:numPr>
      <w:tabs>
        <w:tab w:val="left" w:pos="708"/>
      </w:tabs>
      <w:spacing w:before="120" w:after="120" w:line="276" w:lineRule="auto"/>
      <w:jc w:val="both"/>
    </w:pPr>
    <w:rPr>
      <w:szCs w:val="20"/>
      <w:lang w:eastAsia="en-GB"/>
    </w:rPr>
  </w:style>
  <w:style w:type="character" w:styleId="Eindnootmarkering">
    <w:name w:val="endnote reference"/>
    <w:unhideWhenUsed/>
    <w:rsid w:val="002D6E1A"/>
    <w:rPr>
      <w:vertAlign w:val="superscript"/>
    </w:rPr>
  </w:style>
  <w:style w:type="character" w:styleId="Tekstvantijdelijkeaanduiding">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Standaardtabe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Geenlij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Regelnummer">
    <w:name w:val="line number"/>
    <w:basedOn w:val="Standaardalinea-lettertype"/>
    <w:uiPriority w:val="99"/>
    <w:unhideWhenUsed/>
    <w:rsid w:val="00952F2C"/>
  </w:style>
  <w:style w:type="paragraph" w:customStyle="1" w:styleId="aStyle">
    <w:name w:val="a) Style"/>
    <w:basedOn w:val="Standaard"/>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Bijschrift"/>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Standaard"/>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Kop5Char">
    <w:name w:val="Kop 5 Char"/>
    <w:aliases w:val="Questions Char7"/>
    <w:link w:val="Kop5"/>
    <w:rsid w:val="00E9344E"/>
    <w:rPr>
      <w:rFonts w:ascii="Georgia" w:hAnsi="Georgia"/>
      <w:b/>
      <w:szCs w:val="24"/>
      <w:lang w:eastAsia="de-DE"/>
    </w:rPr>
  </w:style>
  <w:style w:type="character" w:customStyle="1" w:styleId="Kop3Char">
    <w:name w:val="Kop 3 Char"/>
    <w:link w:val="Kop3"/>
    <w:rsid w:val="003865E5"/>
    <w:rPr>
      <w:rFonts w:ascii="Cambria" w:eastAsia="Times New Roman" w:hAnsi="Cambria" w:cs="Times New Roman"/>
      <w:b/>
      <w:bCs/>
      <w:color w:val="4F81BD"/>
      <w:sz w:val="22"/>
      <w:szCs w:val="24"/>
      <w:lang w:eastAsia="de-DE"/>
    </w:rPr>
  </w:style>
  <w:style w:type="character" w:customStyle="1" w:styleId="Kop4Char">
    <w:name w:val="Kop 4 Char"/>
    <w:link w:val="Kop4"/>
    <w:rsid w:val="00CB7286"/>
    <w:rPr>
      <w:b/>
      <w:bCs/>
      <w:sz w:val="28"/>
      <w:szCs w:val="28"/>
      <w:lang w:eastAsia="de-DE"/>
    </w:rPr>
  </w:style>
  <w:style w:type="table" w:styleId="Lichtelijst-accent3">
    <w:name w:val="Light List Accent 3"/>
    <w:basedOn w:val="Standaardtabe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Standaardtabe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Standaar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Standaard"/>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Kop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Kop1"/>
    <w:next w:val="Standaard"/>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Standaar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Standaar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Standaar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Standaar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Standaard"/>
    <w:next w:val="Standaar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Standaar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Standaard"/>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Standaard"/>
    <w:rsid w:val="000D2D0B"/>
    <w:rPr>
      <w:szCs w:val="20"/>
    </w:rPr>
  </w:style>
  <w:style w:type="paragraph" w:customStyle="1" w:styleId="Sbuchead">
    <w:name w:val="Sbuchead"/>
    <w:basedOn w:val="Standaard"/>
    <w:rsid w:val="000D2D0B"/>
    <w:pPr>
      <w:spacing w:after="360"/>
    </w:pPr>
    <w:rPr>
      <w:rFonts w:ascii="Times New Roman" w:hAnsi="Times New Roman"/>
      <w:b/>
      <w:caps/>
      <w:sz w:val="24"/>
      <w:szCs w:val="20"/>
      <w:lang w:eastAsia="en-GB"/>
    </w:rPr>
  </w:style>
  <w:style w:type="paragraph" w:customStyle="1" w:styleId="Applicationdirecte">
    <w:name w:val="Application directe"/>
    <w:basedOn w:val="Standaard"/>
    <w:next w:val="Fait"/>
    <w:rsid w:val="000D2D0B"/>
    <w:pPr>
      <w:spacing w:before="480" w:after="120"/>
      <w:jc w:val="both"/>
    </w:pPr>
    <w:rPr>
      <w:rFonts w:ascii="Times New Roman" w:hAnsi="Times New Roman"/>
      <w:sz w:val="24"/>
      <w:lang w:eastAsia="en-US"/>
    </w:rPr>
  </w:style>
  <w:style w:type="paragraph" w:customStyle="1" w:styleId="Fait">
    <w:name w:val="Fait à"/>
    <w:basedOn w:val="Standaard"/>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Standaard"/>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Standaard"/>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Standaard"/>
    <w:next w:val="Standaard"/>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Standaard"/>
    <w:next w:val="Standaard"/>
    <w:rsid w:val="000D2D0B"/>
    <w:pPr>
      <w:spacing w:before="360" w:after="360"/>
      <w:jc w:val="center"/>
    </w:pPr>
    <w:rPr>
      <w:rFonts w:ascii="Times New Roman" w:hAnsi="Times New Roman"/>
      <w:b/>
      <w:sz w:val="24"/>
      <w:lang w:eastAsia="en-US"/>
    </w:rPr>
  </w:style>
  <w:style w:type="paragraph" w:customStyle="1" w:styleId="Typedudocument">
    <w:name w:val="Type du document"/>
    <w:basedOn w:val="Standaard"/>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Standaar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Standaar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Standaard"/>
    <w:rsid w:val="000D2D0B"/>
    <w:pPr>
      <w:spacing w:before="120" w:after="120"/>
      <w:ind w:left="850"/>
      <w:jc w:val="both"/>
    </w:pPr>
    <w:rPr>
      <w:rFonts w:ascii="Times New Roman" w:hAnsi="Times New Roman"/>
      <w:sz w:val="24"/>
      <w:lang w:eastAsia="en-US"/>
    </w:rPr>
  </w:style>
  <w:style w:type="paragraph" w:customStyle="1" w:styleId="Text2">
    <w:name w:val="Text 2"/>
    <w:basedOn w:val="Standaard"/>
    <w:rsid w:val="000D2D0B"/>
    <w:pPr>
      <w:spacing w:before="120" w:after="120"/>
      <w:ind w:left="1417"/>
      <w:jc w:val="both"/>
    </w:pPr>
    <w:rPr>
      <w:rFonts w:ascii="Times New Roman" w:hAnsi="Times New Roman"/>
      <w:sz w:val="24"/>
      <w:lang w:eastAsia="en-US"/>
    </w:rPr>
  </w:style>
  <w:style w:type="paragraph" w:customStyle="1" w:styleId="Text3">
    <w:name w:val="Text 3"/>
    <w:basedOn w:val="Standaard"/>
    <w:rsid w:val="000D2D0B"/>
    <w:pPr>
      <w:spacing w:before="120" w:after="120"/>
      <w:ind w:left="1984"/>
      <w:jc w:val="both"/>
    </w:pPr>
    <w:rPr>
      <w:rFonts w:ascii="Times New Roman" w:hAnsi="Times New Roman"/>
      <w:sz w:val="24"/>
      <w:lang w:eastAsia="en-US"/>
    </w:rPr>
  </w:style>
  <w:style w:type="paragraph" w:customStyle="1" w:styleId="Text4">
    <w:name w:val="Text 4"/>
    <w:basedOn w:val="Standaar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Standaard"/>
    <w:rsid w:val="000D2D0B"/>
    <w:pPr>
      <w:spacing w:before="120" w:after="120"/>
      <w:jc w:val="center"/>
    </w:pPr>
    <w:rPr>
      <w:rFonts w:ascii="Times New Roman" w:hAnsi="Times New Roman"/>
      <w:sz w:val="24"/>
      <w:lang w:eastAsia="en-US"/>
    </w:rPr>
  </w:style>
  <w:style w:type="paragraph" w:customStyle="1" w:styleId="NormalLeft">
    <w:name w:val="Normal Left"/>
    <w:basedOn w:val="Standaard"/>
    <w:rsid w:val="000D2D0B"/>
    <w:pPr>
      <w:spacing w:before="120" w:after="120"/>
    </w:pPr>
    <w:rPr>
      <w:rFonts w:ascii="Times New Roman" w:hAnsi="Times New Roman"/>
      <w:sz w:val="24"/>
      <w:lang w:eastAsia="en-US"/>
    </w:rPr>
  </w:style>
  <w:style w:type="paragraph" w:customStyle="1" w:styleId="NormalRight">
    <w:name w:val="Normal Right"/>
    <w:basedOn w:val="Standaard"/>
    <w:rsid w:val="000D2D0B"/>
    <w:pPr>
      <w:spacing w:before="120" w:after="120"/>
      <w:jc w:val="right"/>
    </w:pPr>
    <w:rPr>
      <w:rFonts w:ascii="Times New Roman" w:hAnsi="Times New Roman"/>
      <w:sz w:val="24"/>
      <w:lang w:eastAsia="en-US"/>
    </w:rPr>
  </w:style>
  <w:style w:type="paragraph" w:customStyle="1" w:styleId="QuotedText">
    <w:name w:val="Quoted Text"/>
    <w:basedOn w:val="Standaard"/>
    <w:rsid w:val="000D2D0B"/>
    <w:pPr>
      <w:spacing w:before="120" w:after="120"/>
      <w:ind w:left="1417"/>
      <w:jc w:val="both"/>
    </w:pPr>
    <w:rPr>
      <w:rFonts w:ascii="Times New Roman" w:hAnsi="Times New Roman"/>
      <w:sz w:val="24"/>
      <w:lang w:eastAsia="en-US"/>
    </w:rPr>
  </w:style>
  <w:style w:type="paragraph" w:customStyle="1" w:styleId="Point0">
    <w:name w:val="Point 0"/>
    <w:basedOn w:val="Standaar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Standaar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Standaar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Standaar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Standaar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Standaar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Standaar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Standaar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Standaar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Standaar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Standaar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Standaar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Standaar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Standaar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Standaar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Standaard"/>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Standaard"/>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Standaard"/>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Standaard"/>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Standaard"/>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Standaard"/>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Standaard"/>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Standaar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Standaard"/>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Standaard"/>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Standaard"/>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Standaard"/>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Standaard"/>
    <w:next w:val="Standaard"/>
    <w:rsid w:val="000D2D0B"/>
    <w:pPr>
      <w:keepNext/>
      <w:spacing w:before="120" w:after="360"/>
      <w:jc w:val="center"/>
    </w:pPr>
    <w:rPr>
      <w:rFonts w:ascii="Times New Roman" w:hAnsi="Times New Roman"/>
      <w:b/>
      <w:sz w:val="32"/>
      <w:lang w:eastAsia="en-US"/>
    </w:rPr>
  </w:style>
  <w:style w:type="paragraph" w:customStyle="1" w:styleId="PartTitle">
    <w:name w:val="PartTitle"/>
    <w:basedOn w:val="Standaard"/>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Standaard"/>
    <w:next w:val="Kop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Standaard"/>
    <w:next w:val="Standaard"/>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Standaar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Standaar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Standaar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Standaar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Standaar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Standaar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Standaar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Standaar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Standaar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Standaar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Standaar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Standaar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Standaar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Standaar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Standaard"/>
    <w:next w:val="Standaar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Standaard"/>
    <w:next w:val="Standaar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Standaard"/>
    <w:next w:val="Standaar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Standaard"/>
    <w:next w:val="Standaar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Standaard"/>
    <w:next w:val="Standaard"/>
    <w:rsid w:val="000D2D0B"/>
    <w:pPr>
      <w:spacing w:before="360" w:after="120"/>
      <w:jc w:val="center"/>
    </w:pPr>
    <w:rPr>
      <w:rFonts w:ascii="Times New Roman" w:hAnsi="Times New Roman"/>
      <w:sz w:val="24"/>
      <w:lang w:eastAsia="en-US"/>
    </w:rPr>
  </w:style>
  <w:style w:type="paragraph" w:customStyle="1" w:styleId="Confidentialit">
    <w:name w:val="Confidentialité"/>
    <w:basedOn w:val="Standaard"/>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Standaard"/>
    <w:next w:val="Standaard"/>
    <w:rsid w:val="000D2D0B"/>
    <w:pPr>
      <w:spacing w:after="240"/>
    </w:pPr>
    <w:rPr>
      <w:rFonts w:ascii="Times New Roman" w:hAnsi="Times New Roman"/>
      <w:sz w:val="24"/>
      <w:lang w:eastAsia="en-US"/>
    </w:rPr>
  </w:style>
  <w:style w:type="paragraph" w:customStyle="1" w:styleId="Datedadoption">
    <w:name w:val="Date d'adoption"/>
    <w:basedOn w:val="Standaard"/>
    <w:next w:val="Titreobjet"/>
    <w:rsid w:val="000D2D0B"/>
    <w:pPr>
      <w:spacing w:before="360"/>
      <w:jc w:val="center"/>
    </w:pPr>
    <w:rPr>
      <w:rFonts w:ascii="Times New Roman" w:hAnsi="Times New Roman"/>
      <w:b/>
      <w:sz w:val="24"/>
      <w:lang w:eastAsia="en-US"/>
    </w:rPr>
  </w:style>
  <w:style w:type="paragraph" w:customStyle="1" w:styleId="Emission">
    <w:name w:val="Emission"/>
    <w:basedOn w:val="Standaard"/>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Standaard"/>
    <w:next w:val="Standaar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Standaard"/>
    <w:next w:val="Standaard"/>
    <w:rsid w:val="000D2D0B"/>
    <w:pPr>
      <w:keepNext/>
      <w:spacing w:before="600" w:after="120"/>
      <w:jc w:val="both"/>
    </w:pPr>
    <w:rPr>
      <w:rFonts w:ascii="Times New Roman" w:hAnsi="Times New Roman"/>
      <w:sz w:val="24"/>
      <w:lang w:eastAsia="en-US"/>
    </w:rPr>
  </w:style>
  <w:style w:type="paragraph" w:customStyle="1" w:styleId="Langue">
    <w:name w:val="Langue"/>
    <w:basedOn w:val="Standaard"/>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Standaar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Standaard"/>
    <w:next w:val="Emission"/>
    <w:rsid w:val="000D2D0B"/>
    <w:rPr>
      <w:rFonts w:cs="Arial"/>
      <w:sz w:val="24"/>
      <w:lang w:eastAsia="en-US"/>
    </w:rPr>
  </w:style>
  <w:style w:type="paragraph" w:customStyle="1" w:styleId="Rfrenceinstitutionnelle">
    <w:name w:val="Référence institutionnelle"/>
    <w:basedOn w:val="Standaard"/>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Standaard"/>
    <w:next w:val="Statut"/>
    <w:rsid w:val="000D2D0B"/>
    <w:pPr>
      <w:ind w:left="5103"/>
    </w:pPr>
    <w:rPr>
      <w:rFonts w:ascii="Times New Roman" w:hAnsi="Times New Roman"/>
      <w:sz w:val="24"/>
      <w:lang w:eastAsia="en-US"/>
    </w:rPr>
  </w:style>
  <w:style w:type="paragraph" w:customStyle="1" w:styleId="Rfrenceinterne">
    <w:name w:val="Référence interne"/>
    <w:basedOn w:val="Standaard"/>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Standaard"/>
    <w:rsid w:val="000D2D0B"/>
    <w:pPr>
      <w:jc w:val="center"/>
    </w:pPr>
    <w:rPr>
      <w:rFonts w:ascii="Times New Roman" w:hAnsi="Times New Roman"/>
      <w:b/>
      <w:sz w:val="24"/>
      <w:lang w:eastAsia="en-US"/>
    </w:rPr>
  </w:style>
  <w:style w:type="paragraph" w:customStyle="1" w:styleId="Statut">
    <w:name w:val="Statut"/>
    <w:basedOn w:val="Standaard"/>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Standaard"/>
    <w:next w:val="Standaar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Standaard"/>
    <w:next w:val="Standaar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Standaard"/>
    <w:next w:val="Standaard"/>
    <w:rsid w:val="000D2D0B"/>
    <w:pPr>
      <w:spacing w:before="120" w:after="120"/>
      <w:jc w:val="both"/>
    </w:pPr>
    <w:rPr>
      <w:rFonts w:ascii="Times New Roman" w:hAnsi="Times New Roman"/>
      <w:sz w:val="24"/>
      <w:lang w:eastAsia="en-US"/>
    </w:rPr>
  </w:style>
  <w:style w:type="paragraph" w:customStyle="1" w:styleId="Supertitre">
    <w:name w:val="Supertitre"/>
    <w:basedOn w:val="Standaard"/>
    <w:next w:val="Standaard"/>
    <w:rsid w:val="000D2D0B"/>
    <w:pPr>
      <w:spacing w:after="600"/>
      <w:jc w:val="center"/>
    </w:pPr>
    <w:rPr>
      <w:rFonts w:ascii="Times New Roman" w:hAnsi="Times New Roman"/>
      <w:b/>
      <w:sz w:val="24"/>
      <w:lang w:eastAsia="en-US"/>
    </w:rPr>
  </w:style>
  <w:style w:type="paragraph" w:customStyle="1" w:styleId="Languesfaisantfoi">
    <w:name w:val="Langues faisant foi"/>
    <w:basedOn w:val="Standaard"/>
    <w:next w:val="Standaard"/>
    <w:rsid w:val="000D2D0B"/>
    <w:pPr>
      <w:spacing w:before="360"/>
      <w:jc w:val="center"/>
    </w:pPr>
    <w:rPr>
      <w:rFonts w:ascii="Times New Roman" w:hAnsi="Times New Roman"/>
      <w:sz w:val="24"/>
      <w:lang w:eastAsia="en-US"/>
    </w:rPr>
  </w:style>
  <w:style w:type="paragraph" w:customStyle="1" w:styleId="Rfrencecroise">
    <w:name w:val="Référence croisée"/>
    <w:basedOn w:val="Standaard"/>
    <w:rsid w:val="000D2D0B"/>
    <w:pPr>
      <w:jc w:val="center"/>
    </w:pPr>
    <w:rPr>
      <w:rFonts w:ascii="Times New Roman" w:hAnsi="Times New Roman"/>
      <w:sz w:val="24"/>
      <w:lang w:eastAsia="en-US"/>
    </w:rPr>
  </w:style>
  <w:style w:type="paragraph" w:customStyle="1" w:styleId="Fichefinanciretitre">
    <w:name w:val="Fiche financière titre"/>
    <w:basedOn w:val="Standaard"/>
    <w:next w:val="Standaar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Standaard"/>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Standaard"/>
    <w:rsid w:val="000D2D0B"/>
    <w:pPr>
      <w:spacing w:after="240"/>
    </w:pPr>
  </w:style>
  <w:style w:type="paragraph" w:customStyle="1" w:styleId="Accompagnant">
    <w:name w:val="Accompagnant"/>
    <w:basedOn w:val="Standaard"/>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Standaard"/>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Standaard"/>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Standaard"/>
    <w:next w:val="Standaard"/>
    <w:rsid w:val="000D2D0B"/>
    <w:pPr>
      <w:spacing w:before="360"/>
      <w:jc w:val="center"/>
    </w:pPr>
    <w:rPr>
      <w:rFonts w:ascii="Times New Roman" w:hAnsi="Times New Roman"/>
      <w:sz w:val="24"/>
      <w:lang w:eastAsia="en-US"/>
    </w:rPr>
  </w:style>
  <w:style w:type="paragraph" w:styleId="Lijstnummering2">
    <w:name w:val="List Number 2"/>
    <w:basedOn w:val="Standaard"/>
    <w:rsid w:val="000D2D0B"/>
    <w:pPr>
      <w:tabs>
        <w:tab w:val="num" w:pos="643"/>
      </w:tabs>
      <w:spacing w:before="120" w:after="120"/>
      <w:ind w:left="643" w:hanging="360"/>
      <w:jc w:val="both"/>
    </w:pPr>
    <w:rPr>
      <w:rFonts w:ascii="Times New Roman" w:hAnsi="Times New Roman"/>
      <w:sz w:val="24"/>
      <w:lang w:eastAsia="en-US"/>
    </w:rPr>
  </w:style>
  <w:style w:type="paragraph" w:styleId="Lijstnummering3">
    <w:name w:val="List Number 3"/>
    <w:basedOn w:val="Standaard"/>
    <w:rsid w:val="000D2D0B"/>
    <w:pPr>
      <w:tabs>
        <w:tab w:val="num" w:pos="926"/>
      </w:tabs>
      <w:spacing w:before="120" w:after="120"/>
      <w:ind w:left="926" w:hanging="360"/>
      <w:jc w:val="both"/>
    </w:pPr>
    <w:rPr>
      <w:rFonts w:ascii="Times New Roman" w:hAnsi="Times New Roman"/>
      <w:sz w:val="24"/>
      <w:lang w:eastAsia="en-US"/>
    </w:rPr>
  </w:style>
  <w:style w:type="paragraph" w:styleId="Lijstnummering4">
    <w:name w:val="List Number 4"/>
    <w:basedOn w:val="Standaar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jstopsomteken">
    <w:name w:val="List Bullet"/>
    <w:basedOn w:val="Standaar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jstopsomteken2">
    <w:name w:val="List Bullet 2"/>
    <w:basedOn w:val="Standaar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jstopsomteken3">
    <w:name w:val="List Bullet 3"/>
    <w:basedOn w:val="Standaar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jstopsomteken4">
    <w:name w:val="List Bullet 4"/>
    <w:basedOn w:val="Standaar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Lijstmetafbeeldingen">
    <w:name w:val="table of figures"/>
    <w:basedOn w:val="Standaard"/>
    <w:next w:val="Standaar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Standaard"/>
    <w:rsid w:val="000D2D0B"/>
    <w:pPr>
      <w:ind w:left="720"/>
      <w:contextualSpacing/>
    </w:pPr>
    <w:rPr>
      <w:rFonts w:ascii="Cambria" w:hAnsi="Cambria"/>
      <w:sz w:val="24"/>
      <w:lang w:val="en-US" w:eastAsia="en-US"/>
    </w:rPr>
  </w:style>
  <w:style w:type="paragraph" w:customStyle="1" w:styleId="Listeavsnitt1">
    <w:name w:val="Listeavsnitt1"/>
    <w:basedOn w:val="Standaar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Standaar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Standaard"/>
    <w:uiPriority w:val="99"/>
    <w:rsid w:val="000D2D0B"/>
    <w:pPr>
      <w:ind w:left="720"/>
      <w:contextualSpacing/>
    </w:pPr>
    <w:rPr>
      <w:rFonts w:ascii="Cambria" w:hAnsi="Cambria"/>
      <w:sz w:val="24"/>
      <w:lang w:val="en-US" w:eastAsia="en-US"/>
    </w:rPr>
  </w:style>
  <w:style w:type="paragraph" w:customStyle="1" w:styleId="ListParagraph2">
    <w:name w:val="List Paragraph2"/>
    <w:basedOn w:val="Standaar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Kop1"/>
    <w:next w:val="Standaar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Standaar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Standaard"/>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Standaar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Standaard"/>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Standaard"/>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Standaard"/>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el">
    <w:name w:val="Title"/>
    <w:basedOn w:val="Standaard"/>
    <w:next w:val="Standaard"/>
    <w:link w:val="Titel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elChar">
    <w:name w:val="Titel Char"/>
    <w:link w:val="Titel"/>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Standaard"/>
    <w:rsid w:val="000D2D0B"/>
    <w:pPr>
      <w:spacing w:before="320" w:line="260" w:lineRule="exact"/>
      <w:jc w:val="both"/>
    </w:pPr>
    <w:rPr>
      <w:rFonts w:ascii="Myriad Pro Light" w:hAnsi="Myriad Pro Light"/>
      <w:b/>
      <w:sz w:val="21"/>
      <w:szCs w:val="20"/>
      <w:lang w:val="es-ES" w:eastAsia="es-ES"/>
    </w:rPr>
  </w:style>
  <w:style w:type="character" w:customStyle="1" w:styleId="RevisieChar">
    <w:name w:val="Revisie Char"/>
    <w:link w:val="Revisie"/>
    <w:uiPriority w:val="99"/>
    <w:semiHidden/>
    <w:locked/>
    <w:rsid w:val="000D2D0B"/>
    <w:rPr>
      <w:rFonts w:ascii="Georgia" w:hAnsi="Georgia"/>
      <w:sz w:val="22"/>
      <w:szCs w:val="24"/>
      <w:lang w:eastAsia="de-DE"/>
    </w:rPr>
  </w:style>
  <w:style w:type="table" w:customStyle="1" w:styleId="TableGrid2">
    <w:name w:val="Table Grid2"/>
    <w:basedOn w:val="Standaardtabel"/>
    <w:next w:val="Tabelraster"/>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aliases w:val="Question"/>
    <w:uiPriority w:val="19"/>
    <w:qFormat/>
    <w:rsid w:val="003A6E9A"/>
    <w:rPr>
      <w:b/>
      <w:i w:val="0"/>
      <w:iCs/>
      <w:sz w:val="20"/>
    </w:rPr>
  </w:style>
  <w:style w:type="paragraph" w:customStyle="1" w:styleId="NEW-Paragraph-Level1">
    <w:name w:val="NEW-Paragraph-Level1"/>
    <w:basedOn w:val="Standaar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Standaard"/>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Standaard"/>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Standaar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Standaar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Standaard"/>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Standaard"/>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Standaard"/>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Standaard"/>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Standaard"/>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Standaard"/>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Standaard"/>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Standaardalinea-lettertype"/>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ievebenadrukking">
    <w:name w:val="Intense Emphasis"/>
    <w:basedOn w:val="Standaardalinea-lettertype"/>
    <w:uiPriority w:val="21"/>
    <w:qFormat/>
    <w:rsid w:val="00D34282"/>
    <w:rPr>
      <w:b/>
      <w:bCs/>
      <w:i/>
      <w:iCs/>
    </w:rPr>
  </w:style>
  <w:style w:type="character" w:customStyle="1" w:styleId="CPTitle1Char">
    <w:name w:val="CP_Title1 Char"/>
    <w:basedOn w:val="Standaardalinea-lettertype"/>
    <w:link w:val="CPTitle1"/>
    <w:locked/>
    <w:rsid w:val="00D34282"/>
    <w:rPr>
      <w:rFonts w:asciiTheme="majorHAnsi" w:eastAsiaTheme="majorEastAsia" w:hAnsiTheme="majorHAnsi" w:cstheme="majorHAnsi"/>
      <w:b/>
      <w:sz w:val="32"/>
      <w:szCs w:val="32"/>
    </w:rPr>
  </w:style>
  <w:style w:type="paragraph" w:customStyle="1" w:styleId="CPTitle1">
    <w:name w:val="CP_Title1"/>
    <w:basedOn w:val="Kop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Kop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Standaard"/>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Standaard"/>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Standaard"/>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Standaard"/>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Standaard"/>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Standaard"/>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ESMA">
    <w:name w:val="QUESTIONS_ESMA"/>
    <w:basedOn w:val="Lijstalinea"/>
    <w:link w:val="QUESTIONSESMAChar"/>
    <w:qFormat/>
    <w:rsid w:val="002E2BC1"/>
    <w:pPr>
      <w:numPr>
        <w:numId w:val="50"/>
      </w:numPr>
      <w:spacing w:after="250" w:line="276" w:lineRule="auto"/>
      <w:contextualSpacing w:val="0"/>
      <w:jc w:val="both"/>
    </w:pPr>
    <w:rPr>
      <w:rFonts w:cstheme="minorBidi"/>
      <w:b/>
      <w:szCs w:val="22"/>
      <w:lang w:eastAsia="en-US"/>
    </w:rPr>
  </w:style>
  <w:style w:type="character" w:customStyle="1" w:styleId="QUESTIONSESMAChar">
    <w:name w:val="QUESTIONS_ESMA Char"/>
    <w:basedOn w:val="Standaardalinea-lettertype"/>
    <w:link w:val="QUESTIONSESMA"/>
    <w:rsid w:val="002E2BC1"/>
    <w:rPr>
      <w:rFonts w:ascii="Arial" w:hAnsi="Arial" w:cstheme="minorBidi"/>
      <w:b/>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ma.europa.eu" TargetMode="Externa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esma.europa.eu"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D1FDA-2C51-418D-B9F3-E09FEA87D2F9}">
  <ds:schemaRefs>
    <ds:schemaRef ds:uri="http://schemas.openxmlformats.org/officeDocument/2006/bibliography"/>
  </ds:schemaRefs>
</ds:datastoreItem>
</file>

<file path=customXml/itemProps2.xml><?xml version="1.0" encoding="utf-8"?>
<ds:datastoreItem xmlns:ds="http://schemas.openxmlformats.org/officeDocument/2006/customXml" ds:itemID="{9D70EE2A-5983-42F9-9702-4B24092BC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DB9109C8</Template>
  <TotalTime>2</TotalTime>
  <Pages>18</Pages>
  <Words>6024</Words>
  <Characters>31841</Characters>
  <Application>Microsoft Office Word</Application>
  <DocSecurity>8</DocSecurity>
  <Lines>265</Lines>
  <Paragraphs>75</Paragraphs>
  <ScaleCrop>false</ScaleCrop>
  <HeadingPairs>
    <vt:vector size="10" baseType="variant">
      <vt:variant>
        <vt:lpstr>Titel</vt:lpstr>
      </vt:variant>
      <vt:variant>
        <vt:i4>1</vt:i4>
      </vt: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5" baseType="lpstr">
      <vt:lpstr>Reply form for the MiFID II/MiFIR Consultation Paper</vt:lpstr>
      <vt:lpstr>Reply form for the MiFID II/MiFIR Consultation Paper</vt:lpstr>
      <vt:lpstr>20110000</vt:lpstr>
      <vt:lpstr>20110000</vt:lpstr>
      <vt:lpstr>20110000</vt:lpstr>
    </vt:vector>
  </TitlesOfParts>
  <Company>ESMA</Company>
  <LinksUpToDate>false</LinksUpToDate>
  <CharactersWithSpaces>37790</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Sibe de Bok</cp:lastModifiedBy>
  <cp:revision>3</cp:revision>
  <cp:lastPrinted>2016-01-29T13:15:00Z</cp:lastPrinted>
  <dcterms:created xsi:type="dcterms:W3CDTF">2016-01-29T17:06:00Z</dcterms:created>
  <dcterms:modified xsi:type="dcterms:W3CDTF">2016-01-29T17:08:00Z</dcterms:modified>
</cp:coreProperties>
</file>