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4E49B0" w:rsidTr="00315E96">
        <w:trPr>
          <w:trHeight w:val="284"/>
        </w:trPr>
        <w:tc>
          <w:tcPr>
            <w:tcW w:w="9412" w:type="dxa"/>
          </w:tcPr>
          <w:p w:rsidR="00C2094B" w:rsidRPr="004E49B0" w:rsidRDefault="003A5DAC" w:rsidP="00EF0769">
            <w:pPr>
              <w:pStyle w:val="00bDBInfo"/>
              <w:rPr>
                <w:rFonts w:cs="Arial"/>
              </w:rPr>
            </w:pPr>
            <w:bookmarkStart w:id="0" w:name="_GoBack"/>
            <w:bookmarkEnd w:id="0"/>
            <w:r>
              <w:rPr>
                <w:rFonts w:cs="Arial"/>
              </w:rPr>
              <w:t>1</w:t>
            </w:r>
            <w:r w:rsidR="00847BB0">
              <w:rPr>
                <w:rFonts w:cs="Arial"/>
              </w:rPr>
              <w:t>0 November</w:t>
            </w:r>
            <w:r w:rsidR="00ED351E" w:rsidRPr="004E49B0">
              <w:rPr>
                <w:rFonts w:cs="Arial"/>
              </w:rPr>
              <w:t xml:space="preserve"> </w:t>
            </w:r>
            <w:r w:rsidR="006F4B04" w:rsidRPr="004E49B0">
              <w:rPr>
                <w:rFonts w:cs="Arial"/>
              </w:rPr>
              <w:t>20</w:t>
            </w:r>
            <w:r>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6646DF" w:rsidP="00C000A5">
            <w:pPr>
              <w:pStyle w:val="01aDBTitle"/>
              <w:rPr>
                <w:rFonts w:cs="Arial"/>
              </w:rPr>
            </w:pPr>
            <w:r>
              <w:rPr>
                <w:rFonts w:cs="Arial"/>
              </w:rPr>
              <w:t xml:space="preserve">Consultation Paper on </w:t>
            </w:r>
            <w:r>
              <w:t xml:space="preserve"> </w:t>
            </w:r>
            <w:r w:rsidRPr="006646DF">
              <w:rPr>
                <w:rFonts w:cs="Arial"/>
              </w:rPr>
              <w:t>PRIIPs Key Information Documents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616B9B" w:rsidTr="00315E96">
        <w:trPr>
          <w:trHeight w:hRule="exact" w:val="964"/>
        </w:trPr>
        <w:tc>
          <w:tcPr>
            <w:tcW w:w="2325" w:type="dxa"/>
          </w:tcPr>
          <w:p w:rsidR="00620D7C" w:rsidRPr="004E49B0" w:rsidRDefault="00620D7C" w:rsidP="00EF0769">
            <w:pPr>
              <w:pStyle w:val="02Date"/>
              <w:rPr>
                <w:rFonts w:cs="Arial"/>
              </w:rPr>
            </w:pPr>
            <w:r w:rsidRPr="004E49B0">
              <w:rPr>
                <w:rFonts w:cs="Arial"/>
              </w:rPr>
              <w:lastRenderedPageBreak/>
              <w:t xml:space="preserve">Date: </w:t>
            </w:r>
            <w:r w:rsidR="004E49B0" w:rsidRPr="004E49B0">
              <w:rPr>
                <w:rFonts w:cs="Arial"/>
              </w:rPr>
              <w:t>1</w:t>
            </w:r>
            <w:r w:rsidR="00847BB0">
              <w:rPr>
                <w:rFonts w:cs="Arial"/>
              </w:rPr>
              <w:t>0</w:t>
            </w:r>
            <w:r w:rsidR="004E49B0" w:rsidRPr="004E49B0">
              <w:rPr>
                <w:rFonts w:cs="Arial"/>
              </w:rPr>
              <w:t xml:space="preserve"> </w:t>
            </w:r>
            <w:r w:rsidR="00847BB0">
              <w:t xml:space="preserve"> </w:t>
            </w:r>
            <w:r w:rsidR="00847BB0" w:rsidRPr="00847BB0">
              <w:rPr>
                <w:rFonts w:cs="Arial"/>
              </w:rPr>
              <w:t xml:space="preserve">November </w:t>
            </w:r>
            <w:r w:rsidR="004E49B0" w:rsidRPr="004E49B0">
              <w:rPr>
                <w:rFonts w:cs="Arial"/>
              </w:rPr>
              <w:t>201</w:t>
            </w:r>
            <w:r w:rsidR="003A5DAC">
              <w:rPr>
                <w:rFonts w:cs="Arial"/>
              </w:rPr>
              <w:t>5</w:t>
            </w:r>
          </w:p>
        </w:tc>
      </w:tr>
    </w:tbl>
    <w:p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6646DF" w:rsidRPr="006646DF">
        <w:rPr>
          <w:rFonts w:cs="Arial"/>
        </w:rPr>
        <w:t>PRIIPs Key Information Documents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QUESTION_</w:t>
      </w:r>
      <w:r w:rsidR="006646DF">
        <w:rPr>
          <w:rFonts w:cs="Arial"/>
        </w:rPr>
        <w:t>PRIIPS</w:t>
      </w:r>
      <w:r w:rsidR="00E9344E" w:rsidRPr="00EF0769">
        <w:rPr>
          <w:rFonts w:cs="Arial"/>
        </w:rPr>
        <w:t>_</w:t>
      </w:r>
      <w:r w:rsidR="00F574D0" w:rsidRPr="00EF0769">
        <w:rPr>
          <w:rFonts w:cs="Arial"/>
        </w:rPr>
        <w:t>1&gt; - i.e. the response to one que</w:t>
      </w:r>
      <w:r w:rsidR="00F574D0" w:rsidRPr="00EF0769">
        <w:rPr>
          <w:rFonts w:cs="Arial"/>
        </w:rPr>
        <w:t>s</w:t>
      </w:r>
      <w:r w:rsidR="00F574D0" w:rsidRPr="00EF0769">
        <w:rPr>
          <w:rFonts w:cs="Arial"/>
        </w:rPr>
        <w:t>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6646DF" w:rsidRPr="00EF0769">
        <w:rPr>
          <w:rFonts w:cs="Arial"/>
        </w:rPr>
        <w:t xml:space="preserve"> </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6646DF">
        <w:rPr>
          <w:rFonts w:cs="Arial"/>
        </w:rPr>
        <w:t>XXXX</w:t>
      </w:r>
      <w:r w:rsidRPr="00EF0769">
        <w:rPr>
          <w:rFonts w:cs="Arial"/>
        </w:rPr>
        <w:t xml:space="preserve">,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332304">
        <w:rPr>
          <w:rFonts w:cs="Arial"/>
        </w:rPr>
        <w:t>_</w:t>
      </w:r>
      <w:r w:rsidR="006646DF">
        <w:rPr>
          <w:rFonts w:cs="Arial"/>
        </w:rPr>
        <w:t>XXXX</w:t>
      </w:r>
      <w:r w:rsidRPr="00EF0769">
        <w:rPr>
          <w:rFonts w:cs="Arial"/>
        </w:rPr>
        <w:t xml:space="preserve">_REPLYFORM or </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PRIIPS_XXXX</w:t>
      </w:r>
      <w:r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90381" w:rsidRPr="00A90381">
        <w:rPr>
          <w:rFonts w:cs="Arial"/>
          <w:b/>
        </w:rPr>
        <w:t>29 January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ipervnculo"/>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ipervnculo"/>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1"/>
    <w:p w:rsidR="00D34282" w:rsidRPr="000E35CB" w:rsidRDefault="00332304" w:rsidP="000E35CB">
      <w:pPr>
        <w:rPr>
          <w:rFonts w:cs="Arial"/>
          <w:b/>
          <w:bCs/>
          <w:kern w:val="32"/>
          <w:sz w:val="24"/>
          <w:szCs w:val="32"/>
        </w:rPr>
      </w:pPr>
      <w:r>
        <w:br w:type="page"/>
      </w:r>
    </w:p>
    <w:p w:rsidR="00D34282" w:rsidRDefault="00D34282" w:rsidP="00D34282">
      <w:pPr>
        <w:spacing w:after="120" w:line="264" w:lineRule="auto"/>
      </w:pPr>
    </w:p>
    <w:p w:rsidR="00D34282" w:rsidRDefault="00D34282" w:rsidP="00D34282">
      <w:pPr>
        <w:pStyle w:val="Ttulo1"/>
        <w:numPr>
          <w:ilvl w:val="0"/>
          <w:numId w:val="0"/>
        </w:numPr>
        <w:ind w:left="431" w:hanging="431"/>
      </w:pPr>
      <w:r>
        <w:t>Introduction</w:t>
      </w:r>
    </w:p>
    <w:p w:rsidR="00C33ACE" w:rsidRPr="00C33ACE" w:rsidRDefault="00C33ACE" w:rsidP="00C33ACE"/>
    <w:p w:rsidR="00D34282" w:rsidRDefault="00D34282" w:rsidP="00D34282">
      <w:pPr>
        <w:rPr>
          <w:rStyle w:val="nfasisintenso"/>
        </w:rPr>
      </w:pPr>
      <w:r w:rsidRPr="001D47A5">
        <w:rPr>
          <w:rStyle w:val="nfasisintenso"/>
        </w:rPr>
        <w:t>Please make your introductory comments below, if any:</w:t>
      </w:r>
    </w:p>
    <w:p w:rsidR="002E2BC1" w:rsidRPr="001D47A5" w:rsidRDefault="002E2BC1" w:rsidP="00D34282">
      <w:pPr>
        <w:rPr>
          <w:rStyle w:val="nfasisintenso"/>
        </w:rPr>
      </w:pPr>
    </w:p>
    <w:p w:rsidR="00D34282" w:rsidRPr="00C25863" w:rsidRDefault="00D34282" w:rsidP="00D34282">
      <w:r w:rsidRPr="00C25863">
        <w:t>&lt;</w:t>
      </w:r>
      <w:r>
        <w:t>ESMA_COMMENT</w:t>
      </w:r>
      <w:r w:rsidRPr="00C25863">
        <w:t>_</w:t>
      </w:r>
      <w:r w:rsidR="000E35CB">
        <w:rPr>
          <w:rFonts w:cs="Arial"/>
        </w:rPr>
        <w:t>PRIIPS</w:t>
      </w:r>
      <w:r w:rsidRPr="00C25863">
        <w:t>_1&gt;</w:t>
      </w:r>
    </w:p>
    <w:p w:rsidR="006F309F" w:rsidRDefault="006F309F" w:rsidP="006F309F">
      <w:pPr>
        <w:tabs>
          <w:tab w:val="left" w:pos="720"/>
        </w:tabs>
        <w:jc w:val="both"/>
        <w:rPr>
          <w:lang w:val="en-US"/>
        </w:rPr>
      </w:pPr>
      <w:permStart w:id="0" w:edGrp="everyone"/>
    </w:p>
    <w:p w:rsidR="006F309F" w:rsidRPr="00AA3410" w:rsidRDefault="006F309F" w:rsidP="006F309F">
      <w:pPr>
        <w:tabs>
          <w:tab w:val="left" w:pos="720"/>
        </w:tabs>
        <w:jc w:val="both"/>
        <w:rPr>
          <w:rFonts w:asciiTheme="minorHAnsi" w:hAnsiTheme="minorHAnsi"/>
          <w:sz w:val="24"/>
          <w:lang w:val="en-US"/>
        </w:rPr>
      </w:pPr>
      <w:r w:rsidRPr="00AA3410">
        <w:rPr>
          <w:rFonts w:asciiTheme="minorHAnsi" w:hAnsiTheme="minorHAnsi"/>
          <w:sz w:val="24"/>
          <w:lang w:val="en-US"/>
        </w:rPr>
        <w:t xml:space="preserve">PRIIPs should be coordinated with </w:t>
      </w:r>
      <w:proofErr w:type="spellStart"/>
      <w:r w:rsidRPr="00AA3410">
        <w:rPr>
          <w:rFonts w:asciiTheme="minorHAnsi" w:hAnsiTheme="minorHAnsi"/>
          <w:sz w:val="24"/>
          <w:lang w:val="en-US"/>
        </w:rPr>
        <w:t>MiFID</w:t>
      </w:r>
      <w:proofErr w:type="spellEnd"/>
      <w:r w:rsidRPr="00AA3410">
        <w:rPr>
          <w:rFonts w:asciiTheme="minorHAnsi" w:hAnsiTheme="minorHAnsi"/>
          <w:sz w:val="24"/>
          <w:lang w:val="en-US"/>
        </w:rPr>
        <w:t xml:space="preserve"> II due to the overlaps in the legislation and for this reason we would encourage a postponement of PRIIPs to align the entry into force with </w:t>
      </w:r>
      <w:proofErr w:type="spellStart"/>
      <w:r w:rsidRPr="00AA3410">
        <w:rPr>
          <w:rFonts w:asciiTheme="minorHAnsi" w:hAnsiTheme="minorHAnsi"/>
          <w:sz w:val="24"/>
          <w:lang w:val="en-US"/>
        </w:rPr>
        <w:t>MiFID</w:t>
      </w:r>
      <w:proofErr w:type="spellEnd"/>
      <w:r w:rsidRPr="00AA3410">
        <w:rPr>
          <w:rFonts w:asciiTheme="minorHAnsi" w:hAnsiTheme="minorHAnsi"/>
          <w:sz w:val="24"/>
          <w:lang w:val="en-US"/>
        </w:rPr>
        <w:t xml:space="preserve"> II and to allow fruitful coordination of the legislative acts. Moreover, taken into account the fact that there has been a delay at the ESA’s level and there were certain errors in the consultation paper itself (in the risk/reward section) and a correction was only published on 05 January, we would like to point out that the already tight deadlines become even more challenging and leaving in the best case scenario only 6-7 months for the financial sector to implement the requirements coming out from PRIIPS and RTS which are rather complex (especially with regard to the risk calculations). </w:t>
      </w:r>
    </w:p>
    <w:p w:rsidR="006F309F" w:rsidRPr="00AA3410" w:rsidRDefault="006F309F" w:rsidP="006F309F">
      <w:pPr>
        <w:tabs>
          <w:tab w:val="left" w:pos="720"/>
        </w:tabs>
        <w:jc w:val="both"/>
        <w:rPr>
          <w:rFonts w:asciiTheme="minorHAnsi" w:hAnsiTheme="minorHAnsi"/>
          <w:sz w:val="24"/>
          <w:lang w:val="en-US"/>
        </w:rPr>
      </w:pPr>
    </w:p>
    <w:p w:rsidR="00D516D0" w:rsidRPr="00AA3410" w:rsidRDefault="00D516D0" w:rsidP="006F309F">
      <w:pPr>
        <w:tabs>
          <w:tab w:val="left" w:pos="720"/>
        </w:tabs>
        <w:jc w:val="both"/>
        <w:rPr>
          <w:rFonts w:asciiTheme="minorHAnsi" w:hAnsiTheme="minorHAnsi"/>
          <w:sz w:val="24"/>
          <w:lang w:val="en-US"/>
        </w:rPr>
      </w:pPr>
    </w:p>
    <w:p w:rsidR="00D516D0" w:rsidRPr="00AA3410" w:rsidRDefault="00D516D0" w:rsidP="00D516D0">
      <w:pPr>
        <w:tabs>
          <w:tab w:val="left" w:pos="720"/>
        </w:tabs>
        <w:jc w:val="both"/>
        <w:rPr>
          <w:rFonts w:asciiTheme="minorHAnsi" w:hAnsiTheme="minorHAnsi"/>
          <w:b/>
          <w:sz w:val="24"/>
          <w:lang w:val="en-US"/>
        </w:rPr>
      </w:pPr>
      <w:r w:rsidRPr="00AA3410">
        <w:rPr>
          <w:rFonts w:asciiTheme="minorHAnsi" w:hAnsiTheme="minorHAnsi"/>
          <w:b/>
          <w:sz w:val="24"/>
          <w:lang w:val="en-US"/>
        </w:rPr>
        <w:t>Scope</w:t>
      </w:r>
    </w:p>
    <w:p w:rsidR="00D516D0" w:rsidRPr="00AA3410" w:rsidRDefault="00D516D0" w:rsidP="00D516D0">
      <w:pPr>
        <w:tabs>
          <w:tab w:val="left" w:pos="720"/>
        </w:tabs>
        <w:jc w:val="both"/>
        <w:rPr>
          <w:rFonts w:asciiTheme="minorHAnsi" w:hAnsiTheme="minorHAnsi"/>
          <w:b/>
          <w:sz w:val="24"/>
          <w:lang w:val="en-US"/>
        </w:rPr>
      </w:pPr>
    </w:p>
    <w:p w:rsidR="00D516D0" w:rsidRPr="00AA3410" w:rsidRDefault="00D516D0" w:rsidP="00D516D0">
      <w:pPr>
        <w:tabs>
          <w:tab w:val="left" w:pos="720"/>
        </w:tabs>
        <w:jc w:val="both"/>
        <w:rPr>
          <w:rFonts w:asciiTheme="minorHAnsi" w:hAnsiTheme="minorHAnsi"/>
          <w:b/>
          <w:sz w:val="24"/>
          <w:lang w:val="en-US"/>
        </w:rPr>
      </w:pPr>
      <w:r w:rsidRPr="00AA3410">
        <w:rPr>
          <w:rFonts w:asciiTheme="minorHAnsi" w:hAnsiTheme="minorHAnsi"/>
          <w:b/>
          <w:sz w:val="24"/>
          <w:lang w:val="en-US"/>
        </w:rPr>
        <w:t>-Product scope</w:t>
      </w:r>
    </w:p>
    <w:p w:rsidR="00D516D0" w:rsidRPr="00AA3410" w:rsidRDefault="00D516D0" w:rsidP="00D516D0">
      <w:pPr>
        <w:tabs>
          <w:tab w:val="left" w:pos="720"/>
        </w:tabs>
        <w:jc w:val="both"/>
        <w:rPr>
          <w:rFonts w:asciiTheme="minorHAnsi" w:hAnsiTheme="minorHAnsi"/>
          <w:b/>
          <w:sz w:val="24"/>
          <w:lang w:val="en-US"/>
        </w:rPr>
      </w:pPr>
    </w:p>
    <w:p w:rsidR="00D516D0" w:rsidRPr="00AA3410" w:rsidRDefault="00D516D0" w:rsidP="00D516D0">
      <w:pPr>
        <w:tabs>
          <w:tab w:val="left" w:pos="720"/>
        </w:tabs>
        <w:jc w:val="both"/>
        <w:rPr>
          <w:rFonts w:asciiTheme="minorHAnsi" w:hAnsiTheme="minorHAnsi"/>
          <w:b/>
          <w:sz w:val="24"/>
          <w:lang w:val="en-US"/>
        </w:rPr>
      </w:pPr>
      <w:r w:rsidRPr="00AA3410">
        <w:rPr>
          <w:rFonts w:asciiTheme="minorHAnsi" w:hAnsiTheme="minorHAnsi"/>
          <w:b/>
          <w:sz w:val="24"/>
          <w:lang w:val="en-US"/>
        </w:rPr>
        <w:t>Derivatives that are entered for hedging purposes:</w:t>
      </w:r>
    </w:p>
    <w:p w:rsidR="00D516D0" w:rsidRPr="00AA3410" w:rsidRDefault="00D516D0" w:rsidP="006F309F">
      <w:pPr>
        <w:tabs>
          <w:tab w:val="left" w:pos="720"/>
        </w:tabs>
        <w:jc w:val="both"/>
        <w:rPr>
          <w:rFonts w:asciiTheme="minorHAnsi" w:hAnsiTheme="minorHAnsi"/>
          <w:sz w:val="24"/>
          <w:lang w:val="en-US"/>
        </w:rPr>
      </w:pPr>
    </w:p>
    <w:p w:rsidR="006F309F" w:rsidRPr="00AA3410" w:rsidRDefault="006F309F" w:rsidP="006F309F">
      <w:pPr>
        <w:tabs>
          <w:tab w:val="left" w:pos="720"/>
        </w:tabs>
        <w:jc w:val="both"/>
        <w:rPr>
          <w:rFonts w:asciiTheme="minorHAnsi" w:hAnsiTheme="minorHAnsi"/>
          <w:sz w:val="24"/>
          <w:lang w:val="en-US"/>
        </w:rPr>
      </w:pPr>
      <w:r w:rsidRPr="00AA3410">
        <w:rPr>
          <w:rFonts w:asciiTheme="minorHAnsi" w:hAnsiTheme="minorHAnsi"/>
          <w:sz w:val="24"/>
          <w:lang w:val="en-US"/>
        </w:rPr>
        <w:t>In our opinion there still remains uncertainty regarding the scope for PRIIPs Key Information Documents. According to EU Regulation no. 1286/2014 a PRIIP is an investment product, and throughout the recitals and articles an investment with the purpose of obtaining a return based on a risk taken (speculation) seems to be in focus.</w:t>
      </w:r>
    </w:p>
    <w:p w:rsidR="006F309F" w:rsidRPr="00AA3410" w:rsidRDefault="006F309F" w:rsidP="006F309F">
      <w:pPr>
        <w:tabs>
          <w:tab w:val="left" w:pos="720"/>
        </w:tabs>
        <w:jc w:val="both"/>
        <w:rPr>
          <w:rFonts w:asciiTheme="minorHAnsi" w:hAnsiTheme="minorHAnsi"/>
          <w:sz w:val="24"/>
          <w:lang w:val="en-US"/>
        </w:rPr>
      </w:pPr>
    </w:p>
    <w:p w:rsidR="006F309F" w:rsidRPr="00AA3410" w:rsidRDefault="006F309F" w:rsidP="006F309F">
      <w:pPr>
        <w:tabs>
          <w:tab w:val="left" w:pos="720"/>
        </w:tabs>
        <w:jc w:val="both"/>
        <w:rPr>
          <w:rFonts w:asciiTheme="minorHAnsi" w:hAnsiTheme="minorHAnsi"/>
          <w:sz w:val="24"/>
          <w:lang w:val="en-US"/>
        </w:rPr>
      </w:pPr>
      <w:r w:rsidRPr="00AA3410">
        <w:rPr>
          <w:rFonts w:asciiTheme="minorHAnsi" w:hAnsiTheme="minorHAnsi"/>
          <w:sz w:val="24"/>
          <w:lang w:val="en-US"/>
        </w:rPr>
        <w:t xml:space="preserve">In Annex II, Part 1, 9(c) it is highlighted that all derivatives as defined in </w:t>
      </w:r>
      <w:proofErr w:type="spellStart"/>
      <w:r w:rsidRPr="00AA3410">
        <w:rPr>
          <w:rFonts w:asciiTheme="minorHAnsi" w:hAnsiTheme="minorHAnsi"/>
          <w:sz w:val="24"/>
          <w:lang w:val="en-US"/>
        </w:rPr>
        <w:t>MiFID</w:t>
      </w:r>
      <w:proofErr w:type="spellEnd"/>
      <w:r w:rsidRPr="00AA3410">
        <w:rPr>
          <w:rFonts w:asciiTheme="minorHAnsi" w:hAnsiTheme="minorHAnsi"/>
          <w:sz w:val="24"/>
          <w:lang w:val="en-US"/>
        </w:rPr>
        <w:t xml:space="preserve"> II are in the scope. But there is still no clarity as to whether derivatives are in the scope regardless of the underlying purpose – speculation </w:t>
      </w:r>
      <w:proofErr w:type="spellStart"/>
      <w:r w:rsidR="00D516D0" w:rsidRPr="00AA3410">
        <w:rPr>
          <w:rFonts w:asciiTheme="minorHAnsi" w:hAnsiTheme="minorHAnsi"/>
          <w:sz w:val="24"/>
          <w:lang w:val="en-US"/>
        </w:rPr>
        <w:t>vs</w:t>
      </w:r>
      <w:proofErr w:type="spellEnd"/>
      <w:r w:rsidR="00D516D0" w:rsidRPr="00AA3410">
        <w:rPr>
          <w:rFonts w:asciiTheme="minorHAnsi" w:hAnsiTheme="minorHAnsi"/>
          <w:sz w:val="24"/>
          <w:lang w:val="en-US"/>
        </w:rPr>
        <w:t xml:space="preserve"> </w:t>
      </w:r>
      <w:r w:rsidRPr="00AA3410">
        <w:rPr>
          <w:rFonts w:asciiTheme="minorHAnsi" w:hAnsiTheme="minorHAnsi"/>
          <w:sz w:val="24"/>
          <w:lang w:val="en-US"/>
        </w:rPr>
        <w:t>respectively hedging (of commercial and/or investment risk). If deriv</w:t>
      </w:r>
      <w:r w:rsidRPr="00AA3410">
        <w:rPr>
          <w:rFonts w:asciiTheme="minorHAnsi" w:hAnsiTheme="minorHAnsi"/>
          <w:sz w:val="24"/>
          <w:lang w:val="en-US"/>
        </w:rPr>
        <w:t>a</w:t>
      </w:r>
      <w:r w:rsidRPr="00AA3410">
        <w:rPr>
          <w:rFonts w:asciiTheme="minorHAnsi" w:hAnsiTheme="minorHAnsi"/>
          <w:sz w:val="24"/>
          <w:lang w:val="en-US"/>
        </w:rPr>
        <w:t>tives used for hedging purposes are in the scope, the format and information contained in the KID will be misleading, as the purpose of the hedging strategy is to obtain exactly the opposite result of the derivative as a stand-alone investment.</w:t>
      </w:r>
    </w:p>
    <w:p w:rsidR="00D516D0" w:rsidRPr="00AA3410" w:rsidRDefault="00D516D0" w:rsidP="006F309F">
      <w:pPr>
        <w:tabs>
          <w:tab w:val="left" w:pos="720"/>
        </w:tabs>
        <w:jc w:val="both"/>
        <w:rPr>
          <w:rFonts w:asciiTheme="minorHAnsi" w:hAnsiTheme="minorHAnsi"/>
          <w:sz w:val="24"/>
          <w:lang w:val="en-US"/>
        </w:rPr>
      </w:pPr>
    </w:p>
    <w:p w:rsidR="00D516D0" w:rsidRPr="00AA3410" w:rsidRDefault="00D516D0" w:rsidP="00D516D0">
      <w:pPr>
        <w:spacing w:after="160" w:line="259" w:lineRule="auto"/>
        <w:jc w:val="both"/>
        <w:rPr>
          <w:rFonts w:asciiTheme="minorHAnsi" w:hAnsiTheme="minorHAnsi"/>
          <w:sz w:val="24"/>
        </w:rPr>
      </w:pPr>
      <w:r w:rsidRPr="00AA3410">
        <w:rPr>
          <w:rFonts w:asciiTheme="minorHAnsi" w:hAnsiTheme="minorHAnsi"/>
          <w:sz w:val="24"/>
          <w:lang w:val="en-US"/>
        </w:rPr>
        <w:t xml:space="preserve">Next to this, OTC derivatives that are used for hedging are agreed on a bilateral basis where one could wonder </w:t>
      </w:r>
      <w:proofErr w:type="gramStart"/>
      <w:r w:rsidRPr="00AA3410">
        <w:rPr>
          <w:rFonts w:asciiTheme="minorHAnsi" w:hAnsiTheme="minorHAnsi"/>
          <w:sz w:val="24"/>
          <w:lang w:val="en-US"/>
        </w:rPr>
        <w:t>what is the added value of KID in a situation where all the transaction details are tailor-made and agreed with the counterparty</w:t>
      </w:r>
      <w:proofErr w:type="gramEnd"/>
      <w:r w:rsidRPr="00AA3410">
        <w:rPr>
          <w:rFonts w:asciiTheme="minorHAnsi" w:hAnsiTheme="minorHAnsi"/>
          <w:sz w:val="24"/>
          <w:lang w:val="en-US"/>
        </w:rPr>
        <w:t>. Moreover, we also fear that imposing a KID for OTC derivatives will simply be a not workable solution in practice.</w:t>
      </w:r>
      <w:r w:rsidRPr="00AA3410">
        <w:rPr>
          <w:rFonts w:asciiTheme="minorHAnsi" w:hAnsiTheme="minorHAnsi"/>
          <w:sz w:val="24"/>
        </w:rPr>
        <w:t xml:space="preserve"> </w:t>
      </w:r>
    </w:p>
    <w:p w:rsidR="00D516D0" w:rsidRPr="00AA3410" w:rsidRDefault="00D516D0" w:rsidP="00D516D0">
      <w:pPr>
        <w:spacing w:after="160" w:line="259" w:lineRule="auto"/>
        <w:jc w:val="both"/>
        <w:rPr>
          <w:rFonts w:asciiTheme="minorHAnsi" w:hAnsiTheme="minorHAnsi"/>
          <w:sz w:val="24"/>
        </w:rPr>
      </w:pPr>
      <w:r w:rsidRPr="00AA3410">
        <w:rPr>
          <w:rFonts w:asciiTheme="minorHAnsi" w:hAnsiTheme="minorHAnsi"/>
          <w:sz w:val="24"/>
        </w:rPr>
        <w:t>Furthermore, the performance of any risk and cost analysis and scenarios in relation to deriv</w:t>
      </w:r>
      <w:r w:rsidRPr="00AA3410">
        <w:rPr>
          <w:rFonts w:asciiTheme="minorHAnsi" w:hAnsiTheme="minorHAnsi"/>
          <w:sz w:val="24"/>
        </w:rPr>
        <w:t>a</w:t>
      </w:r>
      <w:r w:rsidRPr="00AA3410">
        <w:rPr>
          <w:rFonts w:asciiTheme="minorHAnsi" w:hAnsiTheme="minorHAnsi"/>
          <w:sz w:val="24"/>
        </w:rPr>
        <w:t xml:space="preserve">tives entered into for hedging purposes would not be possible in accordance with the terms of the Regulation and the Discussion Paper proposals, as the hedging derivative only makes sense (in terms of risks and costs) in the context of the principal product to which it is linked. As such, </w:t>
      </w:r>
      <w:r w:rsidRPr="00AA3410">
        <w:rPr>
          <w:rFonts w:asciiTheme="minorHAnsi" w:hAnsiTheme="minorHAnsi"/>
          <w:sz w:val="24"/>
        </w:rPr>
        <w:lastRenderedPageBreak/>
        <w:t>even if the KID could be adapted to suit a derivative entered into for hedging purposes, the information contained therein will be misleading for the client.</w:t>
      </w:r>
    </w:p>
    <w:p w:rsidR="00D516D0" w:rsidRPr="00AA3410" w:rsidRDefault="00D516D0" w:rsidP="00D516D0">
      <w:pPr>
        <w:tabs>
          <w:tab w:val="left" w:pos="720"/>
        </w:tabs>
        <w:jc w:val="both"/>
        <w:rPr>
          <w:rFonts w:asciiTheme="minorHAnsi" w:hAnsiTheme="minorHAnsi"/>
          <w:sz w:val="24"/>
          <w:lang w:val="en-US"/>
        </w:rPr>
      </w:pPr>
      <w:r w:rsidRPr="00AA3410">
        <w:rPr>
          <w:rFonts w:asciiTheme="minorHAnsi" w:hAnsiTheme="minorHAnsi"/>
          <w:sz w:val="24"/>
          <w:lang w:val="en-US"/>
        </w:rPr>
        <w:t>Commercial hedging uses various derivatives, because banks provide this service, so the hedging client avoids the risk, when running a cross border business. If the cost associated and the a</w:t>
      </w:r>
      <w:r w:rsidRPr="00AA3410">
        <w:rPr>
          <w:rFonts w:asciiTheme="minorHAnsi" w:hAnsiTheme="minorHAnsi"/>
          <w:sz w:val="24"/>
          <w:lang w:val="en-US"/>
        </w:rPr>
        <w:t>d</w:t>
      </w:r>
      <w:r w:rsidRPr="00AA3410">
        <w:rPr>
          <w:rFonts w:asciiTheme="minorHAnsi" w:hAnsiTheme="minorHAnsi"/>
          <w:sz w:val="24"/>
          <w:lang w:val="en-US"/>
        </w:rPr>
        <w:t>ministrative complications are too large, there is a risk of the banks only offering customized derivatives to very large corporate clients. Small and medium sized corporations will then only have access to standardized derivatives leaving them in a situation where they will either have to take too large a hedging position (=a speculative position in the derivative for the surplus) or an insufficient hedging position leaving them with a residual of the commercial risk of running a cross border operation.</w:t>
      </w:r>
    </w:p>
    <w:p w:rsidR="00D516D0" w:rsidRPr="00AA3410" w:rsidRDefault="00D516D0" w:rsidP="00D516D0">
      <w:pPr>
        <w:spacing w:after="160" w:line="259" w:lineRule="auto"/>
        <w:jc w:val="both"/>
        <w:rPr>
          <w:rFonts w:asciiTheme="minorHAnsi" w:hAnsiTheme="minorHAnsi"/>
          <w:sz w:val="24"/>
        </w:rPr>
      </w:pPr>
    </w:p>
    <w:p w:rsidR="00D516D0" w:rsidRPr="00AA3410" w:rsidRDefault="00D516D0" w:rsidP="00D516D0">
      <w:pPr>
        <w:spacing w:after="160" w:line="259" w:lineRule="auto"/>
        <w:jc w:val="both"/>
        <w:rPr>
          <w:rFonts w:asciiTheme="minorHAnsi" w:hAnsiTheme="minorHAnsi"/>
          <w:sz w:val="24"/>
        </w:rPr>
      </w:pPr>
      <w:r w:rsidRPr="00AA3410">
        <w:rPr>
          <w:rFonts w:asciiTheme="minorHAnsi" w:hAnsiTheme="minorHAnsi"/>
          <w:sz w:val="24"/>
        </w:rPr>
        <w:t>Additionally, if the ESAs consider that hedging derivatives fall within the scope of the Regul</w:t>
      </w:r>
      <w:r w:rsidRPr="00AA3410">
        <w:rPr>
          <w:rFonts w:asciiTheme="minorHAnsi" w:hAnsiTheme="minorHAnsi"/>
          <w:sz w:val="24"/>
        </w:rPr>
        <w:t>a</w:t>
      </w:r>
      <w:r w:rsidRPr="00AA3410">
        <w:rPr>
          <w:rFonts w:asciiTheme="minorHAnsi" w:hAnsiTheme="minorHAnsi"/>
          <w:sz w:val="24"/>
        </w:rPr>
        <w:t>tion, it should be confirmed if pure protection life insurance or any other pure insurance are also into the scope of the Regulation as the purpose of both kind of contracts (insurance and financial instruments) is the same: the hedging of underlying risks.</w:t>
      </w:r>
    </w:p>
    <w:p w:rsidR="00D516D0" w:rsidRPr="00AA3410" w:rsidRDefault="00D516D0" w:rsidP="00D516D0">
      <w:pPr>
        <w:tabs>
          <w:tab w:val="left" w:pos="720"/>
        </w:tabs>
        <w:jc w:val="both"/>
        <w:rPr>
          <w:rFonts w:asciiTheme="minorHAnsi" w:hAnsiTheme="minorHAnsi"/>
          <w:sz w:val="24"/>
        </w:rPr>
      </w:pPr>
    </w:p>
    <w:p w:rsidR="00D516D0" w:rsidRPr="00AA3410" w:rsidRDefault="00D516D0" w:rsidP="00D516D0">
      <w:pPr>
        <w:tabs>
          <w:tab w:val="left" w:pos="720"/>
        </w:tabs>
        <w:jc w:val="both"/>
        <w:rPr>
          <w:rFonts w:asciiTheme="minorHAnsi" w:hAnsiTheme="minorHAnsi"/>
          <w:sz w:val="24"/>
          <w:lang w:val="en-US"/>
        </w:rPr>
      </w:pPr>
    </w:p>
    <w:p w:rsidR="00D516D0" w:rsidRPr="00AA3410" w:rsidRDefault="00D516D0" w:rsidP="00D516D0">
      <w:pPr>
        <w:spacing w:after="160" w:line="259" w:lineRule="auto"/>
        <w:jc w:val="both"/>
        <w:rPr>
          <w:rFonts w:asciiTheme="minorHAnsi" w:hAnsiTheme="minorHAnsi"/>
          <w:sz w:val="24"/>
        </w:rPr>
      </w:pPr>
      <w:r w:rsidRPr="00AA3410">
        <w:rPr>
          <w:rFonts w:asciiTheme="minorHAnsi" w:hAnsiTheme="minorHAnsi"/>
          <w:b/>
          <w:sz w:val="24"/>
        </w:rPr>
        <w:t xml:space="preserve">Corporate </w:t>
      </w:r>
      <w:r w:rsidRPr="00AA3410">
        <w:rPr>
          <w:rFonts w:asciiTheme="minorHAnsi" w:hAnsiTheme="minorHAnsi"/>
          <w:b/>
          <w:sz w:val="24"/>
          <w:lang w:val="en-US"/>
        </w:rPr>
        <w:t>Bonds with floating interest rate</w:t>
      </w:r>
      <w:r w:rsidRPr="00AA3410">
        <w:rPr>
          <w:rFonts w:asciiTheme="minorHAnsi" w:hAnsiTheme="minorHAnsi"/>
          <w:sz w:val="24"/>
          <w:lang w:val="en-US"/>
        </w:rPr>
        <w:t xml:space="preserve">:  This another example as according 4 (1)of the Regulation, a financial instrument is a PRIP if “the amount repayable to the retail investor is subject to fluctuations because of the exposure to reference values or to the performance of one or more assets which are not directly purchased by the retail investor”. Taking into account this definition a bond where the coupons are linked to a floating interest rate such as </w:t>
      </w:r>
      <w:proofErr w:type="spellStart"/>
      <w:r w:rsidRPr="00AA3410">
        <w:rPr>
          <w:rFonts w:asciiTheme="minorHAnsi" w:hAnsiTheme="minorHAnsi"/>
          <w:sz w:val="24"/>
          <w:lang w:val="en-US"/>
        </w:rPr>
        <w:t>Euribor</w:t>
      </w:r>
      <w:proofErr w:type="spellEnd"/>
      <w:r w:rsidRPr="00AA3410">
        <w:rPr>
          <w:rFonts w:asciiTheme="minorHAnsi" w:hAnsiTheme="minorHAnsi"/>
          <w:sz w:val="24"/>
          <w:lang w:val="en-US"/>
        </w:rPr>
        <w:t xml:space="preserve"> may be captured under the obligations of this Regulation. This product is not exempted in art</w:t>
      </w:r>
      <w:r w:rsidRPr="00AA3410">
        <w:rPr>
          <w:rFonts w:asciiTheme="minorHAnsi" w:hAnsiTheme="minorHAnsi"/>
          <w:sz w:val="24"/>
          <w:lang w:val="en-US"/>
        </w:rPr>
        <w:t>i</w:t>
      </w:r>
      <w:r w:rsidRPr="00AA3410">
        <w:rPr>
          <w:rFonts w:asciiTheme="minorHAnsi" w:hAnsiTheme="minorHAnsi"/>
          <w:sz w:val="24"/>
          <w:lang w:val="en-US"/>
        </w:rPr>
        <w:t xml:space="preserve">cle 2 (where deposit that are not structured deposits are considered not-PRIIP product) and it is not mentioned in Recital (7) where “sovereign bond”  are not considered as PRIIPs because the asset is held directly. Corporate bonds should be without doubt out of the obligations of this Regulation, as long as their return is linked to a fixed rate or a floating public rate like the </w:t>
      </w:r>
      <w:proofErr w:type="spellStart"/>
      <w:r w:rsidRPr="00AA3410">
        <w:rPr>
          <w:rFonts w:asciiTheme="minorHAnsi" w:hAnsiTheme="minorHAnsi"/>
          <w:sz w:val="24"/>
          <w:lang w:val="en-US"/>
        </w:rPr>
        <w:t>Euribor</w:t>
      </w:r>
      <w:proofErr w:type="spellEnd"/>
      <w:r w:rsidRPr="00AA3410">
        <w:rPr>
          <w:rFonts w:asciiTheme="minorHAnsi" w:hAnsiTheme="minorHAnsi"/>
          <w:sz w:val="24"/>
          <w:lang w:val="en-US"/>
        </w:rPr>
        <w:t>, Libor…to be consistent with the treatment of similar products. The impact of manufa</w:t>
      </w:r>
      <w:r w:rsidRPr="00AA3410">
        <w:rPr>
          <w:rFonts w:asciiTheme="minorHAnsi" w:hAnsiTheme="minorHAnsi"/>
          <w:sz w:val="24"/>
          <w:lang w:val="en-US"/>
        </w:rPr>
        <w:t>c</w:t>
      </w:r>
      <w:r w:rsidRPr="00AA3410">
        <w:rPr>
          <w:rFonts w:asciiTheme="minorHAnsi" w:hAnsiTheme="minorHAnsi"/>
          <w:sz w:val="24"/>
          <w:lang w:val="en-US"/>
        </w:rPr>
        <w:t>turers having to prepare a KID would be high and contrary to Capital Markets Union purpose.</w:t>
      </w:r>
    </w:p>
    <w:p w:rsidR="00D516D0" w:rsidRPr="00AA3410" w:rsidRDefault="00D516D0" w:rsidP="00D516D0">
      <w:pPr>
        <w:tabs>
          <w:tab w:val="left" w:pos="720"/>
        </w:tabs>
        <w:jc w:val="both"/>
        <w:rPr>
          <w:rFonts w:asciiTheme="minorHAnsi" w:hAnsiTheme="minorHAnsi"/>
          <w:sz w:val="24"/>
        </w:rPr>
      </w:pPr>
      <w:r w:rsidRPr="00AA3410">
        <w:rPr>
          <w:rFonts w:asciiTheme="minorHAnsi" w:hAnsiTheme="minorHAnsi"/>
          <w:sz w:val="24"/>
        </w:rPr>
        <w:t>In summary, stakeholders are finding difficulties providing their comments to this (and previous) consultation/discussion papers as they have doubts regarding the scope of the Regulation and, consequently, they do not know which products will be affected by their considerations.</w:t>
      </w:r>
    </w:p>
    <w:p w:rsidR="00D516D0" w:rsidRPr="00AA3410" w:rsidRDefault="00D516D0" w:rsidP="00D516D0">
      <w:pPr>
        <w:tabs>
          <w:tab w:val="left" w:pos="720"/>
        </w:tabs>
        <w:jc w:val="both"/>
        <w:rPr>
          <w:rFonts w:asciiTheme="minorHAnsi" w:hAnsiTheme="minorHAnsi"/>
          <w:sz w:val="24"/>
        </w:rPr>
      </w:pPr>
    </w:p>
    <w:p w:rsidR="00D516D0" w:rsidRPr="00AA3410" w:rsidRDefault="00D516D0" w:rsidP="00D516D0">
      <w:pPr>
        <w:spacing w:after="160" w:line="259" w:lineRule="auto"/>
        <w:jc w:val="both"/>
        <w:rPr>
          <w:rFonts w:asciiTheme="minorHAnsi" w:eastAsiaTheme="minorHAnsi" w:hAnsiTheme="minorHAnsi" w:cs="Calibri"/>
          <w:b/>
          <w:bCs/>
          <w:iCs/>
          <w:sz w:val="24"/>
          <w:lang w:val="en-US" w:eastAsia="en-US"/>
        </w:rPr>
      </w:pPr>
      <w:r w:rsidRPr="00AA3410">
        <w:rPr>
          <w:rFonts w:asciiTheme="minorHAnsi" w:eastAsiaTheme="minorHAnsi" w:hAnsiTheme="minorHAnsi" w:cs="Calibri"/>
          <w:b/>
          <w:bCs/>
          <w:iCs/>
          <w:sz w:val="24"/>
          <w:lang w:val="en-US" w:eastAsia="en-US"/>
        </w:rPr>
        <w:t>-Territorial scope:</w:t>
      </w:r>
    </w:p>
    <w:p w:rsidR="00D516D0" w:rsidRPr="00AA3410" w:rsidRDefault="00D516D0" w:rsidP="00D516D0">
      <w:pPr>
        <w:pStyle w:val="CM1"/>
        <w:jc w:val="both"/>
        <w:rPr>
          <w:rFonts w:asciiTheme="minorHAnsi" w:hAnsiTheme="minorHAnsi"/>
          <w:lang w:val="en-GB"/>
        </w:rPr>
      </w:pPr>
      <w:r w:rsidRPr="00AA3410">
        <w:rPr>
          <w:rFonts w:asciiTheme="minorHAnsi" w:hAnsiTheme="minorHAnsi"/>
          <w:lang w:val="en-GB"/>
        </w:rPr>
        <w:t xml:space="preserve">Another issue is the territorial scope. </w:t>
      </w:r>
    </w:p>
    <w:p w:rsidR="00D516D0" w:rsidRPr="00AA3410" w:rsidRDefault="00D516D0" w:rsidP="00D516D0">
      <w:pPr>
        <w:pStyle w:val="Default"/>
        <w:rPr>
          <w:rFonts w:asciiTheme="minorHAnsi" w:hAnsiTheme="minorHAnsi"/>
          <w:color w:val="auto"/>
          <w:lang w:val="en-GB" w:eastAsia="de-DE"/>
        </w:rPr>
      </w:pPr>
    </w:p>
    <w:p w:rsidR="00D516D0" w:rsidRPr="00AA3410" w:rsidRDefault="00D516D0" w:rsidP="00D516D0">
      <w:pPr>
        <w:pStyle w:val="CM1"/>
        <w:jc w:val="both"/>
        <w:rPr>
          <w:rFonts w:asciiTheme="minorHAnsi" w:hAnsiTheme="minorHAnsi"/>
          <w:lang w:val="en-GB"/>
        </w:rPr>
      </w:pPr>
      <w:r w:rsidRPr="00AA3410">
        <w:rPr>
          <w:rFonts w:asciiTheme="minorHAnsi" w:hAnsiTheme="minorHAnsi"/>
          <w:lang w:val="en-GB"/>
        </w:rPr>
        <w:t xml:space="preserve">“Manufacturer” definition does not include any reference to where the entity manufacturing the PRIIP is incorporated or where the PRIIS are intended to be sold. </w:t>
      </w:r>
    </w:p>
    <w:p w:rsidR="00D516D0" w:rsidRPr="00AA3410" w:rsidRDefault="00D516D0" w:rsidP="00D516D0">
      <w:pPr>
        <w:pStyle w:val="Default"/>
        <w:rPr>
          <w:rFonts w:asciiTheme="minorHAnsi" w:hAnsiTheme="minorHAnsi"/>
          <w:color w:val="auto"/>
          <w:lang w:val="en-GB" w:eastAsia="de-DE"/>
        </w:rPr>
      </w:pPr>
    </w:p>
    <w:p w:rsidR="00D516D0" w:rsidRPr="00AA3410" w:rsidRDefault="00D516D0" w:rsidP="00D516D0">
      <w:pPr>
        <w:pStyle w:val="CM1"/>
        <w:jc w:val="both"/>
        <w:rPr>
          <w:rFonts w:asciiTheme="minorHAnsi" w:hAnsiTheme="minorHAnsi"/>
          <w:lang w:val="en-GB"/>
        </w:rPr>
      </w:pPr>
      <w:r w:rsidRPr="00AA3410">
        <w:rPr>
          <w:rFonts w:asciiTheme="minorHAnsi" w:hAnsiTheme="minorHAnsi"/>
          <w:lang w:val="en-GB"/>
        </w:rPr>
        <w:t xml:space="preserve">Taking into account the “retail client” definition we do not get more clarification as under </w:t>
      </w:r>
      <w:proofErr w:type="spellStart"/>
      <w:r w:rsidRPr="00AA3410">
        <w:rPr>
          <w:rFonts w:asciiTheme="minorHAnsi" w:hAnsiTheme="minorHAnsi"/>
          <w:lang w:val="en-GB"/>
        </w:rPr>
        <w:t>MiFID</w:t>
      </w:r>
      <w:proofErr w:type="spellEnd"/>
      <w:r w:rsidRPr="00AA3410">
        <w:rPr>
          <w:rFonts w:asciiTheme="minorHAnsi" w:hAnsiTheme="minorHAnsi"/>
          <w:lang w:val="en-GB"/>
        </w:rPr>
        <w:t xml:space="preserve"> they classified as such if they do not comply with the criteria to be a professional. MIFID´s scope </w:t>
      </w:r>
      <w:r w:rsidRPr="00AA3410">
        <w:rPr>
          <w:rFonts w:asciiTheme="minorHAnsi" w:hAnsiTheme="minorHAnsi"/>
          <w:lang w:val="en-GB"/>
        </w:rPr>
        <w:lastRenderedPageBreak/>
        <w:t>it is limited to investment firms providing investment services or performing investment activ</w:t>
      </w:r>
      <w:r w:rsidRPr="00AA3410">
        <w:rPr>
          <w:rFonts w:asciiTheme="minorHAnsi" w:hAnsiTheme="minorHAnsi"/>
          <w:lang w:val="en-GB"/>
        </w:rPr>
        <w:t>i</w:t>
      </w:r>
      <w:r w:rsidRPr="00AA3410">
        <w:rPr>
          <w:rFonts w:asciiTheme="minorHAnsi" w:hAnsiTheme="minorHAnsi"/>
          <w:lang w:val="en-GB"/>
        </w:rPr>
        <w:t>ties through the establishment of a branch in the Union, but similar limitation it is not done for manufacturers, because the scope of the Regulation is “PRIIP manufacturers and persons advi</w:t>
      </w:r>
      <w:r w:rsidRPr="00AA3410">
        <w:rPr>
          <w:rFonts w:asciiTheme="minorHAnsi" w:hAnsiTheme="minorHAnsi"/>
          <w:lang w:val="en-GB"/>
        </w:rPr>
        <w:t>s</w:t>
      </w:r>
      <w:r w:rsidRPr="00AA3410">
        <w:rPr>
          <w:rFonts w:asciiTheme="minorHAnsi" w:hAnsiTheme="minorHAnsi"/>
          <w:lang w:val="en-GB"/>
        </w:rPr>
        <w:t>ing on, or selling, PRIIPs.”. Manufacturers therefore need to know the situations where they have to prepare and update the KID.</w:t>
      </w:r>
    </w:p>
    <w:p w:rsidR="00D516D0" w:rsidRPr="00AA3410" w:rsidRDefault="00D516D0" w:rsidP="00D516D0">
      <w:pPr>
        <w:pStyle w:val="Default"/>
        <w:rPr>
          <w:rFonts w:asciiTheme="minorHAnsi" w:hAnsiTheme="minorHAnsi"/>
          <w:color w:val="auto"/>
          <w:lang w:val="en-GB" w:eastAsia="de-DE"/>
        </w:rPr>
      </w:pPr>
    </w:p>
    <w:p w:rsidR="00D516D0" w:rsidRPr="00AA3410" w:rsidRDefault="00D516D0" w:rsidP="00D516D0">
      <w:pPr>
        <w:pStyle w:val="Prrafodelista"/>
        <w:ind w:left="-66"/>
        <w:rPr>
          <w:rFonts w:asciiTheme="minorHAnsi" w:hAnsiTheme="minorHAnsi"/>
          <w:sz w:val="24"/>
        </w:rPr>
      </w:pPr>
      <w:r w:rsidRPr="00AA3410">
        <w:rPr>
          <w:rFonts w:asciiTheme="minorHAnsi" w:hAnsiTheme="minorHAnsi"/>
          <w:sz w:val="24"/>
        </w:rPr>
        <w:t>Cases that need to be clarified:</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2268"/>
        <w:gridCol w:w="3119"/>
        <w:gridCol w:w="1417"/>
      </w:tblGrid>
      <w:tr w:rsidR="00D516D0" w:rsidRPr="00AA3410" w:rsidTr="006C7AE5">
        <w:tc>
          <w:tcPr>
            <w:tcW w:w="2410" w:type="dxa"/>
          </w:tcPr>
          <w:p w:rsidR="00D516D0" w:rsidRPr="00AA3410" w:rsidRDefault="00D516D0" w:rsidP="006C7AE5">
            <w:pPr>
              <w:spacing w:before="240"/>
              <w:rPr>
                <w:rFonts w:asciiTheme="minorHAnsi" w:hAnsiTheme="minorHAnsi"/>
                <w:sz w:val="24"/>
              </w:rPr>
            </w:pPr>
            <w:r w:rsidRPr="00AA3410">
              <w:rPr>
                <w:rFonts w:asciiTheme="minorHAnsi" w:hAnsiTheme="minorHAnsi"/>
                <w:b/>
                <w:sz w:val="24"/>
              </w:rPr>
              <w:t xml:space="preserve">       Manufacturer  </w:t>
            </w:r>
          </w:p>
        </w:tc>
        <w:tc>
          <w:tcPr>
            <w:tcW w:w="2268" w:type="dxa"/>
          </w:tcPr>
          <w:p w:rsidR="00D516D0" w:rsidRPr="00AA3410" w:rsidRDefault="00D516D0" w:rsidP="006C7AE5">
            <w:pPr>
              <w:spacing w:before="240"/>
              <w:rPr>
                <w:rFonts w:asciiTheme="minorHAnsi" w:hAnsiTheme="minorHAnsi"/>
                <w:sz w:val="24"/>
              </w:rPr>
            </w:pPr>
            <w:r w:rsidRPr="00AA3410">
              <w:rPr>
                <w:rFonts w:asciiTheme="minorHAnsi" w:hAnsiTheme="minorHAnsi"/>
                <w:b/>
                <w:sz w:val="24"/>
              </w:rPr>
              <w:t xml:space="preserve"> Distributor  </w:t>
            </w:r>
          </w:p>
        </w:tc>
        <w:tc>
          <w:tcPr>
            <w:tcW w:w="3119" w:type="dxa"/>
          </w:tcPr>
          <w:p w:rsidR="00D516D0" w:rsidRPr="00AA3410" w:rsidRDefault="00D516D0" w:rsidP="006C7AE5">
            <w:pPr>
              <w:spacing w:before="240"/>
              <w:rPr>
                <w:rFonts w:asciiTheme="minorHAnsi" w:hAnsiTheme="minorHAnsi"/>
                <w:sz w:val="24"/>
              </w:rPr>
            </w:pPr>
            <w:r w:rsidRPr="00AA3410">
              <w:rPr>
                <w:rFonts w:asciiTheme="minorHAnsi" w:hAnsiTheme="minorHAnsi"/>
                <w:b/>
                <w:sz w:val="24"/>
              </w:rPr>
              <w:t xml:space="preserve">  Retail Client                    </w:t>
            </w:r>
          </w:p>
        </w:tc>
        <w:tc>
          <w:tcPr>
            <w:tcW w:w="1417" w:type="dxa"/>
          </w:tcPr>
          <w:p w:rsidR="00D516D0" w:rsidRPr="00AA3410" w:rsidRDefault="00D516D0" w:rsidP="006C7AE5">
            <w:pPr>
              <w:spacing w:before="240"/>
              <w:rPr>
                <w:rFonts w:asciiTheme="minorHAnsi" w:hAnsiTheme="minorHAnsi"/>
                <w:sz w:val="24"/>
              </w:rPr>
            </w:pPr>
            <w:r w:rsidRPr="00AA3410">
              <w:rPr>
                <w:rFonts w:asciiTheme="minorHAnsi" w:hAnsiTheme="minorHAnsi"/>
                <w:b/>
                <w:sz w:val="24"/>
              </w:rPr>
              <w:t xml:space="preserve"> In Scope?</w:t>
            </w:r>
          </w:p>
        </w:tc>
      </w:tr>
      <w:tr w:rsidR="00D516D0" w:rsidRPr="00AA3410" w:rsidTr="006C7AE5">
        <w:tc>
          <w:tcPr>
            <w:tcW w:w="2410" w:type="dxa"/>
          </w:tcPr>
          <w:p w:rsidR="00D516D0" w:rsidRPr="00AA3410" w:rsidRDefault="00D516D0" w:rsidP="006C7AE5">
            <w:pPr>
              <w:spacing w:before="240"/>
              <w:rPr>
                <w:rFonts w:asciiTheme="minorHAnsi" w:hAnsiTheme="minorHAnsi"/>
                <w:sz w:val="24"/>
              </w:rPr>
            </w:pPr>
            <w:r w:rsidRPr="00AA3410">
              <w:rPr>
                <w:rFonts w:asciiTheme="minorHAnsi" w:hAnsiTheme="minorHAnsi"/>
                <w:sz w:val="24"/>
              </w:rPr>
              <w:t>1.    EEA Manufacturer</w:t>
            </w:r>
          </w:p>
        </w:tc>
        <w:tc>
          <w:tcPr>
            <w:tcW w:w="2268" w:type="dxa"/>
          </w:tcPr>
          <w:p w:rsidR="00D516D0" w:rsidRPr="00AA3410" w:rsidRDefault="00D516D0" w:rsidP="006C7AE5">
            <w:pPr>
              <w:spacing w:before="240"/>
              <w:rPr>
                <w:rFonts w:asciiTheme="minorHAnsi" w:hAnsiTheme="minorHAnsi"/>
                <w:sz w:val="24"/>
              </w:rPr>
            </w:pPr>
            <w:r w:rsidRPr="00AA3410">
              <w:rPr>
                <w:rFonts w:asciiTheme="minorHAnsi" w:hAnsiTheme="minorHAnsi"/>
                <w:sz w:val="24"/>
              </w:rPr>
              <w:t xml:space="preserve"> EEA Distributor</w:t>
            </w:r>
          </w:p>
        </w:tc>
        <w:tc>
          <w:tcPr>
            <w:tcW w:w="3119" w:type="dxa"/>
          </w:tcPr>
          <w:p w:rsidR="00D516D0" w:rsidRPr="00AA3410" w:rsidRDefault="00D516D0" w:rsidP="006C7AE5">
            <w:pPr>
              <w:spacing w:before="240"/>
              <w:rPr>
                <w:rFonts w:asciiTheme="minorHAnsi" w:hAnsiTheme="minorHAnsi"/>
                <w:sz w:val="24"/>
              </w:rPr>
            </w:pPr>
            <w:r w:rsidRPr="00AA3410">
              <w:rPr>
                <w:rFonts w:asciiTheme="minorHAnsi" w:hAnsiTheme="minorHAnsi"/>
                <w:sz w:val="24"/>
              </w:rPr>
              <w:t xml:space="preserve">  Non-EEA Client</w:t>
            </w:r>
          </w:p>
        </w:tc>
        <w:tc>
          <w:tcPr>
            <w:tcW w:w="1417" w:type="dxa"/>
          </w:tcPr>
          <w:p w:rsidR="00D516D0" w:rsidRPr="00AA3410" w:rsidRDefault="00D516D0" w:rsidP="006C7AE5">
            <w:pPr>
              <w:spacing w:before="240"/>
              <w:rPr>
                <w:rFonts w:asciiTheme="minorHAnsi" w:hAnsiTheme="minorHAnsi"/>
                <w:sz w:val="24"/>
              </w:rPr>
            </w:pPr>
            <w:r w:rsidRPr="00AA3410">
              <w:rPr>
                <w:rFonts w:asciiTheme="minorHAnsi" w:hAnsiTheme="minorHAnsi"/>
                <w:sz w:val="24"/>
              </w:rPr>
              <w:t xml:space="preserve"> Not Clear</w:t>
            </w:r>
          </w:p>
        </w:tc>
      </w:tr>
      <w:tr w:rsidR="00D516D0" w:rsidRPr="00AA3410" w:rsidTr="006C7AE5">
        <w:tc>
          <w:tcPr>
            <w:tcW w:w="2410" w:type="dxa"/>
          </w:tcPr>
          <w:p w:rsidR="00D516D0" w:rsidRPr="00AA3410" w:rsidRDefault="00D516D0" w:rsidP="006C7AE5">
            <w:pPr>
              <w:spacing w:before="240"/>
              <w:rPr>
                <w:rFonts w:asciiTheme="minorHAnsi" w:hAnsiTheme="minorHAnsi"/>
                <w:sz w:val="24"/>
              </w:rPr>
            </w:pPr>
            <w:r w:rsidRPr="00AA3410">
              <w:rPr>
                <w:rFonts w:asciiTheme="minorHAnsi" w:hAnsiTheme="minorHAnsi"/>
                <w:sz w:val="24"/>
              </w:rPr>
              <w:t>2.    EEA Manufacturer</w:t>
            </w:r>
          </w:p>
        </w:tc>
        <w:tc>
          <w:tcPr>
            <w:tcW w:w="2268" w:type="dxa"/>
          </w:tcPr>
          <w:p w:rsidR="00D516D0" w:rsidRPr="00AA3410" w:rsidRDefault="00D516D0" w:rsidP="006C7AE5">
            <w:pPr>
              <w:spacing w:before="240"/>
              <w:rPr>
                <w:rFonts w:asciiTheme="minorHAnsi" w:hAnsiTheme="minorHAnsi"/>
                <w:sz w:val="24"/>
              </w:rPr>
            </w:pPr>
            <w:r w:rsidRPr="00AA3410">
              <w:rPr>
                <w:rFonts w:asciiTheme="minorHAnsi" w:hAnsiTheme="minorHAnsi"/>
                <w:sz w:val="24"/>
              </w:rPr>
              <w:t xml:space="preserve"> Non EEA Distributor</w:t>
            </w:r>
          </w:p>
        </w:tc>
        <w:tc>
          <w:tcPr>
            <w:tcW w:w="3119" w:type="dxa"/>
          </w:tcPr>
          <w:p w:rsidR="00D516D0" w:rsidRPr="00AA3410" w:rsidRDefault="00D516D0" w:rsidP="006C7AE5">
            <w:pPr>
              <w:spacing w:before="240"/>
              <w:rPr>
                <w:rFonts w:asciiTheme="minorHAnsi" w:hAnsiTheme="minorHAnsi"/>
                <w:sz w:val="24"/>
              </w:rPr>
            </w:pPr>
            <w:r w:rsidRPr="00AA3410">
              <w:rPr>
                <w:rFonts w:asciiTheme="minorHAnsi" w:hAnsiTheme="minorHAnsi"/>
                <w:sz w:val="24"/>
              </w:rPr>
              <w:t xml:space="preserve">  Non-EEA Client</w:t>
            </w:r>
          </w:p>
        </w:tc>
        <w:tc>
          <w:tcPr>
            <w:tcW w:w="1417" w:type="dxa"/>
          </w:tcPr>
          <w:p w:rsidR="00D516D0" w:rsidRPr="00AA3410" w:rsidRDefault="00D516D0" w:rsidP="006C7AE5">
            <w:pPr>
              <w:spacing w:before="240"/>
              <w:rPr>
                <w:rFonts w:asciiTheme="minorHAnsi" w:hAnsiTheme="minorHAnsi"/>
                <w:sz w:val="24"/>
              </w:rPr>
            </w:pPr>
            <w:r w:rsidRPr="00AA3410">
              <w:rPr>
                <w:rFonts w:asciiTheme="minorHAnsi" w:hAnsiTheme="minorHAnsi"/>
                <w:sz w:val="24"/>
              </w:rPr>
              <w:t xml:space="preserve"> Not Clear</w:t>
            </w:r>
          </w:p>
        </w:tc>
      </w:tr>
      <w:tr w:rsidR="00D516D0" w:rsidRPr="00AA3410" w:rsidTr="006C7AE5">
        <w:trPr>
          <w:trHeight w:val="514"/>
        </w:trPr>
        <w:tc>
          <w:tcPr>
            <w:tcW w:w="2410" w:type="dxa"/>
          </w:tcPr>
          <w:p w:rsidR="00D516D0" w:rsidRPr="00AA3410" w:rsidRDefault="00D516D0" w:rsidP="006C7AE5">
            <w:pPr>
              <w:spacing w:before="240"/>
              <w:rPr>
                <w:rFonts w:asciiTheme="minorHAnsi" w:hAnsiTheme="minorHAnsi"/>
                <w:sz w:val="24"/>
              </w:rPr>
            </w:pPr>
            <w:r w:rsidRPr="00AA3410">
              <w:rPr>
                <w:rFonts w:asciiTheme="minorHAnsi" w:hAnsiTheme="minorHAnsi"/>
                <w:sz w:val="24"/>
              </w:rPr>
              <w:t>3.    EEA Manufacturer</w:t>
            </w:r>
          </w:p>
        </w:tc>
        <w:tc>
          <w:tcPr>
            <w:tcW w:w="2268" w:type="dxa"/>
          </w:tcPr>
          <w:p w:rsidR="00D516D0" w:rsidRPr="00AA3410" w:rsidRDefault="00D516D0" w:rsidP="006C7AE5">
            <w:pPr>
              <w:spacing w:before="240"/>
              <w:rPr>
                <w:rFonts w:asciiTheme="minorHAnsi" w:hAnsiTheme="minorHAnsi"/>
                <w:sz w:val="24"/>
              </w:rPr>
            </w:pPr>
            <w:r w:rsidRPr="00AA3410">
              <w:rPr>
                <w:rFonts w:asciiTheme="minorHAnsi" w:hAnsiTheme="minorHAnsi"/>
                <w:sz w:val="24"/>
              </w:rPr>
              <w:t xml:space="preserve"> EEA Distributor</w:t>
            </w:r>
          </w:p>
        </w:tc>
        <w:tc>
          <w:tcPr>
            <w:tcW w:w="3119" w:type="dxa"/>
          </w:tcPr>
          <w:p w:rsidR="00D516D0" w:rsidRPr="00AA3410" w:rsidRDefault="00D516D0" w:rsidP="006C7AE5">
            <w:pPr>
              <w:spacing w:before="240"/>
              <w:rPr>
                <w:rFonts w:asciiTheme="minorHAnsi" w:hAnsiTheme="minorHAnsi"/>
                <w:sz w:val="24"/>
              </w:rPr>
            </w:pPr>
            <w:r w:rsidRPr="00AA3410">
              <w:rPr>
                <w:rFonts w:asciiTheme="minorHAnsi" w:hAnsiTheme="minorHAnsi"/>
                <w:sz w:val="24"/>
              </w:rPr>
              <w:t xml:space="preserve">  EEA Client (living outside EEA)</w:t>
            </w:r>
          </w:p>
        </w:tc>
        <w:tc>
          <w:tcPr>
            <w:tcW w:w="1417" w:type="dxa"/>
          </w:tcPr>
          <w:p w:rsidR="00D516D0" w:rsidRPr="00AA3410" w:rsidRDefault="00D516D0" w:rsidP="006C7AE5">
            <w:pPr>
              <w:spacing w:before="240"/>
              <w:rPr>
                <w:rFonts w:asciiTheme="minorHAnsi" w:hAnsiTheme="minorHAnsi"/>
                <w:sz w:val="24"/>
              </w:rPr>
            </w:pPr>
            <w:r w:rsidRPr="00AA3410">
              <w:rPr>
                <w:rFonts w:asciiTheme="minorHAnsi" w:hAnsiTheme="minorHAnsi"/>
                <w:sz w:val="24"/>
              </w:rPr>
              <w:t xml:space="preserve"> Not Clear</w:t>
            </w:r>
          </w:p>
        </w:tc>
      </w:tr>
    </w:tbl>
    <w:p w:rsidR="00D516D0" w:rsidRPr="00AA3410" w:rsidRDefault="00D516D0" w:rsidP="006F309F">
      <w:pPr>
        <w:tabs>
          <w:tab w:val="left" w:pos="720"/>
        </w:tabs>
        <w:jc w:val="both"/>
        <w:rPr>
          <w:rFonts w:asciiTheme="minorHAnsi" w:hAnsiTheme="minorHAnsi"/>
          <w:sz w:val="24"/>
        </w:rPr>
      </w:pPr>
    </w:p>
    <w:p w:rsidR="006F309F" w:rsidRPr="00AA3410" w:rsidRDefault="006F309F" w:rsidP="006F309F">
      <w:pPr>
        <w:tabs>
          <w:tab w:val="left" w:pos="720"/>
        </w:tabs>
        <w:rPr>
          <w:rFonts w:asciiTheme="minorHAnsi" w:hAnsiTheme="minorHAnsi"/>
          <w:b/>
          <w:sz w:val="24"/>
          <w:lang w:val="en-US"/>
        </w:rPr>
      </w:pPr>
    </w:p>
    <w:p w:rsidR="006F309F" w:rsidRPr="00AA3410" w:rsidRDefault="006F309F" w:rsidP="00AA3410">
      <w:pPr>
        <w:tabs>
          <w:tab w:val="left" w:pos="720"/>
        </w:tabs>
        <w:jc w:val="both"/>
        <w:rPr>
          <w:rFonts w:asciiTheme="minorHAnsi" w:hAnsiTheme="minorHAnsi"/>
          <w:sz w:val="24"/>
          <w:lang w:val="en-US"/>
        </w:rPr>
      </w:pPr>
      <w:r w:rsidRPr="00AA3410">
        <w:rPr>
          <w:rFonts w:asciiTheme="minorHAnsi" w:hAnsiTheme="minorHAnsi"/>
          <w:sz w:val="24"/>
          <w:lang w:val="en-US"/>
        </w:rPr>
        <w:t>Performance Scenarios</w:t>
      </w:r>
    </w:p>
    <w:p w:rsidR="006F309F" w:rsidRPr="00AA3410" w:rsidRDefault="006F309F" w:rsidP="00AA3410">
      <w:pPr>
        <w:tabs>
          <w:tab w:val="left" w:pos="720"/>
        </w:tabs>
        <w:jc w:val="both"/>
        <w:rPr>
          <w:rFonts w:asciiTheme="minorHAnsi" w:hAnsiTheme="minorHAnsi"/>
          <w:sz w:val="24"/>
          <w:lang w:val="en-US"/>
        </w:rPr>
      </w:pPr>
    </w:p>
    <w:p w:rsidR="006F309F" w:rsidRPr="00AA3410" w:rsidRDefault="006F309F" w:rsidP="00AA3410">
      <w:pPr>
        <w:tabs>
          <w:tab w:val="left" w:pos="720"/>
        </w:tabs>
        <w:jc w:val="both"/>
        <w:rPr>
          <w:rFonts w:asciiTheme="minorHAnsi" w:hAnsiTheme="minorHAnsi"/>
          <w:sz w:val="24"/>
          <w:lang w:val="en-US"/>
        </w:rPr>
      </w:pPr>
      <w:r w:rsidRPr="00AA3410">
        <w:rPr>
          <w:rFonts w:asciiTheme="minorHAnsi" w:hAnsiTheme="minorHAnsi"/>
          <w:sz w:val="24"/>
          <w:lang w:val="en-US"/>
        </w:rPr>
        <w:t>There is a risk of the assumptions used for calculating performance scenarios are used as co</w:t>
      </w:r>
      <w:r w:rsidRPr="00AA3410">
        <w:rPr>
          <w:rFonts w:asciiTheme="minorHAnsi" w:hAnsiTheme="minorHAnsi"/>
          <w:sz w:val="24"/>
          <w:lang w:val="en-US"/>
        </w:rPr>
        <w:t>m</w:t>
      </w:r>
      <w:r w:rsidRPr="00AA3410">
        <w:rPr>
          <w:rFonts w:asciiTheme="minorHAnsi" w:hAnsiTheme="minorHAnsi"/>
          <w:sz w:val="24"/>
          <w:lang w:val="en-US"/>
        </w:rPr>
        <w:t>petitive measures. This is not sound business and regulators should be entitled to intervene, if assumptions used for the basis of calculating performance scenarios are deemed improb</w:t>
      </w:r>
      <w:r w:rsidRPr="00AA3410">
        <w:rPr>
          <w:rFonts w:asciiTheme="minorHAnsi" w:hAnsiTheme="minorHAnsi"/>
          <w:sz w:val="24"/>
          <w:lang w:val="en-US"/>
        </w:rPr>
        <w:t>a</w:t>
      </w:r>
      <w:r w:rsidRPr="00AA3410">
        <w:rPr>
          <w:rFonts w:asciiTheme="minorHAnsi" w:hAnsiTheme="minorHAnsi"/>
          <w:sz w:val="24"/>
          <w:lang w:val="en-US"/>
        </w:rPr>
        <w:t>ble/too optimistic.</w:t>
      </w:r>
    </w:p>
    <w:p w:rsidR="006F309F" w:rsidRPr="00AA3410" w:rsidRDefault="006F309F" w:rsidP="00AA3410">
      <w:pPr>
        <w:tabs>
          <w:tab w:val="left" w:pos="720"/>
        </w:tabs>
        <w:jc w:val="both"/>
        <w:rPr>
          <w:rFonts w:asciiTheme="minorHAnsi" w:hAnsiTheme="minorHAnsi"/>
          <w:sz w:val="24"/>
          <w:lang w:val="en-US"/>
        </w:rPr>
      </w:pPr>
    </w:p>
    <w:p w:rsidR="006F309F" w:rsidRPr="00AA3410" w:rsidRDefault="006F309F" w:rsidP="00AA3410">
      <w:pPr>
        <w:tabs>
          <w:tab w:val="left" w:pos="720"/>
        </w:tabs>
        <w:jc w:val="both"/>
        <w:rPr>
          <w:rFonts w:asciiTheme="minorHAnsi" w:hAnsiTheme="minorHAnsi"/>
          <w:sz w:val="24"/>
          <w:lang w:val="en-US"/>
        </w:rPr>
      </w:pPr>
      <w:r w:rsidRPr="00AA3410">
        <w:rPr>
          <w:rFonts w:asciiTheme="minorHAnsi" w:hAnsiTheme="minorHAnsi"/>
          <w:sz w:val="24"/>
          <w:lang w:val="en-US"/>
        </w:rPr>
        <w:t>It is unclear how it is ensured that the performance scenarios when taking into account that costs do not favor either a passive or active strategy. Though we agree that it does not seem possible to align assumptions for calculating performance scenarios, NCAs should be allowed to issue national binding guidelines for assumptions used for calculating performance scenarios.</w:t>
      </w:r>
    </w:p>
    <w:p w:rsidR="006F309F" w:rsidRPr="00AA3410" w:rsidRDefault="006F309F" w:rsidP="00AA3410">
      <w:pPr>
        <w:tabs>
          <w:tab w:val="left" w:pos="720"/>
        </w:tabs>
        <w:jc w:val="both"/>
        <w:rPr>
          <w:rFonts w:asciiTheme="minorHAnsi" w:hAnsiTheme="minorHAnsi"/>
          <w:sz w:val="24"/>
          <w:lang w:val="en-US"/>
        </w:rPr>
      </w:pPr>
    </w:p>
    <w:p w:rsidR="006F309F" w:rsidRPr="00AA3410" w:rsidRDefault="006F309F" w:rsidP="006F309F">
      <w:pPr>
        <w:tabs>
          <w:tab w:val="left" w:pos="720"/>
        </w:tabs>
        <w:rPr>
          <w:rFonts w:asciiTheme="minorHAnsi" w:hAnsiTheme="minorHAnsi"/>
          <w:sz w:val="24"/>
          <w:lang w:val="en-US"/>
        </w:rPr>
      </w:pPr>
    </w:p>
    <w:p w:rsidR="006F309F" w:rsidRPr="00AA3410" w:rsidRDefault="006F309F" w:rsidP="006F309F">
      <w:pPr>
        <w:tabs>
          <w:tab w:val="left" w:pos="720"/>
        </w:tabs>
        <w:rPr>
          <w:rFonts w:asciiTheme="minorHAnsi" w:hAnsiTheme="minorHAnsi"/>
          <w:sz w:val="24"/>
          <w:lang w:val="en-US"/>
        </w:rPr>
      </w:pPr>
      <w:r w:rsidRPr="00AA3410">
        <w:rPr>
          <w:rFonts w:asciiTheme="minorHAnsi" w:hAnsiTheme="minorHAnsi"/>
          <w:sz w:val="24"/>
          <w:lang w:val="en-US"/>
        </w:rPr>
        <w:t>Costs</w:t>
      </w:r>
    </w:p>
    <w:p w:rsidR="006F309F" w:rsidRPr="00AA3410" w:rsidRDefault="006F309F" w:rsidP="006F309F">
      <w:pPr>
        <w:tabs>
          <w:tab w:val="left" w:pos="720"/>
        </w:tabs>
        <w:rPr>
          <w:rFonts w:asciiTheme="minorHAnsi" w:hAnsiTheme="minorHAnsi"/>
          <w:sz w:val="24"/>
          <w:lang w:val="en-US"/>
        </w:rPr>
      </w:pPr>
    </w:p>
    <w:p w:rsidR="006F309F" w:rsidRPr="00AA3410" w:rsidRDefault="006F309F" w:rsidP="006F309F">
      <w:pPr>
        <w:tabs>
          <w:tab w:val="left" w:pos="720"/>
        </w:tabs>
        <w:jc w:val="both"/>
        <w:rPr>
          <w:rFonts w:asciiTheme="minorHAnsi" w:hAnsiTheme="minorHAnsi"/>
          <w:sz w:val="24"/>
          <w:lang w:val="en-US"/>
        </w:rPr>
      </w:pPr>
      <w:r w:rsidRPr="00AA3410">
        <w:rPr>
          <w:rFonts w:asciiTheme="minorHAnsi" w:hAnsiTheme="minorHAnsi"/>
          <w:sz w:val="24"/>
          <w:lang w:val="en-US"/>
        </w:rPr>
        <w:t xml:space="preserve">It is emphasized that it is important to ensure alignment with the similar requirement under </w:t>
      </w:r>
      <w:proofErr w:type="spellStart"/>
      <w:r w:rsidRPr="00AA3410">
        <w:rPr>
          <w:rFonts w:asciiTheme="minorHAnsi" w:hAnsiTheme="minorHAnsi"/>
          <w:sz w:val="24"/>
          <w:lang w:val="en-US"/>
        </w:rPr>
        <w:t>MiFID</w:t>
      </w:r>
      <w:proofErr w:type="spellEnd"/>
      <w:r w:rsidRPr="00AA3410">
        <w:rPr>
          <w:rFonts w:asciiTheme="minorHAnsi" w:hAnsiTheme="minorHAnsi"/>
          <w:sz w:val="24"/>
          <w:lang w:val="en-US"/>
        </w:rPr>
        <w:t xml:space="preserve"> II to the highest extent possible; and bearing in mind that while KID discloses manufa</w:t>
      </w:r>
      <w:r w:rsidRPr="00AA3410">
        <w:rPr>
          <w:rFonts w:asciiTheme="minorHAnsi" w:hAnsiTheme="minorHAnsi"/>
          <w:sz w:val="24"/>
          <w:lang w:val="en-US"/>
        </w:rPr>
        <w:t>c</w:t>
      </w:r>
      <w:r w:rsidRPr="00AA3410">
        <w:rPr>
          <w:rFonts w:asciiTheme="minorHAnsi" w:hAnsiTheme="minorHAnsi"/>
          <w:sz w:val="24"/>
          <w:lang w:val="en-US"/>
        </w:rPr>
        <w:t xml:space="preserve">tures’ costs, </w:t>
      </w:r>
      <w:proofErr w:type="spellStart"/>
      <w:r w:rsidRPr="00AA3410">
        <w:rPr>
          <w:rFonts w:asciiTheme="minorHAnsi" w:hAnsiTheme="minorHAnsi"/>
          <w:sz w:val="24"/>
          <w:lang w:val="en-US"/>
        </w:rPr>
        <w:t>MiFID</w:t>
      </w:r>
      <w:proofErr w:type="spellEnd"/>
      <w:r w:rsidRPr="00AA3410">
        <w:rPr>
          <w:rFonts w:asciiTheme="minorHAnsi" w:hAnsiTheme="minorHAnsi"/>
          <w:sz w:val="24"/>
          <w:lang w:val="en-US"/>
        </w:rPr>
        <w:t xml:space="preserve"> II is regulating the costs of the firm providing investment services (such as selling the PRIIP). In our opinion spread is not a cost. Implying spread is a cost that gives the impression, that it is possible to trade at mid-price. The bid/mid spread is a measure to mitigate credit risk, that the bank would be imposed by the trade, as well as the cost of hedging the position</w:t>
      </w:r>
    </w:p>
    <w:p w:rsidR="006F309F" w:rsidRPr="00AA3410" w:rsidRDefault="006F309F" w:rsidP="006F309F">
      <w:pPr>
        <w:tabs>
          <w:tab w:val="left" w:pos="720"/>
        </w:tabs>
        <w:jc w:val="both"/>
        <w:rPr>
          <w:rFonts w:asciiTheme="minorHAnsi" w:hAnsiTheme="minorHAnsi"/>
          <w:sz w:val="24"/>
          <w:lang w:val="en-US" w:eastAsia="en-US"/>
        </w:rPr>
      </w:pPr>
      <w:r w:rsidRPr="00AA3410">
        <w:rPr>
          <w:rFonts w:asciiTheme="minorHAnsi" w:hAnsiTheme="minorHAnsi"/>
          <w:sz w:val="24"/>
          <w:lang w:val="en-US"/>
        </w:rPr>
        <w:t xml:space="preserve">  </w:t>
      </w:r>
    </w:p>
    <w:p w:rsidR="006F309F" w:rsidRDefault="006F309F" w:rsidP="006F309F">
      <w:pPr>
        <w:tabs>
          <w:tab w:val="left" w:pos="720"/>
        </w:tabs>
        <w:jc w:val="both"/>
        <w:rPr>
          <w:lang w:val="en-US"/>
        </w:rPr>
      </w:pPr>
    </w:p>
    <w:permEnd w:id="0"/>
    <w:p w:rsidR="00D34282" w:rsidRPr="00C25863" w:rsidRDefault="00D34282" w:rsidP="00D34282">
      <w:r w:rsidRPr="00C25863">
        <w:t>&lt;</w:t>
      </w:r>
      <w:r>
        <w:t>ESMA_COMMENT</w:t>
      </w:r>
      <w:r w:rsidRPr="00C25863">
        <w:t>_</w:t>
      </w:r>
      <w:r w:rsidR="000E35CB" w:rsidRPr="000E35CB">
        <w:rPr>
          <w:rFonts w:cs="Arial"/>
        </w:rPr>
        <w:t xml:space="preserve"> </w:t>
      </w:r>
      <w:r w:rsidR="000E35CB">
        <w:rPr>
          <w:rFonts w:cs="Arial"/>
        </w:rPr>
        <w:t>PRIIPS</w:t>
      </w:r>
      <w:r w:rsidRPr="00C25863">
        <w:t>_1&gt;</w:t>
      </w:r>
    </w:p>
    <w:p w:rsidR="00580880" w:rsidRDefault="00F32462" w:rsidP="00580880">
      <w:pPr>
        <w:pStyle w:val="QUESTIONSESMA"/>
      </w:pPr>
      <w:r>
        <w:rPr>
          <w:rFonts w:cs="Arial"/>
        </w:rPr>
        <w:br w:type="page"/>
      </w:r>
    </w:p>
    <w:p w:rsidR="00580880" w:rsidRPr="005A512B" w:rsidRDefault="00580880" w:rsidP="00580880">
      <w:pPr>
        <w:pBdr>
          <w:top w:val="single" w:sz="4" w:space="1" w:color="auto"/>
          <w:left w:val="single" w:sz="4" w:space="4" w:color="auto"/>
          <w:bottom w:val="single" w:sz="4" w:space="2" w:color="auto"/>
          <w:right w:val="single" w:sz="4" w:space="4" w:color="auto"/>
        </w:pBdr>
        <w:jc w:val="both"/>
        <w:rPr>
          <w:b/>
          <w:i/>
          <w:iCs/>
        </w:rPr>
      </w:pPr>
      <w:r w:rsidRPr="005A512B">
        <w:rPr>
          <w:b/>
          <w:i/>
          <w:iCs/>
        </w:rPr>
        <w:lastRenderedPageBreak/>
        <w:t>Question 1</w:t>
      </w:r>
    </w:p>
    <w:p w:rsidR="00580880" w:rsidRPr="005A512B" w:rsidRDefault="00580880" w:rsidP="00580880">
      <w:pPr>
        <w:pBdr>
          <w:top w:val="single" w:sz="4" w:space="1" w:color="auto"/>
          <w:left w:val="single" w:sz="4" w:space="4" w:color="auto"/>
          <w:bottom w:val="single" w:sz="4" w:space="2" w:color="auto"/>
          <w:right w:val="single" w:sz="4" w:space="4" w:color="auto"/>
        </w:pBdr>
        <w:jc w:val="both"/>
      </w:pPr>
      <w:r w:rsidRPr="005A512B">
        <w:rPr>
          <w:i/>
          <w:iCs/>
        </w:rPr>
        <w:t>Would you see merit in the ESAs clarifying further the criteria set out in Recital 18 mentioned above by way of guidelines?</w:t>
      </w:r>
    </w:p>
    <w:p w:rsidR="00580880" w:rsidRDefault="00580880" w:rsidP="00750796"/>
    <w:p w:rsidR="00750796" w:rsidRDefault="00750796" w:rsidP="00750796">
      <w:r>
        <w:t>&lt;ESMA_QUESTION_</w:t>
      </w:r>
      <w:r w:rsidR="003E4B00">
        <w:t>PRIIPS</w:t>
      </w:r>
      <w:r>
        <w:t>_1&gt;</w:t>
      </w:r>
    </w:p>
    <w:p w:rsidR="00D516D0" w:rsidRPr="00437EA6" w:rsidRDefault="00D516D0" w:rsidP="00AA3410">
      <w:pPr>
        <w:tabs>
          <w:tab w:val="left" w:pos="284"/>
        </w:tabs>
        <w:autoSpaceDE w:val="0"/>
        <w:autoSpaceDN w:val="0"/>
        <w:adjustRightInd w:val="0"/>
        <w:spacing w:before="200" w:after="200"/>
        <w:jc w:val="both"/>
        <w:rPr>
          <w:rFonts w:asciiTheme="minorHAnsi" w:hAnsiTheme="minorHAnsi" w:cs="EUAlbertina"/>
          <w:sz w:val="22"/>
          <w:szCs w:val="22"/>
          <w:lang w:eastAsia="en-GB"/>
        </w:rPr>
      </w:pPr>
      <w:permStart w:id="1" w:edGrp="everyone"/>
      <w:r w:rsidRPr="00AA3410">
        <w:rPr>
          <w:rFonts w:asciiTheme="minorHAnsi" w:hAnsiTheme="minorHAnsi" w:cs="EUAlbertina"/>
          <w:sz w:val="24"/>
          <w:lang w:eastAsia="en-GB"/>
        </w:rPr>
        <w:t>S</w:t>
      </w:r>
      <w:r w:rsidRPr="00437EA6">
        <w:rPr>
          <w:rFonts w:asciiTheme="minorHAnsi" w:hAnsiTheme="minorHAnsi" w:cs="EUAlbertina"/>
          <w:sz w:val="22"/>
          <w:szCs w:val="22"/>
          <w:lang w:eastAsia="en-GB"/>
        </w:rPr>
        <w:t xml:space="preserve">ome of the criteria included in Recital 18, like “which retail investors do not </w:t>
      </w:r>
      <w:r w:rsidRPr="00437EA6">
        <w:rPr>
          <w:rFonts w:asciiTheme="minorHAnsi" w:hAnsiTheme="minorHAnsi" w:cs="EUAlbertina"/>
          <w:sz w:val="22"/>
          <w:szCs w:val="22"/>
          <w:u w:val="single"/>
          <w:lang w:eastAsia="en-GB"/>
        </w:rPr>
        <w:t>commonly</w:t>
      </w:r>
      <w:r w:rsidRPr="00437EA6">
        <w:rPr>
          <w:rFonts w:asciiTheme="minorHAnsi" w:hAnsiTheme="minorHAnsi" w:cs="EUAlbertina"/>
          <w:sz w:val="22"/>
          <w:szCs w:val="22"/>
          <w:lang w:eastAsia="en-GB"/>
        </w:rPr>
        <w:t xml:space="preserve"> invest” “uses a number (?) </w:t>
      </w:r>
      <w:proofErr w:type="gramStart"/>
      <w:r w:rsidRPr="00437EA6">
        <w:rPr>
          <w:rFonts w:asciiTheme="minorHAnsi" w:hAnsiTheme="minorHAnsi" w:cs="EUAlbertina"/>
          <w:sz w:val="22"/>
          <w:szCs w:val="22"/>
          <w:lang w:eastAsia="en-GB"/>
        </w:rPr>
        <w:t>of</w:t>
      </w:r>
      <w:proofErr w:type="gramEnd"/>
      <w:r w:rsidRPr="00437EA6">
        <w:rPr>
          <w:rFonts w:asciiTheme="minorHAnsi" w:hAnsiTheme="minorHAnsi" w:cs="EUAlbertina"/>
          <w:sz w:val="22"/>
          <w:szCs w:val="22"/>
          <w:lang w:eastAsia="en-GB"/>
        </w:rPr>
        <w:t xml:space="preserve"> different mechanisms” ... are not specific, not commonly used objective legal criteria</w:t>
      </w:r>
    </w:p>
    <w:p w:rsidR="00D516D0" w:rsidRPr="00437EA6" w:rsidRDefault="00D516D0" w:rsidP="00AA3410">
      <w:pPr>
        <w:tabs>
          <w:tab w:val="left" w:pos="284"/>
        </w:tabs>
        <w:jc w:val="both"/>
        <w:rPr>
          <w:rFonts w:asciiTheme="minorHAnsi" w:hAnsiTheme="minorHAnsi"/>
          <w:sz w:val="22"/>
          <w:szCs w:val="22"/>
        </w:rPr>
      </w:pPr>
      <w:r w:rsidRPr="00437EA6">
        <w:rPr>
          <w:rFonts w:asciiTheme="minorHAnsi" w:hAnsiTheme="minorHAnsi"/>
          <w:sz w:val="22"/>
          <w:szCs w:val="22"/>
        </w:rPr>
        <w:t>In our view, ESAs guidelines are very useful tools if they comply with three main conditions:</w:t>
      </w:r>
    </w:p>
    <w:p w:rsidR="00D516D0" w:rsidRPr="00437EA6" w:rsidRDefault="00D516D0" w:rsidP="00AA3410">
      <w:pPr>
        <w:tabs>
          <w:tab w:val="left" w:pos="284"/>
        </w:tabs>
        <w:ind w:left="708"/>
        <w:jc w:val="both"/>
        <w:rPr>
          <w:rFonts w:asciiTheme="minorHAnsi" w:hAnsiTheme="minorHAnsi"/>
          <w:sz w:val="22"/>
          <w:szCs w:val="22"/>
        </w:rPr>
      </w:pPr>
    </w:p>
    <w:p w:rsidR="00D516D0" w:rsidRPr="00437EA6" w:rsidRDefault="00D516D0" w:rsidP="00AA3410">
      <w:pPr>
        <w:tabs>
          <w:tab w:val="left" w:pos="284"/>
        </w:tabs>
        <w:ind w:left="708"/>
        <w:jc w:val="both"/>
        <w:rPr>
          <w:rFonts w:asciiTheme="minorHAnsi" w:hAnsiTheme="minorHAnsi"/>
          <w:sz w:val="22"/>
          <w:szCs w:val="22"/>
        </w:rPr>
      </w:pPr>
      <w:r w:rsidRPr="00437EA6">
        <w:rPr>
          <w:rFonts w:asciiTheme="minorHAnsi" w:hAnsiTheme="minorHAnsi"/>
          <w:sz w:val="22"/>
          <w:szCs w:val="22"/>
        </w:rPr>
        <w:t xml:space="preserve">-If they fully respect level 1 framework, without including a new set of obligations that may go beyond the Regulation. </w:t>
      </w:r>
    </w:p>
    <w:p w:rsidR="00D516D0" w:rsidRPr="00437EA6" w:rsidRDefault="00D516D0" w:rsidP="00AA3410">
      <w:pPr>
        <w:tabs>
          <w:tab w:val="left" w:pos="284"/>
        </w:tabs>
        <w:ind w:left="708"/>
        <w:jc w:val="both"/>
        <w:rPr>
          <w:rFonts w:asciiTheme="minorHAnsi" w:hAnsiTheme="minorHAnsi"/>
          <w:sz w:val="22"/>
          <w:szCs w:val="22"/>
        </w:rPr>
      </w:pPr>
    </w:p>
    <w:p w:rsidR="00D516D0" w:rsidRPr="00437EA6" w:rsidRDefault="00D516D0" w:rsidP="00AA3410">
      <w:pPr>
        <w:tabs>
          <w:tab w:val="left" w:pos="284"/>
        </w:tabs>
        <w:ind w:left="708"/>
        <w:jc w:val="both"/>
        <w:rPr>
          <w:rFonts w:asciiTheme="minorHAnsi" w:hAnsiTheme="minorHAnsi"/>
          <w:sz w:val="22"/>
          <w:szCs w:val="22"/>
        </w:rPr>
      </w:pPr>
      <w:r w:rsidRPr="00437EA6">
        <w:rPr>
          <w:rFonts w:asciiTheme="minorHAnsi" w:hAnsiTheme="minorHAnsi"/>
          <w:sz w:val="22"/>
          <w:szCs w:val="22"/>
        </w:rPr>
        <w:t>-If they contribute to harmonise the interpretation of current regulation across the Member State, preserving the level playing field between all firms and helping investors to receive similar documentation from all their entities. In this sense, it would be really important that prior the i</w:t>
      </w:r>
      <w:r w:rsidRPr="00437EA6">
        <w:rPr>
          <w:rFonts w:asciiTheme="minorHAnsi" w:hAnsiTheme="minorHAnsi"/>
          <w:sz w:val="22"/>
          <w:szCs w:val="22"/>
        </w:rPr>
        <w:t>s</w:t>
      </w:r>
      <w:r w:rsidRPr="00437EA6">
        <w:rPr>
          <w:rFonts w:asciiTheme="minorHAnsi" w:hAnsiTheme="minorHAnsi"/>
          <w:sz w:val="22"/>
          <w:szCs w:val="22"/>
        </w:rPr>
        <w:t>suance of any potential document, the ESAs reach the greatest level of consensus between the various European authorities that would be, at the end of the day, supervising the application of the law. If such is not the case, guidelines may lead to a worse scenario.</w:t>
      </w:r>
    </w:p>
    <w:p w:rsidR="00D516D0" w:rsidRPr="00437EA6" w:rsidRDefault="00D516D0" w:rsidP="00AA3410">
      <w:pPr>
        <w:tabs>
          <w:tab w:val="left" w:pos="284"/>
        </w:tabs>
        <w:ind w:left="708"/>
        <w:jc w:val="both"/>
        <w:rPr>
          <w:rFonts w:asciiTheme="minorHAnsi" w:hAnsiTheme="minorHAnsi"/>
          <w:sz w:val="22"/>
          <w:szCs w:val="22"/>
        </w:rPr>
      </w:pPr>
    </w:p>
    <w:p w:rsidR="00D516D0" w:rsidRPr="00437EA6" w:rsidRDefault="00D516D0" w:rsidP="00AA3410">
      <w:pPr>
        <w:tabs>
          <w:tab w:val="left" w:pos="284"/>
        </w:tabs>
        <w:ind w:left="708"/>
        <w:jc w:val="both"/>
        <w:rPr>
          <w:rFonts w:asciiTheme="minorHAnsi" w:hAnsiTheme="minorHAnsi"/>
          <w:sz w:val="22"/>
          <w:szCs w:val="22"/>
        </w:rPr>
      </w:pPr>
      <w:r w:rsidRPr="00437EA6">
        <w:rPr>
          <w:rFonts w:asciiTheme="minorHAnsi" w:hAnsiTheme="minorHAnsi"/>
          <w:sz w:val="22"/>
          <w:szCs w:val="22"/>
        </w:rPr>
        <w:t>-If they provide the necessary clarification, with specific definitions. Wide definitions or open re</w:t>
      </w:r>
      <w:r w:rsidRPr="00437EA6">
        <w:rPr>
          <w:rFonts w:asciiTheme="minorHAnsi" w:hAnsiTheme="minorHAnsi"/>
          <w:sz w:val="22"/>
          <w:szCs w:val="22"/>
        </w:rPr>
        <w:t>f</w:t>
      </w:r>
      <w:r w:rsidRPr="00437EA6">
        <w:rPr>
          <w:rFonts w:asciiTheme="minorHAnsi" w:hAnsiTheme="minorHAnsi"/>
          <w:sz w:val="22"/>
          <w:szCs w:val="22"/>
        </w:rPr>
        <w:t>erences may lead to different interpretations and make the guidelines useless (</w:t>
      </w:r>
      <w:proofErr w:type="spellStart"/>
      <w:r w:rsidRPr="00437EA6">
        <w:rPr>
          <w:rFonts w:asciiTheme="minorHAnsi" w:hAnsiTheme="minorHAnsi"/>
          <w:sz w:val="22"/>
          <w:szCs w:val="22"/>
        </w:rPr>
        <w:t>i.e</w:t>
      </w:r>
      <w:proofErr w:type="spellEnd"/>
      <w:r w:rsidRPr="00437EA6">
        <w:rPr>
          <w:rFonts w:asciiTheme="minorHAnsi" w:hAnsiTheme="minorHAnsi"/>
          <w:sz w:val="22"/>
          <w:szCs w:val="22"/>
        </w:rPr>
        <w:t>: if “</w:t>
      </w:r>
      <w:r w:rsidRPr="00437EA6">
        <w:rPr>
          <w:rFonts w:asciiTheme="minorHAnsi" w:hAnsiTheme="minorHAnsi"/>
          <w:i/>
          <w:sz w:val="22"/>
          <w:szCs w:val="22"/>
        </w:rPr>
        <w:t>an underl</w:t>
      </w:r>
      <w:r w:rsidRPr="00437EA6">
        <w:rPr>
          <w:rFonts w:asciiTheme="minorHAnsi" w:hAnsiTheme="minorHAnsi"/>
          <w:i/>
          <w:sz w:val="22"/>
          <w:szCs w:val="22"/>
        </w:rPr>
        <w:t>y</w:t>
      </w:r>
      <w:r w:rsidRPr="00437EA6">
        <w:rPr>
          <w:rFonts w:asciiTheme="minorHAnsi" w:hAnsiTheme="minorHAnsi"/>
          <w:i/>
          <w:sz w:val="22"/>
          <w:szCs w:val="22"/>
        </w:rPr>
        <w:t>ing in which retail investors do not commonly invest</w:t>
      </w:r>
      <w:r w:rsidRPr="00437EA6">
        <w:rPr>
          <w:rFonts w:asciiTheme="minorHAnsi" w:hAnsiTheme="minorHAnsi"/>
          <w:sz w:val="22"/>
          <w:szCs w:val="22"/>
        </w:rPr>
        <w:t>” is described as “</w:t>
      </w:r>
      <w:r w:rsidRPr="00437EA6">
        <w:rPr>
          <w:rFonts w:asciiTheme="minorHAnsi" w:hAnsiTheme="minorHAnsi"/>
          <w:i/>
          <w:sz w:val="22"/>
          <w:szCs w:val="22"/>
        </w:rPr>
        <w:t>an underlying that is not normally used by the media of investors</w:t>
      </w:r>
      <w:r w:rsidRPr="00437EA6">
        <w:rPr>
          <w:rFonts w:asciiTheme="minorHAnsi" w:hAnsiTheme="minorHAnsi"/>
          <w:sz w:val="22"/>
          <w:szCs w:val="22"/>
        </w:rPr>
        <w:t>” the criteria would be as broader as the initial text, with minor added value. Practical and specific references –i.e.: for equity linked products, if the u</w:t>
      </w:r>
      <w:r w:rsidRPr="00437EA6">
        <w:rPr>
          <w:rFonts w:asciiTheme="minorHAnsi" w:hAnsiTheme="minorHAnsi"/>
          <w:sz w:val="22"/>
          <w:szCs w:val="22"/>
        </w:rPr>
        <w:t>n</w:t>
      </w:r>
      <w:r w:rsidRPr="00437EA6">
        <w:rPr>
          <w:rFonts w:asciiTheme="minorHAnsi" w:hAnsiTheme="minorHAnsi"/>
          <w:sz w:val="22"/>
          <w:szCs w:val="22"/>
        </w:rPr>
        <w:t xml:space="preserve">derlying is not traded in a regulated market– or specific examples may be of greater value),  </w:t>
      </w:r>
    </w:p>
    <w:p w:rsidR="00D516D0" w:rsidRPr="00437EA6" w:rsidRDefault="00D516D0" w:rsidP="00AA3410">
      <w:pPr>
        <w:tabs>
          <w:tab w:val="left" w:pos="284"/>
        </w:tabs>
        <w:ind w:left="708"/>
        <w:jc w:val="both"/>
        <w:rPr>
          <w:rFonts w:asciiTheme="minorHAnsi" w:hAnsiTheme="minorHAnsi"/>
          <w:sz w:val="22"/>
          <w:szCs w:val="22"/>
        </w:rPr>
      </w:pPr>
    </w:p>
    <w:p w:rsidR="006C7AE5" w:rsidRPr="00437EA6" w:rsidRDefault="00D516D0" w:rsidP="00AA3410">
      <w:pPr>
        <w:tabs>
          <w:tab w:val="left" w:pos="284"/>
        </w:tabs>
        <w:jc w:val="both"/>
        <w:rPr>
          <w:rFonts w:asciiTheme="minorHAnsi" w:hAnsiTheme="minorHAnsi"/>
          <w:sz w:val="22"/>
          <w:szCs w:val="22"/>
        </w:rPr>
      </w:pPr>
      <w:r w:rsidRPr="00437EA6">
        <w:rPr>
          <w:rFonts w:asciiTheme="minorHAnsi" w:hAnsiTheme="minorHAnsi"/>
          <w:sz w:val="22"/>
          <w:szCs w:val="22"/>
        </w:rPr>
        <w:t>If those conditions are met, we would be in favour of the issuance of guidelines specifying further crit</w:t>
      </w:r>
      <w:r w:rsidRPr="00437EA6">
        <w:rPr>
          <w:rFonts w:asciiTheme="minorHAnsi" w:hAnsiTheme="minorHAnsi"/>
          <w:sz w:val="22"/>
          <w:szCs w:val="22"/>
        </w:rPr>
        <w:t>e</w:t>
      </w:r>
      <w:r w:rsidRPr="00437EA6">
        <w:rPr>
          <w:rFonts w:asciiTheme="minorHAnsi" w:hAnsiTheme="minorHAnsi"/>
          <w:sz w:val="22"/>
          <w:szCs w:val="22"/>
        </w:rPr>
        <w:t>ria</w:t>
      </w:r>
      <w:r w:rsidR="006C7AE5" w:rsidRPr="00437EA6">
        <w:rPr>
          <w:rFonts w:asciiTheme="minorHAnsi" w:hAnsiTheme="minorHAnsi"/>
          <w:sz w:val="22"/>
          <w:szCs w:val="22"/>
        </w:rPr>
        <w:t>. In particular, Guidelines about when the alert should be included would be helpful. These guidelines should be aligned with ESMA final Report on Guidelines on complex debt instruments and structured deposits published 01.12.15.</w:t>
      </w:r>
    </w:p>
    <w:p w:rsidR="006C7AE5" w:rsidRPr="00437EA6" w:rsidRDefault="006C7AE5" w:rsidP="00AA3410">
      <w:pPr>
        <w:tabs>
          <w:tab w:val="left" w:pos="284"/>
        </w:tabs>
        <w:jc w:val="both"/>
        <w:rPr>
          <w:rFonts w:asciiTheme="minorHAnsi" w:hAnsiTheme="minorHAnsi"/>
          <w:sz w:val="22"/>
          <w:szCs w:val="22"/>
        </w:rPr>
      </w:pPr>
    </w:p>
    <w:p w:rsidR="00D516D0" w:rsidRPr="00437EA6" w:rsidRDefault="00D516D0" w:rsidP="00AA3410">
      <w:pPr>
        <w:tabs>
          <w:tab w:val="left" w:pos="284"/>
        </w:tabs>
        <w:jc w:val="both"/>
        <w:rPr>
          <w:rFonts w:asciiTheme="minorHAnsi" w:hAnsiTheme="minorHAnsi"/>
          <w:sz w:val="22"/>
          <w:szCs w:val="22"/>
        </w:rPr>
      </w:pPr>
      <w:r w:rsidRPr="00437EA6">
        <w:rPr>
          <w:rFonts w:asciiTheme="minorHAnsi" w:hAnsiTheme="minorHAnsi"/>
          <w:sz w:val="22"/>
          <w:szCs w:val="22"/>
        </w:rPr>
        <w:t xml:space="preserve">In any case, it would be very helpful to reach a final position on this matter after reviewing a draft of the proposal. With such document, both the ESAs and the stakeholders would be in a position to determine if those guidelines comply with the relevant conditions stated above (and any other that the ESAs may consider) and consequently, if their issuance may be of merit.   </w:t>
      </w:r>
    </w:p>
    <w:p w:rsidR="00D516D0" w:rsidRDefault="00D516D0" w:rsidP="00750796">
      <w:pPr>
        <w:rPr>
          <w:rFonts w:asciiTheme="majorHAnsi" w:hAnsiTheme="majorHAnsi"/>
          <w:sz w:val="22"/>
          <w:szCs w:val="22"/>
        </w:rPr>
      </w:pPr>
    </w:p>
    <w:permEnd w:id="1"/>
    <w:p w:rsidR="00750796" w:rsidRDefault="00750796" w:rsidP="00750796">
      <w:r>
        <w:t>&lt;ESMA_QUESTION_</w:t>
      </w:r>
      <w:r w:rsidR="003E4B00">
        <w:t>PRIIPS</w:t>
      </w:r>
      <w:r>
        <w:t>_1&gt;</w:t>
      </w:r>
    </w:p>
    <w:p w:rsidR="00580880" w:rsidRDefault="00580880" w:rsidP="00750796"/>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2</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i/>
          <w:sz w:val="22"/>
          <w:lang w:eastAsia="en-US"/>
        </w:rPr>
      </w:pPr>
      <w:r w:rsidRPr="00580880">
        <w:rPr>
          <w:rFonts w:ascii="Calibri" w:hAnsi="Calibri"/>
          <w:i/>
          <w:sz w:val="22"/>
          <w:lang w:eastAsia="en-US"/>
        </w:rPr>
        <w:t>Would you agree with the assumptions used for the proposed default amounts? Are you of the opinion that these prescribed amounts should be amended? If yes, how and why?</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sz w:val="22"/>
          <w:lang w:eastAsia="en-US"/>
        </w:rPr>
      </w:pPr>
      <w:r w:rsidRPr="00580880">
        <w:rPr>
          <w:rFonts w:ascii="Calibri" w:hAnsi="Calibri"/>
          <w:i/>
          <w:sz w:val="22"/>
          <w:lang w:eastAsia="en-US"/>
        </w:rPr>
        <w:t>Would you favour an approach in which the prescribed standardised amount is the default o</w:t>
      </w:r>
      <w:r w:rsidRPr="00580880">
        <w:rPr>
          <w:rFonts w:ascii="Calibri" w:hAnsi="Calibri"/>
          <w:i/>
          <w:sz w:val="22"/>
          <w:lang w:eastAsia="en-US"/>
        </w:rPr>
        <w:t>p</w:t>
      </w:r>
      <w:r w:rsidRPr="00580880">
        <w:rPr>
          <w:rFonts w:ascii="Calibri" w:hAnsi="Calibri"/>
          <w:i/>
          <w:sz w:val="22"/>
          <w:lang w:eastAsia="en-US"/>
        </w:rPr>
        <w:t>tion, unless the PRIIP has a known required investment amount and price which can be used i</w:t>
      </w:r>
      <w:r w:rsidRPr="00580880">
        <w:rPr>
          <w:rFonts w:ascii="Calibri" w:hAnsi="Calibri"/>
          <w:i/>
          <w:sz w:val="22"/>
          <w:lang w:eastAsia="en-US"/>
        </w:rPr>
        <w:t>n</w:t>
      </w:r>
      <w:r w:rsidRPr="00580880">
        <w:rPr>
          <w:rFonts w:ascii="Calibri" w:hAnsi="Calibri"/>
          <w:i/>
          <w:sz w:val="22"/>
          <w:lang w:eastAsia="en-US"/>
        </w:rPr>
        <w:t>stead?</w:t>
      </w:r>
    </w:p>
    <w:p w:rsidR="00580880" w:rsidRDefault="00580880" w:rsidP="00750796">
      <w:pPr>
        <w:rPr>
          <w:rFonts w:cstheme="minorBidi"/>
          <w:b/>
          <w:szCs w:val="22"/>
          <w:lang w:eastAsia="en-US"/>
        </w:rPr>
      </w:pPr>
    </w:p>
    <w:p w:rsidR="00750796" w:rsidRDefault="00750796" w:rsidP="00750796">
      <w:r>
        <w:t>&lt;ESMA_QUESTION_</w:t>
      </w:r>
      <w:r w:rsidR="003E4B00">
        <w:t>PRIIPS</w:t>
      </w:r>
      <w:r>
        <w:t>_2&gt;</w:t>
      </w:r>
    </w:p>
    <w:p w:rsidR="00264ECE" w:rsidRPr="00264ECE" w:rsidRDefault="00264ECE" w:rsidP="00264ECE">
      <w:pPr>
        <w:pStyle w:val="Prrafodelista"/>
        <w:numPr>
          <w:ilvl w:val="0"/>
          <w:numId w:val="54"/>
        </w:numPr>
        <w:ind w:left="567" w:firstLine="0"/>
        <w:rPr>
          <w:rFonts w:asciiTheme="minorHAnsi" w:hAnsiTheme="minorHAnsi"/>
          <w:sz w:val="22"/>
          <w:szCs w:val="22"/>
        </w:rPr>
      </w:pPr>
      <w:permStart w:id="2" w:edGrp="everyone"/>
      <w:r>
        <w:rPr>
          <w:color w:val="FF0000"/>
        </w:rPr>
        <w:lastRenderedPageBreak/>
        <w:t xml:space="preserve"> </w:t>
      </w:r>
      <w:r w:rsidRPr="00264ECE">
        <w:rPr>
          <w:color w:val="002060"/>
        </w:rPr>
        <w:t>(</w:t>
      </w:r>
      <w:proofErr w:type="spellStart"/>
      <w:r w:rsidRPr="00264ECE">
        <w:rPr>
          <w:rFonts w:asciiTheme="minorHAnsi" w:hAnsiTheme="minorHAnsi"/>
          <w:sz w:val="22"/>
          <w:szCs w:val="22"/>
        </w:rPr>
        <w:t>i</w:t>
      </w:r>
      <w:proofErr w:type="spellEnd"/>
      <w:r w:rsidRPr="00264ECE">
        <w:rPr>
          <w:rFonts w:asciiTheme="minorHAnsi" w:hAnsiTheme="minorHAnsi"/>
          <w:sz w:val="22"/>
          <w:szCs w:val="22"/>
        </w:rPr>
        <w:t>)Investment amounts for both Risk and reward and Costs seem adequate.</w:t>
      </w:r>
      <w:r w:rsidRPr="00264ECE">
        <w:rPr>
          <w:rFonts w:asciiTheme="minorHAnsi" w:hAnsiTheme="minorHAnsi"/>
          <w:sz w:val="22"/>
          <w:szCs w:val="22"/>
          <w:lang w:val="en-US"/>
        </w:rPr>
        <w:t xml:space="preserve"> </w:t>
      </w:r>
      <w:proofErr w:type="spellStart"/>
      <w:r w:rsidRPr="00264ECE">
        <w:rPr>
          <w:rFonts w:asciiTheme="minorHAnsi" w:hAnsiTheme="minorHAnsi"/>
          <w:sz w:val="22"/>
          <w:szCs w:val="22"/>
          <w:lang w:val="en-US"/>
        </w:rPr>
        <w:t>Standardised</w:t>
      </w:r>
      <w:proofErr w:type="spellEnd"/>
      <w:r w:rsidRPr="00264ECE">
        <w:rPr>
          <w:rFonts w:asciiTheme="minorHAnsi" w:hAnsiTheme="minorHAnsi"/>
          <w:sz w:val="22"/>
          <w:szCs w:val="22"/>
          <w:lang w:val="en-US"/>
        </w:rPr>
        <w:t xml:space="preserve"> amounts are given in EUR – but in non-EURO currency countries, the majority of products are d</w:t>
      </w:r>
      <w:r w:rsidRPr="00264ECE">
        <w:rPr>
          <w:rFonts w:asciiTheme="minorHAnsi" w:hAnsiTheme="minorHAnsi"/>
          <w:sz w:val="22"/>
          <w:szCs w:val="22"/>
          <w:lang w:val="en-US"/>
        </w:rPr>
        <w:t>e</w:t>
      </w:r>
      <w:r w:rsidRPr="00264ECE">
        <w:rPr>
          <w:rFonts w:asciiTheme="minorHAnsi" w:hAnsiTheme="minorHAnsi"/>
          <w:sz w:val="22"/>
          <w:szCs w:val="22"/>
          <w:lang w:val="en-US"/>
        </w:rPr>
        <w:t>nominated in local currency. Therefore we would suggest to define the equivalent amount in all possible local curre</w:t>
      </w:r>
      <w:r w:rsidRPr="00264ECE">
        <w:rPr>
          <w:rFonts w:asciiTheme="minorHAnsi" w:hAnsiTheme="minorHAnsi"/>
          <w:sz w:val="22"/>
          <w:szCs w:val="22"/>
          <w:lang w:val="en-US"/>
        </w:rPr>
        <w:t>n</w:t>
      </w:r>
      <w:r w:rsidRPr="00264ECE">
        <w:rPr>
          <w:rFonts w:asciiTheme="minorHAnsi" w:hAnsiTheme="minorHAnsi"/>
          <w:sz w:val="22"/>
          <w:szCs w:val="22"/>
          <w:lang w:val="en-US"/>
        </w:rPr>
        <w:t>cies (for countries under MIFID II rule</w:t>
      </w:r>
    </w:p>
    <w:p w:rsidR="00750796" w:rsidRPr="00580880" w:rsidRDefault="00264ECE" w:rsidP="00264ECE">
      <w:pPr>
        <w:ind w:left="567"/>
        <w:rPr>
          <w:lang w:val="fr-FR"/>
        </w:rPr>
      </w:pPr>
      <w:r w:rsidRPr="00264ECE">
        <w:rPr>
          <w:rFonts w:asciiTheme="minorHAnsi" w:hAnsiTheme="minorHAnsi"/>
          <w:sz w:val="22"/>
          <w:szCs w:val="22"/>
          <w:lang w:val="en-US"/>
        </w:rPr>
        <w:t>(ii)</w:t>
      </w:r>
      <w:r w:rsidRPr="00264ECE">
        <w:rPr>
          <w:rFonts w:asciiTheme="minorHAnsi" w:hAnsiTheme="minorHAnsi"/>
          <w:sz w:val="22"/>
          <w:szCs w:val="22"/>
        </w:rPr>
        <w:t>For simplicity reasons, a standardised amount for type of PRIIP as a reference for risk and r</w:t>
      </w:r>
      <w:r w:rsidRPr="00264ECE">
        <w:rPr>
          <w:rFonts w:asciiTheme="minorHAnsi" w:hAnsiTheme="minorHAnsi"/>
          <w:sz w:val="22"/>
          <w:szCs w:val="22"/>
        </w:rPr>
        <w:t>e</w:t>
      </w:r>
      <w:r w:rsidRPr="00264ECE">
        <w:rPr>
          <w:rFonts w:asciiTheme="minorHAnsi" w:hAnsiTheme="minorHAnsi"/>
          <w:sz w:val="22"/>
          <w:szCs w:val="22"/>
        </w:rPr>
        <w:t>ward in the performance scenarios is preferred. The optimal should be to inform according to the amount to be inve</w:t>
      </w:r>
      <w:r w:rsidRPr="00264ECE">
        <w:rPr>
          <w:rFonts w:asciiTheme="minorHAnsi" w:hAnsiTheme="minorHAnsi"/>
          <w:sz w:val="22"/>
          <w:szCs w:val="22"/>
        </w:rPr>
        <w:t>s</w:t>
      </w:r>
      <w:r w:rsidRPr="00264ECE">
        <w:rPr>
          <w:rFonts w:asciiTheme="minorHAnsi" w:hAnsiTheme="minorHAnsi"/>
          <w:sz w:val="22"/>
          <w:szCs w:val="22"/>
        </w:rPr>
        <w:t>ted</w:t>
      </w:r>
      <w:permEnd w:id="2"/>
      <w:r w:rsidR="00750796" w:rsidRPr="00580880">
        <w:rPr>
          <w:lang w:val="fr-FR"/>
        </w:rPr>
        <w:t>&lt;ESMA_QUESTION_</w:t>
      </w:r>
      <w:r w:rsidR="003E4B00">
        <w:rPr>
          <w:lang w:val="fr-FR"/>
        </w:rPr>
        <w:t>PRIIPS</w:t>
      </w:r>
      <w:r w:rsidR="00750796" w:rsidRPr="00580880">
        <w:rPr>
          <w:lang w:val="fr-FR"/>
        </w:rPr>
        <w:t>_2&gt;</w:t>
      </w:r>
    </w:p>
    <w:p w:rsidR="00855D9F" w:rsidRDefault="00855D9F" w:rsidP="00750796">
      <w:pPr>
        <w:rPr>
          <w:lang w:val="fr-FR"/>
        </w:rPr>
      </w:pPr>
    </w:p>
    <w:p w:rsidR="00580880" w:rsidRPr="00580880" w:rsidRDefault="00580880" w:rsidP="00750796">
      <w:pPr>
        <w:rPr>
          <w:lang w:val="fr-FR"/>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b/>
          <w:i/>
          <w:lang w:val="fr-FR"/>
        </w:rPr>
      </w:pPr>
      <w:r w:rsidRPr="00580880">
        <w:rPr>
          <w:b/>
          <w:i/>
          <w:lang w:val="fr-FR"/>
        </w:rPr>
        <w:t>Question 3</w:t>
      </w:r>
    </w:p>
    <w:p w:rsidR="00580880" w:rsidRPr="00EF0F1C" w:rsidRDefault="00580880" w:rsidP="00580880">
      <w:pPr>
        <w:keepNext/>
        <w:keepLines/>
        <w:pBdr>
          <w:top w:val="single" w:sz="4" w:space="1" w:color="auto"/>
          <w:left w:val="single" w:sz="4" w:space="4" w:color="auto"/>
          <w:bottom w:val="single" w:sz="4" w:space="1" w:color="auto"/>
          <w:right w:val="single" w:sz="4" w:space="4" w:color="auto"/>
        </w:pBdr>
      </w:pPr>
      <w:r w:rsidRPr="00EF0F1C">
        <w:rPr>
          <w:i/>
        </w:rPr>
        <w:t xml:space="preserve">For PRIIPs that fall into category II and for which the Cornish Fisher expansion is used as a methodology to compute the VaR equivalent Volatility do you think a bootstrapping approach should be used instead? Please explain the reasons for your opinion? </w:t>
      </w:r>
    </w:p>
    <w:p w:rsidR="00580880" w:rsidRDefault="00580880" w:rsidP="00750796"/>
    <w:p w:rsidR="00750796" w:rsidRDefault="00750796" w:rsidP="00750796">
      <w:r>
        <w:t>&lt;ESMA_QUESTION_</w:t>
      </w:r>
      <w:r w:rsidR="003E4B00">
        <w:t>PRIIPS</w:t>
      </w:r>
      <w:r>
        <w:t>_3&gt;</w:t>
      </w:r>
    </w:p>
    <w:p w:rsidR="00D3472F" w:rsidRPr="00437EA6" w:rsidRDefault="00D3472F" w:rsidP="00AA3410">
      <w:pPr>
        <w:jc w:val="both"/>
        <w:rPr>
          <w:rFonts w:asciiTheme="minorHAnsi" w:hAnsiTheme="minorHAnsi"/>
          <w:sz w:val="22"/>
          <w:szCs w:val="22"/>
        </w:rPr>
      </w:pPr>
      <w:permStart w:id="3" w:edGrp="everyone"/>
      <w:r w:rsidRPr="00437EA6">
        <w:rPr>
          <w:rFonts w:asciiTheme="minorHAnsi" w:hAnsiTheme="minorHAnsi"/>
          <w:sz w:val="22"/>
          <w:szCs w:val="22"/>
        </w:rPr>
        <w:t>We support the distinction to be made as bootstrapping approach is too complicated. We are looking for different risks classification, not for capital requirements measures, so accuracy is as important as si</w:t>
      </w:r>
      <w:r w:rsidRPr="00437EA6">
        <w:rPr>
          <w:rFonts w:asciiTheme="minorHAnsi" w:hAnsiTheme="minorHAnsi"/>
          <w:sz w:val="22"/>
          <w:szCs w:val="22"/>
        </w:rPr>
        <w:t>m</w:t>
      </w:r>
      <w:r w:rsidRPr="00437EA6">
        <w:rPr>
          <w:rFonts w:asciiTheme="minorHAnsi" w:hAnsiTheme="minorHAnsi"/>
          <w:sz w:val="22"/>
          <w:szCs w:val="22"/>
        </w:rPr>
        <w:t>plicity, and comparability between PRIIPs to be possible.</w:t>
      </w:r>
    </w:p>
    <w:permEnd w:id="3"/>
    <w:p w:rsidR="00750796" w:rsidRDefault="00750796" w:rsidP="00750796">
      <w:pPr>
        <w:rPr>
          <w:lang w:val="fr-FR"/>
        </w:rPr>
      </w:pPr>
      <w:r w:rsidRPr="00580880">
        <w:rPr>
          <w:lang w:val="fr-FR"/>
        </w:rPr>
        <w:t>&lt;ESMA_QUESTION_</w:t>
      </w:r>
      <w:r w:rsidR="003E4B00">
        <w:rPr>
          <w:lang w:val="fr-FR"/>
        </w:rPr>
        <w:t>PRIIPS</w:t>
      </w:r>
      <w:r w:rsidRPr="00580880">
        <w:rPr>
          <w:lang w:val="fr-FR"/>
        </w:rPr>
        <w:t>_3&gt;</w:t>
      </w:r>
    </w:p>
    <w:p w:rsidR="00580880" w:rsidRDefault="00580880" w:rsidP="00750796">
      <w:pPr>
        <w:rPr>
          <w:lang w:val="fr-FR"/>
        </w:rPr>
      </w:pPr>
    </w:p>
    <w:p w:rsidR="00580880" w:rsidRPr="00580880" w:rsidRDefault="0058088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4</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a different confidence interval to compute the VaR? If so, please explain which conf</w:t>
      </w:r>
      <w:r w:rsidRPr="00580880">
        <w:rPr>
          <w:rFonts w:ascii="Calibri" w:hAnsi="Calibri"/>
          <w:i/>
          <w:sz w:val="22"/>
          <w:lang w:eastAsia="en-US"/>
        </w:rPr>
        <w:t>i</w:t>
      </w:r>
      <w:r w:rsidRPr="00580880">
        <w:rPr>
          <w:rFonts w:ascii="Calibri" w:hAnsi="Calibri"/>
          <w:i/>
          <w:sz w:val="22"/>
          <w:lang w:eastAsia="en-US"/>
        </w:rPr>
        <w:t xml:space="preserve">dence interval you would use and state your reasons why. </w:t>
      </w:r>
    </w:p>
    <w:p w:rsidR="00580880" w:rsidRDefault="00580880" w:rsidP="00750796">
      <w:pPr>
        <w:rPr>
          <w:rFonts w:cstheme="minorBidi"/>
          <w:b/>
          <w:szCs w:val="22"/>
          <w:lang w:eastAsia="en-US"/>
        </w:rPr>
      </w:pPr>
    </w:p>
    <w:p w:rsidR="00750796" w:rsidRDefault="00750796" w:rsidP="00750796">
      <w:r>
        <w:t>&lt;ESMA_QUESTION_</w:t>
      </w:r>
      <w:r w:rsidR="003E4B00">
        <w:t>PRIIPS</w:t>
      </w:r>
      <w:r>
        <w:t>_4&gt;</w:t>
      </w:r>
    </w:p>
    <w:p w:rsidR="00750796" w:rsidRDefault="00D3472F" w:rsidP="00750796">
      <w:permStart w:id="4" w:edGrp="everyone"/>
      <w:r w:rsidRPr="00437EA6">
        <w:rPr>
          <w:rFonts w:asciiTheme="minorHAnsi" w:hAnsiTheme="minorHAnsi"/>
          <w:sz w:val="22"/>
          <w:szCs w:val="22"/>
        </w:rPr>
        <w:t xml:space="preserve">It seems adequate to use </w:t>
      </w:r>
      <w:proofErr w:type="spellStart"/>
      <w:r w:rsidRPr="00437EA6">
        <w:rPr>
          <w:rFonts w:asciiTheme="minorHAnsi" w:hAnsiTheme="minorHAnsi"/>
          <w:sz w:val="22"/>
          <w:szCs w:val="22"/>
        </w:rPr>
        <w:t>VaR</w:t>
      </w:r>
      <w:proofErr w:type="spellEnd"/>
      <w:r w:rsidRPr="00437EA6">
        <w:rPr>
          <w:rFonts w:asciiTheme="minorHAnsi" w:hAnsiTheme="minorHAnsi"/>
          <w:sz w:val="22"/>
          <w:szCs w:val="22"/>
        </w:rPr>
        <w:t xml:space="preserve"> of 97.5%. Five years history is proposed and this period could be longer </w:t>
      </w:r>
      <w:r w:rsidR="00AA3410" w:rsidRPr="00437EA6">
        <w:rPr>
          <w:rFonts w:asciiTheme="minorHAnsi" w:hAnsiTheme="minorHAnsi"/>
          <w:sz w:val="22"/>
          <w:szCs w:val="22"/>
        </w:rPr>
        <w:t xml:space="preserve">to take into account </w:t>
      </w:r>
      <w:r w:rsidRPr="00437EA6">
        <w:rPr>
          <w:rFonts w:asciiTheme="minorHAnsi" w:hAnsiTheme="minorHAnsi"/>
          <w:sz w:val="22"/>
          <w:szCs w:val="22"/>
        </w:rPr>
        <w:t>different market situations</w:t>
      </w:r>
      <w:r>
        <w:t>.</w:t>
      </w:r>
    </w:p>
    <w:permEnd w:id="4"/>
    <w:p w:rsidR="00750796" w:rsidRDefault="00750796" w:rsidP="00750796">
      <w:r>
        <w:t>&lt;ESMA_QUESTION_</w:t>
      </w:r>
      <w:r w:rsidR="003E4B00">
        <w:t>PRIIPS</w:t>
      </w:r>
      <w:r>
        <w:t>_4&gt;</w:t>
      </w:r>
    </w:p>
    <w:p w:rsidR="00580880" w:rsidRDefault="00580880" w:rsidP="00750796">
      <w:pPr>
        <w:rPr>
          <w:rFonts w:cstheme="minorBidi"/>
          <w:b/>
          <w:szCs w:val="22"/>
          <w:lang w:eastAsia="en-US"/>
        </w:rPr>
      </w:pPr>
    </w:p>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5</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sz w:val="22"/>
          <w:lang w:eastAsia="en-US"/>
        </w:rPr>
      </w:pPr>
      <w:r w:rsidRPr="00580880">
        <w:rPr>
          <w:rFonts w:ascii="Calibri" w:hAnsi="Calibri"/>
          <w:i/>
          <w:sz w:val="22"/>
          <w:lang w:eastAsia="en-US"/>
        </w:rPr>
        <w:t>Are you of the view that the existence of a compensation or guarantee scheme should be taken into account in the credit risk assessment of a PRIIP? And if you agree, how would you propose to do so?</w:t>
      </w:r>
    </w:p>
    <w:p w:rsidR="00580880" w:rsidRDefault="00580880" w:rsidP="00750796">
      <w:pPr>
        <w:rPr>
          <w:rFonts w:cstheme="minorBidi"/>
          <w:b/>
          <w:szCs w:val="22"/>
          <w:lang w:eastAsia="en-US"/>
        </w:rPr>
      </w:pPr>
    </w:p>
    <w:p w:rsidR="00750796" w:rsidRDefault="00750796" w:rsidP="00750796">
      <w:r>
        <w:t>&lt;ESMA_QUESTION_</w:t>
      </w:r>
      <w:r w:rsidR="003E4B00">
        <w:t>PRIIPS</w:t>
      </w:r>
      <w:r>
        <w:t>_5&gt;</w:t>
      </w:r>
    </w:p>
    <w:p w:rsidR="00750796" w:rsidRPr="00580880" w:rsidRDefault="00990CEA" w:rsidP="00750796">
      <w:pPr>
        <w:rPr>
          <w:lang w:val="fr-FR"/>
        </w:rPr>
      </w:pPr>
      <w:permStart w:id="5" w:edGrp="everyone"/>
      <w:r w:rsidRPr="00437EA6">
        <w:rPr>
          <w:rFonts w:asciiTheme="minorHAnsi" w:hAnsiTheme="minorHAnsi"/>
          <w:sz w:val="22"/>
          <w:szCs w:val="22"/>
        </w:rPr>
        <w:t xml:space="preserve">The existence of a guarantee scheme changes </w:t>
      </w:r>
      <w:r w:rsidR="00D3472F" w:rsidRPr="00437EA6">
        <w:rPr>
          <w:rFonts w:asciiTheme="minorHAnsi" w:hAnsiTheme="minorHAnsi"/>
          <w:sz w:val="22"/>
          <w:szCs w:val="22"/>
        </w:rPr>
        <w:t xml:space="preserve">should not be </w:t>
      </w:r>
      <w:r w:rsidR="00AA3410" w:rsidRPr="00437EA6">
        <w:rPr>
          <w:rFonts w:asciiTheme="minorHAnsi" w:hAnsiTheme="minorHAnsi"/>
          <w:sz w:val="22"/>
          <w:szCs w:val="22"/>
        </w:rPr>
        <w:t>taken into account because the level of guarantee provided d</w:t>
      </w:r>
      <w:r w:rsidR="00D3472F" w:rsidRPr="00437EA6">
        <w:rPr>
          <w:rFonts w:asciiTheme="minorHAnsi" w:hAnsiTheme="minorHAnsi"/>
          <w:sz w:val="22"/>
          <w:szCs w:val="22"/>
        </w:rPr>
        <w:t>epend</w:t>
      </w:r>
      <w:r w:rsidR="00AA3410" w:rsidRPr="00437EA6">
        <w:rPr>
          <w:rFonts w:asciiTheme="minorHAnsi" w:hAnsiTheme="minorHAnsi"/>
          <w:sz w:val="22"/>
          <w:szCs w:val="22"/>
        </w:rPr>
        <w:t>s on</w:t>
      </w:r>
      <w:r w:rsidR="00D3472F" w:rsidRPr="00437EA6">
        <w:rPr>
          <w:rFonts w:asciiTheme="minorHAnsi" w:hAnsiTheme="minorHAnsi"/>
          <w:sz w:val="22"/>
          <w:szCs w:val="22"/>
        </w:rPr>
        <w:t xml:space="preserve"> the clients assets</w:t>
      </w:r>
      <w:r w:rsidR="0002255A" w:rsidRPr="00437EA6">
        <w:rPr>
          <w:rFonts w:asciiTheme="minorHAnsi" w:hAnsiTheme="minorHAnsi"/>
          <w:sz w:val="22"/>
          <w:szCs w:val="22"/>
        </w:rPr>
        <w:t xml:space="preserve"> (</w:t>
      </w:r>
      <w:r w:rsidR="00AA3410" w:rsidRPr="00437EA6">
        <w:rPr>
          <w:rFonts w:asciiTheme="minorHAnsi" w:hAnsiTheme="minorHAnsi"/>
          <w:sz w:val="22"/>
          <w:szCs w:val="22"/>
        </w:rPr>
        <w:t>where the amount invested exceed</w:t>
      </w:r>
      <w:r w:rsidR="0002255A" w:rsidRPr="00437EA6">
        <w:rPr>
          <w:rFonts w:asciiTheme="minorHAnsi" w:hAnsiTheme="minorHAnsi"/>
          <w:sz w:val="22"/>
          <w:szCs w:val="22"/>
        </w:rPr>
        <w:t>s the maximum guaranteed there is not guarantee (100.000€ in</w:t>
      </w:r>
      <w:r w:rsidR="0002255A" w:rsidRPr="00AA3410">
        <w:rPr>
          <w:rFonts w:asciiTheme="minorHAnsi" w:hAnsiTheme="minorHAnsi"/>
          <w:sz w:val="24"/>
        </w:rPr>
        <w:t xml:space="preserve"> </w:t>
      </w:r>
      <w:r w:rsidR="0002255A" w:rsidRPr="00437EA6">
        <w:rPr>
          <w:rFonts w:asciiTheme="minorHAnsi" w:hAnsiTheme="minorHAnsi"/>
          <w:sz w:val="22"/>
          <w:szCs w:val="22"/>
        </w:rPr>
        <w:t>Spain.</w:t>
      </w:r>
      <w:r w:rsidR="0002255A" w:rsidRPr="00AA3410">
        <w:rPr>
          <w:rFonts w:asciiTheme="minorHAnsi" w:hAnsiTheme="minorHAnsi"/>
          <w:sz w:val="24"/>
        </w:rPr>
        <w:t>..)</w:t>
      </w:r>
      <w:proofErr w:type="gramStart"/>
      <w:r w:rsidR="0002255A" w:rsidRPr="00AA3410">
        <w:rPr>
          <w:rFonts w:asciiTheme="minorHAnsi" w:hAnsiTheme="minorHAnsi"/>
          <w:sz w:val="24"/>
        </w:rPr>
        <w:t>)</w:t>
      </w:r>
      <w:permEnd w:id="5"/>
      <w:r w:rsidR="00750796" w:rsidRPr="00580880">
        <w:rPr>
          <w:lang w:val="fr-FR"/>
        </w:rPr>
        <w:t>&lt;</w:t>
      </w:r>
      <w:proofErr w:type="gramEnd"/>
      <w:r w:rsidR="00750796" w:rsidRPr="00580880">
        <w:rPr>
          <w:lang w:val="fr-FR"/>
        </w:rPr>
        <w:t>ESMA_QUESTION_</w:t>
      </w:r>
      <w:r w:rsidR="003E4B00">
        <w:rPr>
          <w:lang w:val="fr-FR"/>
        </w:rPr>
        <w:t>PRIIPS</w:t>
      </w:r>
      <w:r w:rsidR="00750796" w:rsidRPr="00580880">
        <w:rPr>
          <w:lang w:val="fr-FR"/>
        </w:rPr>
        <w:t>_5&gt;</w:t>
      </w:r>
    </w:p>
    <w:p w:rsidR="00855D9F" w:rsidRDefault="00855D9F" w:rsidP="00750796">
      <w:pPr>
        <w:rPr>
          <w:lang w:val="fr-FR"/>
        </w:rPr>
      </w:pPr>
    </w:p>
    <w:p w:rsidR="00847BB0" w:rsidRPr="00580880" w:rsidRDefault="00847BB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6</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PRIIP manufacturers having the option to voluntarily increase the disclosed SRI? In which circumstances? Would such an approach entail unintended consequences?</w:t>
      </w:r>
    </w:p>
    <w:p w:rsidR="00580880" w:rsidRDefault="00580880" w:rsidP="00580880">
      <w:pPr>
        <w:rPr>
          <w:rFonts w:ascii="Calibri" w:hAnsi="Calibri"/>
          <w:b/>
          <w:sz w:val="22"/>
          <w:lang w:eastAsia="en-US"/>
        </w:rPr>
      </w:pPr>
    </w:p>
    <w:p w:rsidR="003E4B00" w:rsidRDefault="003E4B00" w:rsidP="003E4B00">
      <w:r>
        <w:t>&lt;ESMA_QUESTION_PRIIPS_6&gt;</w:t>
      </w:r>
    </w:p>
    <w:p w:rsidR="006F309F" w:rsidRPr="00437EA6" w:rsidRDefault="006F309F" w:rsidP="006F309F">
      <w:pPr>
        <w:jc w:val="both"/>
        <w:rPr>
          <w:rFonts w:asciiTheme="minorHAnsi" w:hAnsiTheme="minorHAnsi"/>
          <w:sz w:val="22"/>
          <w:szCs w:val="22"/>
        </w:rPr>
      </w:pPr>
      <w:permStart w:id="6" w:edGrp="everyone"/>
      <w:r w:rsidRPr="00437EA6">
        <w:rPr>
          <w:rFonts w:asciiTheme="minorHAnsi" w:hAnsiTheme="minorHAnsi"/>
          <w:sz w:val="22"/>
          <w:szCs w:val="22"/>
        </w:rPr>
        <w:t xml:space="preserve">The main purpose of KID for PRIIPs is comparability, so the result of the methodology proposed should be respected. The principal consequence of voluntary increase of the result would be </w:t>
      </w:r>
      <w:r w:rsidR="00FC2FE7" w:rsidRPr="00437EA6">
        <w:rPr>
          <w:rFonts w:asciiTheme="minorHAnsi" w:hAnsiTheme="minorHAnsi"/>
          <w:sz w:val="22"/>
          <w:szCs w:val="22"/>
        </w:rPr>
        <w:t>to</w:t>
      </w:r>
      <w:r w:rsidRPr="00437EA6">
        <w:rPr>
          <w:rFonts w:asciiTheme="minorHAnsi" w:hAnsiTheme="minorHAnsi"/>
          <w:sz w:val="22"/>
          <w:szCs w:val="22"/>
        </w:rPr>
        <w:t xml:space="preserve"> hamper the level playing field and proper comparison of similar products between banks.</w:t>
      </w:r>
    </w:p>
    <w:permEnd w:id="6"/>
    <w:p w:rsidR="003E4B00" w:rsidRPr="00580880" w:rsidRDefault="003E4B00" w:rsidP="003E4B00">
      <w:pPr>
        <w:rPr>
          <w:lang w:val="fr-FR"/>
        </w:rPr>
      </w:pPr>
      <w:r w:rsidRPr="00580880">
        <w:rPr>
          <w:lang w:val="fr-FR"/>
        </w:rPr>
        <w:t>&lt;ESMA_QUESTION_</w:t>
      </w:r>
      <w:r>
        <w:rPr>
          <w:lang w:val="fr-FR"/>
        </w:rPr>
        <w:t>PRIIPS_6</w:t>
      </w:r>
      <w:r w:rsidRPr="00580880">
        <w:rPr>
          <w:lang w:val="fr-FR"/>
        </w:rPr>
        <w:t>&gt;</w:t>
      </w:r>
    </w:p>
    <w:p w:rsidR="003E4B00" w:rsidRDefault="003E4B00" w:rsidP="00580880">
      <w:pPr>
        <w:rPr>
          <w:rFonts w:ascii="Calibri" w:hAnsi="Calibri"/>
          <w:b/>
          <w:sz w:val="22"/>
          <w:lang w:eastAsia="en-US"/>
        </w:rPr>
      </w:pPr>
    </w:p>
    <w:p w:rsidR="003E4B00" w:rsidRPr="00580880" w:rsidRDefault="003E4B00" w:rsidP="00580880">
      <w:pPr>
        <w:rPr>
          <w:rFonts w:ascii="Calibri" w:hAnsi="Calibri"/>
          <w:b/>
          <w:sz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7</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Do you agree with an adjustment of the credit risk for the tenor, and how would you propose to make such an adjustment?</w:t>
      </w:r>
    </w:p>
    <w:p w:rsidR="003E4B00" w:rsidRDefault="003E4B00" w:rsidP="003E4B00"/>
    <w:p w:rsidR="003E4B00" w:rsidRDefault="003E4B00" w:rsidP="003E4B00">
      <w:r>
        <w:t>&lt;ESMA_QUESTION_PRIIPS_7&gt;</w:t>
      </w:r>
    </w:p>
    <w:p w:rsidR="006C7AE5" w:rsidRPr="00437EA6" w:rsidRDefault="006C7AE5" w:rsidP="006C7AE5">
      <w:pPr>
        <w:rPr>
          <w:rFonts w:asciiTheme="minorHAnsi" w:hAnsiTheme="minorHAnsi"/>
          <w:sz w:val="22"/>
          <w:szCs w:val="22"/>
        </w:rPr>
      </w:pPr>
      <w:permStart w:id="7" w:edGrp="everyone"/>
      <w:r w:rsidRPr="00437EA6">
        <w:rPr>
          <w:rFonts w:asciiTheme="minorHAnsi" w:hAnsiTheme="minorHAnsi"/>
          <w:sz w:val="22"/>
          <w:szCs w:val="22"/>
        </w:rPr>
        <w:t xml:space="preserve">The tenor is an important component of the credit risk assessment and as such it is recognized in the Capital Requirements Directive. Our suggestion would imply two steps: </w:t>
      </w:r>
    </w:p>
    <w:p w:rsidR="006C7AE5" w:rsidRPr="00437EA6" w:rsidRDefault="006C7AE5" w:rsidP="006C7AE5">
      <w:pPr>
        <w:rPr>
          <w:rFonts w:asciiTheme="minorHAnsi" w:hAnsiTheme="minorHAnsi"/>
          <w:sz w:val="22"/>
          <w:szCs w:val="22"/>
        </w:rPr>
      </w:pPr>
      <w:r w:rsidRPr="00437EA6">
        <w:rPr>
          <w:rFonts w:asciiTheme="minorHAnsi" w:hAnsiTheme="minorHAnsi"/>
          <w:sz w:val="22"/>
          <w:szCs w:val="22"/>
        </w:rPr>
        <w:t xml:space="preserve">1) Assess the CRM class as if the tenor were equal or less than 1 year (this is called “INITIAL CRM CLASS” in the table below) and </w:t>
      </w:r>
    </w:p>
    <w:p w:rsidR="006C7AE5" w:rsidRPr="00437EA6" w:rsidRDefault="006C7AE5" w:rsidP="006C7AE5">
      <w:pPr>
        <w:rPr>
          <w:rFonts w:asciiTheme="minorHAnsi" w:hAnsiTheme="minorHAnsi"/>
          <w:sz w:val="22"/>
          <w:szCs w:val="22"/>
        </w:rPr>
      </w:pPr>
      <w:r w:rsidRPr="00437EA6">
        <w:rPr>
          <w:rFonts w:asciiTheme="minorHAnsi" w:hAnsiTheme="minorHAnsi"/>
          <w:sz w:val="22"/>
          <w:szCs w:val="22"/>
        </w:rPr>
        <w:t>2) Increase the INITIAL CRM class proportionally to the tenor in a similar way as in the following table:</w:t>
      </w:r>
    </w:p>
    <w:p w:rsidR="006C7AE5" w:rsidRPr="00437EA6" w:rsidRDefault="006C7AE5" w:rsidP="006C7AE5">
      <w:pPr>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5"/>
        <w:gridCol w:w="1442"/>
        <w:gridCol w:w="1445"/>
        <w:gridCol w:w="1734"/>
        <w:gridCol w:w="1120"/>
      </w:tblGrid>
      <w:tr w:rsidR="006C7AE5" w:rsidRPr="00437EA6" w:rsidTr="006C7AE5">
        <w:trPr>
          <w:jc w:val="center"/>
        </w:trPr>
        <w:tc>
          <w:tcPr>
            <w:tcW w:w="0" w:type="auto"/>
            <w:vMerge w:val="restart"/>
            <w:shd w:val="pct20" w:color="auto" w:fill="auto"/>
            <w:vAlign w:val="center"/>
          </w:tcPr>
          <w:p w:rsidR="006C7AE5" w:rsidRPr="00437EA6" w:rsidRDefault="006C7AE5" w:rsidP="006C7AE5">
            <w:pPr>
              <w:contextualSpacing/>
              <w:jc w:val="center"/>
              <w:rPr>
                <w:rFonts w:asciiTheme="minorHAnsi" w:eastAsia="Times" w:hAnsiTheme="minorHAnsi" w:cs="Arial"/>
                <w:b/>
                <w:sz w:val="22"/>
                <w:szCs w:val="22"/>
                <w:lang w:val="en-US" w:eastAsia="es-ES"/>
              </w:rPr>
            </w:pPr>
            <w:r w:rsidRPr="00437EA6">
              <w:rPr>
                <w:rFonts w:asciiTheme="minorHAnsi" w:eastAsia="Times" w:hAnsiTheme="minorHAnsi" w:cs="Arial"/>
                <w:b/>
                <w:sz w:val="22"/>
                <w:szCs w:val="22"/>
                <w:lang w:val="en-US" w:eastAsia="es-ES"/>
              </w:rPr>
              <w:t>INITIAL CRM CLASS</w:t>
            </w:r>
          </w:p>
        </w:tc>
        <w:tc>
          <w:tcPr>
            <w:tcW w:w="0" w:type="auto"/>
            <w:gridSpan w:val="4"/>
            <w:shd w:val="pct20" w:color="auto" w:fill="auto"/>
          </w:tcPr>
          <w:p w:rsidR="006C7AE5" w:rsidRPr="00437EA6" w:rsidRDefault="006C7AE5" w:rsidP="006C7AE5">
            <w:pPr>
              <w:contextualSpacing/>
              <w:jc w:val="center"/>
              <w:rPr>
                <w:rFonts w:asciiTheme="minorHAnsi" w:eastAsia="Times" w:hAnsiTheme="minorHAnsi" w:cs="Arial"/>
                <w:b/>
                <w:sz w:val="22"/>
                <w:szCs w:val="22"/>
                <w:lang w:val="en-US" w:eastAsia="es-ES"/>
              </w:rPr>
            </w:pPr>
          </w:p>
          <w:p w:rsidR="006C7AE5" w:rsidRPr="00437EA6" w:rsidRDefault="006C7AE5" w:rsidP="006C7AE5">
            <w:pPr>
              <w:contextualSpacing/>
              <w:jc w:val="center"/>
              <w:rPr>
                <w:rFonts w:asciiTheme="minorHAnsi" w:eastAsia="Times" w:hAnsiTheme="minorHAnsi" w:cs="Arial"/>
                <w:b/>
                <w:sz w:val="22"/>
                <w:szCs w:val="22"/>
                <w:lang w:val="en-US" w:eastAsia="es-ES"/>
              </w:rPr>
            </w:pPr>
            <w:r w:rsidRPr="00437EA6">
              <w:rPr>
                <w:rFonts w:asciiTheme="minorHAnsi" w:eastAsia="Times" w:hAnsiTheme="minorHAnsi" w:cs="Arial"/>
                <w:b/>
                <w:sz w:val="22"/>
                <w:szCs w:val="22"/>
                <w:lang w:val="en-US" w:eastAsia="es-ES"/>
              </w:rPr>
              <w:t>FINAL CRM CLASS ACCORDING TO TENOR</w:t>
            </w:r>
          </w:p>
        </w:tc>
      </w:tr>
      <w:tr w:rsidR="006C7AE5" w:rsidRPr="00437EA6" w:rsidTr="006C7AE5">
        <w:trPr>
          <w:trHeight w:val="501"/>
          <w:jc w:val="center"/>
        </w:trPr>
        <w:tc>
          <w:tcPr>
            <w:tcW w:w="0" w:type="auto"/>
            <w:vMerge/>
            <w:shd w:val="pct20" w:color="auto" w:fill="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p>
        </w:tc>
        <w:tc>
          <w:tcPr>
            <w:tcW w:w="1442" w:type="dxa"/>
            <w:shd w:val="pct20" w:color="auto" w:fill="auto"/>
            <w:vAlign w:val="center"/>
          </w:tcPr>
          <w:p w:rsidR="006C7AE5" w:rsidRPr="00437EA6" w:rsidRDefault="006C7AE5" w:rsidP="006C7AE5">
            <w:pPr>
              <w:contextualSpacing/>
              <w:jc w:val="center"/>
              <w:rPr>
                <w:rFonts w:asciiTheme="minorHAnsi" w:eastAsia="Times" w:hAnsiTheme="minorHAnsi" w:cs="Arial"/>
                <w:b/>
                <w:sz w:val="22"/>
                <w:szCs w:val="22"/>
                <w:lang w:val="en-US" w:eastAsia="es-ES"/>
              </w:rPr>
            </w:pPr>
            <w:r w:rsidRPr="00437EA6">
              <w:rPr>
                <w:rFonts w:asciiTheme="minorHAnsi" w:eastAsia="Times" w:hAnsiTheme="minorHAnsi" w:cs="Arial"/>
                <w:b/>
                <w:sz w:val="22"/>
                <w:szCs w:val="22"/>
                <w:lang w:val="en-US" w:eastAsia="es-ES"/>
              </w:rPr>
              <w:t>≤ 1 YEAR</w:t>
            </w:r>
          </w:p>
        </w:tc>
        <w:tc>
          <w:tcPr>
            <w:tcW w:w="1445" w:type="dxa"/>
            <w:shd w:val="pct20" w:color="auto" w:fill="auto"/>
            <w:vAlign w:val="center"/>
          </w:tcPr>
          <w:p w:rsidR="006C7AE5" w:rsidRPr="00437EA6" w:rsidRDefault="006C7AE5" w:rsidP="006C7AE5">
            <w:pPr>
              <w:contextualSpacing/>
              <w:jc w:val="center"/>
              <w:rPr>
                <w:rFonts w:asciiTheme="minorHAnsi" w:eastAsia="Times" w:hAnsiTheme="minorHAnsi" w:cs="Arial"/>
                <w:b/>
                <w:sz w:val="22"/>
                <w:szCs w:val="22"/>
                <w:lang w:val="en-US" w:eastAsia="es-ES"/>
              </w:rPr>
            </w:pPr>
            <w:r w:rsidRPr="00437EA6">
              <w:rPr>
                <w:rFonts w:asciiTheme="minorHAnsi" w:eastAsia="Times" w:hAnsiTheme="minorHAnsi" w:cs="Arial"/>
                <w:b/>
                <w:sz w:val="22"/>
                <w:szCs w:val="22"/>
                <w:lang w:val="en-US" w:eastAsia="es-ES"/>
              </w:rPr>
              <w:t>&gt;1 and ≤ 3 YEARS</w:t>
            </w:r>
          </w:p>
        </w:tc>
        <w:tc>
          <w:tcPr>
            <w:tcW w:w="1734" w:type="dxa"/>
            <w:shd w:val="pct20" w:color="auto" w:fill="auto"/>
            <w:vAlign w:val="center"/>
          </w:tcPr>
          <w:p w:rsidR="006C7AE5" w:rsidRPr="00437EA6" w:rsidRDefault="006C7AE5" w:rsidP="006C7AE5">
            <w:pPr>
              <w:contextualSpacing/>
              <w:jc w:val="center"/>
              <w:rPr>
                <w:rFonts w:asciiTheme="minorHAnsi" w:eastAsia="Times" w:hAnsiTheme="minorHAnsi" w:cs="Arial"/>
                <w:b/>
                <w:sz w:val="22"/>
                <w:szCs w:val="22"/>
                <w:lang w:val="en-US" w:eastAsia="es-ES"/>
              </w:rPr>
            </w:pPr>
            <w:r w:rsidRPr="00437EA6">
              <w:rPr>
                <w:rFonts w:asciiTheme="minorHAnsi" w:eastAsia="Times" w:hAnsiTheme="minorHAnsi" w:cs="Arial"/>
                <w:b/>
                <w:sz w:val="22"/>
                <w:szCs w:val="22"/>
                <w:lang w:val="en-US" w:eastAsia="es-ES"/>
              </w:rPr>
              <w:t>&gt;3 and ≤ 5 YEARS</w:t>
            </w:r>
          </w:p>
        </w:tc>
        <w:tc>
          <w:tcPr>
            <w:tcW w:w="0" w:type="auto"/>
            <w:shd w:val="pct20" w:color="auto" w:fill="auto"/>
            <w:vAlign w:val="center"/>
          </w:tcPr>
          <w:p w:rsidR="006C7AE5" w:rsidRPr="00437EA6" w:rsidRDefault="006C7AE5" w:rsidP="006C7AE5">
            <w:pPr>
              <w:contextualSpacing/>
              <w:jc w:val="center"/>
              <w:rPr>
                <w:rFonts w:asciiTheme="minorHAnsi" w:eastAsia="Times" w:hAnsiTheme="minorHAnsi" w:cs="Arial"/>
                <w:b/>
                <w:sz w:val="22"/>
                <w:szCs w:val="22"/>
                <w:lang w:val="en-US" w:eastAsia="es-ES"/>
              </w:rPr>
            </w:pPr>
            <w:r w:rsidRPr="00437EA6">
              <w:rPr>
                <w:rFonts w:asciiTheme="minorHAnsi" w:eastAsia="Times" w:hAnsiTheme="minorHAnsi" w:cs="Arial"/>
                <w:b/>
                <w:sz w:val="22"/>
                <w:szCs w:val="22"/>
                <w:lang w:val="en-US" w:eastAsia="es-ES"/>
              </w:rPr>
              <w:t>&gt; 5 YEARS</w:t>
            </w:r>
          </w:p>
        </w:tc>
      </w:tr>
      <w:tr w:rsidR="006C7AE5" w:rsidRPr="00437EA6" w:rsidTr="006C7AE5">
        <w:trPr>
          <w:jc w:val="center"/>
        </w:trPr>
        <w:tc>
          <w:tcPr>
            <w:tcW w:w="0" w:type="auto"/>
            <w:shd w:val="pct20" w:color="auto" w:fill="auto"/>
            <w:vAlign w:val="center"/>
          </w:tcPr>
          <w:p w:rsidR="006C7AE5" w:rsidRPr="00437EA6" w:rsidRDefault="006C7AE5" w:rsidP="006C7AE5">
            <w:pPr>
              <w:contextualSpacing/>
              <w:jc w:val="center"/>
              <w:rPr>
                <w:rFonts w:asciiTheme="minorHAnsi" w:eastAsia="Times" w:hAnsiTheme="minorHAnsi" w:cs="Arial"/>
                <w:b/>
                <w:sz w:val="22"/>
                <w:szCs w:val="22"/>
                <w:lang w:val="en-US" w:eastAsia="es-ES"/>
              </w:rPr>
            </w:pPr>
            <w:r w:rsidRPr="00437EA6">
              <w:rPr>
                <w:rFonts w:asciiTheme="minorHAnsi" w:eastAsia="Times" w:hAnsiTheme="minorHAnsi" w:cs="Arial"/>
                <w:b/>
                <w:sz w:val="22"/>
                <w:szCs w:val="22"/>
                <w:lang w:val="en-US" w:eastAsia="es-ES"/>
              </w:rPr>
              <w:t>CR1</w:t>
            </w:r>
          </w:p>
        </w:tc>
        <w:tc>
          <w:tcPr>
            <w:tcW w:w="1442" w:type="dxa"/>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CR1</w:t>
            </w:r>
          </w:p>
        </w:tc>
        <w:tc>
          <w:tcPr>
            <w:tcW w:w="1445" w:type="dxa"/>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CR1</w:t>
            </w:r>
          </w:p>
        </w:tc>
        <w:tc>
          <w:tcPr>
            <w:tcW w:w="1734" w:type="dxa"/>
            <w:shd w:val="clear" w:color="auto" w:fill="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CR2</w:t>
            </w:r>
          </w:p>
        </w:tc>
        <w:tc>
          <w:tcPr>
            <w:tcW w:w="0" w:type="auto"/>
            <w:shd w:val="clear" w:color="auto" w:fill="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CR2</w:t>
            </w:r>
          </w:p>
        </w:tc>
      </w:tr>
      <w:tr w:rsidR="006C7AE5" w:rsidRPr="00437EA6" w:rsidTr="006C7AE5">
        <w:trPr>
          <w:jc w:val="center"/>
        </w:trPr>
        <w:tc>
          <w:tcPr>
            <w:tcW w:w="0" w:type="auto"/>
            <w:shd w:val="pct20" w:color="auto" w:fill="auto"/>
            <w:vAlign w:val="center"/>
          </w:tcPr>
          <w:p w:rsidR="006C7AE5" w:rsidRPr="00437EA6" w:rsidRDefault="006C7AE5" w:rsidP="006C7AE5">
            <w:pPr>
              <w:contextualSpacing/>
              <w:jc w:val="center"/>
              <w:rPr>
                <w:rFonts w:asciiTheme="minorHAnsi" w:eastAsia="Times" w:hAnsiTheme="minorHAnsi" w:cs="Arial"/>
                <w:b/>
                <w:sz w:val="22"/>
                <w:szCs w:val="22"/>
                <w:lang w:val="en-US" w:eastAsia="es-ES"/>
              </w:rPr>
            </w:pPr>
            <w:r w:rsidRPr="00437EA6">
              <w:rPr>
                <w:rFonts w:asciiTheme="minorHAnsi" w:eastAsia="Times" w:hAnsiTheme="minorHAnsi" w:cs="Arial"/>
                <w:b/>
                <w:sz w:val="22"/>
                <w:szCs w:val="22"/>
                <w:lang w:val="en-US" w:eastAsia="es-ES"/>
              </w:rPr>
              <w:t>CR2</w:t>
            </w:r>
          </w:p>
        </w:tc>
        <w:tc>
          <w:tcPr>
            <w:tcW w:w="1442" w:type="dxa"/>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CR2</w:t>
            </w:r>
          </w:p>
        </w:tc>
        <w:tc>
          <w:tcPr>
            <w:tcW w:w="1445" w:type="dxa"/>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CR2</w:t>
            </w:r>
          </w:p>
        </w:tc>
        <w:tc>
          <w:tcPr>
            <w:tcW w:w="1734" w:type="dxa"/>
            <w:shd w:val="clear" w:color="auto" w:fill="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CR3</w:t>
            </w:r>
          </w:p>
        </w:tc>
        <w:tc>
          <w:tcPr>
            <w:tcW w:w="0" w:type="auto"/>
            <w:shd w:val="clear" w:color="auto" w:fill="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CR4</w:t>
            </w:r>
          </w:p>
        </w:tc>
      </w:tr>
      <w:tr w:rsidR="006C7AE5" w:rsidRPr="00437EA6" w:rsidTr="006C7AE5">
        <w:trPr>
          <w:jc w:val="center"/>
        </w:trPr>
        <w:tc>
          <w:tcPr>
            <w:tcW w:w="0" w:type="auto"/>
            <w:shd w:val="pct20" w:color="auto" w:fill="auto"/>
            <w:vAlign w:val="center"/>
          </w:tcPr>
          <w:p w:rsidR="006C7AE5" w:rsidRPr="00437EA6" w:rsidRDefault="006C7AE5" w:rsidP="006C7AE5">
            <w:pPr>
              <w:contextualSpacing/>
              <w:jc w:val="center"/>
              <w:rPr>
                <w:rFonts w:asciiTheme="minorHAnsi" w:eastAsia="Times" w:hAnsiTheme="minorHAnsi" w:cs="Arial"/>
                <w:b/>
                <w:sz w:val="22"/>
                <w:szCs w:val="22"/>
                <w:lang w:val="en-US" w:eastAsia="es-ES"/>
              </w:rPr>
            </w:pPr>
            <w:r w:rsidRPr="00437EA6">
              <w:rPr>
                <w:rFonts w:asciiTheme="minorHAnsi" w:eastAsia="Times" w:hAnsiTheme="minorHAnsi" w:cs="Arial"/>
                <w:b/>
                <w:sz w:val="22"/>
                <w:szCs w:val="22"/>
                <w:lang w:val="en-US" w:eastAsia="es-ES"/>
              </w:rPr>
              <w:t>CR3</w:t>
            </w:r>
          </w:p>
        </w:tc>
        <w:tc>
          <w:tcPr>
            <w:tcW w:w="1442" w:type="dxa"/>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CR3</w:t>
            </w:r>
          </w:p>
        </w:tc>
        <w:tc>
          <w:tcPr>
            <w:tcW w:w="1445" w:type="dxa"/>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CR3</w:t>
            </w:r>
          </w:p>
        </w:tc>
        <w:tc>
          <w:tcPr>
            <w:tcW w:w="1734" w:type="dxa"/>
            <w:shd w:val="clear" w:color="auto" w:fill="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CR4</w:t>
            </w:r>
          </w:p>
        </w:tc>
        <w:tc>
          <w:tcPr>
            <w:tcW w:w="0" w:type="auto"/>
            <w:shd w:val="clear" w:color="auto" w:fill="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CR5</w:t>
            </w:r>
          </w:p>
        </w:tc>
      </w:tr>
      <w:tr w:rsidR="006C7AE5" w:rsidRPr="00437EA6" w:rsidTr="006C7AE5">
        <w:trPr>
          <w:jc w:val="center"/>
        </w:trPr>
        <w:tc>
          <w:tcPr>
            <w:tcW w:w="0" w:type="auto"/>
            <w:shd w:val="pct20" w:color="auto" w:fill="auto"/>
            <w:vAlign w:val="center"/>
          </w:tcPr>
          <w:p w:rsidR="006C7AE5" w:rsidRPr="00437EA6" w:rsidRDefault="006C7AE5" w:rsidP="006C7AE5">
            <w:pPr>
              <w:contextualSpacing/>
              <w:jc w:val="center"/>
              <w:rPr>
                <w:rFonts w:asciiTheme="minorHAnsi" w:eastAsia="Times" w:hAnsiTheme="minorHAnsi" w:cs="Arial"/>
                <w:b/>
                <w:sz w:val="22"/>
                <w:szCs w:val="22"/>
                <w:lang w:val="en-US" w:eastAsia="es-ES"/>
              </w:rPr>
            </w:pPr>
            <w:r w:rsidRPr="00437EA6">
              <w:rPr>
                <w:rFonts w:asciiTheme="minorHAnsi" w:eastAsia="Times" w:hAnsiTheme="minorHAnsi" w:cs="Arial"/>
                <w:b/>
                <w:sz w:val="22"/>
                <w:szCs w:val="22"/>
                <w:lang w:val="en-US" w:eastAsia="es-ES"/>
              </w:rPr>
              <w:t>CR4</w:t>
            </w:r>
          </w:p>
        </w:tc>
        <w:tc>
          <w:tcPr>
            <w:tcW w:w="1442" w:type="dxa"/>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CR4</w:t>
            </w:r>
          </w:p>
        </w:tc>
        <w:tc>
          <w:tcPr>
            <w:tcW w:w="1445" w:type="dxa"/>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CR5</w:t>
            </w:r>
          </w:p>
        </w:tc>
        <w:tc>
          <w:tcPr>
            <w:tcW w:w="1734" w:type="dxa"/>
            <w:shd w:val="clear" w:color="auto" w:fill="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CR5</w:t>
            </w:r>
          </w:p>
        </w:tc>
        <w:tc>
          <w:tcPr>
            <w:tcW w:w="0" w:type="auto"/>
            <w:shd w:val="clear" w:color="auto" w:fill="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CR6</w:t>
            </w:r>
          </w:p>
        </w:tc>
      </w:tr>
      <w:tr w:rsidR="006C7AE5" w:rsidRPr="00437EA6" w:rsidTr="006C7AE5">
        <w:trPr>
          <w:jc w:val="center"/>
        </w:trPr>
        <w:tc>
          <w:tcPr>
            <w:tcW w:w="0" w:type="auto"/>
            <w:shd w:val="pct20" w:color="auto" w:fill="auto"/>
            <w:vAlign w:val="center"/>
          </w:tcPr>
          <w:p w:rsidR="006C7AE5" w:rsidRPr="00437EA6" w:rsidRDefault="006C7AE5" w:rsidP="006C7AE5">
            <w:pPr>
              <w:contextualSpacing/>
              <w:jc w:val="center"/>
              <w:rPr>
                <w:rFonts w:asciiTheme="minorHAnsi" w:eastAsia="Times" w:hAnsiTheme="minorHAnsi" w:cs="Arial"/>
                <w:b/>
                <w:sz w:val="22"/>
                <w:szCs w:val="22"/>
                <w:lang w:val="en-US" w:eastAsia="es-ES"/>
              </w:rPr>
            </w:pPr>
            <w:r w:rsidRPr="00437EA6">
              <w:rPr>
                <w:rFonts w:asciiTheme="minorHAnsi" w:eastAsia="Times" w:hAnsiTheme="minorHAnsi" w:cs="Arial"/>
                <w:b/>
                <w:sz w:val="22"/>
                <w:szCs w:val="22"/>
                <w:lang w:val="en-US" w:eastAsia="es-ES"/>
              </w:rPr>
              <w:t>CR5</w:t>
            </w:r>
          </w:p>
        </w:tc>
        <w:tc>
          <w:tcPr>
            <w:tcW w:w="1442" w:type="dxa"/>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CR5</w:t>
            </w:r>
          </w:p>
        </w:tc>
        <w:tc>
          <w:tcPr>
            <w:tcW w:w="1445" w:type="dxa"/>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CR6</w:t>
            </w:r>
          </w:p>
        </w:tc>
        <w:tc>
          <w:tcPr>
            <w:tcW w:w="1734" w:type="dxa"/>
            <w:shd w:val="clear" w:color="auto" w:fill="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CR6</w:t>
            </w:r>
          </w:p>
        </w:tc>
        <w:tc>
          <w:tcPr>
            <w:tcW w:w="0" w:type="auto"/>
            <w:shd w:val="clear" w:color="auto" w:fill="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CR6</w:t>
            </w:r>
          </w:p>
        </w:tc>
      </w:tr>
      <w:tr w:rsidR="006C7AE5" w:rsidRPr="00437EA6" w:rsidTr="006C7AE5">
        <w:trPr>
          <w:jc w:val="center"/>
        </w:trPr>
        <w:tc>
          <w:tcPr>
            <w:tcW w:w="0" w:type="auto"/>
            <w:shd w:val="pct20" w:color="auto" w:fill="auto"/>
            <w:vAlign w:val="center"/>
          </w:tcPr>
          <w:p w:rsidR="006C7AE5" w:rsidRPr="00437EA6" w:rsidRDefault="006C7AE5" w:rsidP="006C7AE5">
            <w:pPr>
              <w:contextualSpacing/>
              <w:jc w:val="center"/>
              <w:rPr>
                <w:rFonts w:asciiTheme="minorHAnsi" w:eastAsia="Times" w:hAnsiTheme="minorHAnsi" w:cs="Arial"/>
                <w:b/>
                <w:sz w:val="22"/>
                <w:szCs w:val="22"/>
                <w:lang w:val="en-US" w:eastAsia="es-ES"/>
              </w:rPr>
            </w:pPr>
            <w:r w:rsidRPr="00437EA6">
              <w:rPr>
                <w:rFonts w:asciiTheme="minorHAnsi" w:eastAsia="Times" w:hAnsiTheme="minorHAnsi" w:cs="Arial"/>
                <w:b/>
                <w:sz w:val="22"/>
                <w:szCs w:val="22"/>
                <w:lang w:val="en-US" w:eastAsia="es-ES"/>
              </w:rPr>
              <w:t>CR6</w:t>
            </w:r>
          </w:p>
        </w:tc>
        <w:tc>
          <w:tcPr>
            <w:tcW w:w="1442" w:type="dxa"/>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CR6</w:t>
            </w:r>
          </w:p>
        </w:tc>
        <w:tc>
          <w:tcPr>
            <w:tcW w:w="1445" w:type="dxa"/>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CR6</w:t>
            </w:r>
          </w:p>
        </w:tc>
        <w:tc>
          <w:tcPr>
            <w:tcW w:w="1734" w:type="dxa"/>
            <w:shd w:val="clear" w:color="auto" w:fill="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CR6</w:t>
            </w:r>
          </w:p>
        </w:tc>
        <w:tc>
          <w:tcPr>
            <w:tcW w:w="0" w:type="auto"/>
            <w:shd w:val="clear" w:color="auto" w:fill="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CR6</w:t>
            </w:r>
          </w:p>
        </w:tc>
      </w:tr>
    </w:tbl>
    <w:p w:rsidR="006C7AE5" w:rsidRPr="00437EA6" w:rsidRDefault="006C7AE5" w:rsidP="006C7AE5">
      <w:pPr>
        <w:rPr>
          <w:rFonts w:asciiTheme="minorHAnsi" w:hAnsiTheme="minorHAnsi"/>
          <w:sz w:val="24"/>
        </w:rPr>
      </w:pPr>
    </w:p>
    <w:p w:rsidR="006C7AE5" w:rsidRPr="006C7AE5" w:rsidRDefault="006C7AE5" w:rsidP="006F309F">
      <w:pPr>
        <w:rPr>
          <w:color w:val="FF0000"/>
          <w:szCs w:val="17"/>
        </w:rPr>
      </w:pPr>
    </w:p>
    <w:permEnd w:id="7"/>
    <w:p w:rsidR="003E4B00" w:rsidRPr="00580880" w:rsidRDefault="003E4B00" w:rsidP="003E4B00">
      <w:pPr>
        <w:rPr>
          <w:lang w:val="fr-FR"/>
        </w:rPr>
      </w:pPr>
      <w:r w:rsidRPr="00580880">
        <w:rPr>
          <w:lang w:val="fr-FR"/>
        </w:rPr>
        <w:t>&lt;ESMA_QUESTION_</w:t>
      </w:r>
      <w:r>
        <w:rPr>
          <w:lang w:val="fr-FR"/>
        </w:rPr>
        <w:t>PRIIPS_7</w:t>
      </w:r>
      <w:r w:rsidRPr="00580880">
        <w:rPr>
          <w:lang w:val="fr-FR"/>
        </w:rPr>
        <w:t>&gt;</w:t>
      </w:r>
    </w:p>
    <w:p w:rsidR="00F32462" w:rsidRDefault="00F32462"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8</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sz w:val="22"/>
          <w:lang w:eastAsia="en-US"/>
        </w:rPr>
      </w:pPr>
      <w:r w:rsidRPr="00580880">
        <w:rPr>
          <w:rFonts w:ascii="Calibri" w:hAnsi="Calibri"/>
          <w:i/>
          <w:sz w:val="22"/>
          <w:lang w:eastAsia="en-US"/>
        </w:rPr>
        <w:t xml:space="preserve">Do you agree with the scales of the classes MRM, CRM and SRI? If not, please specify your alternative proposal and include your reasoning. </w:t>
      </w:r>
    </w:p>
    <w:p w:rsidR="003E4B00" w:rsidRDefault="003E4B00" w:rsidP="003E4B00"/>
    <w:p w:rsidR="003E4B00" w:rsidRDefault="003E4B00" w:rsidP="003E4B00">
      <w:r>
        <w:t>&lt;ESMA_QUESTION_PRIIPS_8&gt;</w:t>
      </w:r>
    </w:p>
    <w:p w:rsidR="006C7AE5" w:rsidRPr="00437EA6" w:rsidRDefault="006C7AE5" w:rsidP="006C7AE5">
      <w:pPr>
        <w:rPr>
          <w:rFonts w:asciiTheme="minorHAnsi" w:hAnsiTheme="minorHAnsi"/>
          <w:sz w:val="22"/>
          <w:szCs w:val="22"/>
        </w:rPr>
      </w:pPr>
      <w:permStart w:id="8" w:edGrp="everyone"/>
      <w:r w:rsidRPr="00437EA6">
        <w:rPr>
          <w:rFonts w:asciiTheme="minorHAnsi" w:hAnsiTheme="minorHAnsi"/>
          <w:sz w:val="22"/>
          <w:szCs w:val="22"/>
        </w:rPr>
        <w:t>We would propose a more granular CRM class, at least as granular as the MRM, which means conside</w:t>
      </w:r>
      <w:r w:rsidRPr="00437EA6">
        <w:rPr>
          <w:rFonts w:asciiTheme="minorHAnsi" w:hAnsiTheme="minorHAnsi"/>
          <w:sz w:val="22"/>
          <w:szCs w:val="22"/>
        </w:rPr>
        <w:t>r</w:t>
      </w:r>
      <w:r w:rsidRPr="00437EA6">
        <w:rPr>
          <w:rFonts w:asciiTheme="minorHAnsi" w:hAnsiTheme="minorHAnsi"/>
          <w:sz w:val="22"/>
          <w:szCs w:val="22"/>
        </w:rPr>
        <w:t>ing 7 CRM levels instead of the 6 proposed in the RTS. We would also suggest more “rounded” one year PD references to assign CRM classes. Our proposal would be:</w:t>
      </w:r>
    </w:p>
    <w:p w:rsidR="006C7AE5" w:rsidRPr="00437EA6" w:rsidRDefault="006C7AE5" w:rsidP="006C7AE5">
      <w:pPr>
        <w:rPr>
          <w:rFonts w:asciiTheme="minorHAnsi" w:hAnsiTheme="minorHAnsi"/>
          <w:sz w:val="22"/>
          <w:szCs w:val="22"/>
        </w:rPr>
      </w:pPr>
    </w:p>
    <w:p w:rsidR="006C7AE5" w:rsidRPr="00437EA6" w:rsidRDefault="006C7AE5" w:rsidP="006C7AE5">
      <w:pPr>
        <w:rPr>
          <w:rFonts w:asciiTheme="minorHAnsi" w:hAnsiTheme="minorHAnsi"/>
          <w:sz w:val="22"/>
          <w:szCs w:val="22"/>
        </w:rPr>
      </w:pPr>
      <w:r w:rsidRPr="00437EA6">
        <w:rPr>
          <w:rFonts w:asciiTheme="minorHAnsi" w:hAnsiTheme="minorHAnsi"/>
          <w:sz w:val="22"/>
          <w:szCs w:val="22"/>
        </w:rPr>
        <w:t xml:space="preserve"> </w:t>
      </w:r>
      <w:proofErr w:type="gramStart"/>
      <w:r w:rsidRPr="00437EA6">
        <w:rPr>
          <w:rFonts w:asciiTheme="minorHAnsi" w:hAnsiTheme="minorHAnsi"/>
          <w:sz w:val="22"/>
          <w:szCs w:val="22"/>
        </w:rPr>
        <w:t>For</w:t>
      </w:r>
      <w:proofErr w:type="gramEnd"/>
      <w:r w:rsidRPr="00437EA6">
        <w:rPr>
          <w:rFonts w:asciiTheme="minorHAnsi" w:hAnsiTheme="minorHAnsi"/>
          <w:sz w:val="22"/>
          <w:szCs w:val="22"/>
        </w:rPr>
        <w:t xml:space="preserve"> CRM Classes:</w:t>
      </w:r>
    </w:p>
    <w:p w:rsidR="006C7AE5" w:rsidRPr="00437EA6" w:rsidRDefault="006C7AE5" w:rsidP="006C7AE5">
      <w:pPr>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0"/>
        <w:gridCol w:w="2083"/>
      </w:tblGrid>
      <w:tr w:rsidR="006C7AE5" w:rsidRPr="00437EA6" w:rsidTr="006C7AE5">
        <w:trPr>
          <w:trHeight w:val="510"/>
          <w:jc w:val="center"/>
        </w:trPr>
        <w:tc>
          <w:tcPr>
            <w:tcW w:w="0" w:type="auto"/>
            <w:shd w:val="clear" w:color="auto" w:fill="BFBFBF"/>
            <w:vAlign w:val="center"/>
          </w:tcPr>
          <w:p w:rsidR="006C7AE5" w:rsidRPr="00437EA6" w:rsidRDefault="006C7AE5" w:rsidP="006C7AE5">
            <w:pPr>
              <w:contextualSpacing/>
              <w:jc w:val="center"/>
              <w:rPr>
                <w:rFonts w:asciiTheme="minorHAnsi" w:eastAsia="Times" w:hAnsiTheme="minorHAnsi" w:cs="Arial"/>
                <w:b/>
                <w:sz w:val="22"/>
                <w:szCs w:val="22"/>
                <w:lang w:val="en-US" w:eastAsia="es-ES"/>
              </w:rPr>
            </w:pPr>
            <w:r w:rsidRPr="00437EA6">
              <w:rPr>
                <w:rFonts w:asciiTheme="minorHAnsi" w:eastAsia="Times" w:hAnsiTheme="minorHAnsi" w:cs="Arial"/>
                <w:b/>
                <w:sz w:val="22"/>
                <w:szCs w:val="22"/>
                <w:lang w:val="en-US" w:eastAsia="es-ES"/>
              </w:rPr>
              <w:t>CRM CLASS</w:t>
            </w:r>
          </w:p>
        </w:tc>
        <w:tc>
          <w:tcPr>
            <w:tcW w:w="2083" w:type="dxa"/>
            <w:shd w:val="clear" w:color="auto" w:fill="BFBFBF"/>
            <w:vAlign w:val="center"/>
          </w:tcPr>
          <w:p w:rsidR="006C7AE5" w:rsidRPr="00437EA6" w:rsidRDefault="006C7AE5" w:rsidP="006C7AE5">
            <w:pPr>
              <w:contextualSpacing/>
              <w:jc w:val="center"/>
              <w:rPr>
                <w:rFonts w:asciiTheme="minorHAnsi" w:eastAsia="Times" w:hAnsiTheme="minorHAnsi" w:cs="Arial"/>
                <w:b/>
                <w:sz w:val="22"/>
                <w:szCs w:val="22"/>
                <w:lang w:val="en-US" w:eastAsia="es-ES"/>
              </w:rPr>
            </w:pPr>
            <w:r w:rsidRPr="00437EA6">
              <w:rPr>
                <w:rFonts w:asciiTheme="minorHAnsi" w:eastAsia="Times" w:hAnsiTheme="minorHAnsi" w:cs="Arial"/>
                <w:b/>
                <w:sz w:val="22"/>
                <w:szCs w:val="22"/>
                <w:lang w:val="en-US" w:eastAsia="es-ES"/>
              </w:rPr>
              <w:t xml:space="preserve">Default Probability </w:t>
            </w:r>
          </w:p>
          <w:p w:rsidR="006C7AE5" w:rsidRPr="00437EA6" w:rsidRDefault="006C7AE5" w:rsidP="006C7AE5">
            <w:pPr>
              <w:contextualSpacing/>
              <w:jc w:val="center"/>
              <w:rPr>
                <w:rFonts w:asciiTheme="minorHAnsi" w:eastAsia="Times" w:hAnsiTheme="minorHAnsi" w:cs="Arial"/>
                <w:b/>
                <w:sz w:val="22"/>
                <w:szCs w:val="22"/>
                <w:lang w:val="en-US" w:eastAsia="es-ES"/>
              </w:rPr>
            </w:pPr>
            <w:r w:rsidRPr="00437EA6">
              <w:rPr>
                <w:rFonts w:asciiTheme="minorHAnsi" w:eastAsia="Times" w:hAnsiTheme="minorHAnsi" w:cs="Arial"/>
                <w:b/>
                <w:sz w:val="22"/>
                <w:szCs w:val="22"/>
                <w:lang w:val="en-US" w:eastAsia="es-ES"/>
              </w:rPr>
              <w:t>1 year</w:t>
            </w:r>
          </w:p>
        </w:tc>
      </w:tr>
      <w:tr w:rsidR="006C7AE5" w:rsidRPr="00437EA6" w:rsidTr="006C7AE5">
        <w:trPr>
          <w:jc w:val="center"/>
        </w:trPr>
        <w:tc>
          <w:tcPr>
            <w:tcW w:w="0" w:type="auto"/>
            <w:shd w:val="clear" w:color="auto" w:fill="BFBFBF"/>
            <w:vAlign w:val="center"/>
          </w:tcPr>
          <w:p w:rsidR="006C7AE5" w:rsidRPr="00437EA6" w:rsidRDefault="006C7AE5" w:rsidP="006C7AE5">
            <w:pPr>
              <w:spacing w:before="60" w:after="60"/>
              <w:contextualSpacing/>
              <w:jc w:val="center"/>
              <w:rPr>
                <w:rFonts w:asciiTheme="minorHAnsi" w:eastAsia="Times" w:hAnsiTheme="minorHAnsi" w:cs="Arial"/>
                <w:b/>
                <w:sz w:val="22"/>
                <w:szCs w:val="22"/>
                <w:lang w:val="en-US" w:eastAsia="es-ES"/>
              </w:rPr>
            </w:pPr>
            <w:r w:rsidRPr="00437EA6">
              <w:rPr>
                <w:rFonts w:asciiTheme="minorHAnsi" w:eastAsia="Times" w:hAnsiTheme="minorHAnsi" w:cs="Arial"/>
                <w:b/>
                <w:sz w:val="22"/>
                <w:szCs w:val="22"/>
                <w:lang w:val="en-US" w:eastAsia="es-ES"/>
              </w:rPr>
              <w:t>CR1</w:t>
            </w:r>
          </w:p>
        </w:tc>
        <w:tc>
          <w:tcPr>
            <w:tcW w:w="2083" w:type="dxa"/>
            <w:shd w:val="clear" w:color="auto" w:fill="auto"/>
            <w:vAlign w:val="center"/>
          </w:tcPr>
          <w:p w:rsidR="006C7AE5" w:rsidRPr="00437EA6" w:rsidRDefault="006C7AE5" w:rsidP="006C7AE5">
            <w:pPr>
              <w:spacing w:before="60" w:after="60"/>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 0.05%</w:t>
            </w:r>
          </w:p>
        </w:tc>
      </w:tr>
      <w:tr w:rsidR="006C7AE5" w:rsidRPr="00437EA6" w:rsidTr="006C7AE5">
        <w:trPr>
          <w:jc w:val="center"/>
        </w:trPr>
        <w:tc>
          <w:tcPr>
            <w:tcW w:w="0" w:type="auto"/>
            <w:shd w:val="clear" w:color="auto" w:fill="BFBFBF"/>
            <w:vAlign w:val="center"/>
          </w:tcPr>
          <w:p w:rsidR="006C7AE5" w:rsidRPr="00437EA6" w:rsidRDefault="006C7AE5" w:rsidP="006C7AE5">
            <w:pPr>
              <w:spacing w:before="60" w:after="60"/>
              <w:contextualSpacing/>
              <w:jc w:val="center"/>
              <w:rPr>
                <w:rFonts w:asciiTheme="minorHAnsi" w:eastAsia="Times" w:hAnsiTheme="minorHAnsi" w:cs="Arial"/>
                <w:b/>
                <w:sz w:val="22"/>
                <w:szCs w:val="22"/>
                <w:lang w:val="en-US" w:eastAsia="es-ES"/>
              </w:rPr>
            </w:pPr>
            <w:r w:rsidRPr="00437EA6">
              <w:rPr>
                <w:rFonts w:asciiTheme="minorHAnsi" w:eastAsia="Times" w:hAnsiTheme="minorHAnsi" w:cs="Arial"/>
                <w:b/>
                <w:sz w:val="22"/>
                <w:szCs w:val="22"/>
                <w:lang w:val="en-US" w:eastAsia="es-ES"/>
              </w:rPr>
              <w:t>CR2</w:t>
            </w:r>
          </w:p>
        </w:tc>
        <w:tc>
          <w:tcPr>
            <w:tcW w:w="2083" w:type="dxa"/>
            <w:shd w:val="clear" w:color="auto" w:fill="auto"/>
            <w:vAlign w:val="center"/>
          </w:tcPr>
          <w:p w:rsidR="006C7AE5" w:rsidRPr="00437EA6" w:rsidRDefault="006C7AE5" w:rsidP="006C7AE5">
            <w:pPr>
              <w:spacing w:before="60" w:after="60"/>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&gt;0.05% and ≤ 0.1%</w:t>
            </w:r>
          </w:p>
        </w:tc>
      </w:tr>
      <w:tr w:rsidR="006C7AE5" w:rsidRPr="00437EA6" w:rsidTr="006C7AE5">
        <w:trPr>
          <w:jc w:val="center"/>
        </w:trPr>
        <w:tc>
          <w:tcPr>
            <w:tcW w:w="0" w:type="auto"/>
            <w:shd w:val="clear" w:color="auto" w:fill="BFBFBF"/>
            <w:vAlign w:val="center"/>
          </w:tcPr>
          <w:p w:rsidR="006C7AE5" w:rsidRPr="00437EA6" w:rsidRDefault="006C7AE5" w:rsidP="006C7AE5">
            <w:pPr>
              <w:spacing w:before="60" w:after="60"/>
              <w:contextualSpacing/>
              <w:jc w:val="center"/>
              <w:rPr>
                <w:rFonts w:asciiTheme="minorHAnsi" w:eastAsia="Times" w:hAnsiTheme="minorHAnsi" w:cs="Arial"/>
                <w:b/>
                <w:sz w:val="22"/>
                <w:szCs w:val="22"/>
                <w:lang w:val="en-US" w:eastAsia="es-ES"/>
              </w:rPr>
            </w:pPr>
            <w:r w:rsidRPr="00437EA6">
              <w:rPr>
                <w:rFonts w:asciiTheme="minorHAnsi" w:eastAsia="Times" w:hAnsiTheme="minorHAnsi" w:cs="Arial"/>
                <w:b/>
                <w:sz w:val="22"/>
                <w:szCs w:val="22"/>
                <w:lang w:val="en-US" w:eastAsia="es-ES"/>
              </w:rPr>
              <w:t>CR3</w:t>
            </w:r>
          </w:p>
        </w:tc>
        <w:tc>
          <w:tcPr>
            <w:tcW w:w="2083" w:type="dxa"/>
            <w:shd w:val="clear" w:color="auto" w:fill="auto"/>
            <w:vAlign w:val="center"/>
          </w:tcPr>
          <w:p w:rsidR="006C7AE5" w:rsidRPr="00437EA6" w:rsidRDefault="006C7AE5" w:rsidP="006C7AE5">
            <w:pPr>
              <w:spacing w:before="60" w:after="60"/>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&gt;0.1% and ≤ 0.2%</w:t>
            </w:r>
          </w:p>
        </w:tc>
      </w:tr>
      <w:tr w:rsidR="006C7AE5" w:rsidRPr="00437EA6" w:rsidTr="006C7AE5">
        <w:trPr>
          <w:jc w:val="center"/>
        </w:trPr>
        <w:tc>
          <w:tcPr>
            <w:tcW w:w="0" w:type="auto"/>
            <w:shd w:val="clear" w:color="auto" w:fill="BFBFBF"/>
            <w:vAlign w:val="center"/>
          </w:tcPr>
          <w:p w:rsidR="006C7AE5" w:rsidRPr="00437EA6" w:rsidRDefault="006C7AE5" w:rsidP="006C7AE5">
            <w:pPr>
              <w:spacing w:before="60" w:after="60"/>
              <w:contextualSpacing/>
              <w:jc w:val="center"/>
              <w:rPr>
                <w:rFonts w:asciiTheme="minorHAnsi" w:eastAsia="Times" w:hAnsiTheme="minorHAnsi" w:cs="Arial"/>
                <w:b/>
                <w:sz w:val="22"/>
                <w:szCs w:val="22"/>
                <w:lang w:val="en-US" w:eastAsia="es-ES"/>
              </w:rPr>
            </w:pPr>
            <w:r w:rsidRPr="00437EA6">
              <w:rPr>
                <w:rFonts w:asciiTheme="minorHAnsi" w:eastAsia="Times" w:hAnsiTheme="minorHAnsi" w:cs="Arial"/>
                <w:b/>
                <w:sz w:val="22"/>
                <w:szCs w:val="22"/>
                <w:lang w:val="en-US" w:eastAsia="es-ES"/>
              </w:rPr>
              <w:t>CR4</w:t>
            </w:r>
          </w:p>
        </w:tc>
        <w:tc>
          <w:tcPr>
            <w:tcW w:w="2083" w:type="dxa"/>
            <w:shd w:val="clear" w:color="auto" w:fill="auto"/>
            <w:vAlign w:val="center"/>
          </w:tcPr>
          <w:p w:rsidR="006C7AE5" w:rsidRPr="00437EA6" w:rsidRDefault="006C7AE5" w:rsidP="006C7AE5">
            <w:pPr>
              <w:spacing w:before="60" w:after="60"/>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&gt;0.2% and ≤ 1.0%</w:t>
            </w:r>
          </w:p>
        </w:tc>
      </w:tr>
      <w:tr w:rsidR="006C7AE5" w:rsidRPr="00437EA6" w:rsidTr="006C7AE5">
        <w:trPr>
          <w:jc w:val="center"/>
        </w:trPr>
        <w:tc>
          <w:tcPr>
            <w:tcW w:w="0" w:type="auto"/>
            <w:shd w:val="clear" w:color="auto" w:fill="BFBFBF"/>
            <w:vAlign w:val="center"/>
          </w:tcPr>
          <w:p w:rsidR="006C7AE5" w:rsidRPr="00437EA6" w:rsidRDefault="006C7AE5" w:rsidP="006C7AE5">
            <w:pPr>
              <w:spacing w:before="60" w:after="60"/>
              <w:contextualSpacing/>
              <w:jc w:val="center"/>
              <w:rPr>
                <w:rFonts w:asciiTheme="minorHAnsi" w:eastAsia="Times" w:hAnsiTheme="minorHAnsi" w:cs="Arial"/>
                <w:b/>
                <w:sz w:val="22"/>
                <w:szCs w:val="22"/>
                <w:lang w:val="en-US" w:eastAsia="es-ES"/>
              </w:rPr>
            </w:pPr>
            <w:r w:rsidRPr="00437EA6">
              <w:rPr>
                <w:rFonts w:asciiTheme="minorHAnsi" w:eastAsia="Times" w:hAnsiTheme="minorHAnsi" w:cs="Arial"/>
                <w:b/>
                <w:sz w:val="22"/>
                <w:szCs w:val="22"/>
                <w:lang w:val="en-US" w:eastAsia="es-ES"/>
              </w:rPr>
              <w:t>CR5</w:t>
            </w:r>
          </w:p>
        </w:tc>
        <w:tc>
          <w:tcPr>
            <w:tcW w:w="2083" w:type="dxa"/>
            <w:shd w:val="clear" w:color="auto" w:fill="auto"/>
            <w:vAlign w:val="center"/>
          </w:tcPr>
          <w:p w:rsidR="006C7AE5" w:rsidRPr="00437EA6" w:rsidRDefault="006C7AE5" w:rsidP="006C7AE5">
            <w:pPr>
              <w:spacing w:before="60" w:after="60"/>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&gt;1.0% and ≤ 2.0%</w:t>
            </w:r>
          </w:p>
        </w:tc>
      </w:tr>
      <w:tr w:rsidR="006C7AE5" w:rsidRPr="00437EA6" w:rsidTr="006C7AE5">
        <w:trPr>
          <w:jc w:val="center"/>
        </w:trPr>
        <w:tc>
          <w:tcPr>
            <w:tcW w:w="0" w:type="auto"/>
            <w:shd w:val="clear" w:color="auto" w:fill="BFBFBF"/>
            <w:vAlign w:val="center"/>
          </w:tcPr>
          <w:p w:rsidR="006C7AE5" w:rsidRPr="00437EA6" w:rsidRDefault="006C7AE5" w:rsidP="006C7AE5">
            <w:pPr>
              <w:spacing w:before="60" w:after="60"/>
              <w:contextualSpacing/>
              <w:jc w:val="center"/>
              <w:rPr>
                <w:rFonts w:asciiTheme="minorHAnsi" w:eastAsia="Times" w:hAnsiTheme="minorHAnsi" w:cs="Arial"/>
                <w:b/>
                <w:sz w:val="22"/>
                <w:szCs w:val="22"/>
                <w:lang w:val="en-US" w:eastAsia="es-ES"/>
              </w:rPr>
            </w:pPr>
            <w:r w:rsidRPr="00437EA6">
              <w:rPr>
                <w:rFonts w:asciiTheme="minorHAnsi" w:eastAsia="Times" w:hAnsiTheme="minorHAnsi" w:cs="Arial"/>
                <w:b/>
                <w:sz w:val="22"/>
                <w:szCs w:val="22"/>
                <w:lang w:val="en-US" w:eastAsia="es-ES"/>
              </w:rPr>
              <w:t>CR6</w:t>
            </w:r>
          </w:p>
        </w:tc>
        <w:tc>
          <w:tcPr>
            <w:tcW w:w="2083" w:type="dxa"/>
            <w:shd w:val="clear" w:color="auto" w:fill="auto"/>
            <w:vAlign w:val="center"/>
          </w:tcPr>
          <w:p w:rsidR="006C7AE5" w:rsidRPr="00437EA6" w:rsidRDefault="006C7AE5" w:rsidP="006C7AE5">
            <w:pPr>
              <w:spacing w:before="60" w:after="60"/>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&gt;2.0% and ≤ 10.0%</w:t>
            </w:r>
          </w:p>
        </w:tc>
      </w:tr>
      <w:tr w:rsidR="006C7AE5" w:rsidRPr="00437EA6" w:rsidTr="006C7AE5">
        <w:trPr>
          <w:jc w:val="center"/>
        </w:trPr>
        <w:tc>
          <w:tcPr>
            <w:tcW w:w="0" w:type="auto"/>
            <w:shd w:val="clear" w:color="auto" w:fill="BFBFBF"/>
            <w:vAlign w:val="center"/>
          </w:tcPr>
          <w:p w:rsidR="006C7AE5" w:rsidRPr="00437EA6" w:rsidRDefault="006C7AE5" w:rsidP="006C7AE5">
            <w:pPr>
              <w:spacing w:before="60" w:after="60"/>
              <w:contextualSpacing/>
              <w:jc w:val="center"/>
              <w:rPr>
                <w:rFonts w:asciiTheme="minorHAnsi" w:eastAsia="Times" w:hAnsiTheme="minorHAnsi" w:cs="Arial"/>
                <w:b/>
                <w:sz w:val="22"/>
                <w:szCs w:val="22"/>
                <w:lang w:val="en-US" w:eastAsia="es-ES"/>
              </w:rPr>
            </w:pPr>
            <w:r w:rsidRPr="00437EA6">
              <w:rPr>
                <w:rFonts w:asciiTheme="minorHAnsi" w:eastAsia="Times" w:hAnsiTheme="minorHAnsi" w:cs="Arial"/>
                <w:b/>
                <w:sz w:val="22"/>
                <w:szCs w:val="22"/>
                <w:lang w:val="en-US" w:eastAsia="es-ES"/>
              </w:rPr>
              <w:t>CR7</w:t>
            </w:r>
          </w:p>
        </w:tc>
        <w:tc>
          <w:tcPr>
            <w:tcW w:w="2083" w:type="dxa"/>
            <w:shd w:val="clear" w:color="auto" w:fill="auto"/>
            <w:vAlign w:val="center"/>
          </w:tcPr>
          <w:p w:rsidR="006C7AE5" w:rsidRPr="00437EA6" w:rsidRDefault="006C7AE5" w:rsidP="006C7AE5">
            <w:pPr>
              <w:spacing w:before="60" w:after="60"/>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&gt; 10.0%</w:t>
            </w:r>
          </w:p>
        </w:tc>
      </w:tr>
    </w:tbl>
    <w:p w:rsidR="006C7AE5" w:rsidRPr="00437EA6" w:rsidRDefault="006C7AE5" w:rsidP="006C7AE5">
      <w:pPr>
        <w:rPr>
          <w:rFonts w:asciiTheme="minorHAnsi" w:hAnsiTheme="minorHAnsi"/>
          <w:sz w:val="22"/>
          <w:szCs w:val="22"/>
        </w:rPr>
      </w:pPr>
    </w:p>
    <w:p w:rsidR="006C7AE5" w:rsidRPr="00437EA6" w:rsidRDefault="006C7AE5" w:rsidP="006C7AE5">
      <w:pPr>
        <w:rPr>
          <w:rFonts w:asciiTheme="minorHAnsi" w:hAnsiTheme="minorHAnsi"/>
          <w:sz w:val="22"/>
          <w:szCs w:val="22"/>
        </w:rPr>
      </w:pPr>
      <w:r w:rsidRPr="00437EA6">
        <w:rPr>
          <w:rFonts w:asciiTheme="minorHAnsi" w:hAnsiTheme="minorHAnsi"/>
          <w:sz w:val="22"/>
          <w:szCs w:val="22"/>
        </w:rPr>
        <w:lastRenderedPageBreak/>
        <w:t xml:space="preserve"> </w:t>
      </w:r>
      <w:proofErr w:type="gramStart"/>
      <w:r w:rsidRPr="00437EA6">
        <w:rPr>
          <w:rFonts w:asciiTheme="minorHAnsi" w:hAnsiTheme="minorHAnsi"/>
          <w:sz w:val="22"/>
          <w:szCs w:val="22"/>
        </w:rPr>
        <w:t>And</w:t>
      </w:r>
      <w:proofErr w:type="gramEnd"/>
      <w:r w:rsidRPr="00437EA6">
        <w:rPr>
          <w:rFonts w:asciiTheme="minorHAnsi" w:hAnsiTheme="minorHAnsi"/>
          <w:sz w:val="22"/>
          <w:szCs w:val="22"/>
        </w:rPr>
        <w:t xml:space="preserve"> for the SRI:</w:t>
      </w:r>
    </w:p>
    <w:p w:rsidR="006C7AE5" w:rsidRPr="00437EA6" w:rsidRDefault="006C7AE5" w:rsidP="006C7AE5">
      <w:pPr>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0"/>
        <w:gridCol w:w="644"/>
        <w:gridCol w:w="644"/>
        <w:gridCol w:w="644"/>
        <w:gridCol w:w="644"/>
        <w:gridCol w:w="644"/>
        <w:gridCol w:w="644"/>
        <w:gridCol w:w="644"/>
      </w:tblGrid>
      <w:tr w:rsidR="006C7AE5" w:rsidRPr="00437EA6" w:rsidTr="006C7AE5">
        <w:trPr>
          <w:jc w:val="center"/>
        </w:trPr>
        <w:tc>
          <w:tcPr>
            <w:tcW w:w="0" w:type="auto"/>
            <w:vMerge w:val="restart"/>
            <w:shd w:val="pct20" w:color="auto" w:fill="auto"/>
            <w:vAlign w:val="center"/>
          </w:tcPr>
          <w:p w:rsidR="006C7AE5" w:rsidRPr="00437EA6" w:rsidRDefault="006C7AE5" w:rsidP="006C7AE5">
            <w:pPr>
              <w:contextualSpacing/>
              <w:jc w:val="center"/>
              <w:rPr>
                <w:rFonts w:asciiTheme="minorHAnsi" w:eastAsia="Times" w:hAnsiTheme="minorHAnsi" w:cs="Arial"/>
                <w:b/>
                <w:sz w:val="22"/>
                <w:szCs w:val="22"/>
                <w:lang w:val="en-US" w:eastAsia="es-ES"/>
              </w:rPr>
            </w:pPr>
            <w:r w:rsidRPr="00437EA6">
              <w:rPr>
                <w:rFonts w:asciiTheme="minorHAnsi" w:eastAsia="Times" w:hAnsiTheme="minorHAnsi" w:cs="Arial"/>
                <w:b/>
                <w:sz w:val="22"/>
                <w:szCs w:val="22"/>
                <w:lang w:val="en-US" w:eastAsia="es-ES"/>
              </w:rPr>
              <w:t>CRM CLASS</w:t>
            </w:r>
          </w:p>
        </w:tc>
        <w:tc>
          <w:tcPr>
            <w:tcW w:w="0" w:type="auto"/>
            <w:gridSpan w:val="7"/>
            <w:shd w:val="pct20" w:color="auto" w:fill="auto"/>
            <w:vAlign w:val="center"/>
          </w:tcPr>
          <w:p w:rsidR="006C7AE5" w:rsidRPr="00437EA6" w:rsidRDefault="006C7AE5" w:rsidP="006C7AE5">
            <w:pPr>
              <w:spacing w:before="60" w:after="60"/>
              <w:contextualSpacing/>
              <w:jc w:val="center"/>
              <w:rPr>
                <w:rFonts w:asciiTheme="minorHAnsi" w:eastAsia="Times" w:hAnsiTheme="minorHAnsi" w:cs="Arial"/>
                <w:b/>
                <w:sz w:val="22"/>
                <w:szCs w:val="22"/>
                <w:lang w:val="en-US" w:eastAsia="es-ES"/>
              </w:rPr>
            </w:pPr>
            <w:r w:rsidRPr="00437EA6">
              <w:rPr>
                <w:rFonts w:asciiTheme="minorHAnsi" w:eastAsia="Times" w:hAnsiTheme="minorHAnsi" w:cs="Arial"/>
                <w:b/>
                <w:sz w:val="22"/>
                <w:szCs w:val="22"/>
                <w:lang w:val="en-US" w:eastAsia="es-ES"/>
              </w:rPr>
              <w:t>MRM CLASS</w:t>
            </w:r>
          </w:p>
        </w:tc>
      </w:tr>
      <w:tr w:rsidR="006C7AE5" w:rsidRPr="00437EA6" w:rsidTr="006C7AE5">
        <w:trPr>
          <w:trHeight w:val="501"/>
          <w:jc w:val="center"/>
        </w:trPr>
        <w:tc>
          <w:tcPr>
            <w:tcW w:w="0" w:type="auto"/>
            <w:vMerge/>
            <w:shd w:val="pct20" w:color="auto" w:fill="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p>
        </w:tc>
        <w:tc>
          <w:tcPr>
            <w:tcW w:w="0" w:type="auto"/>
            <w:shd w:val="pct20" w:color="auto" w:fill="auto"/>
            <w:vAlign w:val="center"/>
          </w:tcPr>
          <w:p w:rsidR="006C7AE5" w:rsidRPr="00437EA6" w:rsidRDefault="006C7AE5" w:rsidP="006C7AE5">
            <w:pPr>
              <w:contextualSpacing/>
              <w:jc w:val="center"/>
              <w:rPr>
                <w:rFonts w:asciiTheme="minorHAnsi" w:eastAsia="Times" w:hAnsiTheme="minorHAnsi" w:cs="Arial"/>
                <w:b/>
                <w:sz w:val="22"/>
                <w:szCs w:val="22"/>
                <w:lang w:val="en-US" w:eastAsia="es-ES"/>
              </w:rPr>
            </w:pPr>
            <w:r w:rsidRPr="00437EA6">
              <w:rPr>
                <w:rFonts w:asciiTheme="minorHAnsi" w:eastAsia="Times" w:hAnsiTheme="minorHAnsi" w:cs="Arial"/>
                <w:b/>
                <w:sz w:val="22"/>
                <w:szCs w:val="22"/>
                <w:lang w:val="en-US" w:eastAsia="es-ES"/>
              </w:rPr>
              <w:t>MR1</w:t>
            </w:r>
          </w:p>
        </w:tc>
        <w:tc>
          <w:tcPr>
            <w:tcW w:w="0" w:type="auto"/>
            <w:shd w:val="pct20" w:color="auto" w:fill="auto"/>
            <w:vAlign w:val="center"/>
          </w:tcPr>
          <w:p w:rsidR="006C7AE5" w:rsidRPr="00437EA6" w:rsidRDefault="006C7AE5" w:rsidP="006C7AE5">
            <w:pPr>
              <w:jc w:val="center"/>
              <w:rPr>
                <w:rFonts w:asciiTheme="minorHAnsi" w:eastAsia="Times" w:hAnsiTheme="minorHAnsi"/>
                <w:sz w:val="22"/>
                <w:szCs w:val="22"/>
                <w:lang w:val="es-ES" w:eastAsia="es-ES"/>
              </w:rPr>
            </w:pPr>
            <w:r w:rsidRPr="00437EA6">
              <w:rPr>
                <w:rFonts w:asciiTheme="minorHAnsi" w:eastAsia="Times" w:hAnsiTheme="minorHAnsi" w:cs="Arial"/>
                <w:b/>
                <w:sz w:val="22"/>
                <w:szCs w:val="22"/>
                <w:lang w:val="en-US" w:eastAsia="es-ES"/>
              </w:rPr>
              <w:t>MR2</w:t>
            </w:r>
          </w:p>
        </w:tc>
        <w:tc>
          <w:tcPr>
            <w:tcW w:w="0" w:type="auto"/>
            <w:shd w:val="pct20" w:color="auto" w:fill="auto"/>
            <w:vAlign w:val="center"/>
          </w:tcPr>
          <w:p w:rsidR="006C7AE5" w:rsidRPr="00437EA6" w:rsidRDefault="006C7AE5" w:rsidP="006C7AE5">
            <w:pPr>
              <w:jc w:val="center"/>
              <w:rPr>
                <w:rFonts w:asciiTheme="minorHAnsi" w:eastAsia="Times" w:hAnsiTheme="minorHAnsi"/>
                <w:sz w:val="22"/>
                <w:szCs w:val="22"/>
                <w:lang w:val="es-ES" w:eastAsia="es-ES"/>
              </w:rPr>
            </w:pPr>
            <w:r w:rsidRPr="00437EA6">
              <w:rPr>
                <w:rFonts w:asciiTheme="minorHAnsi" w:eastAsia="Times" w:hAnsiTheme="minorHAnsi" w:cs="Arial"/>
                <w:b/>
                <w:sz w:val="22"/>
                <w:szCs w:val="22"/>
                <w:lang w:val="en-US" w:eastAsia="es-ES"/>
              </w:rPr>
              <w:t>MR3</w:t>
            </w:r>
          </w:p>
        </w:tc>
        <w:tc>
          <w:tcPr>
            <w:tcW w:w="0" w:type="auto"/>
            <w:shd w:val="pct20" w:color="auto" w:fill="auto"/>
            <w:vAlign w:val="center"/>
          </w:tcPr>
          <w:p w:rsidR="006C7AE5" w:rsidRPr="00437EA6" w:rsidRDefault="006C7AE5" w:rsidP="006C7AE5">
            <w:pPr>
              <w:jc w:val="center"/>
              <w:rPr>
                <w:rFonts w:asciiTheme="minorHAnsi" w:eastAsia="Times" w:hAnsiTheme="minorHAnsi"/>
                <w:sz w:val="22"/>
                <w:szCs w:val="22"/>
                <w:lang w:val="es-ES" w:eastAsia="es-ES"/>
              </w:rPr>
            </w:pPr>
            <w:r w:rsidRPr="00437EA6">
              <w:rPr>
                <w:rFonts w:asciiTheme="minorHAnsi" w:eastAsia="Times" w:hAnsiTheme="minorHAnsi" w:cs="Arial"/>
                <w:b/>
                <w:sz w:val="22"/>
                <w:szCs w:val="22"/>
                <w:lang w:val="en-US" w:eastAsia="es-ES"/>
              </w:rPr>
              <w:t>MR4</w:t>
            </w:r>
          </w:p>
        </w:tc>
        <w:tc>
          <w:tcPr>
            <w:tcW w:w="0" w:type="auto"/>
            <w:shd w:val="pct20" w:color="auto" w:fill="auto"/>
            <w:vAlign w:val="center"/>
          </w:tcPr>
          <w:p w:rsidR="006C7AE5" w:rsidRPr="00437EA6" w:rsidRDefault="006C7AE5" w:rsidP="006C7AE5">
            <w:pPr>
              <w:jc w:val="center"/>
              <w:rPr>
                <w:rFonts w:asciiTheme="minorHAnsi" w:eastAsia="Times" w:hAnsiTheme="minorHAnsi"/>
                <w:sz w:val="22"/>
                <w:szCs w:val="22"/>
                <w:lang w:val="es-ES" w:eastAsia="es-ES"/>
              </w:rPr>
            </w:pPr>
            <w:r w:rsidRPr="00437EA6">
              <w:rPr>
                <w:rFonts w:asciiTheme="minorHAnsi" w:eastAsia="Times" w:hAnsiTheme="minorHAnsi" w:cs="Arial"/>
                <w:b/>
                <w:sz w:val="22"/>
                <w:szCs w:val="22"/>
                <w:lang w:val="en-US" w:eastAsia="es-ES"/>
              </w:rPr>
              <w:t>MR5</w:t>
            </w:r>
          </w:p>
        </w:tc>
        <w:tc>
          <w:tcPr>
            <w:tcW w:w="0" w:type="auto"/>
            <w:shd w:val="pct20" w:color="auto" w:fill="auto"/>
            <w:vAlign w:val="center"/>
          </w:tcPr>
          <w:p w:rsidR="006C7AE5" w:rsidRPr="00437EA6" w:rsidRDefault="006C7AE5" w:rsidP="006C7AE5">
            <w:pPr>
              <w:jc w:val="center"/>
              <w:rPr>
                <w:rFonts w:asciiTheme="minorHAnsi" w:eastAsia="Times" w:hAnsiTheme="minorHAnsi"/>
                <w:sz w:val="22"/>
                <w:szCs w:val="22"/>
                <w:lang w:val="es-ES" w:eastAsia="es-ES"/>
              </w:rPr>
            </w:pPr>
            <w:r w:rsidRPr="00437EA6">
              <w:rPr>
                <w:rFonts w:asciiTheme="minorHAnsi" w:eastAsia="Times" w:hAnsiTheme="minorHAnsi" w:cs="Arial"/>
                <w:b/>
                <w:sz w:val="22"/>
                <w:szCs w:val="22"/>
                <w:lang w:val="en-US" w:eastAsia="es-ES"/>
              </w:rPr>
              <w:t>MR6</w:t>
            </w:r>
          </w:p>
        </w:tc>
        <w:tc>
          <w:tcPr>
            <w:tcW w:w="0" w:type="auto"/>
            <w:shd w:val="pct20" w:color="auto" w:fill="auto"/>
            <w:vAlign w:val="center"/>
          </w:tcPr>
          <w:p w:rsidR="006C7AE5" w:rsidRPr="00437EA6" w:rsidRDefault="006C7AE5" w:rsidP="006C7AE5">
            <w:pPr>
              <w:jc w:val="center"/>
              <w:rPr>
                <w:rFonts w:asciiTheme="minorHAnsi" w:eastAsia="Times" w:hAnsiTheme="minorHAnsi"/>
                <w:sz w:val="22"/>
                <w:szCs w:val="22"/>
                <w:lang w:val="es-ES" w:eastAsia="es-ES"/>
              </w:rPr>
            </w:pPr>
            <w:r w:rsidRPr="00437EA6">
              <w:rPr>
                <w:rFonts w:asciiTheme="minorHAnsi" w:eastAsia="Times" w:hAnsiTheme="minorHAnsi" w:cs="Arial"/>
                <w:b/>
                <w:sz w:val="22"/>
                <w:szCs w:val="22"/>
                <w:lang w:val="en-US" w:eastAsia="es-ES"/>
              </w:rPr>
              <w:t>MR7</w:t>
            </w:r>
          </w:p>
        </w:tc>
      </w:tr>
      <w:tr w:rsidR="006C7AE5" w:rsidRPr="00437EA6" w:rsidTr="006C7AE5">
        <w:trPr>
          <w:jc w:val="center"/>
        </w:trPr>
        <w:tc>
          <w:tcPr>
            <w:tcW w:w="0" w:type="auto"/>
            <w:shd w:val="pct20" w:color="auto" w:fill="auto"/>
            <w:vAlign w:val="center"/>
          </w:tcPr>
          <w:p w:rsidR="006C7AE5" w:rsidRPr="00437EA6" w:rsidRDefault="006C7AE5" w:rsidP="006C7AE5">
            <w:pPr>
              <w:contextualSpacing/>
              <w:jc w:val="center"/>
              <w:rPr>
                <w:rFonts w:asciiTheme="minorHAnsi" w:eastAsia="Times" w:hAnsiTheme="minorHAnsi" w:cs="Arial"/>
                <w:b/>
                <w:sz w:val="22"/>
                <w:szCs w:val="22"/>
                <w:lang w:val="en-US" w:eastAsia="es-ES"/>
              </w:rPr>
            </w:pPr>
            <w:r w:rsidRPr="00437EA6">
              <w:rPr>
                <w:rFonts w:asciiTheme="minorHAnsi" w:eastAsia="Times" w:hAnsiTheme="minorHAnsi" w:cs="Arial"/>
                <w:b/>
                <w:sz w:val="22"/>
                <w:szCs w:val="22"/>
                <w:lang w:val="en-US" w:eastAsia="es-ES"/>
              </w:rPr>
              <w:t>CR1</w:t>
            </w:r>
          </w:p>
        </w:tc>
        <w:tc>
          <w:tcPr>
            <w:tcW w:w="0" w:type="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1</w:t>
            </w:r>
          </w:p>
        </w:tc>
        <w:tc>
          <w:tcPr>
            <w:tcW w:w="0" w:type="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2</w:t>
            </w:r>
          </w:p>
        </w:tc>
        <w:tc>
          <w:tcPr>
            <w:tcW w:w="0" w:type="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3</w:t>
            </w:r>
          </w:p>
        </w:tc>
        <w:tc>
          <w:tcPr>
            <w:tcW w:w="0" w:type="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4</w:t>
            </w:r>
          </w:p>
        </w:tc>
        <w:tc>
          <w:tcPr>
            <w:tcW w:w="0" w:type="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5</w:t>
            </w:r>
          </w:p>
        </w:tc>
        <w:tc>
          <w:tcPr>
            <w:tcW w:w="0" w:type="auto"/>
            <w:shd w:val="clear" w:color="auto" w:fill="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6</w:t>
            </w:r>
          </w:p>
        </w:tc>
        <w:tc>
          <w:tcPr>
            <w:tcW w:w="0" w:type="auto"/>
            <w:shd w:val="clear" w:color="auto" w:fill="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7</w:t>
            </w:r>
          </w:p>
        </w:tc>
      </w:tr>
      <w:tr w:rsidR="006C7AE5" w:rsidRPr="00437EA6" w:rsidTr="006C7AE5">
        <w:trPr>
          <w:jc w:val="center"/>
        </w:trPr>
        <w:tc>
          <w:tcPr>
            <w:tcW w:w="0" w:type="auto"/>
            <w:shd w:val="pct20" w:color="auto" w:fill="auto"/>
            <w:vAlign w:val="center"/>
          </w:tcPr>
          <w:p w:rsidR="006C7AE5" w:rsidRPr="00437EA6" w:rsidRDefault="006C7AE5" w:rsidP="006C7AE5">
            <w:pPr>
              <w:contextualSpacing/>
              <w:jc w:val="center"/>
              <w:rPr>
                <w:rFonts w:asciiTheme="minorHAnsi" w:eastAsia="Times" w:hAnsiTheme="minorHAnsi" w:cs="Arial"/>
                <w:b/>
                <w:sz w:val="22"/>
                <w:szCs w:val="22"/>
                <w:lang w:val="en-US" w:eastAsia="es-ES"/>
              </w:rPr>
            </w:pPr>
            <w:r w:rsidRPr="00437EA6">
              <w:rPr>
                <w:rFonts w:asciiTheme="minorHAnsi" w:eastAsia="Times" w:hAnsiTheme="minorHAnsi" w:cs="Arial"/>
                <w:b/>
                <w:sz w:val="22"/>
                <w:szCs w:val="22"/>
                <w:lang w:val="en-US" w:eastAsia="es-ES"/>
              </w:rPr>
              <w:t>CR2</w:t>
            </w:r>
          </w:p>
        </w:tc>
        <w:tc>
          <w:tcPr>
            <w:tcW w:w="0" w:type="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1</w:t>
            </w:r>
          </w:p>
        </w:tc>
        <w:tc>
          <w:tcPr>
            <w:tcW w:w="0" w:type="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2</w:t>
            </w:r>
          </w:p>
        </w:tc>
        <w:tc>
          <w:tcPr>
            <w:tcW w:w="0" w:type="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3</w:t>
            </w:r>
          </w:p>
        </w:tc>
        <w:tc>
          <w:tcPr>
            <w:tcW w:w="0" w:type="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4</w:t>
            </w:r>
          </w:p>
        </w:tc>
        <w:tc>
          <w:tcPr>
            <w:tcW w:w="0" w:type="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5</w:t>
            </w:r>
          </w:p>
        </w:tc>
        <w:tc>
          <w:tcPr>
            <w:tcW w:w="0" w:type="auto"/>
            <w:shd w:val="clear" w:color="auto" w:fill="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6</w:t>
            </w:r>
          </w:p>
        </w:tc>
        <w:tc>
          <w:tcPr>
            <w:tcW w:w="0" w:type="auto"/>
            <w:shd w:val="clear" w:color="auto" w:fill="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7</w:t>
            </w:r>
          </w:p>
        </w:tc>
      </w:tr>
      <w:tr w:rsidR="006C7AE5" w:rsidRPr="00437EA6" w:rsidTr="006C7AE5">
        <w:trPr>
          <w:jc w:val="center"/>
        </w:trPr>
        <w:tc>
          <w:tcPr>
            <w:tcW w:w="0" w:type="auto"/>
            <w:shd w:val="pct20" w:color="auto" w:fill="auto"/>
            <w:vAlign w:val="center"/>
          </w:tcPr>
          <w:p w:rsidR="006C7AE5" w:rsidRPr="00437EA6" w:rsidRDefault="006C7AE5" w:rsidP="006C7AE5">
            <w:pPr>
              <w:contextualSpacing/>
              <w:jc w:val="center"/>
              <w:rPr>
                <w:rFonts w:asciiTheme="minorHAnsi" w:eastAsia="Times" w:hAnsiTheme="minorHAnsi" w:cs="Arial"/>
                <w:b/>
                <w:sz w:val="22"/>
                <w:szCs w:val="22"/>
                <w:lang w:val="en-US" w:eastAsia="es-ES"/>
              </w:rPr>
            </w:pPr>
            <w:r w:rsidRPr="00437EA6">
              <w:rPr>
                <w:rFonts w:asciiTheme="minorHAnsi" w:eastAsia="Times" w:hAnsiTheme="minorHAnsi" w:cs="Arial"/>
                <w:b/>
                <w:sz w:val="22"/>
                <w:szCs w:val="22"/>
                <w:lang w:val="en-US" w:eastAsia="es-ES"/>
              </w:rPr>
              <w:t>CR3</w:t>
            </w:r>
          </w:p>
        </w:tc>
        <w:tc>
          <w:tcPr>
            <w:tcW w:w="0" w:type="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2</w:t>
            </w:r>
          </w:p>
        </w:tc>
        <w:tc>
          <w:tcPr>
            <w:tcW w:w="0" w:type="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3</w:t>
            </w:r>
          </w:p>
        </w:tc>
        <w:tc>
          <w:tcPr>
            <w:tcW w:w="0" w:type="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3</w:t>
            </w:r>
          </w:p>
        </w:tc>
        <w:tc>
          <w:tcPr>
            <w:tcW w:w="0" w:type="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4</w:t>
            </w:r>
          </w:p>
        </w:tc>
        <w:tc>
          <w:tcPr>
            <w:tcW w:w="0" w:type="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5</w:t>
            </w:r>
          </w:p>
        </w:tc>
        <w:tc>
          <w:tcPr>
            <w:tcW w:w="0" w:type="auto"/>
            <w:shd w:val="clear" w:color="auto" w:fill="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6</w:t>
            </w:r>
          </w:p>
        </w:tc>
        <w:tc>
          <w:tcPr>
            <w:tcW w:w="0" w:type="auto"/>
            <w:shd w:val="clear" w:color="auto" w:fill="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7</w:t>
            </w:r>
          </w:p>
        </w:tc>
      </w:tr>
      <w:tr w:rsidR="006C7AE5" w:rsidRPr="00437EA6" w:rsidTr="006C7AE5">
        <w:trPr>
          <w:jc w:val="center"/>
        </w:trPr>
        <w:tc>
          <w:tcPr>
            <w:tcW w:w="0" w:type="auto"/>
            <w:shd w:val="pct20" w:color="auto" w:fill="auto"/>
            <w:vAlign w:val="center"/>
          </w:tcPr>
          <w:p w:rsidR="006C7AE5" w:rsidRPr="00437EA6" w:rsidRDefault="006C7AE5" w:rsidP="006C7AE5">
            <w:pPr>
              <w:contextualSpacing/>
              <w:jc w:val="center"/>
              <w:rPr>
                <w:rFonts w:asciiTheme="minorHAnsi" w:eastAsia="Times" w:hAnsiTheme="minorHAnsi" w:cs="Arial"/>
                <w:b/>
                <w:sz w:val="22"/>
                <w:szCs w:val="22"/>
                <w:lang w:val="en-US" w:eastAsia="es-ES"/>
              </w:rPr>
            </w:pPr>
            <w:r w:rsidRPr="00437EA6">
              <w:rPr>
                <w:rFonts w:asciiTheme="minorHAnsi" w:eastAsia="Times" w:hAnsiTheme="minorHAnsi" w:cs="Arial"/>
                <w:b/>
                <w:sz w:val="22"/>
                <w:szCs w:val="22"/>
                <w:lang w:val="en-US" w:eastAsia="es-ES"/>
              </w:rPr>
              <w:t>CR4</w:t>
            </w:r>
          </w:p>
        </w:tc>
        <w:tc>
          <w:tcPr>
            <w:tcW w:w="0" w:type="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4</w:t>
            </w:r>
          </w:p>
        </w:tc>
        <w:tc>
          <w:tcPr>
            <w:tcW w:w="0" w:type="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4</w:t>
            </w:r>
          </w:p>
        </w:tc>
        <w:tc>
          <w:tcPr>
            <w:tcW w:w="0" w:type="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5</w:t>
            </w:r>
          </w:p>
        </w:tc>
        <w:tc>
          <w:tcPr>
            <w:tcW w:w="0" w:type="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5</w:t>
            </w:r>
          </w:p>
        </w:tc>
        <w:tc>
          <w:tcPr>
            <w:tcW w:w="0" w:type="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5</w:t>
            </w:r>
          </w:p>
        </w:tc>
        <w:tc>
          <w:tcPr>
            <w:tcW w:w="0" w:type="auto"/>
            <w:shd w:val="clear" w:color="auto" w:fill="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6</w:t>
            </w:r>
          </w:p>
        </w:tc>
        <w:tc>
          <w:tcPr>
            <w:tcW w:w="0" w:type="auto"/>
            <w:shd w:val="clear" w:color="auto" w:fill="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7</w:t>
            </w:r>
          </w:p>
        </w:tc>
      </w:tr>
      <w:tr w:rsidR="006C7AE5" w:rsidRPr="00437EA6" w:rsidTr="006C7AE5">
        <w:trPr>
          <w:jc w:val="center"/>
        </w:trPr>
        <w:tc>
          <w:tcPr>
            <w:tcW w:w="0" w:type="auto"/>
            <w:shd w:val="pct20" w:color="auto" w:fill="auto"/>
            <w:vAlign w:val="center"/>
          </w:tcPr>
          <w:p w:rsidR="006C7AE5" w:rsidRPr="00437EA6" w:rsidRDefault="006C7AE5" w:rsidP="006C7AE5">
            <w:pPr>
              <w:contextualSpacing/>
              <w:jc w:val="center"/>
              <w:rPr>
                <w:rFonts w:asciiTheme="minorHAnsi" w:eastAsia="Times" w:hAnsiTheme="minorHAnsi" w:cs="Arial"/>
                <w:b/>
                <w:sz w:val="22"/>
                <w:szCs w:val="22"/>
                <w:lang w:val="en-US" w:eastAsia="es-ES"/>
              </w:rPr>
            </w:pPr>
            <w:r w:rsidRPr="00437EA6">
              <w:rPr>
                <w:rFonts w:asciiTheme="minorHAnsi" w:eastAsia="Times" w:hAnsiTheme="minorHAnsi" w:cs="Arial"/>
                <w:b/>
                <w:sz w:val="22"/>
                <w:szCs w:val="22"/>
                <w:lang w:val="en-US" w:eastAsia="es-ES"/>
              </w:rPr>
              <w:t>CR5</w:t>
            </w:r>
          </w:p>
        </w:tc>
        <w:tc>
          <w:tcPr>
            <w:tcW w:w="0" w:type="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5</w:t>
            </w:r>
          </w:p>
        </w:tc>
        <w:tc>
          <w:tcPr>
            <w:tcW w:w="0" w:type="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5</w:t>
            </w:r>
          </w:p>
        </w:tc>
        <w:tc>
          <w:tcPr>
            <w:tcW w:w="0" w:type="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5</w:t>
            </w:r>
          </w:p>
        </w:tc>
        <w:tc>
          <w:tcPr>
            <w:tcW w:w="0" w:type="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5</w:t>
            </w:r>
          </w:p>
        </w:tc>
        <w:tc>
          <w:tcPr>
            <w:tcW w:w="0" w:type="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6</w:t>
            </w:r>
          </w:p>
        </w:tc>
        <w:tc>
          <w:tcPr>
            <w:tcW w:w="0" w:type="auto"/>
            <w:shd w:val="clear" w:color="auto" w:fill="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6</w:t>
            </w:r>
          </w:p>
        </w:tc>
        <w:tc>
          <w:tcPr>
            <w:tcW w:w="0" w:type="auto"/>
            <w:shd w:val="clear" w:color="auto" w:fill="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7</w:t>
            </w:r>
          </w:p>
        </w:tc>
      </w:tr>
      <w:tr w:rsidR="006C7AE5" w:rsidRPr="00437EA6" w:rsidTr="006C7AE5">
        <w:trPr>
          <w:jc w:val="center"/>
        </w:trPr>
        <w:tc>
          <w:tcPr>
            <w:tcW w:w="0" w:type="auto"/>
            <w:shd w:val="pct20" w:color="auto" w:fill="auto"/>
            <w:vAlign w:val="center"/>
          </w:tcPr>
          <w:p w:rsidR="006C7AE5" w:rsidRPr="00437EA6" w:rsidRDefault="006C7AE5" w:rsidP="006C7AE5">
            <w:pPr>
              <w:contextualSpacing/>
              <w:jc w:val="center"/>
              <w:rPr>
                <w:rFonts w:asciiTheme="minorHAnsi" w:eastAsia="Times" w:hAnsiTheme="minorHAnsi" w:cs="Arial"/>
                <w:b/>
                <w:sz w:val="22"/>
                <w:szCs w:val="22"/>
                <w:lang w:val="en-US" w:eastAsia="es-ES"/>
              </w:rPr>
            </w:pPr>
            <w:r w:rsidRPr="00437EA6">
              <w:rPr>
                <w:rFonts w:asciiTheme="minorHAnsi" w:eastAsia="Times" w:hAnsiTheme="minorHAnsi" w:cs="Arial"/>
                <w:b/>
                <w:sz w:val="22"/>
                <w:szCs w:val="22"/>
                <w:lang w:val="en-US" w:eastAsia="es-ES"/>
              </w:rPr>
              <w:t>CR6</w:t>
            </w:r>
          </w:p>
        </w:tc>
        <w:tc>
          <w:tcPr>
            <w:tcW w:w="0" w:type="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6</w:t>
            </w:r>
          </w:p>
        </w:tc>
        <w:tc>
          <w:tcPr>
            <w:tcW w:w="0" w:type="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6</w:t>
            </w:r>
          </w:p>
        </w:tc>
        <w:tc>
          <w:tcPr>
            <w:tcW w:w="0" w:type="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6</w:t>
            </w:r>
          </w:p>
        </w:tc>
        <w:tc>
          <w:tcPr>
            <w:tcW w:w="0" w:type="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6</w:t>
            </w:r>
          </w:p>
        </w:tc>
        <w:tc>
          <w:tcPr>
            <w:tcW w:w="0" w:type="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6</w:t>
            </w:r>
          </w:p>
        </w:tc>
        <w:tc>
          <w:tcPr>
            <w:tcW w:w="0" w:type="auto"/>
            <w:shd w:val="clear" w:color="auto" w:fill="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7</w:t>
            </w:r>
          </w:p>
        </w:tc>
        <w:tc>
          <w:tcPr>
            <w:tcW w:w="0" w:type="auto"/>
            <w:shd w:val="clear" w:color="auto" w:fill="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7</w:t>
            </w:r>
          </w:p>
        </w:tc>
      </w:tr>
      <w:tr w:rsidR="006C7AE5" w:rsidRPr="00437EA6" w:rsidTr="006C7AE5">
        <w:trPr>
          <w:jc w:val="center"/>
        </w:trPr>
        <w:tc>
          <w:tcPr>
            <w:tcW w:w="0" w:type="auto"/>
            <w:shd w:val="pct20" w:color="auto" w:fill="auto"/>
            <w:vAlign w:val="center"/>
          </w:tcPr>
          <w:p w:rsidR="006C7AE5" w:rsidRPr="00437EA6" w:rsidRDefault="006C7AE5" w:rsidP="006C7AE5">
            <w:pPr>
              <w:contextualSpacing/>
              <w:jc w:val="center"/>
              <w:rPr>
                <w:rFonts w:asciiTheme="minorHAnsi" w:eastAsia="Times" w:hAnsiTheme="minorHAnsi" w:cs="Arial"/>
                <w:b/>
                <w:sz w:val="22"/>
                <w:szCs w:val="22"/>
                <w:lang w:val="en-US" w:eastAsia="es-ES"/>
              </w:rPr>
            </w:pPr>
            <w:r w:rsidRPr="00437EA6">
              <w:rPr>
                <w:rFonts w:asciiTheme="minorHAnsi" w:eastAsia="Times" w:hAnsiTheme="minorHAnsi" w:cs="Arial"/>
                <w:b/>
                <w:sz w:val="22"/>
                <w:szCs w:val="22"/>
                <w:lang w:val="en-US" w:eastAsia="es-ES"/>
              </w:rPr>
              <w:t>CR7</w:t>
            </w:r>
          </w:p>
        </w:tc>
        <w:tc>
          <w:tcPr>
            <w:tcW w:w="0" w:type="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7</w:t>
            </w:r>
          </w:p>
        </w:tc>
        <w:tc>
          <w:tcPr>
            <w:tcW w:w="0" w:type="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7</w:t>
            </w:r>
          </w:p>
        </w:tc>
        <w:tc>
          <w:tcPr>
            <w:tcW w:w="0" w:type="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7</w:t>
            </w:r>
          </w:p>
        </w:tc>
        <w:tc>
          <w:tcPr>
            <w:tcW w:w="0" w:type="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7</w:t>
            </w:r>
          </w:p>
        </w:tc>
        <w:tc>
          <w:tcPr>
            <w:tcW w:w="0" w:type="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7</w:t>
            </w:r>
          </w:p>
        </w:tc>
        <w:tc>
          <w:tcPr>
            <w:tcW w:w="0" w:type="auto"/>
            <w:shd w:val="clear" w:color="auto" w:fill="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7</w:t>
            </w:r>
          </w:p>
        </w:tc>
        <w:tc>
          <w:tcPr>
            <w:tcW w:w="0" w:type="auto"/>
            <w:shd w:val="clear" w:color="auto" w:fill="auto"/>
            <w:vAlign w:val="center"/>
          </w:tcPr>
          <w:p w:rsidR="006C7AE5" w:rsidRPr="00437EA6" w:rsidRDefault="006C7AE5" w:rsidP="006C7AE5">
            <w:pPr>
              <w:contextualSpacing/>
              <w:jc w:val="center"/>
              <w:rPr>
                <w:rFonts w:asciiTheme="minorHAnsi" w:eastAsia="Times" w:hAnsiTheme="minorHAnsi" w:cs="Arial"/>
                <w:sz w:val="22"/>
                <w:szCs w:val="22"/>
                <w:lang w:val="en-US" w:eastAsia="es-ES"/>
              </w:rPr>
            </w:pPr>
            <w:r w:rsidRPr="00437EA6">
              <w:rPr>
                <w:rFonts w:asciiTheme="minorHAnsi" w:eastAsia="Times" w:hAnsiTheme="minorHAnsi" w:cs="Arial"/>
                <w:sz w:val="22"/>
                <w:szCs w:val="22"/>
                <w:lang w:val="en-US" w:eastAsia="es-ES"/>
              </w:rPr>
              <w:t>7</w:t>
            </w:r>
          </w:p>
        </w:tc>
      </w:tr>
    </w:tbl>
    <w:p w:rsidR="006C7AE5" w:rsidRDefault="006C7AE5" w:rsidP="006F309F">
      <w:pPr>
        <w:ind w:left="360"/>
      </w:pPr>
    </w:p>
    <w:permEnd w:id="8"/>
    <w:p w:rsidR="003E4B00" w:rsidRPr="00580880" w:rsidRDefault="003E4B00" w:rsidP="003E4B00">
      <w:pPr>
        <w:rPr>
          <w:lang w:val="fr-FR"/>
        </w:rPr>
      </w:pPr>
      <w:r w:rsidRPr="00580880">
        <w:rPr>
          <w:lang w:val="fr-FR"/>
        </w:rPr>
        <w:t>&lt;ESMA_QUESTION_</w:t>
      </w:r>
      <w:r>
        <w:rPr>
          <w:lang w:val="fr-FR"/>
        </w:rPr>
        <w:t>PRIIPS_8</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9</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for PRIIPs that offer a capital protection during their whole lifespan and can be redeemed against their initial investment at any time over the life of the PRIIP a qualitatively asses</w:t>
      </w:r>
      <w:r w:rsidRPr="00580880">
        <w:rPr>
          <w:rFonts w:ascii="Calibri" w:hAnsi="Calibri"/>
          <w:i/>
          <w:sz w:val="22"/>
          <w:lang w:eastAsia="en-US"/>
        </w:rPr>
        <w:t>s</w:t>
      </w:r>
      <w:r w:rsidRPr="00580880">
        <w:rPr>
          <w:rFonts w:ascii="Calibri" w:hAnsi="Calibri"/>
          <w:i/>
          <w:sz w:val="22"/>
          <w:lang w:eastAsia="en-US"/>
        </w:rPr>
        <w:t xml:space="preserve">ment and automatic allocation to MRM class 1 should be permitted? </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the criteria of the 5 year tenor is relevant, irrespective of the redemption characteristics?</w:t>
      </w:r>
    </w:p>
    <w:p w:rsidR="003E4B00" w:rsidRDefault="003E4B00" w:rsidP="003E4B00"/>
    <w:p w:rsidR="003E4B00" w:rsidRDefault="003E4B00" w:rsidP="003E4B00">
      <w:r>
        <w:t>&lt;ESMA_QUESTION_PRIIPS_9&gt;</w:t>
      </w:r>
    </w:p>
    <w:p w:rsidR="006F309F" w:rsidRPr="00437EA6" w:rsidRDefault="006F309F" w:rsidP="00437EA6">
      <w:pPr>
        <w:jc w:val="both"/>
        <w:rPr>
          <w:rFonts w:asciiTheme="minorHAnsi" w:hAnsiTheme="minorHAnsi"/>
          <w:sz w:val="22"/>
          <w:szCs w:val="22"/>
        </w:rPr>
      </w:pPr>
      <w:permStart w:id="9" w:edGrp="everyone"/>
      <w:r w:rsidRPr="00437EA6">
        <w:rPr>
          <w:rFonts w:asciiTheme="minorHAnsi" w:hAnsiTheme="minorHAnsi"/>
          <w:sz w:val="22"/>
          <w:szCs w:val="22"/>
        </w:rPr>
        <w:t>The allocation in class 1 for PRIIPS with capital protection during their whole lifespan and can be r</w:t>
      </w:r>
      <w:r w:rsidRPr="00437EA6">
        <w:rPr>
          <w:rFonts w:asciiTheme="minorHAnsi" w:hAnsiTheme="minorHAnsi"/>
          <w:sz w:val="22"/>
          <w:szCs w:val="22"/>
        </w:rPr>
        <w:t>e</w:t>
      </w:r>
      <w:r w:rsidRPr="00437EA6">
        <w:rPr>
          <w:rFonts w:asciiTheme="minorHAnsi" w:hAnsiTheme="minorHAnsi"/>
          <w:sz w:val="22"/>
          <w:szCs w:val="22"/>
        </w:rPr>
        <w:t>deemed against their initial investment at any time over its life seems adequate.</w:t>
      </w:r>
    </w:p>
    <w:p w:rsidR="0002255A" w:rsidRPr="00437EA6" w:rsidRDefault="0002255A" w:rsidP="00437EA6">
      <w:pPr>
        <w:jc w:val="both"/>
        <w:rPr>
          <w:rFonts w:asciiTheme="minorHAnsi" w:hAnsiTheme="minorHAnsi"/>
          <w:sz w:val="22"/>
          <w:szCs w:val="22"/>
        </w:rPr>
      </w:pPr>
    </w:p>
    <w:p w:rsidR="003E4B00" w:rsidRPr="00580880" w:rsidRDefault="0002255A" w:rsidP="003E4B00">
      <w:pPr>
        <w:rPr>
          <w:lang w:val="fr-FR"/>
        </w:rPr>
      </w:pPr>
      <w:r w:rsidRPr="00437EA6">
        <w:rPr>
          <w:rFonts w:asciiTheme="minorHAnsi" w:hAnsiTheme="minorHAnsi"/>
          <w:sz w:val="22"/>
          <w:szCs w:val="22"/>
        </w:rPr>
        <w:t xml:space="preserve">Tenor is considered as relevant. The longer the tenor the higher loss of income of a cancellation at </w:t>
      </w:r>
      <w:proofErr w:type="gramStart"/>
      <w:r w:rsidRPr="00437EA6">
        <w:rPr>
          <w:rFonts w:asciiTheme="minorHAnsi" w:hAnsiTheme="minorHAnsi"/>
          <w:sz w:val="22"/>
          <w:szCs w:val="22"/>
        </w:rPr>
        <w:t>bas</w:t>
      </w:r>
      <w:r w:rsidRPr="00437EA6">
        <w:rPr>
          <w:rFonts w:asciiTheme="minorHAnsi" w:hAnsiTheme="minorHAnsi"/>
          <w:sz w:val="22"/>
          <w:szCs w:val="22"/>
        </w:rPr>
        <w:t>e</w:t>
      </w:r>
      <w:r w:rsidRPr="00437EA6">
        <w:rPr>
          <w:rFonts w:asciiTheme="minorHAnsi" w:hAnsiTheme="minorHAnsi"/>
          <w:sz w:val="22"/>
          <w:szCs w:val="22"/>
        </w:rPr>
        <w:t>line</w:t>
      </w:r>
      <w:r w:rsidRPr="00437EA6">
        <w:rPr>
          <w:rFonts w:asciiTheme="minorHAnsi" w:hAnsiTheme="minorHAnsi"/>
          <w:sz w:val="24"/>
        </w:rPr>
        <w:t xml:space="preserve">  </w:t>
      </w:r>
      <w:r w:rsidR="006F309F" w:rsidRPr="00DE6CCE">
        <w:rPr>
          <w:rFonts w:asciiTheme="majorHAnsi" w:hAnsiTheme="majorHAnsi"/>
          <w:sz w:val="22"/>
          <w:szCs w:val="22"/>
        </w:rPr>
        <w:t>.</w:t>
      </w:r>
      <w:permEnd w:id="9"/>
      <w:r w:rsidR="003E4B00" w:rsidRPr="00580880">
        <w:rPr>
          <w:lang w:val="fr-FR"/>
        </w:rPr>
        <w:t>&lt;</w:t>
      </w:r>
      <w:proofErr w:type="gramEnd"/>
      <w:r w:rsidR="003E4B00" w:rsidRPr="00580880">
        <w:rPr>
          <w:lang w:val="fr-FR"/>
        </w:rPr>
        <w:t>ESMA_QUESTION_</w:t>
      </w:r>
      <w:r w:rsidR="003E4B00">
        <w:rPr>
          <w:lang w:val="fr-FR"/>
        </w:rPr>
        <w:t>PRIIPS_9</w:t>
      </w:r>
      <w:r w:rsidR="003E4B00"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10</w:t>
      </w: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aware of other circumstances in which the credit risk assessment should be assumed to be mit</w:t>
      </w:r>
      <w:r w:rsidRPr="00580880">
        <w:rPr>
          <w:rFonts w:ascii="Calibri" w:hAnsi="Calibri"/>
          <w:i/>
          <w:sz w:val="22"/>
          <w:lang w:eastAsia="en-US"/>
        </w:rPr>
        <w:t>i</w:t>
      </w:r>
      <w:r w:rsidRPr="00580880">
        <w:rPr>
          <w:rFonts w:ascii="Calibri" w:hAnsi="Calibri"/>
          <w:i/>
          <w:sz w:val="22"/>
          <w:lang w:eastAsia="en-US"/>
        </w:rPr>
        <w:t xml:space="preserve">gated? If so, please explain why and to what degree it should be assumed to be mitigated? </w:t>
      </w:r>
    </w:p>
    <w:p w:rsidR="003E4B00" w:rsidRDefault="003E4B00" w:rsidP="003E4B00"/>
    <w:p w:rsidR="003E4B00" w:rsidRDefault="003E4B00" w:rsidP="003E4B00">
      <w:r>
        <w:t>&lt;ESMA_QUESTION_PRIIPS_10&gt;</w:t>
      </w:r>
    </w:p>
    <w:p w:rsidR="006F309F" w:rsidRDefault="00FC2FE7" w:rsidP="006F309F">
      <w:pPr>
        <w:rPr>
          <w:rFonts w:asciiTheme="majorHAnsi" w:hAnsiTheme="majorHAnsi"/>
          <w:sz w:val="22"/>
          <w:szCs w:val="22"/>
        </w:rPr>
      </w:pPr>
      <w:permStart w:id="10" w:edGrp="everyone"/>
      <w:r>
        <w:t>TYPE YOUR TEXT HERE</w:t>
      </w:r>
    </w:p>
    <w:permEnd w:id="10"/>
    <w:p w:rsidR="003E4B00" w:rsidRPr="00580880" w:rsidRDefault="003E4B00" w:rsidP="003E4B00">
      <w:pPr>
        <w:rPr>
          <w:lang w:val="fr-FR"/>
        </w:rPr>
      </w:pPr>
      <w:r w:rsidRPr="00580880">
        <w:rPr>
          <w:lang w:val="fr-FR"/>
        </w:rPr>
        <w:t>&lt;ESMA_QUESTION_</w:t>
      </w:r>
      <w:r>
        <w:rPr>
          <w:lang w:val="fr-FR"/>
        </w:rPr>
        <w:t>PRIIPS_10</w:t>
      </w:r>
      <w:r w:rsidRPr="00580880">
        <w:rPr>
          <w:lang w:val="fr-FR"/>
        </w:rPr>
        <w:t>&gt;</w:t>
      </w:r>
    </w:p>
    <w:p w:rsidR="00580880" w:rsidRDefault="00580880"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11</w:t>
      </w: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Do you think that the look through approach to the assessment of credit risk for a PRIIP packaged into another PRIIP is appropriate? </w:t>
      </w:r>
    </w:p>
    <w:p w:rsidR="003E4B00" w:rsidRDefault="003E4B00" w:rsidP="003E4B00"/>
    <w:p w:rsidR="003E4B00" w:rsidRDefault="003E4B00" w:rsidP="003E4B00">
      <w:r>
        <w:t>&lt;ESMA_QUESTION_PRIIPS_11&gt;</w:t>
      </w:r>
    </w:p>
    <w:p w:rsidR="003E4B00" w:rsidRPr="00580880" w:rsidRDefault="006C7AE5" w:rsidP="003E4B00">
      <w:pPr>
        <w:rPr>
          <w:lang w:val="fr-FR"/>
        </w:rPr>
      </w:pPr>
      <w:permStart w:id="11" w:edGrp="everyone"/>
      <w:r w:rsidRPr="00437EA6">
        <w:rPr>
          <w:rFonts w:asciiTheme="minorHAnsi" w:hAnsiTheme="minorHAnsi"/>
          <w:sz w:val="22"/>
          <w:szCs w:val="22"/>
        </w:rPr>
        <w:t>Yes, we think it is the most appropriate approach. Nevertheless some alternative should be provided in case there is no sufficient information to assess credit risk of the underlying PRIIP, for instance som</w:t>
      </w:r>
      <w:r w:rsidRPr="00437EA6">
        <w:rPr>
          <w:rFonts w:asciiTheme="minorHAnsi" w:hAnsiTheme="minorHAnsi"/>
          <w:sz w:val="22"/>
          <w:szCs w:val="22"/>
        </w:rPr>
        <w:t>e</w:t>
      </w:r>
      <w:r w:rsidRPr="00437EA6">
        <w:rPr>
          <w:rFonts w:asciiTheme="minorHAnsi" w:hAnsiTheme="minorHAnsi"/>
          <w:sz w:val="22"/>
          <w:szCs w:val="22"/>
        </w:rPr>
        <w:lastRenderedPageBreak/>
        <w:t>thing similar to the “mandate-based approach” setting out in the BCBS document “Capital requirements for banks’ equity investments in funds”. Some penalty in the CRM should be included if the alternative proposal is used</w:t>
      </w:r>
      <w:permEnd w:id="11"/>
      <w:r w:rsidR="003E4B00" w:rsidRPr="00580880">
        <w:rPr>
          <w:lang w:val="fr-FR"/>
        </w:rPr>
        <w:t>&lt;ESMA_QUESTION_</w:t>
      </w:r>
      <w:r w:rsidR="003E4B00">
        <w:rPr>
          <w:lang w:val="fr-FR"/>
        </w:rPr>
        <w:t>PRIIPS_11</w:t>
      </w:r>
      <w:r w:rsidR="003E4B00" w:rsidRPr="00580880">
        <w:rPr>
          <w:lang w:val="fr-FR"/>
        </w:rPr>
        <w:t>&gt;</w:t>
      </w:r>
    </w:p>
    <w:p w:rsidR="00580880" w:rsidRDefault="00580880" w:rsidP="00750796">
      <w:pPr>
        <w:pStyle w:val="CPQuestions"/>
        <w:numPr>
          <w:ilvl w:val="0"/>
          <w:numId w:val="0"/>
        </w:numPr>
        <w:rPr>
          <w:rFonts w:cs="Arial"/>
          <w:b w:val="0"/>
          <w:szCs w:val="22"/>
        </w:rPr>
      </w:pPr>
    </w:p>
    <w:p w:rsidR="00A2049D" w:rsidRPr="005A512B" w:rsidRDefault="00A2049D" w:rsidP="00A2049D">
      <w:pPr>
        <w:pBdr>
          <w:top w:val="single" w:sz="4" w:space="1" w:color="auto"/>
          <w:left w:val="single" w:sz="4" w:space="4" w:color="auto"/>
          <w:bottom w:val="single" w:sz="4" w:space="1" w:color="auto"/>
          <w:right w:val="single" w:sz="4" w:space="4" w:color="auto"/>
        </w:pBdr>
        <w:rPr>
          <w:b/>
          <w:i/>
        </w:rPr>
      </w:pPr>
      <w:r w:rsidRPr="005A512B">
        <w:rPr>
          <w:b/>
          <w:i/>
        </w:rPr>
        <w:t>Question 1</w:t>
      </w:r>
      <w:r>
        <w:rPr>
          <w:b/>
          <w:i/>
        </w:rPr>
        <w:t>2</w:t>
      </w:r>
    </w:p>
    <w:p w:rsidR="00A2049D" w:rsidRPr="005A512B" w:rsidRDefault="00A2049D" w:rsidP="00A2049D">
      <w:pPr>
        <w:pBdr>
          <w:top w:val="single" w:sz="4" w:space="1" w:color="auto"/>
          <w:left w:val="single" w:sz="4" w:space="4" w:color="auto"/>
          <w:bottom w:val="single" w:sz="4" w:space="1" w:color="auto"/>
          <w:right w:val="single" w:sz="4" w:space="4" w:color="auto"/>
        </w:pBdr>
        <w:rPr>
          <w:i/>
        </w:rPr>
      </w:pPr>
      <w:r w:rsidRPr="005A512B">
        <w:rPr>
          <w:i/>
        </w:rPr>
        <w:t>Do you think the risk indicator should take into account currency risk when there is a difference between the currency of the PRIIP and the national currency of the investor targeted by the PRIIP manufacturer, even though this risk is not intrinsic to the PRIIP itself, but relates to the typical situation of the targeted investor?</w:t>
      </w:r>
    </w:p>
    <w:p w:rsidR="003E4B00" w:rsidRDefault="003E4B00" w:rsidP="003E4B00"/>
    <w:p w:rsidR="003E4B00" w:rsidRDefault="003E4B00" w:rsidP="003E4B00">
      <w:r>
        <w:t>&lt;ESMA_QUESTION_PRIIPS_12&gt;</w:t>
      </w:r>
    </w:p>
    <w:p w:rsidR="006F309F" w:rsidRPr="00607435" w:rsidRDefault="006F309F" w:rsidP="00990CEA">
      <w:pPr>
        <w:rPr>
          <w:rFonts w:asciiTheme="minorHAnsi" w:hAnsiTheme="minorHAnsi"/>
          <w:sz w:val="22"/>
          <w:szCs w:val="22"/>
        </w:rPr>
      </w:pPr>
      <w:permStart w:id="12" w:edGrp="everyone"/>
      <w:r w:rsidRPr="00607435">
        <w:rPr>
          <w:rFonts w:asciiTheme="minorHAnsi" w:hAnsiTheme="minorHAnsi"/>
          <w:sz w:val="22"/>
          <w:szCs w:val="22"/>
        </w:rPr>
        <w:t>Currency should be taken into account only, e.g. for structured products, if it can materially alter the value of the guarantee if given in another currency.</w:t>
      </w:r>
      <w:r w:rsidR="00990CEA" w:rsidRPr="00607435">
        <w:rPr>
          <w:rFonts w:asciiTheme="minorHAnsi" w:hAnsiTheme="minorHAnsi"/>
          <w:sz w:val="22"/>
          <w:szCs w:val="22"/>
        </w:rPr>
        <w:t xml:space="preserve"> The fact that a product currency is different from the national currency of the investor does not affect, by itself, nor the credit neither the market risk of the product which</w:t>
      </w:r>
      <w:r w:rsidR="00607435" w:rsidRPr="00607435">
        <w:rPr>
          <w:rFonts w:asciiTheme="minorHAnsi" w:hAnsiTheme="minorHAnsi"/>
          <w:sz w:val="22"/>
          <w:szCs w:val="22"/>
        </w:rPr>
        <w:t xml:space="preserve"> </w:t>
      </w:r>
      <w:r w:rsidR="00990CEA" w:rsidRPr="00607435">
        <w:rPr>
          <w:rFonts w:asciiTheme="minorHAnsi" w:hAnsiTheme="minorHAnsi"/>
          <w:sz w:val="22"/>
          <w:szCs w:val="22"/>
        </w:rPr>
        <w:t xml:space="preserve">the KIDs </w:t>
      </w:r>
      <w:proofErr w:type="gramStart"/>
      <w:r w:rsidR="00990CEA" w:rsidRPr="00607435">
        <w:rPr>
          <w:rFonts w:asciiTheme="minorHAnsi" w:hAnsiTheme="minorHAnsi"/>
          <w:sz w:val="22"/>
          <w:szCs w:val="22"/>
        </w:rPr>
        <w:t>tries</w:t>
      </w:r>
      <w:proofErr w:type="gramEnd"/>
      <w:r w:rsidR="00990CEA" w:rsidRPr="00607435">
        <w:rPr>
          <w:rFonts w:asciiTheme="minorHAnsi" w:hAnsiTheme="minorHAnsi"/>
          <w:sz w:val="22"/>
          <w:szCs w:val="22"/>
        </w:rPr>
        <w:t xml:space="preserve"> to reflect. </w:t>
      </w:r>
    </w:p>
    <w:p w:rsidR="0002255A" w:rsidRPr="00607435" w:rsidRDefault="0002255A" w:rsidP="00990CEA">
      <w:pPr>
        <w:rPr>
          <w:rFonts w:asciiTheme="minorHAnsi" w:hAnsiTheme="minorHAnsi"/>
          <w:sz w:val="22"/>
          <w:szCs w:val="22"/>
        </w:rPr>
      </w:pPr>
      <w:r w:rsidRPr="00607435">
        <w:rPr>
          <w:rFonts w:asciiTheme="minorHAnsi" w:hAnsiTheme="minorHAnsi"/>
          <w:sz w:val="22"/>
          <w:szCs w:val="22"/>
        </w:rPr>
        <w:t>This aspect should be taken into account in the sale</w:t>
      </w:r>
      <w:r w:rsidR="00607435" w:rsidRPr="00607435">
        <w:rPr>
          <w:rFonts w:asciiTheme="minorHAnsi" w:hAnsiTheme="minorHAnsi"/>
          <w:sz w:val="22"/>
          <w:szCs w:val="22"/>
        </w:rPr>
        <w:t>s</w:t>
      </w:r>
      <w:r w:rsidRPr="00607435">
        <w:rPr>
          <w:rFonts w:asciiTheme="minorHAnsi" w:hAnsiTheme="minorHAnsi"/>
          <w:sz w:val="22"/>
          <w:szCs w:val="22"/>
        </w:rPr>
        <w:t xml:space="preserve"> process</w:t>
      </w:r>
      <w:r w:rsidR="00607435" w:rsidRPr="00607435">
        <w:rPr>
          <w:rFonts w:asciiTheme="minorHAnsi" w:hAnsiTheme="minorHAnsi"/>
          <w:sz w:val="22"/>
          <w:szCs w:val="22"/>
        </w:rPr>
        <w:t xml:space="preserve"> </w:t>
      </w:r>
      <w:r w:rsidRPr="00607435">
        <w:rPr>
          <w:rFonts w:asciiTheme="minorHAnsi" w:hAnsiTheme="minorHAnsi"/>
          <w:sz w:val="22"/>
          <w:szCs w:val="22"/>
        </w:rPr>
        <w:t>when it</w:t>
      </w:r>
      <w:r w:rsidR="00607435" w:rsidRPr="00607435">
        <w:rPr>
          <w:rFonts w:asciiTheme="minorHAnsi" w:hAnsiTheme="minorHAnsi"/>
          <w:sz w:val="22"/>
          <w:szCs w:val="22"/>
        </w:rPr>
        <w:t xml:space="preserve"> entails </w:t>
      </w:r>
      <w:r w:rsidRPr="00607435">
        <w:rPr>
          <w:rFonts w:asciiTheme="minorHAnsi" w:hAnsiTheme="minorHAnsi"/>
          <w:sz w:val="22"/>
          <w:szCs w:val="22"/>
        </w:rPr>
        <w:t xml:space="preserve">an </w:t>
      </w:r>
      <w:r w:rsidR="00A9759D" w:rsidRPr="00607435">
        <w:rPr>
          <w:rFonts w:asciiTheme="minorHAnsi" w:hAnsiTheme="minorHAnsi"/>
          <w:sz w:val="22"/>
          <w:szCs w:val="22"/>
        </w:rPr>
        <w:t>additional</w:t>
      </w:r>
      <w:r w:rsidRPr="00607435">
        <w:rPr>
          <w:rFonts w:asciiTheme="minorHAnsi" w:hAnsiTheme="minorHAnsi"/>
          <w:sz w:val="22"/>
          <w:szCs w:val="22"/>
        </w:rPr>
        <w:t xml:space="preserve"> risk for the client</w:t>
      </w:r>
      <w:r w:rsidR="00607435" w:rsidRPr="00607435">
        <w:rPr>
          <w:rFonts w:asciiTheme="minorHAnsi" w:hAnsiTheme="minorHAnsi"/>
          <w:sz w:val="22"/>
          <w:szCs w:val="22"/>
        </w:rPr>
        <w:t xml:space="preserve"> </w:t>
      </w:r>
      <w:r w:rsidRPr="00607435">
        <w:rPr>
          <w:rFonts w:asciiTheme="minorHAnsi" w:hAnsiTheme="minorHAnsi"/>
          <w:sz w:val="22"/>
          <w:szCs w:val="22"/>
        </w:rPr>
        <w:t>(whe</w:t>
      </w:r>
      <w:r w:rsidR="00607435" w:rsidRPr="00607435">
        <w:rPr>
          <w:rFonts w:asciiTheme="minorHAnsi" w:hAnsiTheme="minorHAnsi"/>
          <w:sz w:val="22"/>
          <w:szCs w:val="22"/>
        </w:rPr>
        <w:t>re</w:t>
      </w:r>
      <w:r w:rsidRPr="00607435">
        <w:rPr>
          <w:rFonts w:asciiTheme="minorHAnsi" w:hAnsiTheme="minorHAnsi"/>
          <w:sz w:val="22"/>
          <w:szCs w:val="22"/>
        </w:rPr>
        <w:t xml:space="preserve"> the currency</w:t>
      </w:r>
      <w:r w:rsidR="00A9759D" w:rsidRPr="00607435">
        <w:rPr>
          <w:rFonts w:asciiTheme="minorHAnsi" w:hAnsiTheme="minorHAnsi"/>
          <w:sz w:val="22"/>
          <w:szCs w:val="22"/>
        </w:rPr>
        <w:t xml:space="preserve"> of the product is not a currency commonly used by the client)</w:t>
      </w:r>
    </w:p>
    <w:permEnd w:id="12"/>
    <w:p w:rsidR="003E4B00" w:rsidRPr="00580880" w:rsidRDefault="003E4B00" w:rsidP="003E4B00">
      <w:pPr>
        <w:rPr>
          <w:lang w:val="fr-FR"/>
        </w:rPr>
      </w:pPr>
      <w:r w:rsidRPr="00580880">
        <w:rPr>
          <w:lang w:val="fr-FR"/>
        </w:rPr>
        <w:t>&lt;ESMA_QUESTION_</w:t>
      </w:r>
      <w:r>
        <w:rPr>
          <w:lang w:val="fr-FR"/>
        </w:rPr>
        <w:t>PRIIPS_12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13</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Are you of the opinion that the current Consultation Paper sufficiently addresses this issue? Do you it is made sufficiently clear that the value of a PRIIP could be significantly less compared to the guaranteed value during the life of the PRIIP? Several alternatives are analysed in the Impact Assessment under policy option 5: do you see any additional analysis for these assessment? </w:t>
      </w:r>
    </w:p>
    <w:p w:rsidR="00A2049D" w:rsidRPr="00A2049D" w:rsidRDefault="00A2049D" w:rsidP="00A2049D">
      <w:pPr>
        <w:rPr>
          <w:rFonts w:ascii="Calibri" w:hAnsi="Calibri"/>
          <w:color w:val="1F497D"/>
          <w:sz w:val="22"/>
          <w:lang w:eastAsia="en-US"/>
        </w:rPr>
      </w:pPr>
    </w:p>
    <w:p w:rsidR="003E4B00" w:rsidRDefault="003E4B00" w:rsidP="003E4B00">
      <w:r>
        <w:t>&lt;ESMA_QUESTION_PRIIPS_13&gt;</w:t>
      </w:r>
    </w:p>
    <w:p w:rsidR="006C7AE5" w:rsidRPr="00607435" w:rsidRDefault="006C7AE5" w:rsidP="006C7AE5">
      <w:pPr>
        <w:rPr>
          <w:rFonts w:asciiTheme="minorHAnsi" w:hAnsiTheme="minorHAnsi"/>
          <w:sz w:val="22"/>
          <w:szCs w:val="22"/>
        </w:rPr>
      </w:pPr>
      <w:permStart w:id="13" w:edGrp="everyone"/>
      <w:r w:rsidRPr="006C7AE5">
        <w:t xml:space="preserve"> </w:t>
      </w:r>
      <w:r w:rsidRPr="00607435">
        <w:rPr>
          <w:rFonts w:asciiTheme="minorHAnsi" w:hAnsiTheme="minorHAnsi"/>
          <w:sz w:val="22"/>
          <w:szCs w:val="22"/>
        </w:rPr>
        <w:t xml:space="preserve">We think the paper is clear enough about this issue. </w:t>
      </w:r>
    </w:p>
    <w:p w:rsidR="006C7AE5" w:rsidRPr="00607435" w:rsidRDefault="006C7AE5" w:rsidP="006C7AE5">
      <w:pPr>
        <w:rPr>
          <w:rFonts w:asciiTheme="minorHAnsi" w:hAnsiTheme="minorHAnsi"/>
          <w:sz w:val="22"/>
          <w:szCs w:val="22"/>
        </w:rPr>
      </w:pPr>
    </w:p>
    <w:p w:rsidR="006F309F" w:rsidRPr="00607435" w:rsidRDefault="006C7AE5" w:rsidP="006C7AE5">
      <w:pPr>
        <w:jc w:val="both"/>
        <w:rPr>
          <w:rFonts w:asciiTheme="minorHAnsi" w:hAnsiTheme="minorHAnsi"/>
          <w:strike/>
          <w:sz w:val="22"/>
          <w:szCs w:val="22"/>
        </w:rPr>
      </w:pPr>
      <w:proofErr w:type="gramStart"/>
      <w:r w:rsidRPr="00607435">
        <w:rPr>
          <w:rFonts w:asciiTheme="minorHAnsi" w:hAnsiTheme="minorHAnsi"/>
          <w:sz w:val="22"/>
          <w:szCs w:val="22"/>
        </w:rPr>
        <w:t>For instance, in point 6 of Art.</w:t>
      </w:r>
      <w:proofErr w:type="gramEnd"/>
      <w:r w:rsidRPr="00607435">
        <w:rPr>
          <w:rFonts w:asciiTheme="minorHAnsi" w:hAnsiTheme="minorHAnsi"/>
          <w:sz w:val="22"/>
          <w:szCs w:val="22"/>
        </w:rPr>
        <w:t xml:space="preserve"> 5 it is stated that “In case the risk of the product if not held to maturity or the recommended holding period is significantly higher than the one represented in the summary risk indicator, the PRIIP manufacturer shall insert a warning about this fact in the presentation of the su</w:t>
      </w:r>
      <w:r w:rsidRPr="00607435">
        <w:rPr>
          <w:rFonts w:asciiTheme="minorHAnsi" w:hAnsiTheme="minorHAnsi"/>
          <w:sz w:val="22"/>
          <w:szCs w:val="22"/>
        </w:rPr>
        <w:t>m</w:t>
      </w:r>
      <w:r w:rsidRPr="00607435">
        <w:rPr>
          <w:rFonts w:asciiTheme="minorHAnsi" w:hAnsiTheme="minorHAnsi"/>
          <w:sz w:val="22"/>
          <w:szCs w:val="22"/>
        </w:rPr>
        <w:t xml:space="preserve">mary risk indicator, as set out in Annex III” . The </w:t>
      </w:r>
      <w:proofErr w:type="gramStart"/>
      <w:r w:rsidRPr="00607435">
        <w:rPr>
          <w:rFonts w:asciiTheme="minorHAnsi" w:hAnsiTheme="minorHAnsi"/>
          <w:sz w:val="22"/>
          <w:szCs w:val="22"/>
        </w:rPr>
        <w:t>figure in Appendix 1 also show</w:t>
      </w:r>
      <w:proofErr w:type="gramEnd"/>
      <w:r w:rsidRPr="00607435">
        <w:rPr>
          <w:rFonts w:asciiTheme="minorHAnsi" w:hAnsiTheme="minorHAnsi"/>
          <w:sz w:val="22"/>
          <w:szCs w:val="22"/>
        </w:rPr>
        <w:t xml:space="preserve"> a significant warning on this point. We think the investor must be aware of this fact when making his decision, and we agree with the fact of assessing the risk at maturity rather than at any other moment</w:t>
      </w:r>
    </w:p>
    <w:permEnd w:id="13"/>
    <w:p w:rsidR="003E4B00" w:rsidRPr="00580880" w:rsidRDefault="003E4B00" w:rsidP="003E4B00">
      <w:pPr>
        <w:rPr>
          <w:lang w:val="fr-FR"/>
        </w:rPr>
      </w:pPr>
      <w:r w:rsidRPr="00580880">
        <w:rPr>
          <w:lang w:val="fr-FR"/>
        </w:rPr>
        <w:t>&lt;ESMA_QUESTION_</w:t>
      </w:r>
      <w:r>
        <w:rPr>
          <w:lang w:val="fr-FR"/>
        </w:rPr>
        <w:t>PRIIPS_13</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b/>
          <w:i/>
          <w:sz w:val="22"/>
          <w:lang w:eastAsia="en-US"/>
        </w:rPr>
      </w:pPr>
      <w:r w:rsidRPr="00A2049D">
        <w:rPr>
          <w:rFonts w:ascii="Calibri" w:hAnsi="Calibri"/>
          <w:b/>
          <w:i/>
          <w:sz w:val="22"/>
          <w:lang w:eastAsia="en-US"/>
        </w:rPr>
        <w:t>Question 14</w:t>
      </w: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i/>
          <w:sz w:val="22"/>
          <w:lang w:eastAsia="en-US"/>
        </w:rPr>
      </w:pPr>
      <w:r w:rsidRPr="00A2049D">
        <w:rPr>
          <w:rFonts w:ascii="Calibri" w:hAnsi="Calibri"/>
          <w:i/>
          <w:sz w:val="22"/>
          <w:lang w:eastAsia="en-US"/>
        </w:rPr>
        <w:t>Do you agree to use the performance fee, as prescribed in the cost section, as a basis for the calculations in the performance section (i.e. calculate the return of the benchmark for the moderate scenario in such a way that the return generates the performance fee as prescribed in the cost section)?  Do you agree the same benchmark return should be used for calculating performance fees for the unfavourable and f</w:t>
      </w:r>
      <w:r w:rsidRPr="00A2049D">
        <w:rPr>
          <w:rFonts w:ascii="Calibri" w:hAnsi="Calibri"/>
          <w:i/>
          <w:sz w:val="22"/>
          <w:lang w:eastAsia="en-US"/>
        </w:rPr>
        <w:t>a</w:t>
      </w:r>
      <w:r w:rsidRPr="00A2049D">
        <w:rPr>
          <w:rFonts w:ascii="Calibri" w:hAnsi="Calibri"/>
          <w:i/>
          <w:sz w:val="22"/>
          <w:lang w:eastAsia="en-US"/>
        </w:rPr>
        <w:t>vourable scenarios, or would you propose another approach, for instance automatically setting the pe</w:t>
      </w:r>
      <w:r w:rsidRPr="00A2049D">
        <w:rPr>
          <w:rFonts w:ascii="Calibri" w:hAnsi="Calibri"/>
          <w:i/>
          <w:sz w:val="22"/>
          <w:lang w:eastAsia="en-US"/>
        </w:rPr>
        <w:t>r</w:t>
      </w:r>
      <w:r w:rsidRPr="00A2049D">
        <w:rPr>
          <w:rFonts w:ascii="Calibri" w:hAnsi="Calibri"/>
          <w:i/>
          <w:sz w:val="22"/>
          <w:lang w:eastAsia="en-US"/>
        </w:rPr>
        <w:t>formance fees to zero for the unfavourable scenario? Please justify your proposal.</w:t>
      </w:r>
    </w:p>
    <w:p w:rsidR="003E4B00" w:rsidRDefault="003E4B00" w:rsidP="003E4B00"/>
    <w:p w:rsidR="003E4B00" w:rsidRDefault="003E4B00" w:rsidP="003E4B00">
      <w:r>
        <w:lastRenderedPageBreak/>
        <w:t>&lt;ESMA_QUESTION_PRIIPS_14&gt;</w:t>
      </w:r>
    </w:p>
    <w:p w:rsidR="003E4B00" w:rsidRPr="00A9759D" w:rsidRDefault="00A9759D" w:rsidP="003E4B00">
      <w:pPr>
        <w:rPr>
          <w:color w:val="FF0000"/>
        </w:rPr>
      </w:pPr>
      <w:permStart w:id="14" w:edGrp="everyone"/>
      <w:r w:rsidRPr="00607435">
        <w:rPr>
          <w:rFonts w:asciiTheme="minorHAnsi" w:hAnsiTheme="minorHAnsi"/>
          <w:sz w:val="22"/>
          <w:szCs w:val="22"/>
        </w:rPr>
        <w:t xml:space="preserve">Performance Fees should be limited to zero in case of losses </w:t>
      </w:r>
      <w:r w:rsidR="00607435" w:rsidRPr="00607435">
        <w:rPr>
          <w:rFonts w:asciiTheme="minorHAnsi" w:hAnsiTheme="minorHAnsi"/>
          <w:sz w:val="22"/>
          <w:szCs w:val="22"/>
        </w:rPr>
        <w:t xml:space="preserve">because where </w:t>
      </w:r>
      <w:r w:rsidRPr="00607435">
        <w:rPr>
          <w:rFonts w:asciiTheme="minorHAnsi" w:hAnsiTheme="minorHAnsi"/>
          <w:sz w:val="22"/>
          <w:szCs w:val="22"/>
        </w:rPr>
        <w:t>loses should be shared with the client management costs should be much higher in order to compensate this risk</w:t>
      </w:r>
      <w:r w:rsidRPr="00607435">
        <w:t>.</w:t>
      </w:r>
    </w:p>
    <w:permEnd w:id="14"/>
    <w:p w:rsidR="00A2049D" w:rsidRPr="003E4B00" w:rsidRDefault="003E4B00" w:rsidP="003E4B00">
      <w:pPr>
        <w:rPr>
          <w:lang w:val="fr-FR"/>
        </w:rPr>
      </w:pPr>
      <w:r w:rsidRPr="00580880">
        <w:rPr>
          <w:lang w:val="fr-FR"/>
        </w:rPr>
        <w:t>&lt;ESMA_QUESTION_</w:t>
      </w:r>
      <w:r>
        <w:rPr>
          <w:lang w:val="fr-FR"/>
        </w:rPr>
        <w:t>PRIIPS_14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15</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Given the number of tables displayed in the KID and the to a degree mixed consumer testing results on whether presentation of performance scenarios as a table or a graph would be most effective, do you think a presentation of the performance scenarios in the form of a graph should be preferred, or both a table and a graph? </w:t>
      </w:r>
    </w:p>
    <w:p w:rsidR="003E4B00" w:rsidRDefault="003E4B00" w:rsidP="003E4B00"/>
    <w:p w:rsidR="003E4B00" w:rsidRDefault="003E4B00" w:rsidP="003E4B00">
      <w:r>
        <w:t>&lt;ESMA_QUESTION_PRIIPS_15&gt;</w:t>
      </w:r>
    </w:p>
    <w:p w:rsidR="003E4B00" w:rsidRPr="00607435" w:rsidRDefault="00A9759D" w:rsidP="003E4B00">
      <w:pPr>
        <w:rPr>
          <w:rFonts w:asciiTheme="minorHAnsi" w:hAnsiTheme="minorHAnsi"/>
          <w:sz w:val="22"/>
          <w:szCs w:val="22"/>
        </w:rPr>
      </w:pPr>
      <w:permStart w:id="15" w:edGrp="everyone"/>
      <w:r w:rsidRPr="00607435">
        <w:rPr>
          <w:rFonts w:asciiTheme="minorHAnsi" w:hAnsiTheme="minorHAnsi"/>
          <w:sz w:val="22"/>
          <w:szCs w:val="22"/>
        </w:rPr>
        <w:t>A graph with the concrete figures in each scenario should be included.</w:t>
      </w:r>
    </w:p>
    <w:permEnd w:id="15"/>
    <w:p w:rsidR="003E4B00" w:rsidRPr="003E4B00" w:rsidRDefault="003E4B00" w:rsidP="003E4B00">
      <w:pPr>
        <w:rPr>
          <w:lang w:val="fr-FR"/>
        </w:rPr>
      </w:pPr>
      <w:r w:rsidRPr="00580880">
        <w:rPr>
          <w:lang w:val="fr-FR"/>
        </w:rPr>
        <w:t>&lt;ESMA_QUESTION_</w:t>
      </w:r>
      <w:r>
        <w:rPr>
          <w:lang w:val="fr-FR"/>
        </w:rPr>
        <w:t>PRIIPS_15</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16</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scope of the assets mentioned in paragraph 25 of Annex VI on transaction costs for which this methodology is prescribed? If not, what alternative scope would you recommend?</w:t>
      </w:r>
    </w:p>
    <w:p w:rsidR="00A2049D" w:rsidRDefault="00A2049D" w:rsidP="00A2049D">
      <w:pPr>
        <w:rPr>
          <w:rFonts w:ascii="Times New Roman" w:hAnsi="Times New Roman"/>
          <w:i/>
          <w:sz w:val="22"/>
          <w:szCs w:val="22"/>
          <w:lang w:eastAsia="en-US"/>
        </w:rPr>
      </w:pPr>
    </w:p>
    <w:p w:rsidR="003E4B00" w:rsidRDefault="003E4B00" w:rsidP="003E4B00">
      <w:r>
        <w:t>&lt;ESMA_QUESTION_PRIIPS_16&gt;</w:t>
      </w:r>
    </w:p>
    <w:p w:rsidR="003E4B00" w:rsidRPr="00607435" w:rsidRDefault="00A9759D" w:rsidP="003E4B00">
      <w:pPr>
        <w:rPr>
          <w:rFonts w:asciiTheme="minorHAnsi" w:hAnsiTheme="minorHAnsi"/>
          <w:sz w:val="22"/>
          <w:szCs w:val="22"/>
        </w:rPr>
      </w:pPr>
      <w:permStart w:id="16" w:edGrp="everyone"/>
      <w:r w:rsidRPr="00607435">
        <w:rPr>
          <w:rFonts w:asciiTheme="minorHAnsi" w:hAnsiTheme="minorHAnsi"/>
          <w:sz w:val="22"/>
          <w:szCs w:val="22"/>
        </w:rPr>
        <w:t>The scope seems adequate as it includes all the assets.</w:t>
      </w:r>
    </w:p>
    <w:permEnd w:id="16"/>
    <w:p w:rsidR="003E4B00" w:rsidRPr="003E4B00" w:rsidRDefault="003E4B00" w:rsidP="003E4B00">
      <w:pPr>
        <w:rPr>
          <w:lang w:val="fr-FR"/>
        </w:rPr>
      </w:pPr>
      <w:r w:rsidRPr="00580880">
        <w:rPr>
          <w:lang w:val="fr-FR"/>
        </w:rPr>
        <w:t>&lt;ESMA_QUESTION_</w:t>
      </w:r>
      <w:r>
        <w:rPr>
          <w:lang w:val="fr-FR"/>
        </w:rPr>
        <w:t>PRIIPS_16</w:t>
      </w:r>
      <w:r w:rsidRPr="00580880">
        <w:rPr>
          <w:lang w:val="fr-FR"/>
        </w:rPr>
        <w:t>&gt;</w:t>
      </w:r>
    </w:p>
    <w:p w:rsidR="00A2049D" w:rsidRDefault="00A2049D" w:rsidP="00A2049D">
      <w:pPr>
        <w:rPr>
          <w:rFonts w:ascii="Times New Roman" w:hAnsi="Times New Roman"/>
          <w:i/>
          <w:sz w:val="22"/>
          <w:szCs w:val="22"/>
          <w:lang w:eastAsia="en-US"/>
        </w:rPr>
      </w:pPr>
    </w:p>
    <w:p w:rsidR="00A2049D" w:rsidRPr="00A2049D" w:rsidRDefault="00A2049D" w:rsidP="00A2049D">
      <w:pPr>
        <w:rPr>
          <w:rFonts w:ascii="Times New Roman" w:hAnsi="Times New Roman"/>
          <w:i/>
          <w:sz w:val="22"/>
          <w:szCs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17</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values of the figures included in this table? If not, which values would you suggest? (please note that this table could as well be included in guidelines, to allow for more flexibility in the revision of the figures)</w:t>
      </w:r>
    </w:p>
    <w:p w:rsidR="003E4B00" w:rsidRDefault="003E4B00" w:rsidP="003E4B00"/>
    <w:p w:rsidR="003E4B00" w:rsidRDefault="003E4B00" w:rsidP="003E4B00">
      <w:r>
        <w:t>&lt;ESMA_QUESTION_PRIIPS_17&gt;</w:t>
      </w:r>
    </w:p>
    <w:p w:rsidR="003E4B00" w:rsidRPr="00607435" w:rsidRDefault="00A9759D" w:rsidP="003E4B00">
      <w:permStart w:id="17" w:edGrp="everyone"/>
      <w:r w:rsidRPr="00607435">
        <w:rPr>
          <w:rFonts w:asciiTheme="minorHAnsi" w:hAnsiTheme="minorHAnsi"/>
          <w:sz w:val="22"/>
          <w:szCs w:val="22"/>
        </w:rPr>
        <w:t>More flexibility should be allowed in order to enable each entity to define its own price policy according</w:t>
      </w:r>
      <w:r w:rsidR="00607435" w:rsidRPr="00607435">
        <w:rPr>
          <w:rFonts w:asciiTheme="minorHAnsi" w:hAnsiTheme="minorHAnsi"/>
          <w:sz w:val="22"/>
          <w:szCs w:val="22"/>
        </w:rPr>
        <w:t xml:space="preserve"> to</w:t>
      </w:r>
      <w:r w:rsidRPr="00607435">
        <w:rPr>
          <w:rFonts w:asciiTheme="minorHAnsi" w:hAnsiTheme="minorHAnsi"/>
          <w:sz w:val="22"/>
          <w:szCs w:val="22"/>
        </w:rPr>
        <w:t xml:space="preserve"> the services offered. Being constrained to standard costs for the </w:t>
      </w:r>
      <w:r w:rsidR="00607435" w:rsidRPr="00607435">
        <w:rPr>
          <w:rFonts w:asciiTheme="minorHAnsi" w:hAnsiTheme="minorHAnsi"/>
          <w:sz w:val="22"/>
          <w:szCs w:val="22"/>
        </w:rPr>
        <w:t>whole</w:t>
      </w:r>
      <w:r w:rsidRPr="00607435">
        <w:rPr>
          <w:rFonts w:asciiTheme="minorHAnsi" w:hAnsiTheme="minorHAnsi"/>
          <w:sz w:val="22"/>
          <w:szCs w:val="22"/>
        </w:rPr>
        <w:t xml:space="preserve"> industry </w:t>
      </w:r>
      <w:r w:rsidR="00607435" w:rsidRPr="00607435">
        <w:rPr>
          <w:rFonts w:asciiTheme="minorHAnsi" w:hAnsiTheme="minorHAnsi"/>
          <w:sz w:val="22"/>
          <w:szCs w:val="22"/>
        </w:rPr>
        <w:t>w</w:t>
      </w:r>
      <w:r w:rsidRPr="00607435">
        <w:rPr>
          <w:rFonts w:asciiTheme="minorHAnsi" w:hAnsiTheme="minorHAnsi"/>
          <w:sz w:val="22"/>
          <w:szCs w:val="22"/>
        </w:rPr>
        <w:t xml:space="preserve">ould </w:t>
      </w:r>
      <w:proofErr w:type="gramStart"/>
      <w:r w:rsidRPr="00607435">
        <w:rPr>
          <w:rFonts w:asciiTheme="minorHAnsi" w:hAnsiTheme="minorHAnsi"/>
          <w:sz w:val="22"/>
          <w:szCs w:val="22"/>
        </w:rPr>
        <w:t>be</w:t>
      </w:r>
      <w:proofErr w:type="gramEnd"/>
      <w:r w:rsidRPr="00607435">
        <w:rPr>
          <w:rFonts w:asciiTheme="minorHAnsi" w:hAnsiTheme="minorHAnsi"/>
          <w:sz w:val="22"/>
          <w:szCs w:val="22"/>
        </w:rPr>
        <w:t xml:space="preserve"> damaging for both compet</w:t>
      </w:r>
      <w:r w:rsidR="00607435" w:rsidRPr="00607435">
        <w:rPr>
          <w:rFonts w:asciiTheme="minorHAnsi" w:hAnsiTheme="minorHAnsi"/>
          <w:sz w:val="22"/>
          <w:szCs w:val="22"/>
        </w:rPr>
        <w:t xml:space="preserve">ition </w:t>
      </w:r>
      <w:r w:rsidRPr="00607435">
        <w:rPr>
          <w:rFonts w:asciiTheme="minorHAnsi" w:hAnsiTheme="minorHAnsi"/>
          <w:sz w:val="22"/>
          <w:szCs w:val="22"/>
        </w:rPr>
        <w:t xml:space="preserve">and products offered </w:t>
      </w:r>
      <w:r w:rsidR="00607435" w:rsidRPr="00607435">
        <w:rPr>
          <w:rFonts w:asciiTheme="minorHAnsi" w:hAnsiTheme="minorHAnsi"/>
          <w:sz w:val="22"/>
          <w:szCs w:val="22"/>
        </w:rPr>
        <w:t xml:space="preserve">to </w:t>
      </w:r>
      <w:r w:rsidRPr="00607435">
        <w:rPr>
          <w:rFonts w:asciiTheme="minorHAnsi" w:hAnsiTheme="minorHAnsi"/>
          <w:sz w:val="22"/>
          <w:szCs w:val="22"/>
        </w:rPr>
        <w:t>the clients</w:t>
      </w:r>
      <w:r w:rsidRPr="00607435">
        <w:t>.</w:t>
      </w:r>
    </w:p>
    <w:permEnd w:id="17"/>
    <w:p w:rsidR="003E4B00" w:rsidRPr="003E4B00" w:rsidRDefault="003E4B00" w:rsidP="003E4B00">
      <w:pPr>
        <w:rPr>
          <w:lang w:val="fr-FR"/>
        </w:rPr>
      </w:pPr>
      <w:r w:rsidRPr="00580880">
        <w:rPr>
          <w:lang w:val="fr-FR"/>
        </w:rPr>
        <w:t>&lt;ESMA_QUESTION_</w:t>
      </w:r>
      <w:r>
        <w:rPr>
          <w:lang w:val="fr-FR"/>
        </w:rPr>
        <w:t>PRIIPS_17</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18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Do you agree that the monetary values indicated in the first table are a sum of costs over the respective holding periods? Or should the values reflect annualized amounts? If you prefer annualized amounts, which method for annualisation should be used (e.g. arithmetic average or methods that consider di</w:t>
      </w:r>
      <w:r w:rsidRPr="00A2049D">
        <w:rPr>
          <w:rFonts w:ascii="Calibri" w:hAnsi="Calibri"/>
          <w:i/>
          <w:sz w:val="22"/>
          <w:lang w:eastAsia="en-US"/>
        </w:rPr>
        <w:t>s</w:t>
      </w:r>
      <w:r w:rsidRPr="00A2049D">
        <w:rPr>
          <w:rFonts w:ascii="Calibri" w:hAnsi="Calibri"/>
          <w:i/>
          <w:sz w:val="22"/>
          <w:lang w:eastAsia="en-US"/>
        </w:rPr>
        <w:t>counting effects)?</w:t>
      </w:r>
    </w:p>
    <w:p w:rsidR="003E4B00" w:rsidRDefault="003E4B00" w:rsidP="003E4B00"/>
    <w:p w:rsidR="003E4B00" w:rsidRDefault="003E4B00" w:rsidP="003E4B00">
      <w:r>
        <w:t>&lt;ESMA_QUESTION_PRIIPS_18&gt;</w:t>
      </w:r>
    </w:p>
    <w:p w:rsidR="003E4B00" w:rsidRPr="00607435" w:rsidRDefault="003E4B00" w:rsidP="003E4B00">
      <w:pPr>
        <w:rPr>
          <w:rFonts w:asciiTheme="minorHAnsi" w:hAnsiTheme="minorHAnsi"/>
          <w:sz w:val="22"/>
          <w:szCs w:val="22"/>
        </w:rPr>
      </w:pPr>
      <w:permStart w:id="18" w:edGrp="everyone"/>
      <w:r w:rsidRPr="00607435">
        <w:rPr>
          <w:rFonts w:asciiTheme="minorHAnsi" w:hAnsiTheme="minorHAnsi"/>
          <w:sz w:val="22"/>
          <w:szCs w:val="22"/>
        </w:rPr>
        <w:t>T</w:t>
      </w:r>
      <w:r w:rsidR="00A9759D" w:rsidRPr="00607435">
        <w:rPr>
          <w:rFonts w:asciiTheme="minorHAnsi" w:hAnsiTheme="minorHAnsi"/>
          <w:sz w:val="22"/>
          <w:szCs w:val="22"/>
        </w:rPr>
        <w:t xml:space="preserve">he </w:t>
      </w:r>
      <w:r w:rsidR="002903CB" w:rsidRPr="00607435">
        <w:rPr>
          <w:rFonts w:asciiTheme="minorHAnsi" w:hAnsiTheme="minorHAnsi"/>
          <w:sz w:val="22"/>
          <w:szCs w:val="22"/>
        </w:rPr>
        <w:t>use of annualised amounts seems</w:t>
      </w:r>
      <w:r w:rsidR="00A9759D" w:rsidRPr="00607435">
        <w:rPr>
          <w:rFonts w:asciiTheme="minorHAnsi" w:hAnsiTheme="minorHAnsi"/>
          <w:sz w:val="22"/>
          <w:szCs w:val="22"/>
        </w:rPr>
        <w:t xml:space="preserve"> </w:t>
      </w:r>
      <w:r w:rsidR="002903CB" w:rsidRPr="00607435">
        <w:rPr>
          <w:rFonts w:asciiTheme="minorHAnsi" w:hAnsiTheme="minorHAnsi"/>
          <w:sz w:val="22"/>
          <w:szCs w:val="22"/>
        </w:rPr>
        <w:t>reasonable</w:t>
      </w:r>
      <w:r w:rsidR="00A9759D" w:rsidRPr="00607435">
        <w:rPr>
          <w:rFonts w:asciiTheme="minorHAnsi" w:hAnsiTheme="minorHAnsi"/>
          <w:sz w:val="22"/>
          <w:szCs w:val="22"/>
        </w:rPr>
        <w:t xml:space="preserve">. </w:t>
      </w:r>
    </w:p>
    <w:permEnd w:id="18"/>
    <w:p w:rsidR="003E4B00" w:rsidRPr="003E4B00" w:rsidRDefault="003E4B00" w:rsidP="003E4B00">
      <w:pPr>
        <w:rPr>
          <w:lang w:val="fr-FR"/>
        </w:rPr>
      </w:pPr>
      <w:r w:rsidRPr="00580880">
        <w:rPr>
          <w:lang w:val="fr-FR"/>
        </w:rPr>
        <w:t>&lt;ESMA_QUESTION_</w:t>
      </w:r>
      <w:r>
        <w:rPr>
          <w:lang w:val="fr-FR"/>
        </w:rPr>
        <w:t>PRIIPS_18</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19</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think that estimating the fair value of biometric risk premiums as stated in paragraph 55(b) of Annex VI would raise any technical or practical difficulties?</w:t>
      </w:r>
    </w:p>
    <w:p w:rsidR="00A2049D" w:rsidRDefault="00A2049D" w:rsidP="00A2049D">
      <w:pPr>
        <w:jc w:val="both"/>
        <w:rPr>
          <w:rFonts w:ascii="Times New Roman" w:hAnsi="Times New Roman"/>
          <w:sz w:val="22"/>
          <w:lang w:eastAsia="en-US"/>
        </w:rPr>
      </w:pPr>
    </w:p>
    <w:p w:rsidR="003E4B00" w:rsidRDefault="003E4B00" w:rsidP="003E4B00">
      <w:r>
        <w:t>&lt;ESMA_QUESTION_PRIIPS_1</w:t>
      </w:r>
      <w:r w:rsidR="00491E49">
        <w:t>9</w:t>
      </w:r>
      <w:r>
        <w:t>&gt;</w:t>
      </w:r>
    </w:p>
    <w:p w:rsidR="003E4B00" w:rsidRDefault="003E4B00" w:rsidP="003E4B00">
      <w:permStart w:id="19" w:edGrp="everyone"/>
      <w:r>
        <w:t>TYPE YOUR TEXT HERE</w:t>
      </w:r>
    </w:p>
    <w:permEnd w:id="19"/>
    <w:p w:rsidR="003E4B00" w:rsidRPr="003E4B00" w:rsidRDefault="003E4B00" w:rsidP="003E4B00">
      <w:pPr>
        <w:rPr>
          <w:lang w:val="fr-FR"/>
        </w:rPr>
      </w:pPr>
      <w:r w:rsidRPr="00580880">
        <w:rPr>
          <w:lang w:val="fr-FR"/>
        </w:rPr>
        <w:t>&lt;ESMA_QUESTION_</w:t>
      </w:r>
      <w:r>
        <w:rPr>
          <w:lang w:val="fr-FR"/>
        </w:rPr>
        <w:t>PRIIPS_1</w:t>
      </w:r>
      <w:r w:rsidR="00491E49">
        <w:rPr>
          <w:lang w:val="fr-FR"/>
        </w:rPr>
        <w:t>9</w:t>
      </w:r>
      <w:r w:rsidRPr="00580880">
        <w:rPr>
          <w:lang w:val="fr-FR"/>
        </w:rPr>
        <w:t>&gt;</w:t>
      </w:r>
    </w:p>
    <w:p w:rsidR="003E4B00" w:rsidRDefault="003E4B00" w:rsidP="00A2049D">
      <w:pPr>
        <w:jc w:val="both"/>
        <w:rPr>
          <w:rFonts w:ascii="Times New Roman" w:hAnsi="Times New Roman"/>
          <w:sz w:val="22"/>
          <w:lang w:eastAsia="en-US"/>
        </w:rPr>
      </w:pPr>
    </w:p>
    <w:p w:rsidR="003E4B00" w:rsidRDefault="003E4B00"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20</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sz w:val="22"/>
          <w:lang w:eastAsia="en-US"/>
        </w:rPr>
      </w:pPr>
      <w:r w:rsidRPr="00A2049D">
        <w:rPr>
          <w:rFonts w:ascii="Calibri" w:hAnsi="Calibri"/>
          <w:i/>
          <w:sz w:val="22"/>
          <w:lang w:eastAsia="en-US"/>
        </w:rPr>
        <w:t>Knowing that the cost element of the biometric risk premium is included in the total costs calculation, how do you think the investor might be most efficiently informed about the other part of the biometric risk premium (i.e. the fair value), and/or the size of biometric risk premium overall? Do you consider it useful to include the fair value in a separate line in the first table, potentially below the RIY? Or should information on the fair value be disclosed in another part of the KID (for instance, the “What is this pro</w:t>
      </w:r>
      <w:r w:rsidRPr="00A2049D">
        <w:rPr>
          <w:rFonts w:ascii="Calibri" w:hAnsi="Calibri"/>
          <w:i/>
          <w:sz w:val="22"/>
          <w:lang w:eastAsia="en-US"/>
        </w:rPr>
        <w:t>d</w:t>
      </w:r>
      <w:r w:rsidRPr="00A2049D">
        <w:rPr>
          <w:rFonts w:ascii="Calibri" w:hAnsi="Calibri"/>
          <w:i/>
          <w:sz w:val="22"/>
          <w:lang w:eastAsia="en-US"/>
        </w:rPr>
        <w:t>uct?” section, where the draft RTS currently disclose biometric risk premiums in total, and/or in the pe</w:t>
      </w:r>
      <w:r w:rsidRPr="00A2049D">
        <w:rPr>
          <w:rFonts w:ascii="Calibri" w:hAnsi="Calibri"/>
          <w:i/>
          <w:sz w:val="22"/>
          <w:lang w:eastAsia="en-US"/>
        </w:rPr>
        <w:t>r</w:t>
      </w:r>
      <w:r w:rsidRPr="00A2049D">
        <w:rPr>
          <w:rFonts w:ascii="Calibri" w:hAnsi="Calibri"/>
          <w:i/>
          <w:sz w:val="22"/>
          <w:lang w:eastAsia="en-US"/>
        </w:rPr>
        <w:t xml:space="preserve">formance section)? What accompanying narrative text do you think is needed, and where should this be placed, including specifically narrative text in the cost section? </w:t>
      </w:r>
    </w:p>
    <w:p w:rsidR="00491E49" w:rsidRDefault="00491E49" w:rsidP="00491E49"/>
    <w:p w:rsidR="00491E49" w:rsidRDefault="00491E49" w:rsidP="00491E49">
      <w:r>
        <w:t>&lt;ESMA_QUESTION_PRIIPS_20&gt;</w:t>
      </w:r>
    </w:p>
    <w:p w:rsidR="00491E49" w:rsidRDefault="00491E49" w:rsidP="00491E49">
      <w:permStart w:id="20" w:edGrp="everyone"/>
      <w:r>
        <w:t>TYPE YOUR TEXT HERE</w:t>
      </w:r>
    </w:p>
    <w:permEnd w:id="20"/>
    <w:p w:rsidR="00491E49" w:rsidRPr="003E4B00" w:rsidRDefault="00491E49" w:rsidP="00491E49">
      <w:pPr>
        <w:rPr>
          <w:lang w:val="fr-FR"/>
        </w:rPr>
      </w:pPr>
      <w:r w:rsidRPr="00580880">
        <w:rPr>
          <w:lang w:val="fr-FR"/>
        </w:rPr>
        <w:t>&lt;ESMA_QUESTION_</w:t>
      </w:r>
      <w:r>
        <w:rPr>
          <w:lang w:val="fr-FR"/>
        </w:rPr>
        <w:t>PRIIPS_20</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21</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evidence as to the difficulties consumers may have using percentage figures, would you prefer an alternative presentation of the second table, solely using monetary values instead? As with the first table, please also explain what difficulties you think might arise from calculating monetary values, and whether this should be on an annualized basis, and if so, how?</w:t>
      </w:r>
    </w:p>
    <w:p w:rsidR="00A2049D" w:rsidRDefault="00A2049D" w:rsidP="00A2049D">
      <w:pPr>
        <w:jc w:val="both"/>
        <w:rPr>
          <w:rFonts w:ascii="Calibri" w:hAnsi="Calibri"/>
          <w:b/>
          <w:sz w:val="22"/>
          <w:lang w:eastAsia="en-US"/>
        </w:rPr>
      </w:pPr>
    </w:p>
    <w:p w:rsidR="00491E49" w:rsidRDefault="00491E49" w:rsidP="00491E49">
      <w:r>
        <w:t>&lt;ESMA_QUESTION_PRIIPS_21&gt;</w:t>
      </w:r>
    </w:p>
    <w:p w:rsidR="006F309F" w:rsidRPr="00607435" w:rsidRDefault="006F309F" w:rsidP="006F309F">
      <w:pPr>
        <w:rPr>
          <w:rFonts w:asciiTheme="minorHAnsi" w:hAnsiTheme="minorHAnsi"/>
          <w:sz w:val="22"/>
          <w:szCs w:val="22"/>
        </w:rPr>
      </w:pPr>
      <w:permStart w:id="21" w:edGrp="everyone"/>
      <w:r w:rsidRPr="00607435">
        <w:rPr>
          <w:rFonts w:asciiTheme="minorHAnsi" w:hAnsiTheme="minorHAnsi"/>
          <w:sz w:val="22"/>
          <w:szCs w:val="22"/>
        </w:rPr>
        <w:t>An average retail client for investment products should easily understand the use of percentages, so this presentation seems adequate.</w:t>
      </w:r>
    </w:p>
    <w:p w:rsidR="006F309F" w:rsidRPr="00607435" w:rsidRDefault="006F309F" w:rsidP="006F309F">
      <w:pPr>
        <w:rPr>
          <w:rFonts w:asciiTheme="minorHAnsi" w:hAnsiTheme="minorHAnsi"/>
          <w:sz w:val="22"/>
          <w:szCs w:val="22"/>
        </w:rPr>
      </w:pPr>
    </w:p>
    <w:p w:rsidR="006F309F" w:rsidRPr="00607435" w:rsidRDefault="006F309F" w:rsidP="006F309F">
      <w:pPr>
        <w:rPr>
          <w:rFonts w:asciiTheme="minorHAnsi" w:hAnsiTheme="minorHAnsi"/>
          <w:sz w:val="22"/>
          <w:szCs w:val="22"/>
        </w:rPr>
      </w:pPr>
      <w:r w:rsidRPr="00607435">
        <w:rPr>
          <w:rFonts w:asciiTheme="minorHAnsi" w:hAnsiTheme="minorHAnsi"/>
          <w:sz w:val="22"/>
          <w:szCs w:val="22"/>
        </w:rPr>
        <w:t xml:space="preserve">Taken into account that the costs alienation with rules as required by </w:t>
      </w:r>
      <w:proofErr w:type="spellStart"/>
      <w:r w:rsidRPr="00607435">
        <w:rPr>
          <w:rFonts w:asciiTheme="minorHAnsi" w:hAnsiTheme="minorHAnsi"/>
          <w:sz w:val="22"/>
          <w:szCs w:val="22"/>
        </w:rPr>
        <w:t>MiFID</w:t>
      </w:r>
      <w:proofErr w:type="spellEnd"/>
      <w:r w:rsidRPr="00607435">
        <w:rPr>
          <w:rFonts w:asciiTheme="minorHAnsi" w:hAnsiTheme="minorHAnsi"/>
          <w:sz w:val="22"/>
          <w:szCs w:val="22"/>
        </w:rPr>
        <w:t xml:space="preserve"> II for the packaged retail investment product is essential, the table should include both percentage figures and monetary values (</w:t>
      </w:r>
      <w:proofErr w:type="spellStart"/>
      <w:r w:rsidRPr="00607435">
        <w:rPr>
          <w:rFonts w:asciiTheme="minorHAnsi" w:hAnsiTheme="minorHAnsi"/>
          <w:sz w:val="22"/>
          <w:szCs w:val="22"/>
        </w:rPr>
        <w:t>MiFID</w:t>
      </w:r>
      <w:proofErr w:type="spellEnd"/>
      <w:r w:rsidRPr="00607435">
        <w:rPr>
          <w:rFonts w:asciiTheme="minorHAnsi" w:hAnsiTheme="minorHAnsi"/>
          <w:sz w:val="22"/>
          <w:szCs w:val="22"/>
        </w:rPr>
        <w:t xml:space="preserve"> II requirements where both figures are required).</w:t>
      </w:r>
    </w:p>
    <w:permEnd w:id="21"/>
    <w:p w:rsidR="00491E49" w:rsidRPr="003E4B00" w:rsidRDefault="00491E49" w:rsidP="00491E49">
      <w:pPr>
        <w:rPr>
          <w:lang w:val="fr-FR"/>
        </w:rPr>
      </w:pPr>
      <w:r w:rsidRPr="00580880">
        <w:rPr>
          <w:lang w:val="fr-FR"/>
        </w:rPr>
        <w:t>&lt;ESMA_QUESTION_</w:t>
      </w:r>
      <w:r>
        <w:rPr>
          <w:lang w:val="fr-FR"/>
        </w:rPr>
        <w:t>PRIIPS_21</w:t>
      </w:r>
      <w:r w:rsidRPr="00580880">
        <w:rPr>
          <w:lang w:val="fr-FR"/>
        </w:rPr>
        <w:t>&gt;</w:t>
      </w:r>
    </w:p>
    <w:p w:rsidR="00491E49" w:rsidRDefault="00491E49" w:rsidP="00A2049D">
      <w:pPr>
        <w:jc w:val="both"/>
        <w:rPr>
          <w:rFonts w:ascii="Calibri" w:hAnsi="Calibri"/>
          <w:b/>
          <w:sz w:val="22"/>
          <w:lang w:eastAsia="en-US"/>
        </w:rPr>
      </w:pPr>
    </w:p>
    <w:p w:rsidR="00491E49" w:rsidRPr="00A2049D" w:rsidRDefault="00491E49" w:rsidP="00A2049D">
      <w:pPr>
        <w:jc w:val="both"/>
        <w:rPr>
          <w:rFonts w:ascii="Calibri" w:hAnsi="Calibri"/>
          <w:b/>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22</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the number of tables shown in the KID, do you think a more graphic presentation of the breakout table should be preferred?</w:t>
      </w:r>
    </w:p>
    <w:p w:rsidR="00491E49" w:rsidRDefault="00491E49" w:rsidP="00491E49"/>
    <w:p w:rsidR="00491E49" w:rsidRDefault="00491E49" w:rsidP="00491E49">
      <w:r>
        <w:t>&lt;ESMA_QUESTION_PRIIPS_22&gt;</w:t>
      </w:r>
    </w:p>
    <w:p w:rsidR="00990CEA" w:rsidRPr="00607435" w:rsidRDefault="00990CEA" w:rsidP="006C7AE5">
      <w:pPr>
        <w:rPr>
          <w:rFonts w:asciiTheme="minorHAnsi" w:hAnsiTheme="minorHAnsi"/>
          <w:sz w:val="22"/>
          <w:szCs w:val="22"/>
        </w:rPr>
      </w:pPr>
      <w:permStart w:id="22" w:edGrp="everyone"/>
      <w:r w:rsidRPr="00607435">
        <w:rPr>
          <w:rFonts w:asciiTheme="minorHAnsi" w:hAnsiTheme="minorHAnsi"/>
          <w:sz w:val="22"/>
          <w:szCs w:val="22"/>
        </w:rPr>
        <w:lastRenderedPageBreak/>
        <w:t xml:space="preserve">The example of a graphical breakdown presentation offered on page 14 of the consultation paper adds little in terms of clarity for clients compared to a table. </w:t>
      </w:r>
    </w:p>
    <w:p w:rsidR="00491E49" w:rsidRPr="003E4B00" w:rsidRDefault="00990CEA" w:rsidP="00491E49">
      <w:pPr>
        <w:rPr>
          <w:lang w:val="fr-FR"/>
        </w:rPr>
      </w:pPr>
      <w:r w:rsidRPr="00607435">
        <w:rPr>
          <w:rFonts w:asciiTheme="minorHAnsi" w:hAnsiTheme="minorHAnsi"/>
          <w:sz w:val="22"/>
          <w:szCs w:val="22"/>
        </w:rPr>
        <w:t>It is difficult to understand how this proposal relates to the results of the consumer testing that has been undertaken with regard to drafting a KID format</w:t>
      </w:r>
      <w:permEnd w:id="22"/>
      <w:r w:rsidR="00491E49" w:rsidRPr="00580880">
        <w:rPr>
          <w:lang w:val="fr-FR"/>
        </w:rPr>
        <w:t>&lt;ESMA_QUESTION_</w:t>
      </w:r>
      <w:r w:rsidR="00491E49">
        <w:rPr>
          <w:lang w:val="fr-FR"/>
        </w:rPr>
        <w:t>PRIIPS_22</w:t>
      </w:r>
      <w:r w:rsidR="00491E49"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23</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The example presented above includes a possible way of showing the variability of performance fees, by showing the level for all three performance scenarios in the KID, highlighting the ‘moderate‘ scenario, which would be used for the calculation of the total costs. Do you believe that this additional information should be included in the KID?</w:t>
      </w:r>
    </w:p>
    <w:p w:rsidR="00A2049D" w:rsidRDefault="00A2049D" w:rsidP="00A2049D">
      <w:pPr>
        <w:jc w:val="both"/>
        <w:rPr>
          <w:rFonts w:ascii="Times New Roman" w:hAnsi="Times New Roman"/>
          <w:sz w:val="22"/>
          <w:lang w:eastAsia="en-US"/>
        </w:rPr>
      </w:pPr>
    </w:p>
    <w:p w:rsidR="00491E49" w:rsidRDefault="00491E49" w:rsidP="00491E49">
      <w:r>
        <w:t>&lt;ESMA_QUESTION_PRIIPS_23&gt;</w:t>
      </w:r>
    </w:p>
    <w:p w:rsidR="00491E49" w:rsidRPr="003E4B00" w:rsidRDefault="00607435" w:rsidP="00491E49">
      <w:pPr>
        <w:rPr>
          <w:lang w:val="fr-FR"/>
        </w:rPr>
      </w:pPr>
      <w:permStart w:id="23" w:edGrp="everyone"/>
      <w:r w:rsidRPr="00607435">
        <w:rPr>
          <w:rFonts w:asciiTheme="minorHAnsi" w:hAnsiTheme="minorHAnsi"/>
          <w:sz w:val="22"/>
          <w:szCs w:val="22"/>
        </w:rPr>
        <w:t xml:space="preserve">We don´t think so. </w:t>
      </w:r>
      <w:r w:rsidR="006F309F" w:rsidRPr="00607435">
        <w:rPr>
          <w:rFonts w:asciiTheme="minorHAnsi" w:hAnsiTheme="minorHAnsi"/>
          <w:sz w:val="22"/>
          <w:szCs w:val="22"/>
        </w:rPr>
        <w:t>If the Kid should be a clear and no long document, the necessary information, but no more tha</w:t>
      </w:r>
      <w:r w:rsidRPr="00607435">
        <w:rPr>
          <w:rFonts w:asciiTheme="minorHAnsi" w:hAnsiTheme="minorHAnsi"/>
          <w:sz w:val="22"/>
          <w:szCs w:val="22"/>
        </w:rPr>
        <w:t>n</w:t>
      </w:r>
      <w:r w:rsidR="006F309F" w:rsidRPr="00607435">
        <w:rPr>
          <w:rFonts w:asciiTheme="minorHAnsi" w:hAnsiTheme="minorHAnsi"/>
          <w:sz w:val="22"/>
          <w:szCs w:val="22"/>
        </w:rPr>
        <w:t xml:space="preserve"> that should be included. The tables included in Annex VII</w:t>
      </w:r>
      <w:r w:rsidRPr="00607435">
        <w:rPr>
          <w:rFonts w:asciiTheme="minorHAnsi" w:hAnsiTheme="minorHAnsi"/>
          <w:sz w:val="22"/>
          <w:szCs w:val="22"/>
        </w:rPr>
        <w:t xml:space="preserve"> already</w:t>
      </w:r>
      <w:r w:rsidR="006F309F" w:rsidRPr="00607435">
        <w:rPr>
          <w:rFonts w:asciiTheme="minorHAnsi" w:hAnsiTheme="minorHAnsi"/>
          <w:sz w:val="22"/>
          <w:szCs w:val="22"/>
        </w:rPr>
        <w:t xml:space="preserve"> include enough information</w:t>
      </w:r>
      <w:r w:rsidR="006F309F">
        <w:t xml:space="preserve">. </w:t>
      </w:r>
      <w:permEnd w:id="23"/>
      <w:r w:rsidR="00491E49" w:rsidRPr="00580880">
        <w:rPr>
          <w:lang w:val="fr-FR"/>
        </w:rPr>
        <w:t>&lt;ESMA_QUESTION_</w:t>
      </w:r>
      <w:r w:rsidR="00491E49">
        <w:rPr>
          <w:lang w:val="fr-FR"/>
        </w:rPr>
        <w:t>PRIIPS_23</w:t>
      </w:r>
      <w:r w:rsidR="00491E49" w:rsidRPr="00580880">
        <w:rPr>
          <w:lang w:val="fr-FR"/>
        </w:rPr>
        <w:t>&gt;</w:t>
      </w:r>
    </w:p>
    <w:p w:rsidR="00491E49" w:rsidRDefault="00491E49" w:rsidP="00A2049D">
      <w:pPr>
        <w:jc w:val="both"/>
        <w:rPr>
          <w:rFonts w:ascii="Times New Roman" w:hAnsi="Times New Roman"/>
          <w:sz w:val="22"/>
          <w:lang w:eastAsia="en-US"/>
        </w:rPr>
      </w:pPr>
    </w:p>
    <w:p w:rsidR="00491E49" w:rsidRDefault="00491E49"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24</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 xml:space="preserve">To reduce the volume of information, should the first and the second table of Annex VII be combined in one table? Should this be supplemented with a breakdown of costs as suggested in the graphic above? </w:t>
      </w:r>
    </w:p>
    <w:p w:rsidR="00491E49" w:rsidRDefault="00491E49" w:rsidP="00491E49"/>
    <w:p w:rsidR="00491E49" w:rsidRDefault="00491E49" w:rsidP="00491E49">
      <w:r>
        <w:t>&lt;ESMA_QUESTION_PRIIPS_24&gt;</w:t>
      </w:r>
    </w:p>
    <w:p w:rsidR="00491E49" w:rsidRPr="003E4B00" w:rsidRDefault="006F309F" w:rsidP="00491E49">
      <w:pPr>
        <w:rPr>
          <w:lang w:val="fr-FR"/>
        </w:rPr>
      </w:pPr>
      <w:permStart w:id="24" w:edGrp="everyone"/>
      <w:r w:rsidRPr="002E42BD">
        <w:rPr>
          <w:rFonts w:asciiTheme="majorHAnsi" w:hAnsiTheme="majorHAnsi"/>
          <w:sz w:val="22"/>
          <w:szCs w:val="22"/>
        </w:rPr>
        <w:t xml:space="preserve"> </w:t>
      </w:r>
      <w:r w:rsidR="002903CB" w:rsidRPr="00561C12">
        <w:rPr>
          <w:rFonts w:asciiTheme="minorHAnsi" w:hAnsiTheme="minorHAnsi"/>
          <w:sz w:val="22"/>
          <w:szCs w:val="22"/>
          <w:lang w:val="fr-FR"/>
        </w:rPr>
        <w:t xml:space="preserve">One single table </w:t>
      </w:r>
      <w:proofErr w:type="spellStart"/>
      <w:r w:rsidR="002903CB" w:rsidRPr="00561C12">
        <w:rPr>
          <w:rFonts w:asciiTheme="minorHAnsi" w:hAnsiTheme="minorHAnsi"/>
          <w:sz w:val="22"/>
          <w:szCs w:val="22"/>
          <w:lang w:val="fr-FR"/>
        </w:rPr>
        <w:t>should</w:t>
      </w:r>
      <w:proofErr w:type="spellEnd"/>
      <w:r w:rsidR="002903CB" w:rsidRPr="00561C12">
        <w:rPr>
          <w:rFonts w:asciiTheme="minorHAnsi" w:hAnsiTheme="minorHAnsi"/>
          <w:sz w:val="22"/>
          <w:szCs w:val="22"/>
          <w:lang w:val="fr-FR"/>
        </w:rPr>
        <w:t xml:space="preserve"> </w:t>
      </w:r>
      <w:proofErr w:type="spellStart"/>
      <w:r w:rsidR="002903CB" w:rsidRPr="00561C12">
        <w:rPr>
          <w:rFonts w:asciiTheme="minorHAnsi" w:hAnsiTheme="minorHAnsi"/>
          <w:sz w:val="22"/>
          <w:szCs w:val="22"/>
          <w:lang w:val="fr-FR"/>
        </w:rPr>
        <w:t>be</w:t>
      </w:r>
      <w:proofErr w:type="spellEnd"/>
      <w:r w:rsidR="002903CB" w:rsidRPr="00561C12">
        <w:rPr>
          <w:rFonts w:asciiTheme="minorHAnsi" w:hAnsiTheme="minorHAnsi"/>
          <w:sz w:val="22"/>
          <w:szCs w:val="22"/>
          <w:lang w:val="fr-FR"/>
        </w:rPr>
        <w:t xml:space="preserve"> </w:t>
      </w:r>
      <w:proofErr w:type="spellStart"/>
      <w:r w:rsidR="002903CB" w:rsidRPr="00561C12">
        <w:rPr>
          <w:rFonts w:asciiTheme="minorHAnsi" w:hAnsiTheme="minorHAnsi"/>
          <w:sz w:val="22"/>
          <w:szCs w:val="22"/>
          <w:lang w:val="fr-FR"/>
        </w:rPr>
        <w:t>defined</w:t>
      </w:r>
      <w:proofErr w:type="spellEnd"/>
      <w:r w:rsidR="00607435" w:rsidRPr="00561C12">
        <w:rPr>
          <w:rFonts w:asciiTheme="minorHAnsi" w:hAnsiTheme="minorHAnsi"/>
          <w:sz w:val="22"/>
          <w:szCs w:val="22"/>
          <w:lang w:val="fr-FR"/>
        </w:rPr>
        <w:t xml:space="preserve"> </w:t>
      </w:r>
      <w:proofErr w:type="spellStart"/>
      <w:r w:rsidR="00607435" w:rsidRPr="00561C12">
        <w:rPr>
          <w:rFonts w:asciiTheme="minorHAnsi" w:hAnsiTheme="minorHAnsi"/>
          <w:sz w:val="22"/>
          <w:szCs w:val="22"/>
          <w:lang w:val="fr-FR"/>
        </w:rPr>
        <w:t>with</w:t>
      </w:r>
      <w:proofErr w:type="spellEnd"/>
      <w:r w:rsidR="00607435" w:rsidRPr="00561C12">
        <w:rPr>
          <w:rFonts w:asciiTheme="minorHAnsi" w:hAnsiTheme="minorHAnsi"/>
          <w:sz w:val="22"/>
          <w:szCs w:val="22"/>
          <w:lang w:val="fr-FR"/>
        </w:rPr>
        <w:t xml:space="preserve"> data</w:t>
      </w:r>
      <w:r w:rsidR="002903CB" w:rsidRPr="00561C12">
        <w:rPr>
          <w:rFonts w:asciiTheme="minorHAnsi" w:hAnsiTheme="minorHAnsi"/>
          <w:sz w:val="22"/>
          <w:szCs w:val="22"/>
          <w:lang w:val="fr-FR"/>
        </w:rPr>
        <w:t xml:space="preserve"> </w:t>
      </w:r>
      <w:proofErr w:type="spellStart"/>
      <w:r w:rsidR="002903CB" w:rsidRPr="00561C12">
        <w:rPr>
          <w:rFonts w:asciiTheme="minorHAnsi" w:hAnsiTheme="minorHAnsi"/>
          <w:sz w:val="22"/>
          <w:szCs w:val="22"/>
          <w:lang w:val="fr-FR"/>
        </w:rPr>
        <w:t>from</w:t>
      </w:r>
      <w:proofErr w:type="spellEnd"/>
      <w:r w:rsidR="002903CB" w:rsidRPr="00561C12">
        <w:rPr>
          <w:rFonts w:asciiTheme="minorHAnsi" w:hAnsiTheme="minorHAnsi"/>
          <w:sz w:val="22"/>
          <w:szCs w:val="22"/>
          <w:lang w:val="fr-FR"/>
        </w:rPr>
        <w:t xml:space="preserve"> second table, </w:t>
      </w:r>
      <w:proofErr w:type="spellStart"/>
      <w:r w:rsidR="002903CB" w:rsidRPr="00561C12">
        <w:rPr>
          <w:rFonts w:asciiTheme="minorHAnsi" w:hAnsiTheme="minorHAnsi"/>
          <w:sz w:val="22"/>
          <w:szCs w:val="22"/>
          <w:lang w:val="fr-FR"/>
        </w:rPr>
        <w:t>adding</w:t>
      </w:r>
      <w:proofErr w:type="spellEnd"/>
      <w:r w:rsidR="002903CB" w:rsidRPr="00561C12">
        <w:rPr>
          <w:rFonts w:asciiTheme="minorHAnsi" w:hAnsiTheme="minorHAnsi"/>
          <w:sz w:val="22"/>
          <w:szCs w:val="22"/>
          <w:lang w:val="fr-FR"/>
        </w:rPr>
        <w:t xml:space="preserve"> one </w:t>
      </w:r>
      <w:proofErr w:type="spellStart"/>
      <w:r w:rsidR="002903CB" w:rsidRPr="00561C12">
        <w:rPr>
          <w:rFonts w:asciiTheme="minorHAnsi" w:hAnsiTheme="minorHAnsi"/>
          <w:sz w:val="22"/>
          <w:szCs w:val="22"/>
          <w:lang w:val="fr-FR"/>
        </w:rPr>
        <w:t>column</w:t>
      </w:r>
      <w:proofErr w:type="spellEnd"/>
      <w:r w:rsidR="002903CB" w:rsidRPr="00561C12">
        <w:rPr>
          <w:rFonts w:asciiTheme="minorHAnsi" w:hAnsiTheme="minorHAnsi"/>
          <w:sz w:val="22"/>
          <w:szCs w:val="22"/>
          <w:lang w:val="fr-FR"/>
        </w:rPr>
        <w:t xml:space="preserve"> </w:t>
      </w:r>
      <w:proofErr w:type="spellStart"/>
      <w:r w:rsidR="002903CB" w:rsidRPr="00561C12">
        <w:rPr>
          <w:rFonts w:asciiTheme="minorHAnsi" w:hAnsiTheme="minorHAnsi"/>
          <w:sz w:val="22"/>
          <w:szCs w:val="22"/>
          <w:lang w:val="fr-FR"/>
        </w:rPr>
        <w:t>with</w:t>
      </w:r>
      <w:proofErr w:type="spellEnd"/>
      <w:r w:rsidR="002903CB" w:rsidRPr="00561C12">
        <w:rPr>
          <w:rFonts w:asciiTheme="minorHAnsi" w:hAnsiTheme="minorHAnsi"/>
          <w:sz w:val="22"/>
          <w:szCs w:val="22"/>
          <w:lang w:val="fr-FR"/>
        </w:rPr>
        <w:t xml:space="preserve"> the </w:t>
      </w:r>
      <w:proofErr w:type="spellStart"/>
      <w:r w:rsidR="002903CB" w:rsidRPr="00561C12">
        <w:rPr>
          <w:rFonts w:asciiTheme="minorHAnsi" w:hAnsiTheme="minorHAnsi"/>
          <w:sz w:val="22"/>
          <w:szCs w:val="22"/>
          <w:lang w:val="fr-FR"/>
        </w:rPr>
        <w:t>absolut</w:t>
      </w:r>
      <w:proofErr w:type="spellEnd"/>
      <w:r w:rsidR="002903CB" w:rsidRPr="00561C12">
        <w:rPr>
          <w:rFonts w:asciiTheme="minorHAnsi" w:hAnsiTheme="minorHAnsi"/>
          <w:sz w:val="22"/>
          <w:szCs w:val="22"/>
          <w:lang w:val="fr-FR"/>
        </w:rPr>
        <w:t xml:space="preserve"> value </w:t>
      </w:r>
      <w:proofErr w:type="spellStart"/>
      <w:r w:rsidR="002903CB" w:rsidRPr="00561C12">
        <w:rPr>
          <w:rFonts w:asciiTheme="minorHAnsi" w:hAnsiTheme="minorHAnsi"/>
          <w:sz w:val="22"/>
          <w:szCs w:val="22"/>
          <w:lang w:val="fr-FR"/>
        </w:rPr>
        <w:t>annualised</w:t>
      </w:r>
      <w:proofErr w:type="spellEnd"/>
      <w:r w:rsidR="002903CB" w:rsidRPr="00561C12">
        <w:rPr>
          <w:rFonts w:asciiTheme="minorHAnsi" w:hAnsiTheme="minorHAnsi"/>
          <w:sz w:val="22"/>
          <w:szCs w:val="22"/>
          <w:lang w:val="fr-FR"/>
        </w:rPr>
        <w:t xml:space="preserve"> and </w:t>
      </w:r>
      <w:proofErr w:type="spellStart"/>
      <w:r w:rsidR="002903CB" w:rsidRPr="00561C12">
        <w:rPr>
          <w:rFonts w:asciiTheme="minorHAnsi" w:hAnsiTheme="minorHAnsi"/>
          <w:sz w:val="22"/>
          <w:szCs w:val="22"/>
          <w:lang w:val="fr-FR"/>
        </w:rPr>
        <w:t>with</w:t>
      </w:r>
      <w:proofErr w:type="spellEnd"/>
      <w:r w:rsidR="002903CB" w:rsidRPr="00561C12">
        <w:rPr>
          <w:rFonts w:asciiTheme="minorHAnsi" w:hAnsiTheme="minorHAnsi"/>
          <w:sz w:val="22"/>
          <w:szCs w:val="22"/>
          <w:lang w:val="fr-FR"/>
        </w:rPr>
        <w:t xml:space="preserve"> no </w:t>
      </w:r>
      <w:proofErr w:type="spellStart"/>
      <w:r w:rsidR="002903CB" w:rsidRPr="00561C12">
        <w:rPr>
          <w:rFonts w:asciiTheme="minorHAnsi" w:hAnsiTheme="minorHAnsi"/>
          <w:sz w:val="22"/>
          <w:szCs w:val="22"/>
          <w:lang w:val="fr-FR"/>
        </w:rPr>
        <w:t>difference</w:t>
      </w:r>
      <w:proofErr w:type="spellEnd"/>
      <w:r w:rsidR="002903CB" w:rsidRPr="00561C12">
        <w:rPr>
          <w:rFonts w:asciiTheme="minorHAnsi" w:hAnsiTheme="minorHAnsi"/>
          <w:sz w:val="22"/>
          <w:szCs w:val="22"/>
          <w:lang w:val="fr-FR"/>
        </w:rPr>
        <w:t xml:space="preserve"> </w:t>
      </w:r>
      <w:proofErr w:type="spellStart"/>
      <w:r w:rsidR="002903CB" w:rsidRPr="00561C12">
        <w:rPr>
          <w:rFonts w:asciiTheme="minorHAnsi" w:hAnsiTheme="minorHAnsi"/>
          <w:sz w:val="22"/>
          <w:szCs w:val="22"/>
          <w:lang w:val="fr-FR"/>
        </w:rPr>
        <w:t>between</w:t>
      </w:r>
      <w:proofErr w:type="spellEnd"/>
      <w:r w:rsidR="002903CB" w:rsidRPr="00561C12">
        <w:rPr>
          <w:rFonts w:asciiTheme="minorHAnsi" w:hAnsiTheme="minorHAnsi"/>
          <w:sz w:val="22"/>
          <w:szCs w:val="22"/>
          <w:lang w:val="fr-FR"/>
        </w:rPr>
        <w:t xml:space="preserve"> </w:t>
      </w:r>
      <w:proofErr w:type="spellStart"/>
      <w:r w:rsidR="002903CB" w:rsidRPr="00561C12">
        <w:rPr>
          <w:rFonts w:asciiTheme="minorHAnsi" w:hAnsiTheme="minorHAnsi"/>
          <w:sz w:val="22"/>
          <w:szCs w:val="22"/>
          <w:lang w:val="fr-FR"/>
        </w:rPr>
        <w:t>two</w:t>
      </w:r>
      <w:proofErr w:type="spellEnd"/>
      <w:r w:rsidR="002903CB" w:rsidRPr="00561C12">
        <w:rPr>
          <w:rFonts w:asciiTheme="minorHAnsi" w:hAnsiTheme="minorHAnsi"/>
          <w:sz w:val="22"/>
          <w:szCs w:val="22"/>
          <w:lang w:val="fr-FR"/>
        </w:rPr>
        <w:t xml:space="preserve"> tipes of </w:t>
      </w:r>
      <w:proofErr w:type="spellStart"/>
      <w:r w:rsidR="002903CB" w:rsidRPr="00561C12">
        <w:rPr>
          <w:rFonts w:asciiTheme="minorHAnsi" w:hAnsiTheme="minorHAnsi"/>
          <w:sz w:val="22"/>
          <w:szCs w:val="22"/>
          <w:lang w:val="fr-FR"/>
        </w:rPr>
        <w:t>recurring</w:t>
      </w:r>
      <w:proofErr w:type="spellEnd"/>
      <w:r w:rsidR="002903CB" w:rsidRPr="00561C12">
        <w:rPr>
          <w:rFonts w:asciiTheme="minorHAnsi" w:hAnsiTheme="minorHAnsi"/>
          <w:sz w:val="22"/>
          <w:szCs w:val="22"/>
          <w:lang w:val="fr-FR"/>
        </w:rPr>
        <w:t xml:space="preserve"> </w:t>
      </w:r>
      <w:proofErr w:type="spellStart"/>
      <w:r w:rsidR="002903CB" w:rsidRPr="00561C12">
        <w:rPr>
          <w:rFonts w:asciiTheme="minorHAnsi" w:hAnsiTheme="minorHAnsi"/>
          <w:sz w:val="22"/>
          <w:szCs w:val="22"/>
          <w:lang w:val="fr-FR"/>
        </w:rPr>
        <w:t>costs</w:t>
      </w:r>
      <w:proofErr w:type="spellEnd"/>
      <w:r w:rsidR="002903CB" w:rsidRPr="00561C12">
        <w:rPr>
          <w:rFonts w:asciiTheme="minorHAnsi" w:hAnsiTheme="minorHAnsi"/>
          <w:sz w:val="22"/>
          <w:szCs w:val="22"/>
          <w:lang w:val="fr-FR"/>
        </w:rPr>
        <w:t xml:space="preserve"> (Portfolio transaction </w:t>
      </w:r>
      <w:proofErr w:type="spellStart"/>
      <w:r w:rsidR="002903CB" w:rsidRPr="00561C12">
        <w:rPr>
          <w:rFonts w:asciiTheme="minorHAnsi" w:hAnsiTheme="minorHAnsi"/>
          <w:sz w:val="22"/>
          <w:szCs w:val="22"/>
          <w:lang w:val="fr-FR"/>
        </w:rPr>
        <w:t>costs</w:t>
      </w:r>
      <w:proofErr w:type="spellEnd"/>
      <w:r w:rsidR="002903CB" w:rsidRPr="00561C12">
        <w:rPr>
          <w:rFonts w:asciiTheme="minorHAnsi" w:hAnsiTheme="minorHAnsi"/>
          <w:sz w:val="22"/>
          <w:szCs w:val="22"/>
          <w:lang w:val="fr-FR"/>
        </w:rPr>
        <w:t xml:space="preserve"> per </w:t>
      </w:r>
      <w:proofErr w:type="spellStart"/>
      <w:r w:rsidR="002903CB" w:rsidRPr="00561C12">
        <w:rPr>
          <w:rFonts w:asciiTheme="minorHAnsi" w:hAnsiTheme="minorHAnsi"/>
          <w:sz w:val="22"/>
          <w:szCs w:val="22"/>
          <w:lang w:val="fr-FR"/>
        </w:rPr>
        <w:t>year</w:t>
      </w:r>
      <w:proofErr w:type="spellEnd"/>
      <w:r w:rsidR="002903CB" w:rsidRPr="00561C12">
        <w:rPr>
          <w:rFonts w:asciiTheme="minorHAnsi" w:hAnsiTheme="minorHAnsi"/>
          <w:sz w:val="22"/>
          <w:szCs w:val="22"/>
          <w:lang w:val="fr-FR"/>
        </w:rPr>
        <w:t xml:space="preserve"> and </w:t>
      </w:r>
      <w:proofErr w:type="spellStart"/>
      <w:r w:rsidR="002903CB" w:rsidRPr="00561C12">
        <w:rPr>
          <w:rFonts w:asciiTheme="minorHAnsi" w:hAnsiTheme="minorHAnsi"/>
          <w:sz w:val="22"/>
          <w:szCs w:val="22"/>
          <w:lang w:val="fr-FR"/>
        </w:rPr>
        <w:t>Other</w:t>
      </w:r>
      <w:proofErr w:type="spellEnd"/>
      <w:r w:rsidR="002903CB" w:rsidRPr="00561C12">
        <w:rPr>
          <w:rFonts w:asciiTheme="minorHAnsi" w:hAnsiTheme="minorHAnsi"/>
          <w:sz w:val="22"/>
          <w:szCs w:val="22"/>
          <w:lang w:val="fr-FR"/>
        </w:rPr>
        <w:t xml:space="preserve"> </w:t>
      </w:r>
      <w:proofErr w:type="spellStart"/>
      <w:r w:rsidR="002903CB" w:rsidRPr="00561C12">
        <w:rPr>
          <w:rFonts w:asciiTheme="minorHAnsi" w:hAnsiTheme="minorHAnsi"/>
          <w:sz w:val="22"/>
          <w:szCs w:val="22"/>
          <w:lang w:val="fr-FR"/>
        </w:rPr>
        <w:t>recurring</w:t>
      </w:r>
      <w:proofErr w:type="spellEnd"/>
      <w:r w:rsidR="002903CB" w:rsidRPr="00561C12">
        <w:rPr>
          <w:rFonts w:asciiTheme="minorHAnsi" w:hAnsiTheme="minorHAnsi"/>
          <w:sz w:val="22"/>
          <w:szCs w:val="22"/>
          <w:lang w:val="fr-FR"/>
        </w:rPr>
        <w:t xml:space="preserve"> </w:t>
      </w:r>
      <w:proofErr w:type="spellStart"/>
      <w:r w:rsidR="002903CB" w:rsidRPr="00561C12">
        <w:rPr>
          <w:rFonts w:asciiTheme="minorHAnsi" w:hAnsiTheme="minorHAnsi"/>
          <w:sz w:val="22"/>
          <w:szCs w:val="22"/>
          <w:lang w:val="fr-FR"/>
        </w:rPr>
        <w:t>costs</w:t>
      </w:r>
      <w:proofErr w:type="spellEnd"/>
      <w:r w:rsidR="002903CB" w:rsidRPr="00561C12">
        <w:rPr>
          <w:rFonts w:asciiTheme="minorHAnsi" w:hAnsiTheme="minorHAnsi"/>
          <w:sz w:val="22"/>
          <w:szCs w:val="22"/>
          <w:lang w:val="fr-FR"/>
        </w:rPr>
        <w:t xml:space="preserve"> per </w:t>
      </w:r>
      <w:proofErr w:type="spellStart"/>
      <w:r w:rsidR="002903CB" w:rsidRPr="00561C12">
        <w:rPr>
          <w:rFonts w:asciiTheme="minorHAnsi" w:hAnsiTheme="minorHAnsi"/>
          <w:sz w:val="22"/>
          <w:szCs w:val="22"/>
          <w:lang w:val="fr-FR"/>
        </w:rPr>
        <w:t>year</w:t>
      </w:r>
      <w:proofErr w:type="spellEnd"/>
      <w:r w:rsidR="002903CB" w:rsidRPr="00561C12">
        <w:rPr>
          <w:rFonts w:asciiTheme="minorHAnsi" w:hAnsiTheme="minorHAnsi"/>
          <w:sz w:val="22"/>
          <w:szCs w:val="22"/>
          <w:lang w:val="fr-FR"/>
        </w:rPr>
        <w:t>)</w:t>
      </w:r>
      <w:r w:rsidRPr="002903CB">
        <w:rPr>
          <w:lang w:val="fr-FR"/>
        </w:rPr>
        <w:t xml:space="preserve"> </w:t>
      </w:r>
      <w:permEnd w:id="24"/>
      <w:r w:rsidR="00491E49" w:rsidRPr="00580880">
        <w:rPr>
          <w:lang w:val="fr-FR"/>
        </w:rPr>
        <w:t>&lt;ESMA_QUESTION_</w:t>
      </w:r>
      <w:r w:rsidR="00491E49">
        <w:rPr>
          <w:lang w:val="fr-FR"/>
        </w:rPr>
        <w:t>PRIIPS_24</w:t>
      </w:r>
      <w:r w:rsidR="00491E49"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25</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In relation to paragraph 68 a) of Annex VI: Shall the RTS specify that for structured products calculations for the cost free scenario have always to be based on an adjustment of the payments by the investor?</w:t>
      </w:r>
    </w:p>
    <w:p w:rsidR="00491E49" w:rsidRDefault="00491E49" w:rsidP="00491E49"/>
    <w:p w:rsidR="00491E49" w:rsidRDefault="00491E49" w:rsidP="00491E49">
      <w:r>
        <w:t>&lt;ESMA_QUESTION_PRIIPS_25&gt;</w:t>
      </w:r>
    </w:p>
    <w:p w:rsidR="00491E49" w:rsidRDefault="00491E49" w:rsidP="00491E49">
      <w:permStart w:id="25" w:edGrp="everyone"/>
      <w:r>
        <w:t>TYPE YOUR TEXT HERE</w:t>
      </w:r>
    </w:p>
    <w:permEnd w:id="25"/>
    <w:p w:rsidR="00A2049D" w:rsidRPr="00491E49" w:rsidRDefault="00491E49" w:rsidP="00491E49">
      <w:pPr>
        <w:rPr>
          <w:lang w:val="fr-FR"/>
        </w:rPr>
      </w:pPr>
      <w:r w:rsidRPr="00580880">
        <w:rPr>
          <w:lang w:val="fr-FR"/>
        </w:rPr>
        <w:t>&lt;ESMA_QUESTION_</w:t>
      </w:r>
      <w:r>
        <w:rPr>
          <w:lang w:val="fr-FR"/>
        </w:rPr>
        <w:t>PRIIPS_25</w:t>
      </w:r>
      <w:r w:rsidRPr="00580880">
        <w:rPr>
          <w:lang w:val="fr-FR"/>
        </w:rPr>
        <w:t>&gt;</w:t>
      </w:r>
    </w:p>
    <w:p w:rsidR="00A2049D" w:rsidRDefault="00A2049D" w:rsidP="00750796">
      <w:pPr>
        <w:pStyle w:val="CPQuestions"/>
        <w:numPr>
          <w:ilvl w:val="0"/>
          <w:numId w:val="0"/>
        </w:numPr>
        <w:rPr>
          <w:rFonts w:cs="Arial"/>
          <w:b w:val="0"/>
          <w:szCs w:val="22"/>
        </w:rPr>
      </w:pP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26</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847BB0">
        <w:rPr>
          <w:rFonts w:ascii="Calibri" w:hAnsi="Calibri"/>
          <w:i/>
          <w:iCs/>
          <w:sz w:val="22"/>
          <w:lang w:eastAsia="en-US"/>
        </w:rPr>
        <w:t>Regarding the first table of the cost section presented in Annex VII, would you favour a detailed present</w:t>
      </w:r>
      <w:r w:rsidRPr="00847BB0">
        <w:rPr>
          <w:rFonts w:ascii="Calibri" w:hAnsi="Calibri"/>
          <w:i/>
          <w:iCs/>
          <w:sz w:val="22"/>
          <w:lang w:eastAsia="en-US"/>
        </w:rPr>
        <w:t>a</w:t>
      </w:r>
      <w:r w:rsidRPr="00847BB0">
        <w:rPr>
          <w:rFonts w:ascii="Calibri" w:hAnsi="Calibri"/>
          <w:i/>
          <w:iCs/>
          <w:sz w:val="22"/>
          <w:lang w:eastAsia="en-US"/>
        </w:rPr>
        <w:t>tion of the different types of costs, as suggested in the Annex, including a split between one-off, recurring and incidental costs? Alternatively, would you favour a shorter presentation of costs showing only the total costs and the RIY?</w:t>
      </w:r>
    </w:p>
    <w:p w:rsidR="00847BB0" w:rsidRDefault="00847BB0" w:rsidP="00847BB0"/>
    <w:p w:rsidR="00847BB0" w:rsidRDefault="00847BB0" w:rsidP="00847BB0">
      <w:r>
        <w:t>&lt;ESMA_QUESTION_PRIIPS_26&gt;</w:t>
      </w:r>
    </w:p>
    <w:p w:rsidR="006F309F" w:rsidRPr="00561C12" w:rsidRDefault="006F309F" w:rsidP="006F309F">
      <w:pPr>
        <w:jc w:val="both"/>
        <w:rPr>
          <w:rFonts w:asciiTheme="minorHAnsi" w:hAnsiTheme="minorHAnsi"/>
          <w:sz w:val="22"/>
          <w:szCs w:val="22"/>
        </w:rPr>
      </w:pPr>
      <w:permStart w:id="26" w:edGrp="everyone"/>
      <w:r w:rsidRPr="00561C12">
        <w:rPr>
          <w:rFonts w:asciiTheme="minorHAnsi" w:hAnsiTheme="minorHAnsi"/>
          <w:sz w:val="22"/>
          <w:szCs w:val="22"/>
        </w:rPr>
        <w:lastRenderedPageBreak/>
        <w:t xml:space="preserve">This approach mixes defined and possible costs as well as distribution and product costs. Specifically, as for mentioning distribution costs in a KID, cost information in the KID should be limited to product costs, as distribution costs may vary depending on the party distributing the product. </w:t>
      </w:r>
    </w:p>
    <w:p w:rsidR="002903CB" w:rsidRPr="00561C12" w:rsidRDefault="002903CB" w:rsidP="006F309F">
      <w:pPr>
        <w:jc w:val="both"/>
        <w:rPr>
          <w:rFonts w:asciiTheme="minorHAnsi" w:hAnsiTheme="minorHAnsi"/>
        </w:rPr>
      </w:pPr>
      <w:r w:rsidRPr="00561C12">
        <w:rPr>
          <w:rFonts w:asciiTheme="minorHAnsi" w:hAnsiTheme="minorHAnsi"/>
          <w:sz w:val="22"/>
          <w:szCs w:val="22"/>
        </w:rPr>
        <w:t>No differentiation should be done between one off costs, recurring and incidental costs, but total costs should be informed in order to facilitate understanding for retail clients.</w:t>
      </w:r>
    </w:p>
    <w:permEnd w:id="26"/>
    <w:p w:rsidR="00847BB0" w:rsidRPr="00847BB0" w:rsidRDefault="00847BB0" w:rsidP="00847BB0">
      <w:r w:rsidRPr="00847BB0">
        <w:t>&lt;ESMA_QUESTION_PRIIPS_26&gt;</w:t>
      </w:r>
    </w:p>
    <w:p w:rsidR="00847BB0" w:rsidRDefault="00847BB0" w:rsidP="00750796">
      <w:pPr>
        <w:pStyle w:val="CPQuestions"/>
        <w:numPr>
          <w:ilvl w:val="0"/>
          <w:numId w:val="0"/>
        </w:numPr>
        <w:rPr>
          <w:rFonts w:cs="Arial"/>
          <w:b w:val="0"/>
          <w:szCs w:val="22"/>
        </w:rPr>
      </w:pPr>
    </w:p>
    <w:p w:rsidR="00847BB0" w:rsidRPr="00847BB0" w:rsidRDefault="00847BB0" w:rsidP="00847BB0">
      <w:pPr>
        <w:keepNext/>
        <w:keepLines/>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27</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sz w:val="22"/>
          <w:lang w:eastAsia="en-US"/>
        </w:rPr>
      </w:pPr>
      <w:r w:rsidRPr="00847BB0">
        <w:rPr>
          <w:rFonts w:ascii="Calibri" w:hAnsi="Calibri"/>
          <w:i/>
          <w:iCs/>
          <w:sz w:val="22"/>
          <w:lang w:eastAsia="en-US"/>
        </w:rPr>
        <w:t>Regarding the second table of the cost section presented in Annex VII, would you favour a presentation of the different types of costs showing RIY figures, as suggested in the Annex, or would you favour a prese</w:t>
      </w:r>
      <w:r w:rsidRPr="00847BB0">
        <w:rPr>
          <w:rFonts w:ascii="Calibri" w:hAnsi="Calibri"/>
          <w:i/>
          <w:iCs/>
          <w:sz w:val="22"/>
          <w:lang w:eastAsia="en-US"/>
        </w:rPr>
        <w:t>n</w:t>
      </w:r>
      <w:r w:rsidRPr="00847BB0">
        <w:rPr>
          <w:rFonts w:ascii="Calibri" w:hAnsi="Calibri"/>
          <w:i/>
          <w:iCs/>
          <w:sz w:val="22"/>
          <w:lang w:eastAsia="en-US"/>
        </w:rPr>
        <w:t>tation of costs under which each type of costs line would be expressed differently, and not as a RIY figure -expressed as a percentage of the initial invested amount, NAV, etc.?</w:t>
      </w:r>
    </w:p>
    <w:p w:rsidR="00847BB0" w:rsidRDefault="00847BB0" w:rsidP="00847BB0"/>
    <w:p w:rsidR="00847BB0" w:rsidRDefault="00847BB0" w:rsidP="00847BB0">
      <w:r>
        <w:t>&lt;ESMA_QUESTION_PRIIPS_27&gt;</w:t>
      </w:r>
    </w:p>
    <w:p w:rsidR="00847BB0" w:rsidRPr="00847BB0" w:rsidRDefault="006F309F" w:rsidP="00847BB0">
      <w:permStart w:id="27" w:edGrp="everyone"/>
      <w:r w:rsidRPr="00561C12">
        <w:rPr>
          <w:rFonts w:asciiTheme="minorHAnsi" w:hAnsiTheme="minorHAnsi"/>
          <w:sz w:val="22"/>
          <w:szCs w:val="22"/>
        </w:rPr>
        <w:t>The simplest logic is the preferred route</w:t>
      </w:r>
      <w:r w:rsidR="00561C12" w:rsidRPr="00561C12">
        <w:rPr>
          <w:rFonts w:asciiTheme="minorHAnsi" w:hAnsiTheme="minorHAnsi"/>
          <w:sz w:val="22"/>
          <w:szCs w:val="22"/>
        </w:rPr>
        <w:t>. I</w:t>
      </w:r>
      <w:r w:rsidRPr="00561C12">
        <w:rPr>
          <w:rFonts w:asciiTheme="minorHAnsi" w:hAnsiTheme="minorHAnsi"/>
          <w:sz w:val="22"/>
          <w:szCs w:val="22"/>
        </w:rPr>
        <w:t>n this case</w:t>
      </w:r>
      <w:r w:rsidR="00561C12" w:rsidRPr="00561C12">
        <w:rPr>
          <w:rFonts w:asciiTheme="minorHAnsi" w:hAnsiTheme="minorHAnsi"/>
          <w:sz w:val="22"/>
          <w:szCs w:val="22"/>
        </w:rPr>
        <w:t xml:space="preserve"> it</w:t>
      </w:r>
      <w:r w:rsidRPr="00561C12">
        <w:rPr>
          <w:rFonts w:asciiTheme="minorHAnsi" w:hAnsiTheme="minorHAnsi"/>
          <w:sz w:val="22"/>
          <w:szCs w:val="22"/>
        </w:rPr>
        <w:t xml:space="preserve"> means an approach that makes use of as few assumptions as possible. This means </w:t>
      </w:r>
      <w:r w:rsidR="00561C12" w:rsidRPr="00561C12">
        <w:rPr>
          <w:rFonts w:asciiTheme="minorHAnsi" w:hAnsiTheme="minorHAnsi"/>
          <w:sz w:val="22"/>
          <w:szCs w:val="22"/>
        </w:rPr>
        <w:t xml:space="preserve">that we would prefer to express costs </w:t>
      </w:r>
      <w:r w:rsidRPr="00561C12">
        <w:rPr>
          <w:rFonts w:asciiTheme="minorHAnsi" w:hAnsiTheme="minorHAnsi"/>
          <w:sz w:val="22"/>
          <w:szCs w:val="22"/>
        </w:rPr>
        <w:t>as a percentage of the initial invested amount</w:t>
      </w:r>
      <w:proofErr w:type="gramStart"/>
      <w:r w:rsidR="00561C12">
        <w:rPr>
          <w:rFonts w:asciiTheme="majorHAnsi" w:hAnsiTheme="majorHAnsi"/>
          <w:sz w:val="22"/>
          <w:szCs w:val="22"/>
        </w:rPr>
        <w:t>.</w:t>
      </w:r>
      <w:permEnd w:id="27"/>
      <w:r w:rsidR="00847BB0" w:rsidRPr="00847BB0">
        <w:t>&lt;</w:t>
      </w:r>
      <w:proofErr w:type="gramEnd"/>
      <w:r w:rsidR="00847BB0" w:rsidRPr="00847BB0">
        <w:t>ESMA_QUESTION_PRIIPS_2</w:t>
      </w:r>
      <w:r w:rsidR="00847BB0">
        <w:t>7</w:t>
      </w:r>
      <w:r w:rsidR="00847BB0" w:rsidRPr="00847BB0">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comments on the problem definition provided in the Impact Assessment?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 policy issues that have been highlighted, in your view, the correct ones? If not, what issues would you highlight?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identified benefits and costs associated with each policy option?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Is there data or evidence on the highlighted impacts that you believe needs to be taken into account?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possible impacts for providers of underlying investments for multi-option products, and in particular indirect impacts for manufacturers of underlying investments used by these products, including where these manufacturers benefit from the arrangements foreseen until the end of 2019 under Article 32 of the PRIIPs Regulation?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there significant impacts you are aware of that have not been addressed in the Impact Assessment? Please provide data on their scale and extent as far as possible.</w:t>
      </w:r>
    </w:p>
    <w:p w:rsidR="00491E49" w:rsidRDefault="00491E49" w:rsidP="00491E49"/>
    <w:p w:rsidR="00491E49" w:rsidRDefault="00491E49" w:rsidP="00491E49">
      <w:r>
        <w:t>&lt;ESMA_QUESTION_PRIIPS_28&gt;</w:t>
      </w:r>
    </w:p>
    <w:p w:rsidR="006F309F" w:rsidRPr="00561C12" w:rsidRDefault="00582B26" w:rsidP="00561C12">
      <w:pPr>
        <w:jc w:val="both"/>
        <w:rPr>
          <w:rFonts w:asciiTheme="minorHAnsi" w:hAnsiTheme="minorHAnsi"/>
          <w:sz w:val="22"/>
          <w:szCs w:val="22"/>
        </w:rPr>
      </w:pPr>
      <w:permStart w:id="28" w:edGrp="everyone"/>
      <w:r w:rsidRPr="00561C12">
        <w:rPr>
          <w:rFonts w:asciiTheme="minorHAnsi" w:hAnsiTheme="minorHAnsi"/>
          <w:sz w:val="22"/>
          <w:szCs w:val="22"/>
        </w:rPr>
        <w:t>R</w:t>
      </w:r>
      <w:r w:rsidR="006F309F" w:rsidRPr="00561C12">
        <w:rPr>
          <w:rFonts w:asciiTheme="minorHAnsi" w:hAnsiTheme="minorHAnsi"/>
          <w:sz w:val="22"/>
          <w:szCs w:val="22"/>
        </w:rPr>
        <w:t>egarding policy issues, two of them are missed:</w:t>
      </w:r>
    </w:p>
    <w:p w:rsidR="006F309F" w:rsidRPr="00561C12" w:rsidRDefault="006F309F" w:rsidP="00561C12">
      <w:pPr>
        <w:jc w:val="both"/>
        <w:rPr>
          <w:rFonts w:asciiTheme="minorHAnsi" w:hAnsiTheme="minorHAnsi"/>
          <w:sz w:val="22"/>
          <w:szCs w:val="22"/>
        </w:rPr>
      </w:pPr>
    </w:p>
    <w:p w:rsidR="00582B26" w:rsidRPr="00561C12" w:rsidRDefault="00582B26" w:rsidP="00561C12">
      <w:pPr>
        <w:jc w:val="both"/>
        <w:rPr>
          <w:rFonts w:asciiTheme="minorHAnsi" w:hAnsiTheme="minorHAnsi"/>
          <w:sz w:val="22"/>
          <w:szCs w:val="22"/>
        </w:rPr>
      </w:pPr>
      <w:proofErr w:type="gramStart"/>
      <w:r w:rsidRPr="00561C12">
        <w:rPr>
          <w:rFonts w:asciiTheme="minorHAnsi" w:hAnsiTheme="minorHAnsi"/>
          <w:sz w:val="22"/>
          <w:szCs w:val="22"/>
        </w:rPr>
        <w:t>1.-</w:t>
      </w:r>
      <w:proofErr w:type="gramEnd"/>
      <w:r w:rsidRPr="00561C12">
        <w:rPr>
          <w:rFonts w:asciiTheme="minorHAnsi" w:hAnsiTheme="minorHAnsi"/>
          <w:sz w:val="22"/>
          <w:szCs w:val="22"/>
        </w:rPr>
        <w:t xml:space="preserve"> </w:t>
      </w:r>
      <w:r w:rsidR="006F309F" w:rsidRPr="00561C12">
        <w:rPr>
          <w:rFonts w:asciiTheme="minorHAnsi" w:hAnsiTheme="minorHAnsi"/>
          <w:sz w:val="22"/>
          <w:szCs w:val="22"/>
        </w:rPr>
        <w:t xml:space="preserve">The guidance on relaying the KID to the client remains overly general in nature, especially when it comes to situations where there is no physical meeting between the distributor and the client. The criteria mentioned in Article 20 of the draft regulation relate solely to the timing of the delivery of the KID, and do not provide guidance on any of the other practical issues which have risen in the past (and which have proven difficult to resolve), notably the manner in which the KID can be delivered to the </w:t>
      </w:r>
      <w:r w:rsidR="006F309F" w:rsidRPr="00561C12">
        <w:rPr>
          <w:rFonts w:asciiTheme="minorHAnsi" w:hAnsiTheme="minorHAnsi"/>
          <w:sz w:val="22"/>
          <w:szCs w:val="22"/>
        </w:rPr>
        <w:lastRenderedPageBreak/>
        <w:t>customer (bundled with other KIDs on an accessible online location, by means of a hyperlink or as an attachment to electronic communication, etc.)</w:t>
      </w:r>
    </w:p>
    <w:p w:rsidR="00582B26" w:rsidRPr="00561C12" w:rsidRDefault="00582B26" w:rsidP="00561C12">
      <w:pPr>
        <w:jc w:val="both"/>
        <w:rPr>
          <w:rFonts w:asciiTheme="minorHAnsi" w:hAnsiTheme="minorHAnsi"/>
          <w:sz w:val="22"/>
          <w:szCs w:val="22"/>
        </w:rPr>
      </w:pPr>
    </w:p>
    <w:p w:rsidR="008012DE" w:rsidRPr="00561C12" w:rsidRDefault="00582B26" w:rsidP="00561C12">
      <w:pPr>
        <w:spacing w:before="100" w:beforeAutospacing="1" w:after="100" w:afterAutospacing="1"/>
        <w:jc w:val="both"/>
        <w:rPr>
          <w:rFonts w:asciiTheme="minorHAnsi" w:hAnsiTheme="minorHAnsi"/>
          <w:sz w:val="22"/>
          <w:szCs w:val="22"/>
        </w:rPr>
      </w:pPr>
      <w:proofErr w:type="gramStart"/>
      <w:r w:rsidRPr="00561C12">
        <w:rPr>
          <w:rFonts w:asciiTheme="minorHAnsi" w:hAnsiTheme="minorHAnsi"/>
          <w:sz w:val="22"/>
          <w:szCs w:val="22"/>
        </w:rPr>
        <w:t>2.-</w:t>
      </w:r>
      <w:proofErr w:type="gramEnd"/>
      <w:r w:rsidRPr="00561C12">
        <w:rPr>
          <w:rFonts w:asciiTheme="minorHAnsi" w:hAnsiTheme="minorHAnsi"/>
          <w:sz w:val="22"/>
          <w:szCs w:val="22"/>
        </w:rPr>
        <w:t xml:space="preserve"> </w:t>
      </w:r>
      <w:r w:rsidR="008012DE" w:rsidRPr="00561C12">
        <w:rPr>
          <w:rFonts w:asciiTheme="minorHAnsi" w:hAnsiTheme="minorHAnsi"/>
          <w:bCs/>
          <w:sz w:val="22"/>
          <w:szCs w:val="22"/>
        </w:rPr>
        <w:t xml:space="preserve">Grandfathering: The question of the position as regards existing PRIIPs is complex. Where an EU manufacturer has created PRIIPs in the form of structured notes prior to the commencement date of the PRIIPs Regulation, those notes may be traded on secondary markets. As such they could be regarded as being made available to investors at the commencement date, and therefore to trigger a requirement for manufacturers to prepare KIDs. This could result in manufacturers having to prepare very large numbers of KIDs for products which are no longer offered by them. Originators of PRIIPs could eliminate this risk by ceasing to offer liquidity in their products through markets, but this would be an active detriment to investors for no benefit to anyone. </w:t>
      </w:r>
    </w:p>
    <w:p w:rsidR="006F309F" w:rsidRPr="008012DE" w:rsidRDefault="008012DE" w:rsidP="00561C12">
      <w:pPr>
        <w:jc w:val="both"/>
        <w:rPr>
          <w:rFonts w:asciiTheme="majorHAnsi" w:hAnsiTheme="majorHAnsi"/>
          <w:color w:val="FF0000"/>
          <w:sz w:val="22"/>
          <w:szCs w:val="22"/>
        </w:rPr>
      </w:pPr>
      <w:r w:rsidRPr="00561C12">
        <w:rPr>
          <w:rFonts w:asciiTheme="minorHAnsi" w:hAnsiTheme="minorHAnsi"/>
          <w:bCs/>
          <w:sz w:val="22"/>
          <w:szCs w:val="22"/>
        </w:rPr>
        <w:t>It is clear that the mere fact that a product was created before the commencement date of the PRIIPS regulation is not necessarily determinative of this point – the application of the requirement should be triggered by when the sale is made, not when the product was created. However, for products which were created before the implementation date of the regulation, and which are available to investors after that date only because there is a secondary market in them, It would be helpful to provide guidance that the mere fact that a two-way market exists in respect of an existing product does not constitute "making a product available" to retail investors if the initial offering was completed prior to the co</w:t>
      </w:r>
      <w:r w:rsidRPr="00561C12">
        <w:rPr>
          <w:rFonts w:asciiTheme="minorHAnsi" w:hAnsiTheme="minorHAnsi"/>
          <w:bCs/>
          <w:sz w:val="22"/>
          <w:szCs w:val="22"/>
        </w:rPr>
        <w:t>m</w:t>
      </w:r>
      <w:r w:rsidRPr="00561C12">
        <w:rPr>
          <w:rFonts w:asciiTheme="minorHAnsi" w:hAnsiTheme="minorHAnsi"/>
          <w:bCs/>
          <w:sz w:val="22"/>
          <w:szCs w:val="22"/>
        </w:rPr>
        <w:t>mencement date of the regulation</w:t>
      </w:r>
    </w:p>
    <w:permEnd w:id="28"/>
    <w:p w:rsidR="00491E49" w:rsidRPr="00491E49" w:rsidRDefault="00491E49" w:rsidP="00491E49">
      <w:pPr>
        <w:rPr>
          <w:lang w:val="fr-FR"/>
        </w:rPr>
      </w:pPr>
      <w:r w:rsidRPr="00580880">
        <w:rPr>
          <w:lang w:val="fr-FR"/>
        </w:rPr>
        <w:t>&lt;ESMA_QUESTION_</w:t>
      </w:r>
      <w:r>
        <w:rPr>
          <w:lang w:val="fr-FR"/>
        </w:rPr>
        <w:t>PRIIPS_28</w:t>
      </w:r>
      <w:r w:rsidRPr="00580880">
        <w:rPr>
          <w:lang w:val="fr-FR"/>
        </w:rPr>
        <w:t>&gt;</w:t>
      </w: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bookmarkStart w:id="4" w:name="_PictureBullets"/>
      <w:bookmarkEnd w:id="4"/>
    </w:p>
    <w:sectPr w:rsidR="00A2049D"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81F" w:rsidRDefault="00DF181F">
      <w:r>
        <w:separator/>
      </w:r>
    </w:p>
    <w:p w:rsidR="00DF181F" w:rsidRDefault="00DF181F"/>
  </w:endnote>
  <w:endnote w:type="continuationSeparator" w:id="0">
    <w:p w:rsidR="00DF181F" w:rsidRDefault="00DF181F">
      <w:r>
        <w:continuationSeparator/>
      </w:r>
    </w:p>
    <w:p w:rsidR="00DF181F" w:rsidRDefault="00DF181F"/>
  </w:endnote>
  <w:endnote w:type="continuationNotice" w:id="1">
    <w:p w:rsidR="00DF181F" w:rsidRDefault="00DF181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sig w:usb0="00000000" w:usb1="00000000" w:usb2="00000000" w:usb3="00000000" w:csb0="0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 w:name="Frutiger LT Std 45 Light">
    <w:panose1 w:val="00000000000000000000"/>
    <w:charset w:val="00"/>
    <w:family w:val="swiss"/>
    <w:notTrueType/>
    <w:pitch w:val="variable"/>
    <w:sig w:usb0="800000AF" w:usb1="4000204A"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AA3410" w:rsidRPr="00616B9B" w:rsidTr="00315E96">
      <w:trPr>
        <w:trHeight w:val="284"/>
      </w:trPr>
      <w:tc>
        <w:tcPr>
          <w:tcW w:w="8460" w:type="dxa"/>
        </w:tcPr>
        <w:p w:rsidR="00AA3410" w:rsidRPr="00315E96" w:rsidRDefault="00AA3410" w:rsidP="00315E96">
          <w:pPr>
            <w:pStyle w:val="00Footer"/>
            <w:rPr>
              <w:lang w:val="fr-FR"/>
            </w:rPr>
          </w:pPr>
        </w:p>
      </w:tc>
      <w:tc>
        <w:tcPr>
          <w:tcW w:w="952" w:type="dxa"/>
        </w:tcPr>
        <w:p w:rsidR="00AA3410" w:rsidRPr="00616B9B" w:rsidRDefault="00DA5A50" w:rsidP="002C5B2D">
          <w:pPr>
            <w:pStyle w:val="00aPagenumber"/>
            <w:rPr>
              <w:rFonts w:cs="Arial"/>
              <w:sz w:val="22"/>
              <w:szCs w:val="22"/>
            </w:rPr>
          </w:pPr>
          <w:r w:rsidRPr="00616B9B">
            <w:rPr>
              <w:rFonts w:cs="Arial"/>
              <w:sz w:val="22"/>
              <w:szCs w:val="22"/>
            </w:rPr>
            <w:fldChar w:fldCharType="begin"/>
          </w:r>
          <w:r w:rsidR="00AA3410" w:rsidRPr="00616B9B">
            <w:rPr>
              <w:rFonts w:cs="Arial"/>
              <w:sz w:val="22"/>
              <w:szCs w:val="22"/>
            </w:rPr>
            <w:instrText xml:space="preserve"> PAGE </w:instrText>
          </w:r>
          <w:r w:rsidRPr="00616B9B">
            <w:rPr>
              <w:rFonts w:cs="Arial"/>
              <w:sz w:val="22"/>
              <w:szCs w:val="22"/>
            </w:rPr>
            <w:fldChar w:fldCharType="separate"/>
          </w:r>
          <w:r w:rsidR="00264ECE">
            <w:rPr>
              <w:rFonts w:cs="Arial"/>
              <w:noProof/>
              <w:sz w:val="22"/>
              <w:szCs w:val="22"/>
            </w:rPr>
            <w:t>8</w:t>
          </w:r>
          <w:r w:rsidRPr="00616B9B">
            <w:rPr>
              <w:rFonts w:cs="Arial"/>
              <w:noProof/>
              <w:sz w:val="22"/>
              <w:szCs w:val="22"/>
            </w:rPr>
            <w:fldChar w:fldCharType="end"/>
          </w:r>
        </w:p>
      </w:tc>
    </w:tr>
  </w:tbl>
  <w:p w:rsidR="00AA3410" w:rsidRDefault="00AA341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410" w:rsidRDefault="00AA341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81F" w:rsidRDefault="00DF181F">
      <w:r>
        <w:separator/>
      </w:r>
    </w:p>
    <w:p w:rsidR="00DF181F" w:rsidRDefault="00DF181F"/>
  </w:footnote>
  <w:footnote w:type="continuationSeparator" w:id="0">
    <w:p w:rsidR="00DF181F" w:rsidRDefault="00DF181F">
      <w:r>
        <w:continuationSeparator/>
      </w:r>
    </w:p>
    <w:p w:rsidR="00DF181F" w:rsidRDefault="00DF181F"/>
  </w:footnote>
  <w:footnote w:type="continuationNotice" w:id="1">
    <w:p w:rsidR="00DF181F" w:rsidRDefault="00DF181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410" w:rsidRDefault="00AA3410">
    <w:pPr>
      <w:pStyle w:val="Encabezado"/>
    </w:pPr>
    <w:r>
      <w:rPr>
        <w:noProof/>
        <w:lang w:val="es-ES" w:eastAsia="es-ES"/>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r w:rsidR="00DA5A50" w:rsidRPr="00DA5A50">
      <w:rPr>
        <w:noProof/>
        <w:lang w:eastAsia="en-GB"/>
      </w:rPr>
      <w:pict>
        <v:line id="Line 16" o:spid="_x0000_s6146" style="position:absolute;z-index:251656192;visibility:visible;mso-wrap-distance-left:3.17486mm;mso-wrap-distance-right:3.17486mm;mso-position-horizontal-relative:page;mso-position-vertical-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410" w:rsidRDefault="00AA3410" w:rsidP="00013CCE">
    <w:pPr>
      <w:pStyle w:val="Encabezado"/>
      <w:jc w:val="right"/>
    </w:pPr>
    <w:r>
      <w:rPr>
        <w:noProof/>
        <w:lang w:val="es-ES" w:eastAsia="es-ES"/>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es-ES" w:eastAsia="es-ES"/>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anchor>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410" w:rsidRDefault="00AA3410"/>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AA3410" w:rsidRPr="002F4496" w:rsidTr="000C06C9">
      <w:trPr>
        <w:trHeight w:val="284"/>
      </w:trPr>
      <w:tc>
        <w:tcPr>
          <w:tcW w:w="8460" w:type="dxa"/>
        </w:tcPr>
        <w:p w:rsidR="00AA3410" w:rsidRPr="000C3B6D" w:rsidRDefault="00AA3410" w:rsidP="000C06C9">
          <w:pPr>
            <w:pStyle w:val="00Footer"/>
            <w:rPr>
              <w:lang w:val="fr-FR"/>
            </w:rPr>
          </w:pPr>
        </w:p>
      </w:tc>
      <w:tc>
        <w:tcPr>
          <w:tcW w:w="952" w:type="dxa"/>
        </w:tcPr>
        <w:p w:rsidR="00AA3410" w:rsidRPr="00146B34" w:rsidRDefault="00AA3410" w:rsidP="000C06C9">
          <w:pPr>
            <w:pStyle w:val="00aPagenumber"/>
            <w:rPr>
              <w:lang w:val="fr-FR"/>
            </w:rPr>
          </w:pPr>
        </w:p>
      </w:tc>
    </w:tr>
  </w:tbl>
  <w:p w:rsidR="00AA3410" w:rsidRPr="00DB46C3" w:rsidRDefault="00AA3410">
    <w:pPr>
      <w:rPr>
        <w:lang w:val="fr-FR"/>
      </w:rPr>
    </w:pPr>
  </w:p>
  <w:p w:rsidR="00AA3410" w:rsidRPr="002F4496" w:rsidRDefault="00AA3410">
    <w:pPr>
      <w:pStyle w:val="Encabezado"/>
      <w:rPr>
        <w:lang w:val="fr-FR"/>
      </w:rPr>
    </w:pPr>
  </w:p>
  <w:p w:rsidR="00AA3410" w:rsidRPr="002F4496" w:rsidRDefault="00AA3410" w:rsidP="000C06C9">
    <w:pPr>
      <w:pStyle w:val="Encabezado"/>
      <w:tabs>
        <w:tab w:val="clear" w:pos="4536"/>
        <w:tab w:val="clear" w:pos="9072"/>
        <w:tab w:val="left" w:pos="8227"/>
      </w:tabs>
      <w:rPr>
        <w:lang w:val="fr-FR"/>
      </w:rPr>
    </w:pPr>
  </w:p>
  <w:p w:rsidR="00AA3410" w:rsidRPr="002F4496" w:rsidRDefault="00AA3410" w:rsidP="000C06C9">
    <w:pPr>
      <w:pStyle w:val="Encabezado"/>
      <w:tabs>
        <w:tab w:val="clear" w:pos="4536"/>
        <w:tab w:val="clear" w:pos="9072"/>
        <w:tab w:val="left" w:pos="8227"/>
      </w:tabs>
      <w:rPr>
        <w:lang w:val="fr-FR"/>
      </w:rPr>
    </w:pPr>
  </w:p>
  <w:p w:rsidR="00AA3410" w:rsidRPr="002F4496" w:rsidRDefault="00AA3410">
    <w:pPr>
      <w:pStyle w:val="Encabezado"/>
      <w:rPr>
        <w:lang w:val="fr-FR"/>
      </w:rPr>
    </w:pPr>
  </w:p>
  <w:p w:rsidR="00AA3410" w:rsidRPr="002F4496" w:rsidRDefault="00AA3410">
    <w:pPr>
      <w:pStyle w:val="Encabezado"/>
      <w:rPr>
        <w:lang w:val="fr-FR"/>
      </w:rPr>
    </w:pPr>
  </w:p>
  <w:p w:rsidR="00AA3410" w:rsidRPr="002F4496" w:rsidRDefault="00AA3410">
    <w:pPr>
      <w:pStyle w:val="Encabezado"/>
      <w:rPr>
        <w:lang w:val="fr-FR"/>
      </w:rPr>
    </w:pPr>
  </w:p>
  <w:p w:rsidR="00AA3410" w:rsidRPr="002F4496" w:rsidRDefault="00AA3410">
    <w:pPr>
      <w:pStyle w:val="Encabezado"/>
      <w:rPr>
        <w:lang w:val="fr-FR"/>
      </w:rPr>
    </w:pPr>
  </w:p>
  <w:p w:rsidR="00AA3410" w:rsidRPr="002F4496" w:rsidRDefault="00AA3410">
    <w:pPr>
      <w:pStyle w:val="Encabezado"/>
      <w:rPr>
        <w:highlight w:val="yellow"/>
        <w:lang w:val="fr-FR"/>
      </w:rPr>
    </w:pPr>
  </w:p>
  <w:p w:rsidR="00AA3410" w:rsidRDefault="00DA5A50">
    <w:pPr>
      <w:pStyle w:val="Encabezado"/>
    </w:pPr>
    <w:r w:rsidRPr="00DA5A50">
      <w:rPr>
        <w:noProof/>
        <w:lang w:eastAsia="en-GB"/>
      </w:rPr>
      <w:pict>
        <v:line id="Straight Connector 138" o:spid="_x0000_s6145" style="position:absolute;z-index:251660288;visibility:visible;mso-wrap-distance-left:3.17497mm;mso-wrap-distance-right:3.17497mm;mso-position-horizontal-relative:page;mso-position-vertical-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sidR="00AA3410">
      <w:rPr>
        <w:noProof/>
        <w:lang w:val="es-ES" w:eastAsia="es-ES"/>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aconvieta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FA212B"/>
    <w:multiLevelType w:val="hybridMultilevel"/>
    <w:tmpl w:val="75723B8C"/>
    <w:lvl w:ilvl="0" w:tplc="06EE3234">
      <w:start w:val="2"/>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Textoindependien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FEC658E"/>
    <w:multiLevelType w:val="hybridMultilevel"/>
    <w:tmpl w:val="7FF8AAE4"/>
    <w:lvl w:ilvl="0" w:tplc="04625BC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2232B"/>
    <w:multiLevelType w:val="hybridMultilevel"/>
    <w:tmpl w:val="FE8A8E64"/>
    <w:lvl w:ilvl="0" w:tplc="C4C8C0B2">
      <w:start w:val="1"/>
      <w:numFmt w:val="decimal"/>
      <w:pStyle w:val="QUESTIONSESMA"/>
      <w:lvlText w:val="Q%1"/>
      <w:lvlJc w:val="left"/>
      <w:pPr>
        <w:ind w:left="142" w:firstLine="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nsid w:val="3A841364"/>
    <w:multiLevelType w:val="hybridMultilevel"/>
    <w:tmpl w:val="21CCF614"/>
    <w:lvl w:ilvl="0" w:tplc="08090017">
      <w:start w:val="1"/>
      <w:numFmt w:val="lowerLetter"/>
      <w:pStyle w:val="Listaconvieta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314E20"/>
    <w:multiLevelType w:val="hybridMultilevel"/>
    <w:tmpl w:val="F1363300"/>
    <w:lvl w:ilvl="0" w:tplc="E27AFA40">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nsid w:val="4C7151D2"/>
    <w:multiLevelType w:val="hybridMultilevel"/>
    <w:tmpl w:val="DE90C632"/>
    <w:lvl w:ilvl="0" w:tplc="08090001">
      <w:start w:val="1"/>
      <w:numFmt w:val="bullet"/>
      <w:pStyle w:val="Listaconvieta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nsid w:val="55DE60E9"/>
    <w:multiLevelType w:val="hybridMultilevel"/>
    <w:tmpl w:val="1084069A"/>
    <w:lvl w:ilvl="0" w:tplc="B532C018">
      <w:start w:val="2"/>
      <w:numFmt w:val="upperRoman"/>
      <w:pStyle w:val="Ttu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605735B9"/>
    <w:multiLevelType w:val="hybridMultilevel"/>
    <w:tmpl w:val="AD1C76E8"/>
    <w:lvl w:ilvl="0" w:tplc="6658B948">
      <w:start w:val="1"/>
      <w:numFmt w:val="decimal"/>
      <w:pStyle w:val="Ttu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970F71"/>
    <w:multiLevelType w:val="singleLevel"/>
    <w:tmpl w:val="A8CADBFA"/>
    <w:name w:val="Bullet 0"/>
    <w:lvl w:ilvl="0">
      <w:start w:val="1"/>
      <w:numFmt w:val="bullet"/>
      <w:pStyle w:val="Listaconnmeros"/>
      <w:lvlText w:val="–"/>
      <w:lvlJc w:val="left"/>
      <w:pPr>
        <w:tabs>
          <w:tab w:val="num" w:pos="1417"/>
        </w:tabs>
        <w:ind w:left="1417" w:hanging="567"/>
      </w:pPr>
    </w:lvl>
  </w:abstractNum>
  <w:abstractNum w:abstractNumId="35">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699E2B88"/>
    <w:multiLevelType w:val="hybridMultilevel"/>
    <w:tmpl w:val="636CBA02"/>
    <w:lvl w:ilvl="0" w:tplc="2CF65F2A">
      <w:start w:val="165"/>
      <w:numFmt w:val="bullet"/>
      <w:pStyle w:val="CEABullet-Level1"/>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3"/>
  </w:num>
  <w:num w:numId="4">
    <w:abstractNumId w:val="26"/>
  </w:num>
  <w:num w:numId="5">
    <w:abstractNumId w:val="28"/>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5"/>
  </w:num>
  <w:num w:numId="15">
    <w:abstractNumId w:val="12"/>
  </w:num>
  <w:num w:numId="16">
    <w:abstractNumId w:val="1"/>
  </w:num>
  <w:num w:numId="17">
    <w:abstractNumId w:val="16"/>
  </w:num>
  <w:num w:numId="18">
    <w:abstractNumId w:val="17"/>
  </w:num>
  <w:num w:numId="19">
    <w:abstractNumId w:val="19"/>
  </w:num>
  <w:num w:numId="20">
    <w:abstractNumId w:val="29"/>
  </w:num>
  <w:num w:numId="21">
    <w:abstractNumId w:val="39"/>
  </w:num>
  <w:num w:numId="22">
    <w:abstractNumId w:val="27"/>
  </w:num>
  <w:num w:numId="23">
    <w:abstractNumId w:val="11"/>
  </w:num>
  <w:num w:numId="24">
    <w:abstractNumId w:val="32"/>
  </w:num>
  <w:num w:numId="25">
    <w:abstractNumId w:val="31"/>
  </w:num>
  <w:num w:numId="26">
    <w:abstractNumId w:val="21"/>
  </w:num>
  <w:num w:numId="27">
    <w:abstractNumId w:val="35"/>
  </w:num>
  <w:num w:numId="28">
    <w:abstractNumId w:val="41"/>
  </w:num>
  <w:num w:numId="29">
    <w:abstractNumId w:val="9"/>
  </w:num>
  <w:num w:numId="30">
    <w:abstractNumId w:val="4"/>
  </w:num>
  <w:num w:numId="31">
    <w:abstractNumId w:val="24"/>
  </w:num>
  <w:num w:numId="32">
    <w:abstractNumId w:val="2"/>
  </w:num>
  <w:num w:numId="33">
    <w:abstractNumId w:val="8"/>
  </w:num>
  <w:num w:numId="34">
    <w:abstractNumId w:val="22"/>
  </w:num>
  <w:num w:numId="35">
    <w:abstractNumId w:val="38"/>
  </w:num>
  <w:num w:numId="36">
    <w:abstractNumId w:val="38"/>
    <w:lvlOverride w:ilvl="0">
      <w:startOverride w:val="1"/>
    </w:lvlOverride>
  </w:num>
  <w:num w:numId="37">
    <w:abstractNumId w:val="38"/>
    <w:lvlOverride w:ilvl="0">
      <w:startOverride w:val="1"/>
    </w:lvlOverride>
  </w:num>
  <w:num w:numId="38">
    <w:abstractNumId w:val="38"/>
    <w:lvlOverride w:ilvl="0">
      <w:startOverride w:val="1"/>
    </w:lvlOverride>
  </w:num>
  <w:num w:numId="39">
    <w:abstractNumId w:val="38"/>
    <w:lvlOverride w:ilvl="0">
      <w:startOverride w:val="1"/>
    </w:lvlOverride>
  </w:num>
  <w:num w:numId="40">
    <w:abstractNumId w:val="38"/>
    <w:lvlOverride w:ilvl="0">
      <w:startOverride w:val="1"/>
    </w:lvlOverride>
  </w:num>
  <w:num w:numId="41">
    <w:abstractNumId w:val="38"/>
  </w:num>
  <w:num w:numId="42">
    <w:abstractNumId w:val="38"/>
    <w:lvlOverride w:ilvl="0">
      <w:startOverride w:val="1"/>
    </w:lvlOverride>
  </w:num>
  <w:num w:numId="43">
    <w:abstractNumId w:val="38"/>
    <w:lvlOverride w:ilvl="0">
      <w:startOverride w:val="1"/>
    </w:lvlOverride>
  </w:num>
  <w:num w:numId="44">
    <w:abstractNumId w:val="38"/>
    <w:lvlOverride w:ilvl="0">
      <w:startOverride w:val="1"/>
    </w:lvlOverride>
  </w:num>
  <w:num w:numId="45">
    <w:abstractNumId w:val="38"/>
    <w:lvlOverride w:ilvl="0">
      <w:startOverride w:val="1"/>
    </w:lvlOverride>
  </w:num>
  <w:num w:numId="46">
    <w:abstractNumId w:val="38"/>
    <w:lvlOverride w:ilvl="0">
      <w:startOverride w:val="1"/>
    </w:lvlOverride>
  </w:num>
  <w:num w:numId="47">
    <w:abstractNumId w:val="37"/>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1"/>
    </w:lvlOverride>
  </w:num>
  <w:num w:numId="50">
    <w:abstractNumId w:val="14"/>
  </w:num>
  <w:num w:numId="51">
    <w:abstractNumId w:val="23"/>
  </w:num>
  <w:num w:numId="52">
    <w:abstractNumId w:val="3"/>
  </w:num>
  <w:num w:numId="53">
    <w:abstractNumId w:val="36"/>
  </w:num>
  <w:num w:numId="54">
    <w:abstractNumId w:val="7"/>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F01"/>
  <w:documentProtection w:edit="readOnly" w:enforcement="1" w:cryptProviderType="rsaFull" w:cryptAlgorithmClass="hash" w:cryptAlgorithmType="typeAny" w:cryptAlgorithmSid="4" w:cryptSpinCount="100000" w:hash="uLUYmNbrz4JiE86QVmYXRrTxMUo=" w:salt="bwWIKoZBezExpOy3oq12Pg=="/>
  <w:defaultTabStop w:val="709"/>
  <w:autoHyphenation/>
  <w:hyphenationZone w:val="567"/>
  <w:characterSpacingControl w:val="doNotCompress"/>
  <w:hdrShapeDefaults>
    <o:shapedefaults v:ext="edit" spidmax="14338">
      <o:colormru v:ext="edit" colors="#2d4491,#283583"/>
    </o:shapedefaults>
    <o:shapelayout v:ext="edit">
      <o:idmap v:ext="edit" data="6"/>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6A"/>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255A"/>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DFA"/>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5CB"/>
    <w:rsid w:val="000E3937"/>
    <w:rsid w:val="000E4926"/>
    <w:rsid w:val="000E5F7F"/>
    <w:rsid w:val="000E7086"/>
    <w:rsid w:val="000E7C65"/>
    <w:rsid w:val="000F04D2"/>
    <w:rsid w:val="000F08FF"/>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255"/>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4ECE"/>
    <w:rsid w:val="00266B9A"/>
    <w:rsid w:val="00270E54"/>
    <w:rsid w:val="00273681"/>
    <w:rsid w:val="002754B5"/>
    <w:rsid w:val="002764C5"/>
    <w:rsid w:val="002772AE"/>
    <w:rsid w:val="00280613"/>
    <w:rsid w:val="00280C25"/>
    <w:rsid w:val="0028274D"/>
    <w:rsid w:val="00282B96"/>
    <w:rsid w:val="002833D6"/>
    <w:rsid w:val="00283F51"/>
    <w:rsid w:val="00286064"/>
    <w:rsid w:val="002867B1"/>
    <w:rsid w:val="00287BBB"/>
    <w:rsid w:val="00287E3B"/>
    <w:rsid w:val="002903C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0F23"/>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4B00"/>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37EA6"/>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E49"/>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66FD"/>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1C12"/>
    <w:rsid w:val="005648A8"/>
    <w:rsid w:val="00564DE3"/>
    <w:rsid w:val="00564E44"/>
    <w:rsid w:val="00566C6A"/>
    <w:rsid w:val="00566CE5"/>
    <w:rsid w:val="00566D36"/>
    <w:rsid w:val="00573569"/>
    <w:rsid w:val="00573871"/>
    <w:rsid w:val="0057389E"/>
    <w:rsid w:val="005765C0"/>
    <w:rsid w:val="005778DE"/>
    <w:rsid w:val="00580880"/>
    <w:rsid w:val="00580B3F"/>
    <w:rsid w:val="005825F2"/>
    <w:rsid w:val="00582B26"/>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4E1A"/>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435"/>
    <w:rsid w:val="00607832"/>
    <w:rsid w:val="0060784B"/>
    <w:rsid w:val="00607B18"/>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1FB0"/>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6DF"/>
    <w:rsid w:val="00666F74"/>
    <w:rsid w:val="00667FEA"/>
    <w:rsid w:val="006710D2"/>
    <w:rsid w:val="006714E3"/>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C7AE5"/>
    <w:rsid w:val="006D399F"/>
    <w:rsid w:val="006D4F0C"/>
    <w:rsid w:val="006D5645"/>
    <w:rsid w:val="006E0C8A"/>
    <w:rsid w:val="006E2A23"/>
    <w:rsid w:val="006E35E5"/>
    <w:rsid w:val="006E3C72"/>
    <w:rsid w:val="006E4F20"/>
    <w:rsid w:val="006E649A"/>
    <w:rsid w:val="006F08DC"/>
    <w:rsid w:val="006F309F"/>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12DE"/>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47BB0"/>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A15"/>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0CEA"/>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049D"/>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7258"/>
    <w:rsid w:val="00A8112B"/>
    <w:rsid w:val="00A824A7"/>
    <w:rsid w:val="00A83644"/>
    <w:rsid w:val="00A83C07"/>
    <w:rsid w:val="00A83F40"/>
    <w:rsid w:val="00A84945"/>
    <w:rsid w:val="00A85543"/>
    <w:rsid w:val="00A8728B"/>
    <w:rsid w:val="00A90381"/>
    <w:rsid w:val="00A91682"/>
    <w:rsid w:val="00A92E4A"/>
    <w:rsid w:val="00A958CA"/>
    <w:rsid w:val="00A966B6"/>
    <w:rsid w:val="00A96B46"/>
    <w:rsid w:val="00A9759D"/>
    <w:rsid w:val="00AA003B"/>
    <w:rsid w:val="00AA016B"/>
    <w:rsid w:val="00AA15DD"/>
    <w:rsid w:val="00AA1C09"/>
    <w:rsid w:val="00AA2F67"/>
    <w:rsid w:val="00AA3410"/>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27F40"/>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D66"/>
    <w:rsid w:val="00D17FDE"/>
    <w:rsid w:val="00D201CB"/>
    <w:rsid w:val="00D22786"/>
    <w:rsid w:val="00D228B4"/>
    <w:rsid w:val="00D25AC4"/>
    <w:rsid w:val="00D305F6"/>
    <w:rsid w:val="00D30B25"/>
    <w:rsid w:val="00D3175A"/>
    <w:rsid w:val="00D31A00"/>
    <w:rsid w:val="00D323E4"/>
    <w:rsid w:val="00D32871"/>
    <w:rsid w:val="00D33881"/>
    <w:rsid w:val="00D34282"/>
    <w:rsid w:val="00D3472F"/>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16D0"/>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A50"/>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181F"/>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2858"/>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1A08"/>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2FE7"/>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Ttulo1">
    <w:name w:val="heading 1"/>
    <w:basedOn w:val="Normal"/>
    <w:next w:val="Normal"/>
    <w:link w:val="Ttulo1Car"/>
    <w:qFormat/>
    <w:rsid w:val="009E7724"/>
    <w:pPr>
      <w:keepNext/>
      <w:numPr>
        <w:numId w:val="5"/>
      </w:numPr>
      <w:spacing w:before="240" w:after="60"/>
      <w:outlineLvl w:val="0"/>
    </w:pPr>
    <w:rPr>
      <w:rFonts w:cs="Arial"/>
      <w:b/>
      <w:bCs/>
      <w:kern w:val="32"/>
      <w:sz w:val="24"/>
      <w:szCs w:val="32"/>
    </w:rPr>
  </w:style>
  <w:style w:type="paragraph" w:styleId="Ttulo2">
    <w:name w:val="heading 2"/>
    <w:basedOn w:val="Normal"/>
    <w:next w:val="Normal"/>
    <w:link w:val="Ttulo2Car"/>
    <w:qFormat/>
    <w:rsid w:val="00886A60"/>
    <w:pPr>
      <w:keepNext/>
      <w:keepLines/>
      <w:spacing w:before="200" w:after="120"/>
      <w:outlineLvl w:val="1"/>
    </w:pPr>
    <w:rPr>
      <w:b/>
      <w:bCs/>
      <w:szCs w:val="26"/>
    </w:rPr>
  </w:style>
  <w:style w:type="paragraph" w:styleId="Ttulo3">
    <w:name w:val="heading 3"/>
    <w:basedOn w:val="Normal"/>
    <w:next w:val="Normal"/>
    <w:link w:val="Ttulo3Car"/>
    <w:qFormat/>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qFormat/>
    <w:rsid w:val="00E9344E"/>
    <w:pPr>
      <w:keepNext/>
      <w:keepLines/>
      <w:numPr>
        <w:numId w:val="13"/>
      </w:numPr>
      <w:spacing w:before="200"/>
      <w:jc w:val="both"/>
      <w:outlineLvl w:val="4"/>
    </w:pPr>
    <w:rPr>
      <w:b/>
    </w:rPr>
  </w:style>
  <w:style w:type="paragraph" w:styleId="Ttulo6">
    <w:name w:val="heading 6"/>
    <w:basedOn w:val="Normal"/>
    <w:next w:val="Normal"/>
    <w:link w:val="Ttulo6Car"/>
    <w:qFormat/>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rsid w:val="00A06867"/>
    <w:pPr>
      <w:tabs>
        <w:tab w:val="num" w:pos="1584"/>
      </w:tabs>
      <w:spacing w:before="240" w:after="60"/>
      <w:ind w:left="1584" w:hanging="1584"/>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B64CB"/>
    <w:pPr>
      <w:tabs>
        <w:tab w:val="center" w:pos="4536"/>
        <w:tab w:val="right" w:pos="9072"/>
      </w:tabs>
    </w:pPr>
  </w:style>
  <w:style w:type="paragraph" w:styleId="Piedepgina">
    <w:name w:val="footer"/>
    <w:basedOn w:val="Normal"/>
    <w:link w:val="PiedepginaCar"/>
    <w:rsid w:val="005B64CB"/>
    <w:pPr>
      <w:tabs>
        <w:tab w:val="center" w:pos="4536"/>
        <w:tab w:val="right" w:pos="9072"/>
      </w:tabs>
    </w:pPr>
  </w:style>
  <w:style w:type="table" w:styleId="Tablaconcuadrcula">
    <w:name w:val="Table Grid"/>
    <w:basedOn w:val="Tabla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merodepgina">
    <w:name w:val="page number"/>
    <w:basedOn w:val="Fuentedeprrafopredeter"/>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vnculo">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
    <w:basedOn w:val="Normal"/>
    <w:link w:val="TextonotapieCar"/>
    <w:qFormat/>
    <w:rsid w:val="001725A5"/>
    <w:pPr>
      <w:spacing w:line="200" w:lineRule="exact"/>
    </w:pPr>
    <w:rPr>
      <w:sz w:val="16"/>
      <w:szCs w:val="20"/>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D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efdecomentario">
    <w:name w:val="annotation reference"/>
    <w:rsid w:val="004B1E61"/>
    <w:rPr>
      <w:sz w:val="16"/>
      <w:szCs w:val="16"/>
    </w:rPr>
  </w:style>
  <w:style w:type="paragraph" w:styleId="Textocomentario">
    <w:name w:val="annotation text"/>
    <w:basedOn w:val="Normal"/>
    <w:link w:val="TextocomentarioCar"/>
    <w:rsid w:val="004B1E61"/>
    <w:rPr>
      <w:szCs w:val="20"/>
    </w:rPr>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
    <w:basedOn w:val="Normal"/>
    <w:link w:val="PrrafodelistaCar"/>
    <w:uiPriority w:val="34"/>
    <w:qFormat/>
    <w:rsid w:val="002A0C82"/>
    <w:pPr>
      <w:ind w:left="720"/>
      <w:contextualSpacing/>
    </w:pPr>
  </w:style>
  <w:style w:type="paragraph" w:styleId="TtulodeTDC">
    <w:name w:val="TOC Heading"/>
    <w:basedOn w:val="Ttulo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w:link w:val="Textonotapi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fasis">
    <w:name w:val="Emphasis"/>
    <w:uiPriority w:val="20"/>
    <w:qFormat/>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D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D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D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D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D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D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Epgraf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eldocumento">
    <w:name w:val="Document Map"/>
    <w:basedOn w:val="Normal"/>
    <w:link w:val="MapadeldocumentoCar"/>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rsid w:val="00AA016B"/>
    <w:pPr>
      <w:numPr>
        <w:numId w:val="8"/>
      </w:numPr>
      <w:spacing w:after="240"/>
      <w:jc w:val="both"/>
    </w:pPr>
    <w:rPr>
      <w:rFonts w:ascii="Times New Roman" w:hAnsi="Times New Roman"/>
      <w:sz w:val="24"/>
      <w:szCs w:val="20"/>
      <w:lang w:eastAsia="en-GB"/>
    </w:rPr>
  </w:style>
  <w:style w:type="character" w:customStyle="1" w:styleId="TextoindependienteCar">
    <w:name w:val="Texto independiente Car"/>
    <w:link w:val="Textoindependien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Textoennegrita">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b/>
      <w:bCs/>
      <w:szCs w:val="22"/>
      <w:lang w:eastAsia="de-DE"/>
    </w:rPr>
  </w:style>
  <w:style w:type="character" w:customStyle="1" w:styleId="Ttulo8Car">
    <w:name w:val="Título 8 Car"/>
    <w:link w:val="Ttulo8"/>
    <w:rsid w:val="002D6E1A"/>
    <w:rPr>
      <w:i/>
      <w:iCs/>
      <w:szCs w:val="24"/>
      <w:lang w:eastAsia="de-DE"/>
    </w:rPr>
  </w:style>
  <w:style w:type="numbering" w:customStyle="1" w:styleId="NoList1">
    <w:name w:val="No List1"/>
    <w:next w:val="Sinlista"/>
    <w:uiPriority w:val="99"/>
    <w:semiHidden/>
    <w:unhideWhenUsed/>
    <w:rsid w:val="002D6E1A"/>
  </w:style>
  <w:style w:type="character" w:styleId="Hipervnculovisitado">
    <w:name w:val="FollowedHyperlink"/>
    <w:unhideWhenUsed/>
    <w:rsid w:val="002D6E1A"/>
    <w:rPr>
      <w:color w:val="800080"/>
      <w:u w:val="single"/>
    </w:rPr>
  </w:style>
  <w:style w:type="character" w:customStyle="1" w:styleId="EncabezadoCar">
    <w:name w:val="Encabezado Car"/>
    <w:link w:val="Encabezado"/>
    <w:rsid w:val="002D6E1A"/>
    <w:rPr>
      <w:rFonts w:ascii="Georgia" w:hAnsi="Georgia"/>
      <w:sz w:val="22"/>
      <w:szCs w:val="24"/>
      <w:lang w:eastAsia="de-DE"/>
    </w:rPr>
  </w:style>
  <w:style w:type="character" w:customStyle="1" w:styleId="PiedepginaCar">
    <w:name w:val="Pie de página Car"/>
    <w:link w:val="Piedepgina"/>
    <w:rsid w:val="002D6E1A"/>
    <w:rPr>
      <w:rFonts w:ascii="Georgia" w:hAnsi="Georgia"/>
      <w:sz w:val="22"/>
      <w:szCs w:val="24"/>
      <w:lang w:eastAsia="de-DE"/>
    </w:rPr>
  </w:style>
  <w:style w:type="paragraph" w:styleId="Textonotaalfinal">
    <w:name w:val="endnote text"/>
    <w:basedOn w:val="Normal"/>
    <w:link w:val="TextonotaalfinalCar"/>
    <w:unhideWhenUsed/>
    <w:rsid w:val="002D6E1A"/>
    <w:rPr>
      <w:szCs w:val="20"/>
    </w:rPr>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rrafodelistaCar">
    <w:name w:val="Párrafo de lista Car"/>
    <w:aliases w:val="Paragraphe EI Car,Paragraphe de liste1 Car,EC Car"/>
    <w:link w:val="Prrafodelista"/>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Refdenotaalfinal">
    <w:name w:val="endnote reference"/>
    <w:unhideWhenUsed/>
    <w:rsid w:val="002D6E1A"/>
    <w:rPr>
      <w:vertAlign w:val="superscript"/>
    </w:rPr>
  </w:style>
  <w:style w:type="character" w:styleId="Textodelmarcadordeposicin">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a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Si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Epgraf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tulo5Car">
    <w:name w:val="Título 5 Car"/>
    <w:aliases w:val="Questions Car"/>
    <w:link w:val="Ttulo5"/>
    <w:rsid w:val="00E9344E"/>
    <w:rPr>
      <w:rFonts w:ascii="Georgia" w:hAnsi="Georgia"/>
      <w:b/>
      <w:szCs w:val="24"/>
      <w:lang w:eastAsia="de-DE"/>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tu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Ttulo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aconnme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aconnme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aconnme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nvieta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convieta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nvieta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convieta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adeilustracion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rPr>
  </w:style>
  <w:style w:type="character" w:customStyle="1" w:styleId="aStyle1Char">
    <w:name w:val="a. Style1 Char"/>
    <w:link w:val="aStyle1"/>
    <w:rsid w:val="000D2D0B"/>
    <w:rPr>
      <w:rFonts w:ascii="Georgia" w:hAnsi="Georgia"/>
    </w:rPr>
  </w:style>
  <w:style w:type="paragraph" w:styleId="Ttulo">
    <w:name w:val="Title"/>
    <w:basedOn w:val="Normal"/>
    <w:next w:val="Normal"/>
    <w:link w:val="Ttulo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tuloCar">
    <w:name w:val="Título Car"/>
    <w:link w:val="Ttu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sutil">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Fuentedeprrafopredeter"/>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nfasisintenso">
    <w:name w:val="Intense Emphasis"/>
    <w:basedOn w:val="Fuentedeprrafopredeter"/>
    <w:uiPriority w:val="21"/>
    <w:qFormat/>
    <w:rsid w:val="00D34282"/>
    <w:rPr>
      <w:b/>
      <w:bCs/>
      <w:i/>
      <w:iCs/>
    </w:rPr>
  </w:style>
  <w:style w:type="character" w:customStyle="1" w:styleId="CPTitle1Char">
    <w:name w:val="CP_Title1 Char"/>
    <w:basedOn w:val="Fuentedeprrafopredeter"/>
    <w:link w:val="CPTitle1"/>
    <w:locked/>
    <w:rsid w:val="00D34282"/>
    <w:rPr>
      <w:rFonts w:asciiTheme="majorHAnsi" w:eastAsiaTheme="majorEastAsia" w:hAnsiTheme="majorHAnsi" w:cstheme="majorHAnsi"/>
      <w:b/>
      <w:sz w:val="32"/>
      <w:szCs w:val="32"/>
    </w:rPr>
  </w:style>
  <w:style w:type="paragraph" w:customStyle="1" w:styleId="CPTitle1">
    <w:name w:val="CP_Title1"/>
    <w:basedOn w:val="Ttulo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tulo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Prrafodelista"/>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Fuentedeprrafopredeter"/>
    <w:link w:val="QUESTIONSESMA"/>
    <w:rsid w:val="002E2BC1"/>
    <w:rPr>
      <w:rFonts w:ascii="Arial" w:hAnsi="Arial" w:cstheme="minorBidi"/>
      <w:b/>
      <w:szCs w:val="22"/>
      <w:lang w:eastAsia="en-US"/>
    </w:rPr>
  </w:style>
  <w:style w:type="paragraph" w:customStyle="1" w:styleId="CEABullet-Level1">
    <w:name w:val="CEA Bullet - Level 1"/>
    <w:basedOn w:val="Normal"/>
    <w:qFormat/>
    <w:rsid w:val="006F309F"/>
    <w:pPr>
      <w:numPr>
        <w:numId w:val="53"/>
      </w:numPr>
      <w:autoSpaceDE w:val="0"/>
      <w:autoSpaceDN w:val="0"/>
      <w:adjustRightInd w:val="0"/>
      <w:spacing w:line="288" w:lineRule="auto"/>
      <w:jc w:val="both"/>
    </w:pPr>
    <w:rPr>
      <w:rFonts w:ascii="Verdana" w:hAnsi="Verdana" w:cs="Frutiger LT Std 45 Light"/>
      <w:color w:val="000000"/>
      <w:sz w:val="17"/>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eastAsia="en-US"/>
    </w:rPr>
  </w:style>
</w:styles>
</file>

<file path=word/webSettings.xml><?xml version="1.0" encoding="utf-8"?>
<w:webSettings xmlns:r="http://schemas.openxmlformats.org/officeDocument/2006/relationships" xmlns:w="http://schemas.openxmlformats.org/wordprocessingml/2006/main">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30430998">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FAC26-C5DA-4833-AC5C-6AB335D414E4}">
  <ds:schemaRefs>
    <ds:schemaRef ds:uri="http://schemas.openxmlformats.org/officeDocument/2006/bibliography"/>
  </ds:schemaRefs>
</ds:datastoreItem>
</file>

<file path=customXml/itemProps2.xml><?xml version="1.0" encoding="utf-8"?>
<ds:datastoreItem xmlns:ds="http://schemas.openxmlformats.org/officeDocument/2006/customXml" ds:itemID="{9FA028B0-C68D-4460-B42E-D9D13A8AC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5038</Words>
  <Characters>27710</Characters>
  <Application>Microsoft Office Word</Application>
  <DocSecurity>8</DocSecurity>
  <Lines>230</Lines>
  <Paragraphs>65</Paragraphs>
  <ScaleCrop>false</ScaleCrop>
  <HeadingPairs>
    <vt:vector size="10" baseType="variant">
      <vt:variant>
        <vt:lpstr>Título</vt:lpstr>
      </vt:variant>
      <vt:variant>
        <vt:i4>1</vt:i4>
      </vt:variant>
      <vt:variant>
        <vt:lpstr>Title</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32683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Patricia Rodriguez</cp:lastModifiedBy>
  <cp:revision>6</cp:revision>
  <cp:lastPrinted>2016-01-14T10:30:00Z</cp:lastPrinted>
  <dcterms:created xsi:type="dcterms:W3CDTF">2016-01-28T12:10:00Z</dcterms:created>
  <dcterms:modified xsi:type="dcterms:W3CDTF">2016-01-29T11:31:00Z</dcterms:modified>
</cp:coreProperties>
</file>