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berschrift1"/>
        <w:numPr>
          <w:ilvl w:val="0"/>
          <w:numId w:val="0"/>
        </w:numPr>
        <w:ind w:left="431" w:hanging="431"/>
      </w:pPr>
      <w:r>
        <w:t>Introduction</w:t>
      </w:r>
    </w:p>
    <w:p w:rsidR="00C33ACE" w:rsidRPr="00C33ACE" w:rsidRDefault="00C33ACE" w:rsidP="00C33ACE"/>
    <w:p w:rsidR="00D34282" w:rsidRDefault="00D34282" w:rsidP="00D34282">
      <w:pPr>
        <w:rPr>
          <w:rStyle w:val="IntensiveHervorhebung"/>
        </w:rPr>
      </w:pPr>
      <w:r w:rsidRPr="001D47A5">
        <w:rPr>
          <w:rStyle w:val="IntensiveHervorhebung"/>
        </w:rPr>
        <w:t>Please make your introductory comments below, if any:</w:t>
      </w:r>
    </w:p>
    <w:p w:rsidR="002E2BC1" w:rsidRPr="001D47A5" w:rsidRDefault="002E2BC1" w:rsidP="00D34282">
      <w:pPr>
        <w:rPr>
          <w:rStyle w:val="IntensiveHervorhebung"/>
        </w:rPr>
      </w:pPr>
    </w:p>
    <w:p w:rsidR="00D34282" w:rsidRPr="00C25863" w:rsidRDefault="00D34282" w:rsidP="00D34282">
      <w:r w:rsidRPr="00C25863">
        <w:t>&lt;</w:t>
      </w:r>
      <w:r>
        <w:t>ESMA_COMMENT</w:t>
      </w:r>
      <w:r w:rsidRPr="00C25863">
        <w:t>_</w:t>
      </w:r>
      <w:r w:rsidR="000E35CB">
        <w:rPr>
          <w:rFonts w:cs="Arial"/>
        </w:rPr>
        <w:t>PRIIPS</w:t>
      </w:r>
      <w:r w:rsidRPr="00C25863">
        <w:t>_1&gt;</w:t>
      </w:r>
    </w:p>
    <w:p w:rsidR="00C55D87" w:rsidRPr="006516C2" w:rsidRDefault="00C55D87" w:rsidP="00C55D87">
      <w:pPr>
        <w:jc w:val="both"/>
        <w:rPr>
          <w:rFonts w:cs="Arial"/>
          <w:szCs w:val="22"/>
          <w:lang w:val="en-CA"/>
        </w:rPr>
      </w:pPr>
      <w:permStart w:id="2126190012" w:edGrp="everyone"/>
      <w:r w:rsidRPr="006516C2">
        <w:rPr>
          <w:rFonts w:cs="Arial"/>
          <w:szCs w:val="22"/>
          <w:lang w:val="en-CA"/>
        </w:rPr>
        <w:t xml:space="preserve">After assessing the Level-2 work done by the ESAs, </w:t>
      </w:r>
      <w:r w:rsidR="00644290" w:rsidRPr="006516C2">
        <w:rPr>
          <w:rFonts w:cs="Arial"/>
          <w:szCs w:val="22"/>
          <w:lang w:val="en-CA"/>
        </w:rPr>
        <w:t>we</w:t>
      </w:r>
      <w:r w:rsidRPr="006516C2">
        <w:rPr>
          <w:rFonts w:cs="Arial"/>
          <w:szCs w:val="22"/>
          <w:lang w:val="en-CA"/>
        </w:rPr>
        <w:t xml:space="preserve"> come to the conclusion that, due to the technical nature of the underlying methodologies and calculations, there will not be enough time for market partic</w:t>
      </w:r>
      <w:r w:rsidRPr="006516C2">
        <w:rPr>
          <w:rFonts w:cs="Arial"/>
          <w:szCs w:val="22"/>
          <w:lang w:val="en-CA"/>
        </w:rPr>
        <w:t>i</w:t>
      </w:r>
      <w:r w:rsidRPr="006516C2">
        <w:rPr>
          <w:rFonts w:cs="Arial"/>
          <w:szCs w:val="22"/>
          <w:lang w:val="en-CA"/>
        </w:rPr>
        <w:t>pants to fully implement the PRIIP KID by 31 December 2016.</w:t>
      </w:r>
    </w:p>
    <w:p w:rsidR="00C55D87" w:rsidRPr="006516C2" w:rsidRDefault="00C55D87" w:rsidP="00C55D87">
      <w:pPr>
        <w:jc w:val="both"/>
        <w:rPr>
          <w:rFonts w:cs="Arial"/>
          <w:szCs w:val="22"/>
          <w:lang w:val="en-CA"/>
        </w:rPr>
      </w:pPr>
      <w:r w:rsidRPr="006516C2">
        <w:rPr>
          <w:rFonts w:cs="Arial"/>
          <w:szCs w:val="22"/>
          <w:lang w:val="en-CA"/>
        </w:rPr>
        <w:t xml:space="preserve">This is also of utmost importance to UCITS which – while being exempted by the Level-1 Regulation </w:t>
      </w:r>
      <w:r w:rsidR="00644290" w:rsidRPr="006516C2">
        <w:rPr>
          <w:rFonts w:cs="Arial"/>
          <w:szCs w:val="22"/>
          <w:lang w:val="en-CA"/>
        </w:rPr>
        <w:t xml:space="preserve">(Article 32 PRIIPs Regulation) </w:t>
      </w:r>
      <w:r w:rsidRPr="006516C2">
        <w:rPr>
          <w:rFonts w:cs="Arial"/>
          <w:szCs w:val="22"/>
          <w:lang w:val="en-CA"/>
        </w:rPr>
        <w:t>– might be required to provide “PRIIPs-like” information to manufacturers whic</w:t>
      </w:r>
      <w:r w:rsidR="00644290" w:rsidRPr="006516C2">
        <w:rPr>
          <w:rFonts w:cs="Arial"/>
          <w:szCs w:val="22"/>
          <w:lang w:val="en-CA"/>
        </w:rPr>
        <w:t>h use these funds as underlying</w:t>
      </w:r>
      <w:r w:rsidRPr="006516C2">
        <w:rPr>
          <w:rFonts w:cs="Arial"/>
          <w:szCs w:val="22"/>
          <w:lang w:val="en-CA"/>
        </w:rPr>
        <w:t xml:space="preserve"> for their products (such as insurance-based investment products). Taking this into consideration, we urge the ESAs to consider a delay of one calendar year (for the date of entry into application) in order to properly implement the PRIIPs Regulation. </w:t>
      </w:r>
    </w:p>
    <w:p w:rsidR="00C55D87" w:rsidRPr="00556C99" w:rsidRDefault="00C55D87" w:rsidP="00C55D87">
      <w:pPr>
        <w:jc w:val="both"/>
        <w:rPr>
          <w:rFonts w:cs="Arial"/>
          <w:szCs w:val="22"/>
          <w:lang w:val="en-CA"/>
        </w:rPr>
      </w:pPr>
      <w:r w:rsidRPr="00556C99">
        <w:rPr>
          <w:rFonts w:cs="Arial"/>
          <w:szCs w:val="22"/>
          <w:lang w:val="en-CA"/>
        </w:rPr>
        <w:t>The existing time constraints are also apparent in the work of the ESAs which, in spite of their consider</w:t>
      </w:r>
      <w:r w:rsidRPr="00556C99">
        <w:rPr>
          <w:rFonts w:cs="Arial"/>
          <w:szCs w:val="22"/>
          <w:lang w:val="en-CA"/>
        </w:rPr>
        <w:t>a</w:t>
      </w:r>
      <w:r w:rsidRPr="00556C99">
        <w:rPr>
          <w:rFonts w:cs="Arial"/>
          <w:szCs w:val="22"/>
          <w:lang w:val="en-CA"/>
        </w:rPr>
        <w:t>ble efforts, struggle to finalise their respective workloads before the end of the deadlines. We notice this shortage of time in a number of conflicting and contradicting technical rules (e.g. on the calculation of risk), the introduction of completely new concepts at this late stage (e.g. arrival price for the calculation of tran</w:t>
      </w:r>
      <w:r w:rsidRPr="00556C99">
        <w:rPr>
          <w:rFonts w:cs="Arial"/>
          <w:szCs w:val="22"/>
          <w:lang w:val="en-CA"/>
        </w:rPr>
        <w:t>s</w:t>
      </w:r>
      <w:r w:rsidRPr="00556C99">
        <w:rPr>
          <w:rFonts w:cs="Arial"/>
          <w:szCs w:val="22"/>
          <w:lang w:val="en-CA"/>
        </w:rPr>
        <w:t>actions costs) and the general aim to include as many highly technical elements as possible in the draft RTS.</w:t>
      </w:r>
    </w:p>
    <w:p w:rsidR="00C55D87" w:rsidRPr="00556C99" w:rsidRDefault="00C55D87" w:rsidP="00C55D87">
      <w:pPr>
        <w:jc w:val="both"/>
        <w:rPr>
          <w:rFonts w:cs="Arial"/>
          <w:szCs w:val="22"/>
          <w:lang w:val="en-CA"/>
        </w:rPr>
      </w:pPr>
      <w:r w:rsidRPr="00556C99">
        <w:rPr>
          <w:rFonts w:cs="Arial"/>
          <w:szCs w:val="22"/>
          <w:lang w:val="en-CA"/>
        </w:rPr>
        <w:t>The latter is most apparent when comparing the current proposal to the existing UCITS KIID rules which provide a more general framework at Level-2, but subsequently identify technical details through Level-3 guidelines and Level-4 Q&amp;As.</w:t>
      </w:r>
    </w:p>
    <w:p w:rsidR="00C55D87" w:rsidRPr="006516C2" w:rsidRDefault="00C55D87" w:rsidP="00C55D87">
      <w:pPr>
        <w:jc w:val="both"/>
        <w:rPr>
          <w:rFonts w:cs="Arial"/>
          <w:szCs w:val="22"/>
          <w:lang w:val="en-CA"/>
        </w:rPr>
      </w:pPr>
      <w:r w:rsidRPr="006516C2">
        <w:rPr>
          <w:rFonts w:cs="Arial"/>
          <w:szCs w:val="22"/>
          <w:lang w:val="en-CA"/>
        </w:rPr>
        <w:t>Keeping these considerations in mind but being of the clear opinion that further consultations on the more technical aspects are needed, we request that certain provisions of the draft RTS be included in Level-3 or Level-4 measures. These include most of the annexes, but most specifically the risk calculation (calcul</w:t>
      </w:r>
      <w:r w:rsidRPr="006516C2">
        <w:rPr>
          <w:rFonts w:cs="Arial"/>
          <w:szCs w:val="22"/>
          <w:lang w:val="en-CA"/>
        </w:rPr>
        <w:t>a</w:t>
      </w:r>
      <w:r w:rsidRPr="006516C2">
        <w:rPr>
          <w:rFonts w:cs="Arial"/>
          <w:szCs w:val="22"/>
          <w:lang w:val="en-CA"/>
        </w:rPr>
        <w:t>tions for market risk and credit risk) and cost calculation methodologies (i.e. table for standardised tran</w:t>
      </w:r>
      <w:r w:rsidRPr="006516C2">
        <w:rPr>
          <w:rFonts w:cs="Arial"/>
          <w:szCs w:val="22"/>
          <w:lang w:val="en-CA"/>
        </w:rPr>
        <w:t>s</w:t>
      </w:r>
      <w:r w:rsidRPr="006516C2">
        <w:rPr>
          <w:rFonts w:cs="Arial"/>
          <w:szCs w:val="22"/>
          <w:lang w:val="en-CA"/>
        </w:rPr>
        <w:t xml:space="preserve">action costs). </w:t>
      </w:r>
    </w:p>
    <w:p w:rsidR="00C55D87" w:rsidRPr="006516C2" w:rsidRDefault="00C55D87" w:rsidP="00C55D87">
      <w:pPr>
        <w:jc w:val="both"/>
        <w:rPr>
          <w:rFonts w:cs="Arial"/>
          <w:szCs w:val="22"/>
          <w:lang w:val="en-CA"/>
        </w:rPr>
      </w:pPr>
      <w:r w:rsidRPr="006516C2">
        <w:rPr>
          <w:rFonts w:cs="Arial"/>
          <w:szCs w:val="22"/>
          <w:lang w:val="en-CA"/>
        </w:rPr>
        <w:t xml:space="preserve">On a technical level, we disagree with the proposal on the PRIIP risk categories and the subsequent Market Risk Measure. We are against combining into the same Class-7 MRM PRIIPs that may lose the investor more than the money invested (i.e. creating additional payment liabilities) and other types of PRIIPs with high volatility. This would create the perception for retail investors that potentially losing much of </w:t>
      </w:r>
      <w:r w:rsidR="00556C99">
        <w:rPr>
          <w:rFonts w:cs="Arial"/>
          <w:szCs w:val="22"/>
          <w:lang w:val="en-CA"/>
        </w:rPr>
        <w:t>their</w:t>
      </w:r>
      <w:r w:rsidRPr="006516C2">
        <w:rPr>
          <w:rFonts w:cs="Arial"/>
          <w:szCs w:val="22"/>
          <w:lang w:val="en-CA"/>
        </w:rPr>
        <w:t xml:space="preserve"> invested money is equally as risky as investing into a PRIIP that creates </w:t>
      </w:r>
      <w:r w:rsidRPr="006516C2">
        <w:rPr>
          <w:rFonts w:cs="Arial"/>
          <w:szCs w:val="22"/>
          <w:u w:val="single"/>
          <w:lang w:val="en-CA"/>
        </w:rPr>
        <w:t>additional</w:t>
      </w:r>
      <w:r w:rsidRPr="006516C2">
        <w:rPr>
          <w:rFonts w:cs="Arial"/>
          <w:szCs w:val="22"/>
          <w:lang w:val="en-CA"/>
        </w:rPr>
        <w:t xml:space="preserve"> payment liabil</w:t>
      </w:r>
      <w:r w:rsidRPr="006516C2">
        <w:rPr>
          <w:rFonts w:cs="Arial"/>
          <w:szCs w:val="22"/>
          <w:lang w:val="en-CA"/>
        </w:rPr>
        <w:t>i</w:t>
      </w:r>
      <w:r w:rsidRPr="006516C2">
        <w:rPr>
          <w:rFonts w:cs="Arial"/>
          <w:szCs w:val="22"/>
          <w:lang w:val="en-CA"/>
        </w:rPr>
        <w:t>ties beyond the initially invested amount. Furthermore, we are against the methodology prescribed to calculate potential transaction costs for a number of reasons, such as the inclusion of market impact (which is at odds with MiFID II) as well as the clear lack of market data available to make those calcul</w:t>
      </w:r>
      <w:r w:rsidRPr="006516C2">
        <w:rPr>
          <w:rFonts w:cs="Arial"/>
          <w:szCs w:val="22"/>
          <w:lang w:val="en-CA"/>
        </w:rPr>
        <w:t>a</w:t>
      </w:r>
      <w:r w:rsidRPr="006516C2">
        <w:rPr>
          <w:rFonts w:cs="Arial"/>
          <w:szCs w:val="22"/>
          <w:lang w:val="en-CA"/>
        </w:rPr>
        <w:t>tions. The proposed standardised transaction cost table should also be used for all transactions (not just for new PRIIPs) and should furthermore be updated and maintained by ESMA in order to allow cost co</w:t>
      </w:r>
      <w:r w:rsidRPr="006516C2">
        <w:rPr>
          <w:rFonts w:cs="Arial"/>
          <w:szCs w:val="22"/>
          <w:lang w:val="en-CA"/>
        </w:rPr>
        <w:t>m</w:t>
      </w:r>
      <w:r w:rsidRPr="006516C2">
        <w:rPr>
          <w:rFonts w:cs="Arial"/>
          <w:szCs w:val="22"/>
          <w:lang w:val="en-CA"/>
        </w:rPr>
        <w:t>parison among all PRIIPs.</w:t>
      </w:r>
    </w:p>
    <w:p w:rsidR="00C55D87" w:rsidRDefault="006516C2" w:rsidP="00C55D87">
      <w:pPr>
        <w:rPr>
          <w:b/>
        </w:rPr>
      </w:pPr>
      <w:r w:rsidRPr="006516C2">
        <w:rPr>
          <w:rFonts w:cs="Arial"/>
          <w:szCs w:val="22"/>
          <w:lang w:val="en-CA"/>
        </w:rPr>
        <w:t>Lastly, t</w:t>
      </w:r>
      <w:r w:rsidR="00C55D87" w:rsidRPr="006516C2">
        <w:rPr>
          <w:rFonts w:cs="Arial"/>
          <w:szCs w:val="22"/>
          <w:lang w:val="en-CA"/>
        </w:rPr>
        <w:t>he format of the standardised questionnaire inhibits respondents from providing the ESAs with feedback to the draft RTS beyond the questions specifically posed. This submission therefore makes full use of the ESAs’ invitation to respond to all aspects of the RTS (page 3) and provides the ESAs with our additional comments on these important sections of the consultation separate to our answers below</w:t>
      </w:r>
      <w:r w:rsidRPr="006516C2">
        <w:rPr>
          <w:rFonts w:cs="Arial"/>
          <w:szCs w:val="22"/>
          <w:lang w:val="en-CA"/>
        </w:rPr>
        <w:t>.</w:t>
      </w:r>
    </w:p>
    <w:p w:rsidR="006516C2" w:rsidRDefault="006516C2" w:rsidP="00D34282">
      <w:pPr>
        <w:rPr>
          <w:b/>
        </w:rPr>
      </w:pPr>
    </w:p>
    <w:p w:rsidR="00C55D87" w:rsidRPr="00C55D87" w:rsidRDefault="0002183C" w:rsidP="00D34282">
      <w:pPr>
        <w:rPr>
          <w:b/>
        </w:rPr>
      </w:pPr>
      <w:r>
        <w:rPr>
          <w:b/>
        </w:rPr>
        <w:t>Existing Products on secondary market</w:t>
      </w:r>
      <w:r w:rsidR="00A131A5">
        <w:rPr>
          <w:b/>
        </w:rPr>
        <w:t xml:space="preserve"> (grandfathering)</w:t>
      </w:r>
    </w:p>
    <w:p w:rsidR="00D34282" w:rsidRDefault="004109DB" w:rsidP="00D34282">
      <w:r>
        <w:t xml:space="preserve">Due to the facts that PRIIPs needs to be implemented within less than one year from now and that the Level II </w:t>
      </w:r>
      <w:r w:rsidR="00C065EC">
        <w:t>requirements might not be finalised by the middle of the year 2016</w:t>
      </w:r>
      <w:r w:rsidR="00F118A9">
        <w:t>,</w:t>
      </w:r>
      <w:r w:rsidR="00C065EC">
        <w:t xml:space="preserve"> </w:t>
      </w:r>
      <w:r w:rsidR="00062C2D">
        <w:t>we have</w:t>
      </w:r>
      <w:r>
        <w:t xml:space="preserve"> strong reservations </w:t>
      </w:r>
      <w:r w:rsidR="00C065EC">
        <w:t xml:space="preserve">that the implementation of </w:t>
      </w:r>
      <w:r w:rsidR="0014461B">
        <w:t xml:space="preserve">the </w:t>
      </w:r>
      <w:r w:rsidR="00C065EC">
        <w:t>PRIIPs</w:t>
      </w:r>
      <w:r w:rsidR="0014461B">
        <w:t xml:space="preserve"> regulation</w:t>
      </w:r>
      <w:r w:rsidR="0002183C">
        <w:t xml:space="preserve"> for existing products on the secondary market can</w:t>
      </w:r>
      <w:r w:rsidR="00C065EC">
        <w:t xml:space="preserve"> reali</w:t>
      </w:r>
      <w:r w:rsidR="00C065EC">
        <w:t>s</w:t>
      </w:r>
      <w:r w:rsidR="00C065EC">
        <w:t>tically be finalized by January 2017.</w:t>
      </w:r>
    </w:p>
    <w:p w:rsidR="00C065EC" w:rsidRDefault="00C065EC" w:rsidP="00D34282"/>
    <w:p w:rsidR="00C065EC" w:rsidRDefault="009A436D" w:rsidP="00D34282">
      <w:pPr>
        <w:rPr>
          <w:b/>
        </w:rPr>
      </w:pPr>
      <w:r>
        <w:rPr>
          <w:b/>
        </w:rPr>
        <w:t>(</w:t>
      </w:r>
      <w:r w:rsidR="00C065EC" w:rsidRPr="00C065EC">
        <w:rPr>
          <w:b/>
        </w:rPr>
        <w:t>OTC</w:t>
      </w:r>
      <w:r>
        <w:rPr>
          <w:b/>
        </w:rPr>
        <w:t>)</w:t>
      </w:r>
      <w:r w:rsidR="00C065EC" w:rsidRPr="00C065EC">
        <w:rPr>
          <w:b/>
        </w:rPr>
        <w:t xml:space="preserve"> Derivatives</w:t>
      </w:r>
    </w:p>
    <w:p w:rsidR="000C7DE3" w:rsidRDefault="00C065EC" w:rsidP="00D34282">
      <w:r>
        <w:t>As</w:t>
      </w:r>
      <w:r w:rsidR="00540B5C">
        <w:t xml:space="preserve"> there are</w:t>
      </w:r>
      <w:r>
        <w:t xml:space="preserve"> </w:t>
      </w:r>
      <w:r w:rsidR="00540B5C">
        <w:t xml:space="preserve">numerous specifics of OTC-Derivatives that are not dealt with in the </w:t>
      </w:r>
      <w:r>
        <w:t>PRIIPs consultation paper</w:t>
      </w:r>
      <w:r w:rsidR="001D7348">
        <w:t>,</w:t>
      </w:r>
      <w:r>
        <w:t xml:space="preserve"> </w:t>
      </w:r>
      <w:r w:rsidR="00062C2D">
        <w:t>we are</w:t>
      </w:r>
      <w:r w:rsidR="00540B5C">
        <w:t xml:space="preserve"> of the opinion that OTC-Derivatives should not be in scope of the PRIIPs regulation.</w:t>
      </w:r>
      <w:r w:rsidR="00C92EBE">
        <w:t xml:space="preserve"> </w:t>
      </w:r>
    </w:p>
    <w:p w:rsidR="000C7DE3" w:rsidRDefault="000C7DE3" w:rsidP="00D34282"/>
    <w:p w:rsidR="00430F02" w:rsidRDefault="00430F02" w:rsidP="00430F02">
      <w:r w:rsidRPr="00430F02">
        <w:rPr>
          <w:rFonts w:cs="Arial"/>
          <w:bCs/>
        </w:rPr>
        <w:lastRenderedPageBreak/>
        <w:t>Regarding the application of the SRI (Summary Risk Indicator) we would like to draw attention towards the application of the SRI for derivatives</w:t>
      </w:r>
      <w:r w:rsidR="009A436D">
        <w:rPr>
          <w:rFonts w:cs="Arial"/>
          <w:bCs/>
        </w:rPr>
        <w:t xml:space="preserve">, should they be included in the regulation against the </w:t>
      </w:r>
      <w:r w:rsidR="00D645AC">
        <w:rPr>
          <w:rFonts w:cs="Arial"/>
          <w:bCs/>
        </w:rPr>
        <w:t>above me</w:t>
      </w:r>
      <w:r w:rsidR="00D645AC">
        <w:rPr>
          <w:rFonts w:cs="Arial"/>
          <w:bCs/>
        </w:rPr>
        <w:t>n</w:t>
      </w:r>
      <w:r w:rsidR="00D645AC">
        <w:rPr>
          <w:rFonts w:cs="Arial"/>
          <w:bCs/>
        </w:rPr>
        <w:t xml:space="preserve">tioned </w:t>
      </w:r>
      <w:r w:rsidR="009A436D">
        <w:rPr>
          <w:rFonts w:cs="Arial"/>
          <w:bCs/>
        </w:rPr>
        <w:t>advice</w:t>
      </w:r>
      <w:r w:rsidRPr="00430F02">
        <w:rPr>
          <w:rFonts w:cs="Arial"/>
          <w:bCs/>
        </w:rPr>
        <w:t>:</w:t>
      </w:r>
    </w:p>
    <w:p w:rsidR="00430F02" w:rsidRPr="00430F02" w:rsidRDefault="00430F02" w:rsidP="0045465D">
      <w:pPr>
        <w:pStyle w:val="Listenabsatz"/>
        <w:numPr>
          <w:ilvl w:val="0"/>
          <w:numId w:val="40"/>
        </w:numPr>
        <w:rPr>
          <w:rFonts w:cs="Arial"/>
          <w:bCs/>
        </w:rPr>
      </w:pPr>
      <w:r w:rsidRPr="00430F02">
        <w:rPr>
          <w:rFonts w:cs="Arial"/>
          <w:bCs/>
        </w:rPr>
        <w:t xml:space="preserve">For each financial instrument one SRI has to be assigned which causes difficulties when it </w:t>
      </w:r>
      <w:r w:rsidR="00062C2D">
        <w:rPr>
          <w:rFonts w:cs="Arial"/>
          <w:bCs/>
        </w:rPr>
        <w:t>i</w:t>
      </w:r>
      <w:r w:rsidRPr="00430F02">
        <w:rPr>
          <w:rFonts w:cs="Arial"/>
          <w:bCs/>
        </w:rPr>
        <w:t>s about derivatives as a very important financial instrument for hedging of FX and interest risks for SME and corporate clients. Many of these clients are classified under MiFID as retail clients and have different needs as the private individuals acting as a pure investor.</w:t>
      </w:r>
    </w:p>
    <w:p w:rsidR="00430F02" w:rsidRDefault="00430F02" w:rsidP="0045465D">
      <w:pPr>
        <w:pStyle w:val="Listenabsatz"/>
        <w:numPr>
          <w:ilvl w:val="0"/>
          <w:numId w:val="40"/>
        </w:numPr>
      </w:pPr>
      <w:r w:rsidRPr="00430F02">
        <w:rPr>
          <w:rFonts w:cs="Arial"/>
          <w:bCs/>
        </w:rPr>
        <w:t>From our point of view the initial purpose of a derivative to hedge risks is not reflected in the cu</w:t>
      </w:r>
      <w:r w:rsidRPr="00430F02">
        <w:rPr>
          <w:rFonts w:cs="Arial"/>
          <w:bCs/>
        </w:rPr>
        <w:t>r</w:t>
      </w:r>
      <w:r w:rsidRPr="00430F02">
        <w:rPr>
          <w:rFonts w:cs="Arial"/>
          <w:bCs/>
        </w:rPr>
        <w:t xml:space="preserve">rent PRIIPs methodology because currently no differentiation for the indicator </w:t>
      </w:r>
      <w:r w:rsidR="00062C2D">
        <w:rPr>
          <w:rFonts w:cs="Arial"/>
          <w:bCs/>
        </w:rPr>
        <w:t xml:space="preserve">is made </w:t>
      </w:r>
      <w:r w:rsidRPr="00430F02">
        <w:rPr>
          <w:rFonts w:cs="Arial"/>
          <w:bCs/>
        </w:rPr>
        <w:t>if the deri</w:t>
      </w:r>
      <w:r w:rsidRPr="00430F02">
        <w:rPr>
          <w:rFonts w:cs="Arial"/>
          <w:bCs/>
        </w:rPr>
        <w:t>v</w:t>
      </w:r>
      <w:r w:rsidRPr="00430F02">
        <w:rPr>
          <w:rFonts w:cs="Arial"/>
          <w:bCs/>
        </w:rPr>
        <w:t>ative is used for hedging (overall reduced risk) or pure investment</w:t>
      </w:r>
      <w:r w:rsidRPr="00430F02">
        <w:t xml:space="preserve"> </w:t>
      </w:r>
    </w:p>
    <w:p w:rsidR="00430F02" w:rsidRPr="00430F02" w:rsidRDefault="00430F02" w:rsidP="0045465D">
      <w:pPr>
        <w:pStyle w:val="Listenabsatz"/>
        <w:numPr>
          <w:ilvl w:val="0"/>
          <w:numId w:val="40"/>
        </w:numPr>
        <w:rPr>
          <w:rFonts w:cs="Arial"/>
          <w:bCs/>
        </w:rPr>
      </w:pPr>
      <w:r w:rsidRPr="00430F02">
        <w:rPr>
          <w:rFonts w:cs="Arial"/>
          <w:bCs/>
        </w:rPr>
        <w:t xml:space="preserve">Using derivatives for risk hedging is </w:t>
      </w:r>
      <w:r w:rsidR="00062C2D">
        <w:rPr>
          <w:rFonts w:cs="Arial"/>
          <w:bCs/>
        </w:rPr>
        <w:t xml:space="preserve">a </w:t>
      </w:r>
      <w:r w:rsidRPr="00430F02">
        <w:rPr>
          <w:rFonts w:cs="Arial"/>
          <w:bCs/>
        </w:rPr>
        <w:t>very important factor for an economy and need</w:t>
      </w:r>
      <w:r w:rsidR="00062C2D">
        <w:rPr>
          <w:rFonts w:cs="Arial"/>
          <w:bCs/>
        </w:rPr>
        <w:t>s</w:t>
      </w:r>
      <w:r w:rsidRPr="00430F02">
        <w:rPr>
          <w:rFonts w:cs="Arial"/>
          <w:bCs/>
        </w:rPr>
        <w:t xml:space="preserve"> therefore </w:t>
      </w:r>
      <w:r w:rsidR="00062C2D">
        <w:rPr>
          <w:rFonts w:cs="Arial"/>
          <w:bCs/>
        </w:rPr>
        <w:t xml:space="preserve">to be </w:t>
      </w:r>
      <w:r w:rsidRPr="00430F02">
        <w:rPr>
          <w:rFonts w:cs="Arial"/>
          <w:bCs/>
        </w:rPr>
        <w:t>reflected in the PRIIPs methodology</w:t>
      </w:r>
    </w:p>
    <w:p w:rsidR="000C7DE3" w:rsidRPr="00430F02" w:rsidRDefault="00016878" w:rsidP="0045465D">
      <w:pPr>
        <w:pStyle w:val="Listenabsatz"/>
        <w:numPr>
          <w:ilvl w:val="0"/>
          <w:numId w:val="40"/>
        </w:numPr>
      </w:pPr>
      <w:r>
        <w:rPr>
          <w:rFonts w:cs="Arial"/>
          <w:bCs/>
        </w:rPr>
        <w:t>We would therefore suggest a</w:t>
      </w:r>
      <w:r w:rsidR="00430F02" w:rsidRPr="00430F02">
        <w:rPr>
          <w:rFonts w:cs="Arial"/>
          <w:bCs/>
        </w:rPr>
        <w:t xml:space="preserve"> separate SRI for</w:t>
      </w:r>
      <w:r>
        <w:rPr>
          <w:rFonts w:cs="Arial"/>
          <w:bCs/>
        </w:rPr>
        <w:t xml:space="preserve"> hedging and investment purpose, should those i</w:t>
      </w:r>
      <w:r>
        <w:rPr>
          <w:rFonts w:cs="Arial"/>
          <w:bCs/>
        </w:rPr>
        <w:t>n</w:t>
      </w:r>
      <w:r>
        <w:rPr>
          <w:rFonts w:cs="Arial"/>
          <w:bCs/>
        </w:rPr>
        <w:t>struments be included in the final regulation</w:t>
      </w:r>
    </w:p>
    <w:p w:rsidR="000C7DE3" w:rsidRDefault="000C7DE3" w:rsidP="00D34282"/>
    <w:p w:rsidR="00C065EC" w:rsidRDefault="00C92EBE" w:rsidP="00D34282">
      <w:r>
        <w:t xml:space="preserve">The answers </w:t>
      </w:r>
      <w:r w:rsidR="000C7DE3">
        <w:t xml:space="preserve">in the main part of this reply form </w:t>
      </w:r>
      <w:r>
        <w:t xml:space="preserve">however include OTC-Derivatives in case they are not excluded from the regulation against the </w:t>
      </w:r>
      <w:r w:rsidR="00062C2D">
        <w:t xml:space="preserve">above mentioned </w:t>
      </w:r>
      <w:r>
        <w:t xml:space="preserve">advice. </w:t>
      </w:r>
    </w:p>
    <w:p w:rsidR="00C80A20" w:rsidRDefault="00C80A20" w:rsidP="00D34282"/>
    <w:p w:rsidR="0002183C" w:rsidRPr="00A131A5" w:rsidRDefault="0065297D" w:rsidP="00D34282">
      <w:pPr>
        <w:rPr>
          <w:b/>
        </w:rPr>
      </w:pPr>
      <w:r>
        <w:rPr>
          <w:b/>
        </w:rPr>
        <w:t>Format</w:t>
      </w:r>
    </w:p>
    <w:p w:rsidR="00C80A20" w:rsidRDefault="00062C2D" w:rsidP="00D34282">
      <w:r>
        <w:t>We have</w:t>
      </w:r>
      <w:r w:rsidR="0002183C">
        <w:t xml:space="preserve"> strong doubts that all the required </w:t>
      </w:r>
      <w:r w:rsidR="00A131A5">
        <w:t xml:space="preserve">information can be provided </w:t>
      </w:r>
      <w:r w:rsidR="0065297D">
        <w:t>within</w:t>
      </w:r>
      <w:r w:rsidR="00A131A5">
        <w:t xml:space="preserve"> a 3 page</w:t>
      </w:r>
      <w:r w:rsidR="00F01C8E">
        <w:t>s</w:t>
      </w:r>
      <w:r w:rsidR="00495F8A">
        <w:t xml:space="preserve"> document while still ensuring readability for the retail client.</w:t>
      </w:r>
    </w:p>
    <w:p w:rsidR="00F01C8E" w:rsidRDefault="00F01C8E" w:rsidP="00D34282"/>
    <w:p w:rsidR="00F01C8E" w:rsidRDefault="00F01C8E" w:rsidP="00D34282">
      <w:pPr>
        <w:rPr>
          <w:b/>
        </w:rPr>
      </w:pPr>
      <w:r w:rsidRPr="00F01C8E">
        <w:rPr>
          <w:b/>
        </w:rPr>
        <w:t>Costs</w:t>
      </w:r>
    </w:p>
    <w:p w:rsidR="00F01C8E" w:rsidRDefault="00062C2D" w:rsidP="00D34282">
      <w:r>
        <w:t>We</w:t>
      </w:r>
      <w:r w:rsidR="00F01C8E">
        <w:t xml:space="preserve"> want to empathise that the presentation of costs </w:t>
      </w:r>
      <w:r w:rsidR="0065297D">
        <w:t xml:space="preserve">in the KID </w:t>
      </w:r>
      <w:r w:rsidR="00F01C8E">
        <w:t>should be aligned with the cost requir</w:t>
      </w:r>
      <w:r w:rsidR="00F01C8E">
        <w:t>e</w:t>
      </w:r>
      <w:r w:rsidR="00F01C8E">
        <w:t>ments of MiFID II to generate synergies between the regulations.</w:t>
      </w:r>
    </w:p>
    <w:p w:rsidR="0045465D" w:rsidRPr="0045465D" w:rsidRDefault="0045465D" w:rsidP="0045465D">
      <w:pPr>
        <w:jc w:val="both"/>
        <w:rPr>
          <w:rFonts w:cs="Arial"/>
          <w:b/>
          <w:i/>
          <w:color w:val="4F81BD" w:themeColor="accent1"/>
          <w:szCs w:val="22"/>
          <w:u w:val="single"/>
          <w:lang w:val="en-CA"/>
        </w:rPr>
      </w:pPr>
    </w:p>
    <w:p w:rsidR="0045465D" w:rsidRDefault="0045465D" w:rsidP="0045465D">
      <w:pPr>
        <w:pStyle w:val="berschrift1"/>
        <w:keepLines/>
        <w:numPr>
          <w:ilvl w:val="0"/>
          <w:numId w:val="0"/>
        </w:numPr>
        <w:spacing w:before="0" w:after="0"/>
        <w:ind w:left="360" w:hanging="360"/>
        <w:contextualSpacing/>
        <w:jc w:val="center"/>
        <w:rPr>
          <w:color w:val="4F81BD" w:themeColor="accent1"/>
          <w:sz w:val="22"/>
          <w:szCs w:val="22"/>
          <w:u w:val="single"/>
          <w:lang w:val="en-CA"/>
        </w:rPr>
      </w:pPr>
      <w:r w:rsidRPr="0045465D">
        <w:rPr>
          <w:color w:val="4F81BD" w:themeColor="accent1"/>
          <w:sz w:val="22"/>
          <w:szCs w:val="22"/>
          <w:u w:val="single"/>
          <w:lang w:val="en-CA"/>
        </w:rPr>
        <w:t>Additional comments relating to the draft RTS not covered in the Questions</w:t>
      </w:r>
    </w:p>
    <w:p w:rsidR="0045465D" w:rsidRPr="0045465D" w:rsidRDefault="0045465D" w:rsidP="0045465D">
      <w:pPr>
        <w:rPr>
          <w:lang w:val="en-CA"/>
        </w:rPr>
      </w:pPr>
    </w:p>
    <w:p w:rsidR="0045465D" w:rsidRPr="0045465D" w:rsidRDefault="0045465D" w:rsidP="0045465D">
      <w:pPr>
        <w:jc w:val="both"/>
        <w:rPr>
          <w:rFonts w:cs="Arial"/>
          <w:szCs w:val="22"/>
          <w:lang w:val="en-CA"/>
        </w:rPr>
      </w:pPr>
      <w:r w:rsidRPr="0045465D">
        <w:rPr>
          <w:rFonts w:cs="Arial"/>
          <w:szCs w:val="22"/>
          <w:lang w:val="en-CA"/>
        </w:rPr>
        <w:t xml:space="preserve">In addition to our answers to the ESAs’ questions, </w:t>
      </w:r>
      <w:r>
        <w:rPr>
          <w:rFonts w:cs="Arial"/>
          <w:szCs w:val="22"/>
          <w:lang w:val="en-CA"/>
        </w:rPr>
        <w:t>we</w:t>
      </w:r>
      <w:r w:rsidRPr="0045465D">
        <w:rPr>
          <w:rFonts w:cs="Arial"/>
          <w:szCs w:val="22"/>
          <w:lang w:val="en-CA"/>
        </w:rPr>
        <w:t xml:space="preserve"> would also like to provide the ESAs with the follo</w:t>
      </w:r>
      <w:r w:rsidRPr="0045465D">
        <w:rPr>
          <w:rFonts w:cs="Arial"/>
          <w:szCs w:val="22"/>
          <w:lang w:val="en-CA"/>
        </w:rPr>
        <w:t>w</w:t>
      </w:r>
      <w:r w:rsidRPr="0045465D">
        <w:rPr>
          <w:rFonts w:cs="Arial"/>
          <w:szCs w:val="22"/>
          <w:lang w:val="en-CA"/>
        </w:rPr>
        <w:t>ing detailed comments on the draft RTS and its Annexes.</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fr-FR"/>
        </w:rPr>
      </w:pPr>
      <w:r w:rsidRPr="0045465D">
        <w:rPr>
          <w:rFonts w:cs="Arial"/>
          <w:b/>
          <w:color w:val="4F81BD" w:themeColor="accent1"/>
          <w:szCs w:val="22"/>
          <w:lang w:val="fr-FR"/>
        </w:rPr>
        <w:t xml:space="preserve">Article 3: </w:t>
      </w:r>
      <w:proofErr w:type="spellStart"/>
      <w:r w:rsidRPr="0045465D">
        <w:rPr>
          <w:rFonts w:cs="Arial"/>
          <w:b/>
          <w:color w:val="4F81BD" w:themeColor="accent1"/>
          <w:szCs w:val="22"/>
          <w:lang w:val="fr-FR"/>
        </w:rPr>
        <w:t>Identity</w:t>
      </w:r>
      <w:proofErr w:type="spellEnd"/>
      <w:r w:rsidRPr="0045465D">
        <w:rPr>
          <w:rFonts w:cs="Arial"/>
          <w:b/>
          <w:color w:val="4F81BD" w:themeColor="accent1"/>
          <w:szCs w:val="22"/>
          <w:lang w:val="fr-FR"/>
        </w:rPr>
        <w:t xml:space="preserve"> section</w:t>
      </w:r>
    </w:p>
    <w:p w:rsidR="0045465D" w:rsidRPr="0045465D" w:rsidRDefault="0045465D" w:rsidP="0045465D">
      <w:pPr>
        <w:jc w:val="both"/>
        <w:rPr>
          <w:rFonts w:cs="Arial"/>
          <w:szCs w:val="22"/>
          <w:u w:val="single"/>
          <w:lang w:val="fr-FR"/>
        </w:rPr>
      </w:pPr>
      <w:r w:rsidRPr="0045465D">
        <w:rPr>
          <w:rFonts w:cs="Arial"/>
          <w:szCs w:val="22"/>
          <w:u w:val="single"/>
          <w:lang w:val="fr-FR"/>
        </w:rPr>
        <w:t>Article 3(f)</w:t>
      </w:r>
    </w:p>
    <w:p w:rsidR="0045465D" w:rsidRPr="0045465D" w:rsidRDefault="0045465D" w:rsidP="0045465D">
      <w:pPr>
        <w:jc w:val="both"/>
        <w:rPr>
          <w:rFonts w:cs="Arial"/>
          <w:szCs w:val="22"/>
          <w:lang w:val="en-CA"/>
        </w:rPr>
      </w:pPr>
      <w:r w:rsidRPr="0045465D">
        <w:rPr>
          <w:rFonts w:cs="Arial"/>
          <w:b/>
          <w:szCs w:val="22"/>
          <w:lang w:val="en-CA"/>
        </w:rPr>
        <w:t>“</w:t>
      </w:r>
      <w:r w:rsidRPr="0045465D">
        <w:rPr>
          <w:rFonts w:cs="Arial"/>
          <w:szCs w:val="22"/>
          <w:lang w:val="en-CA"/>
        </w:rPr>
        <w:t xml:space="preserve">The date of the production and of any </w:t>
      </w:r>
      <w:r w:rsidRPr="0045465D">
        <w:rPr>
          <w:rFonts w:cs="Arial"/>
          <w:i/>
          <w:szCs w:val="22"/>
          <w:lang w:val="en-CA"/>
        </w:rPr>
        <w:t>subsequent</w:t>
      </w:r>
      <w:r w:rsidRPr="0045465D">
        <w:rPr>
          <w:rFonts w:cs="Arial"/>
          <w:szCs w:val="22"/>
          <w:lang w:val="en-CA"/>
        </w:rPr>
        <w:t xml:space="preserve"> revision of the key information document” is required sub-paragraph (f) to be stated in the KID. The wording “any </w:t>
      </w:r>
      <w:r w:rsidRPr="0045465D">
        <w:rPr>
          <w:rFonts w:cs="Arial"/>
          <w:i/>
          <w:szCs w:val="22"/>
          <w:lang w:val="en-CA"/>
        </w:rPr>
        <w:t>subsequent</w:t>
      </w:r>
      <w:r w:rsidRPr="0045465D">
        <w:rPr>
          <w:rFonts w:cs="Arial"/>
          <w:szCs w:val="22"/>
          <w:lang w:val="en-CA"/>
        </w:rPr>
        <w:t xml:space="preserve"> revision” could be misunderstood to refer to the dates of </w:t>
      </w:r>
      <w:r w:rsidRPr="0045465D">
        <w:rPr>
          <w:rFonts w:cs="Arial"/>
          <w:szCs w:val="22"/>
          <w:u w:val="single"/>
          <w:lang w:val="en-CA"/>
        </w:rPr>
        <w:t>all</w:t>
      </w:r>
      <w:r w:rsidRPr="0045465D">
        <w:rPr>
          <w:rFonts w:cs="Arial"/>
          <w:szCs w:val="22"/>
          <w:lang w:val="en-CA"/>
        </w:rPr>
        <w:t xml:space="preserve"> the subsequent revisions, adding no useful information to the investor. </w:t>
      </w:r>
      <w:r w:rsidRPr="0045465D">
        <w:rPr>
          <w:rFonts w:cs="Arial"/>
          <w:szCs w:val="22"/>
          <w:u w:val="single"/>
          <w:lang w:val="en-CA"/>
        </w:rPr>
        <w:t xml:space="preserve">We therefore propose that the article instead refers to “the date of the production and of the </w:t>
      </w:r>
      <w:r w:rsidRPr="0045465D">
        <w:rPr>
          <w:rFonts w:cs="Arial"/>
          <w:i/>
          <w:szCs w:val="22"/>
          <w:u w:val="single"/>
          <w:lang w:val="en-CA"/>
        </w:rPr>
        <w:t>latest revision</w:t>
      </w:r>
      <w:r w:rsidRPr="0045465D">
        <w:rPr>
          <w:rFonts w:cs="Arial"/>
          <w:szCs w:val="22"/>
          <w:u w:val="single"/>
          <w:lang w:val="en-CA"/>
        </w:rPr>
        <w:t xml:space="preserve"> of the key information document”.</w:t>
      </w:r>
    </w:p>
    <w:p w:rsidR="0045465D" w:rsidRPr="0045465D" w:rsidRDefault="0045465D" w:rsidP="0045465D">
      <w:pPr>
        <w:jc w:val="both"/>
        <w:rPr>
          <w:rFonts w:cs="Arial"/>
          <w:b/>
          <w:color w:val="4F81BD" w:themeColor="accent1"/>
          <w:szCs w:val="22"/>
          <w:u w:val="single"/>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4: ‘What is this product?’ section</w:t>
      </w:r>
    </w:p>
    <w:p w:rsidR="0045465D" w:rsidRPr="0045465D" w:rsidRDefault="0045465D" w:rsidP="0045465D">
      <w:pPr>
        <w:jc w:val="both"/>
        <w:rPr>
          <w:rFonts w:cs="Arial"/>
          <w:szCs w:val="22"/>
          <w:u w:val="single"/>
          <w:lang w:val="en-CA"/>
        </w:rPr>
      </w:pPr>
      <w:r w:rsidRPr="0045465D">
        <w:rPr>
          <w:rFonts w:cs="Arial"/>
          <w:szCs w:val="22"/>
          <w:u w:val="single"/>
          <w:lang w:val="en-CA"/>
        </w:rPr>
        <w:t>Article 4(3)</w:t>
      </w:r>
    </w:p>
    <w:p w:rsidR="0045465D" w:rsidRPr="0045465D" w:rsidRDefault="0045465D" w:rsidP="0045465D">
      <w:pPr>
        <w:jc w:val="both"/>
        <w:rPr>
          <w:rFonts w:cs="Arial"/>
          <w:szCs w:val="22"/>
          <w:u w:val="single"/>
          <w:lang w:val="en-CA"/>
        </w:rPr>
      </w:pPr>
      <w:r w:rsidRPr="0045465D">
        <w:rPr>
          <w:rFonts w:cs="Arial"/>
          <w:szCs w:val="22"/>
          <w:lang w:val="en-CA"/>
        </w:rPr>
        <w:t>According to letter b. the description of the PRIIPs “underlying investments or reference values” has to be very detailed. A generic description is possible only where the “number of specific investments is large”. In the case of UCITS the criterion of the number of investments is inadequate because the investments of UCITS are made on the basis of the principle of risk diversification. Also a considerable number of retail AIF managed on the basis of UCITS risk diversification rules. The UCITS Directive provides for different diversification limits which allow investment in a small number of assets. For example, according to Article 52.3 and 54.1 of the UCITS Directive at least six different issues are necessary to compose an UCITS portfolio. Therefore a broader approach for a generic description is needed.</w:t>
      </w:r>
      <w:r w:rsidRPr="0045465D">
        <w:rPr>
          <w:rFonts w:cs="Arial"/>
          <w:szCs w:val="22"/>
          <w:u w:val="single"/>
          <w:lang w:val="en-CA"/>
        </w:rPr>
        <w:t xml:space="preserve"> Thus letter (b) should be amended as follows: </w:t>
      </w:r>
      <w:r w:rsidRPr="0045465D">
        <w:rPr>
          <w:rFonts w:cs="Arial"/>
          <w:i/>
          <w:szCs w:val="22"/>
          <w:u w:val="single"/>
          <w:lang w:val="en-CA"/>
        </w:rPr>
        <w:t>“(…) or where it is necessary to describe the main categories of eligible financial instruments that are the object of investment.”</w:t>
      </w:r>
      <w:r w:rsidRPr="0045465D">
        <w:rPr>
          <w:rFonts w:cs="Arial"/>
          <w:szCs w:val="22"/>
          <w:u w:val="single"/>
          <w:lang w:val="en-CA"/>
        </w:rPr>
        <w:t xml:space="preserve"> </w:t>
      </w:r>
    </w:p>
    <w:p w:rsidR="0045465D" w:rsidRPr="0045465D" w:rsidRDefault="0045465D" w:rsidP="0045465D">
      <w:pPr>
        <w:jc w:val="both"/>
        <w:rPr>
          <w:rFonts w:cs="Arial"/>
          <w:szCs w:val="22"/>
          <w:u w:val="single"/>
          <w:lang w:val="en-CA"/>
        </w:rPr>
      </w:pPr>
      <w:r w:rsidRPr="0045465D">
        <w:rPr>
          <w:rFonts w:cs="Arial"/>
          <w:szCs w:val="22"/>
          <w:u w:val="single"/>
          <w:lang w:val="en-CA"/>
        </w:rPr>
        <w:t>Article 4(4)</w:t>
      </w:r>
    </w:p>
    <w:p w:rsidR="0045465D" w:rsidRPr="0045465D" w:rsidRDefault="0045465D" w:rsidP="0045465D">
      <w:pPr>
        <w:jc w:val="both"/>
        <w:rPr>
          <w:rFonts w:cs="Arial"/>
          <w:szCs w:val="22"/>
          <w:lang w:val="en-CA"/>
        </w:rPr>
      </w:pPr>
      <w:r w:rsidRPr="0045465D">
        <w:rPr>
          <w:rFonts w:cs="Arial"/>
          <w:szCs w:val="22"/>
          <w:lang w:val="en-CA"/>
        </w:rPr>
        <w:t>Article 4(4) proposes to include “the target market identified by the PRIIP manufacturer´s product ove</w:t>
      </w:r>
      <w:r w:rsidRPr="0045465D">
        <w:rPr>
          <w:rFonts w:cs="Arial"/>
          <w:szCs w:val="22"/>
          <w:lang w:val="en-CA"/>
        </w:rPr>
        <w:t>r</w:t>
      </w:r>
      <w:r w:rsidRPr="0045465D">
        <w:rPr>
          <w:rFonts w:cs="Arial"/>
          <w:szCs w:val="22"/>
          <w:lang w:val="en-CA"/>
        </w:rPr>
        <w:t>sight and governance processes”. The referenced Article 8(3</w:t>
      </w:r>
      <w:proofErr w:type="gramStart"/>
      <w:r w:rsidRPr="0045465D">
        <w:rPr>
          <w:rFonts w:cs="Arial"/>
          <w:szCs w:val="22"/>
          <w:lang w:val="en-CA"/>
        </w:rPr>
        <w:t>)(</w:t>
      </w:r>
      <w:proofErr w:type="gramEnd"/>
      <w:r w:rsidRPr="0045465D">
        <w:rPr>
          <w:rFonts w:cs="Arial"/>
          <w:szCs w:val="22"/>
          <w:lang w:val="en-CA"/>
        </w:rPr>
        <w:t>c) of the PRIIP KID Regulation merely requires “</w:t>
      </w:r>
      <w:r w:rsidRPr="0045465D">
        <w:rPr>
          <w:rFonts w:cs="Arial"/>
          <w:szCs w:val="22"/>
          <w:lang w:val="en-US"/>
        </w:rPr>
        <w:t xml:space="preserve">a description of the type of retail investor to whom the PRIIP is intended to be marketed, in particular in terms of the ability to bear investment loss and the investment horizon”.  The addition of “product oversight and governance processes” does not exist in the Level-1 Regulation and thus would </w:t>
      </w:r>
      <w:r w:rsidRPr="0045465D">
        <w:rPr>
          <w:rFonts w:cs="Arial"/>
          <w:szCs w:val="22"/>
          <w:lang w:val="en-US"/>
        </w:rPr>
        <w:lastRenderedPageBreak/>
        <w:t>require non-MiFID firms, such as UCITS Management Companies and AIFMs, to apply the MiFID II pro</w:t>
      </w:r>
      <w:r w:rsidRPr="0045465D">
        <w:rPr>
          <w:rFonts w:cs="Arial"/>
          <w:szCs w:val="22"/>
          <w:lang w:val="en-US"/>
        </w:rPr>
        <w:t>d</w:t>
      </w:r>
      <w:r w:rsidRPr="0045465D">
        <w:rPr>
          <w:rFonts w:cs="Arial"/>
          <w:szCs w:val="22"/>
          <w:lang w:val="en-US"/>
        </w:rPr>
        <w:t xml:space="preserve">uct governance and oversight rules for product manufacturers, which was not intended in the Level-1 Regulation. </w:t>
      </w:r>
      <w:r w:rsidRPr="0045465D">
        <w:rPr>
          <w:rFonts w:cs="Arial"/>
          <w:szCs w:val="22"/>
          <w:u w:val="single"/>
          <w:lang w:val="en-US"/>
        </w:rPr>
        <w:t xml:space="preserve">Therefore the above mentioned sentence should be amended as follows: </w:t>
      </w:r>
      <w:r w:rsidRPr="0045465D">
        <w:rPr>
          <w:rFonts w:cs="Arial"/>
          <w:i/>
          <w:szCs w:val="22"/>
          <w:u w:val="single"/>
          <w:lang w:val="en-US"/>
        </w:rPr>
        <w:t>“the target market identified by the PRIIP manufacturer.”</w:t>
      </w:r>
    </w:p>
    <w:p w:rsidR="0045465D" w:rsidRPr="0045465D" w:rsidRDefault="0045465D" w:rsidP="0045465D">
      <w:pPr>
        <w:jc w:val="both"/>
        <w:rPr>
          <w:rFonts w:cs="Arial"/>
          <w:szCs w:val="22"/>
          <w:u w:val="single"/>
          <w:lang w:val="en-US"/>
        </w:rPr>
      </w:pPr>
      <w:r w:rsidRPr="0045465D">
        <w:rPr>
          <w:rFonts w:cs="Arial"/>
          <w:szCs w:val="22"/>
          <w:lang w:val="en-US"/>
        </w:rPr>
        <w:t>Moreover, the ESAs’ proposal goes even further by stating that these product oversight and governance processes need to take into account</w:t>
      </w:r>
      <w:r w:rsidRPr="0045465D">
        <w:rPr>
          <w:rFonts w:cs="Arial"/>
          <w:i/>
          <w:szCs w:val="22"/>
          <w:lang w:val="en-US"/>
        </w:rPr>
        <w:t xml:space="preserve"> “the financial interests, knowledge, objectives and characteristics of the types of retail investors for whom the PRIIP has been designed…</w:t>
      </w:r>
      <w:proofErr w:type="gramStart"/>
      <w:r w:rsidRPr="0045465D">
        <w:rPr>
          <w:rFonts w:cs="Arial"/>
          <w:i/>
          <w:szCs w:val="22"/>
          <w:lang w:val="en-US"/>
        </w:rPr>
        <w:t>”.</w:t>
      </w:r>
      <w:proofErr w:type="gramEnd"/>
      <w:r w:rsidRPr="0045465D">
        <w:rPr>
          <w:rFonts w:cs="Arial"/>
          <w:szCs w:val="22"/>
          <w:lang w:val="en-US"/>
        </w:rPr>
        <w:t xml:space="preserve"> This goes beyond the product oversight and governance processes</w:t>
      </w:r>
      <w:r w:rsidRPr="0045465D">
        <w:rPr>
          <w:rStyle w:val="Funotenzeichen"/>
          <w:rFonts w:cs="Arial"/>
          <w:szCs w:val="22"/>
          <w:lang w:val="en-US"/>
        </w:rPr>
        <w:footnoteReference w:id="2"/>
      </w:r>
      <w:r w:rsidRPr="0045465D">
        <w:rPr>
          <w:rFonts w:cs="Arial"/>
          <w:szCs w:val="22"/>
          <w:lang w:val="en-US"/>
        </w:rPr>
        <w:t xml:space="preserve"> requirement of the to-be-released draft MiFID II Delegated D</w:t>
      </w:r>
      <w:r w:rsidRPr="0045465D">
        <w:rPr>
          <w:rFonts w:cs="Arial"/>
          <w:szCs w:val="22"/>
          <w:lang w:val="en-US"/>
        </w:rPr>
        <w:t>i</w:t>
      </w:r>
      <w:r w:rsidRPr="0045465D">
        <w:rPr>
          <w:rFonts w:cs="Arial"/>
          <w:szCs w:val="22"/>
          <w:lang w:val="en-US"/>
        </w:rPr>
        <w:t xml:space="preserve">rective, which are not expected to require the product manufacturer to specify a target market according to </w:t>
      </w:r>
      <w:r w:rsidRPr="0045465D">
        <w:rPr>
          <w:rFonts w:cs="Arial"/>
          <w:i/>
          <w:szCs w:val="22"/>
          <w:lang w:val="en-US"/>
        </w:rPr>
        <w:t>financial interests, knowledge and objectives</w:t>
      </w:r>
      <w:r w:rsidRPr="0045465D">
        <w:rPr>
          <w:rFonts w:cs="Arial"/>
          <w:szCs w:val="22"/>
          <w:lang w:val="en-US"/>
        </w:rPr>
        <w:t xml:space="preserve">. The PRIIP KID Regulation is meant to provide product disclosure and should not introduce new governance requirements through the Level-2 measures. </w:t>
      </w:r>
      <w:r w:rsidRPr="0045465D">
        <w:rPr>
          <w:rFonts w:cs="Arial"/>
          <w:szCs w:val="22"/>
          <w:u w:val="single"/>
          <w:lang w:val="en-US"/>
        </w:rPr>
        <w:t xml:space="preserve">These aforementioned requirements should therefore be replaced with a reference to Art. </w:t>
      </w:r>
      <w:proofErr w:type="gramStart"/>
      <w:r w:rsidRPr="0045465D">
        <w:rPr>
          <w:rFonts w:cs="Arial"/>
          <w:szCs w:val="22"/>
          <w:u w:val="single"/>
          <w:lang w:val="en-US"/>
        </w:rPr>
        <w:t>16 para.</w:t>
      </w:r>
      <w:proofErr w:type="gramEnd"/>
      <w:r w:rsidRPr="0045465D">
        <w:rPr>
          <w:rFonts w:cs="Arial"/>
          <w:szCs w:val="22"/>
          <w:u w:val="single"/>
          <w:lang w:val="en-US"/>
        </w:rPr>
        <w:t xml:space="preserve"> </w:t>
      </w:r>
      <w:proofErr w:type="gramStart"/>
      <w:r w:rsidRPr="0045465D">
        <w:rPr>
          <w:rFonts w:cs="Arial"/>
          <w:szCs w:val="22"/>
          <w:u w:val="single"/>
          <w:lang w:val="en-US"/>
        </w:rPr>
        <w:t>3 of MiFID II and Art.</w:t>
      </w:r>
      <w:proofErr w:type="gramEnd"/>
      <w:r w:rsidRPr="0045465D">
        <w:rPr>
          <w:rFonts w:cs="Arial"/>
          <w:szCs w:val="22"/>
          <w:u w:val="single"/>
          <w:lang w:val="en-US"/>
        </w:rPr>
        <w:t xml:space="preserve"> </w:t>
      </w:r>
      <w:proofErr w:type="gramStart"/>
      <w:r w:rsidRPr="0045465D">
        <w:rPr>
          <w:rFonts w:cs="Arial"/>
          <w:szCs w:val="22"/>
          <w:u w:val="single"/>
          <w:lang w:val="en-US"/>
        </w:rPr>
        <w:t>25 of draft IDD.</w:t>
      </w:r>
      <w:proofErr w:type="gramEnd"/>
    </w:p>
    <w:p w:rsidR="0045465D" w:rsidRPr="0045465D" w:rsidRDefault="0045465D" w:rsidP="0045465D">
      <w:pPr>
        <w:jc w:val="both"/>
        <w:rPr>
          <w:rFonts w:cs="Arial"/>
          <w:szCs w:val="22"/>
          <w:lang w:val="en-US"/>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6:  Performance scenarios</w:t>
      </w:r>
    </w:p>
    <w:p w:rsidR="0045465D" w:rsidRPr="0045465D" w:rsidRDefault="0045465D" w:rsidP="0045465D">
      <w:pPr>
        <w:jc w:val="both"/>
        <w:rPr>
          <w:rFonts w:cs="Arial"/>
          <w:szCs w:val="22"/>
          <w:lang w:val="en-US"/>
        </w:rPr>
      </w:pPr>
      <w:r w:rsidRPr="0045465D">
        <w:rPr>
          <w:rFonts w:cs="Arial"/>
          <w:szCs w:val="22"/>
          <w:lang w:val="en-CA"/>
        </w:rPr>
        <w:t xml:space="preserve">Taking into consideration our reply to Q14, we agree with Article 6(2) that “performance scenarios shall be defined for the recommended holding period and for certain holding periods in between, </w:t>
      </w:r>
      <w:r w:rsidRPr="0045465D">
        <w:rPr>
          <w:rFonts w:cs="Arial"/>
          <w:szCs w:val="22"/>
          <w:u w:val="single"/>
          <w:lang w:val="en-CA"/>
        </w:rPr>
        <w:t>when appropr</w:t>
      </w:r>
      <w:r w:rsidRPr="0045465D">
        <w:rPr>
          <w:rFonts w:cs="Arial"/>
          <w:szCs w:val="22"/>
          <w:u w:val="single"/>
          <w:lang w:val="en-CA"/>
        </w:rPr>
        <w:t>i</w:t>
      </w:r>
      <w:r w:rsidRPr="0045465D">
        <w:rPr>
          <w:rFonts w:cs="Arial"/>
          <w:szCs w:val="22"/>
          <w:u w:val="single"/>
          <w:lang w:val="en-CA"/>
        </w:rPr>
        <w:t>ate</w:t>
      </w:r>
      <w:r w:rsidRPr="0045465D">
        <w:rPr>
          <w:rFonts w:cs="Arial"/>
          <w:szCs w:val="22"/>
          <w:lang w:val="en-CA"/>
        </w:rPr>
        <w:t>.” In order to receive further necessary clarity, we suggest that the ESAs establish guidelines (as su</w:t>
      </w:r>
      <w:r w:rsidRPr="0045465D">
        <w:rPr>
          <w:rFonts w:cs="Arial"/>
          <w:szCs w:val="22"/>
          <w:lang w:val="en-CA"/>
        </w:rPr>
        <w:t>g</w:t>
      </w:r>
      <w:r w:rsidRPr="0045465D">
        <w:rPr>
          <w:rFonts w:cs="Arial"/>
          <w:szCs w:val="22"/>
          <w:lang w:val="en-CA"/>
        </w:rPr>
        <w:t xml:space="preserve">gested in para. 7) that further define </w:t>
      </w:r>
      <w:r w:rsidRPr="0045465D">
        <w:rPr>
          <w:rFonts w:cs="Arial"/>
          <w:szCs w:val="22"/>
          <w:lang w:val="en-US"/>
        </w:rPr>
        <w:t xml:space="preserve">when it is appropriate to do performance scenarios for periods </w:t>
      </w:r>
      <w:r w:rsidRPr="0045465D">
        <w:rPr>
          <w:rFonts w:cs="Arial"/>
          <w:szCs w:val="22"/>
          <w:u w:val="single"/>
          <w:lang w:val="en-US"/>
        </w:rPr>
        <w:t>before the end of</w:t>
      </w:r>
      <w:r w:rsidRPr="0045465D">
        <w:rPr>
          <w:rFonts w:cs="Arial"/>
          <w:szCs w:val="22"/>
          <w:lang w:val="en-US"/>
        </w:rPr>
        <w:t xml:space="preserve"> the recommended holding period.</w:t>
      </w:r>
    </w:p>
    <w:p w:rsidR="0045465D" w:rsidRPr="0045465D" w:rsidRDefault="0045465D" w:rsidP="0045465D">
      <w:pPr>
        <w:jc w:val="both"/>
        <w:rPr>
          <w:rFonts w:cs="Arial"/>
          <w:szCs w:val="22"/>
          <w:lang w:val="en-CA"/>
        </w:rPr>
      </w:pPr>
      <w:r w:rsidRPr="0045465D">
        <w:rPr>
          <w:rFonts w:cs="Arial"/>
          <w:szCs w:val="22"/>
          <w:lang w:val="en-CA"/>
        </w:rPr>
        <w:t>With regards to the three suggested scenarios, we are generally supportive of the ESAs’ approach to defining unfavourable, moderate and favourable scenarios as presented in Annex IV and we also support the ESAs’ intentions to provide further technical guidance in Level-3 guidelines.</w:t>
      </w:r>
    </w:p>
    <w:p w:rsidR="0045465D" w:rsidRPr="0045465D" w:rsidRDefault="0045465D" w:rsidP="0045465D">
      <w:pPr>
        <w:jc w:val="both"/>
        <w:rPr>
          <w:rFonts w:cs="Arial"/>
          <w:szCs w:val="22"/>
          <w:lang w:val="en-CA"/>
        </w:rPr>
      </w:pPr>
      <w:r w:rsidRPr="0045465D">
        <w:rPr>
          <w:rFonts w:cs="Arial"/>
          <w:szCs w:val="22"/>
          <w:lang w:val="en-CA"/>
        </w:rPr>
        <w:t xml:space="preserve">Having said this, it is important that the ESAs deliver these guidelines </w:t>
      </w:r>
      <w:r w:rsidR="00556C99">
        <w:rPr>
          <w:rFonts w:cs="Arial"/>
          <w:szCs w:val="22"/>
          <w:lang w:val="en-CA"/>
        </w:rPr>
        <w:t>as soon as possible</w:t>
      </w:r>
      <w:r w:rsidRPr="0045465D">
        <w:rPr>
          <w:rFonts w:cs="Arial"/>
          <w:szCs w:val="22"/>
          <w:lang w:val="en-CA"/>
        </w:rPr>
        <w:t xml:space="preserve"> to provide PRIIP man</w:t>
      </w:r>
      <w:r w:rsidRPr="0045465D">
        <w:rPr>
          <w:rFonts w:cs="Arial"/>
          <w:szCs w:val="22"/>
          <w:lang w:val="en-CA"/>
        </w:rPr>
        <w:t>u</w:t>
      </w:r>
      <w:r w:rsidRPr="0045465D">
        <w:rPr>
          <w:rFonts w:cs="Arial"/>
          <w:szCs w:val="22"/>
          <w:lang w:val="en-CA"/>
        </w:rPr>
        <w:t>facturers with the necessary specificities to properly and appropriately design and calibrate these scenar</w:t>
      </w:r>
      <w:r w:rsidRPr="0045465D">
        <w:rPr>
          <w:rFonts w:cs="Arial"/>
          <w:szCs w:val="22"/>
          <w:lang w:val="en-CA"/>
        </w:rPr>
        <w:t>i</w:t>
      </w:r>
      <w:r w:rsidRPr="0045465D">
        <w:rPr>
          <w:rFonts w:cs="Arial"/>
          <w:szCs w:val="22"/>
          <w:lang w:val="en-CA"/>
        </w:rPr>
        <w:t>os. Given that the drafting of and consultation on these guidelines will understandably take some further time, it is very likely that the publication of these guidelines will happen well after the public</w:t>
      </w:r>
      <w:r w:rsidRPr="0045465D">
        <w:rPr>
          <w:rFonts w:cs="Arial"/>
          <w:szCs w:val="22"/>
          <w:lang w:val="en-CA"/>
        </w:rPr>
        <w:t>a</w:t>
      </w:r>
      <w:r w:rsidRPr="0045465D">
        <w:rPr>
          <w:rFonts w:cs="Arial"/>
          <w:szCs w:val="22"/>
          <w:lang w:val="en-CA"/>
        </w:rPr>
        <w:t>tion of the PRIIP KID Implementing Regulation. This underlines the need for a delay in the PRIIP KID Regulation coming into force, to allow national competent authorities and industry enough time to impl</w:t>
      </w:r>
      <w:r w:rsidRPr="0045465D">
        <w:rPr>
          <w:rFonts w:cs="Arial"/>
          <w:szCs w:val="22"/>
          <w:lang w:val="en-CA"/>
        </w:rPr>
        <w:t>e</w:t>
      </w:r>
      <w:r w:rsidRPr="0045465D">
        <w:rPr>
          <w:rFonts w:cs="Arial"/>
          <w:szCs w:val="22"/>
          <w:lang w:val="en-CA"/>
        </w:rPr>
        <w:t xml:space="preserve">ment the rules. </w:t>
      </w:r>
    </w:p>
    <w:p w:rsidR="0045465D" w:rsidRPr="0045465D" w:rsidRDefault="0045465D" w:rsidP="0045465D">
      <w:pPr>
        <w:jc w:val="both"/>
        <w:rPr>
          <w:rFonts w:cs="Arial"/>
          <w:szCs w:val="22"/>
          <w:u w:val="single"/>
          <w:lang w:val="en-CA"/>
        </w:rPr>
      </w:pPr>
      <w:r w:rsidRPr="0045465D">
        <w:rPr>
          <w:rFonts w:cs="Arial"/>
          <w:szCs w:val="22"/>
          <w:lang w:val="en-CA"/>
        </w:rPr>
        <w:t>In addition, we have concerns regarding interpretations relating to Article 9 in relation to performance scenarios.  The fund industry currently uses past performance as the indicator for investors as to how the fund is run and provides them with valuable information. The UCITS KIID currently requires performance to be shown by way of annualised past performance.  We would be concerned if the requirement to pr</w:t>
      </w:r>
      <w:r w:rsidRPr="0045465D">
        <w:rPr>
          <w:rFonts w:cs="Arial"/>
          <w:szCs w:val="22"/>
          <w:lang w:val="en-CA"/>
        </w:rPr>
        <w:t>o</w:t>
      </w:r>
      <w:r w:rsidRPr="0045465D">
        <w:rPr>
          <w:rFonts w:cs="Arial"/>
          <w:szCs w:val="22"/>
          <w:lang w:val="en-CA"/>
        </w:rPr>
        <w:t>duce performance scenarios in the PRIIPs KID would ultimately mean that on conversion to the PRIIPs KID,  the view was taken that funds could no show past performance – it might, for example, be interpre</w:t>
      </w:r>
      <w:r w:rsidRPr="0045465D">
        <w:rPr>
          <w:rFonts w:cs="Arial"/>
          <w:szCs w:val="22"/>
          <w:lang w:val="en-CA"/>
        </w:rPr>
        <w:t>t</w:t>
      </w:r>
      <w:r w:rsidRPr="0045465D">
        <w:rPr>
          <w:rFonts w:cs="Arial"/>
          <w:szCs w:val="22"/>
          <w:lang w:val="en-CA"/>
        </w:rPr>
        <w:t xml:space="preserve">ed as ‘diminishing the significance of the key information document’. </w:t>
      </w:r>
      <w:r w:rsidRPr="0045465D">
        <w:rPr>
          <w:rFonts w:cs="Arial"/>
          <w:szCs w:val="22"/>
          <w:u w:val="single"/>
          <w:lang w:val="en-CA"/>
        </w:rPr>
        <w:t>We would therefore be grateful for confirmation by the ESAs that producing documentation which included past performance would still be acceptable following the introduction of the PRIIPs KID for funds.</w:t>
      </w:r>
    </w:p>
    <w:p w:rsidR="0045465D" w:rsidRPr="0045465D" w:rsidRDefault="0045465D" w:rsidP="0045465D">
      <w:pPr>
        <w:jc w:val="both"/>
        <w:rPr>
          <w:rFonts w:cs="Arial"/>
          <w:b/>
          <w:color w:val="4F81BD" w:themeColor="accent1"/>
          <w:szCs w:val="22"/>
          <w:u w:val="single"/>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 xml:space="preserve">Article 7: ‘What happens if [the name of the PRIIP manufacturer] is unable to pay out?’ section </w:t>
      </w:r>
    </w:p>
    <w:p w:rsidR="0045465D" w:rsidRPr="0045465D" w:rsidRDefault="0045465D" w:rsidP="0045465D">
      <w:pPr>
        <w:jc w:val="both"/>
        <w:rPr>
          <w:rFonts w:cs="Arial"/>
          <w:szCs w:val="22"/>
          <w:lang w:val="en-CA"/>
        </w:rPr>
      </w:pPr>
      <w:r w:rsidRPr="0045465D">
        <w:rPr>
          <w:rFonts w:cs="Arial"/>
          <w:szCs w:val="22"/>
          <w:lang w:val="en-CA"/>
        </w:rPr>
        <w:t xml:space="preserve">An additional paragraph providing information on the structure of funds is necessary to complement para. </w:t>
      </w:r>
      <w:proofErr w:type="gramStart"/>
      <w:r w:rsidRPr="0045465D">
        <w:rPr>
          <w:rFonts w:cs="Arial"/>
          <w:szCs w:val="22"/>
          <w:lang w:val="en-CA"/>
        </w:rPr>
        <w:t>2 on investor compensation and guarantee schemes.</w:t>
      </w:r>
      <w:proofErr w:type="gramEnd"/>
      <w:r w:rsidRPr="0045465D">
        <w:rPr>
          <w:rFonts w:cs="Arial"/>
          <w:szCs w:val="22"/>
          <w:lang w:val="en-CA"/>
        </w:rPr>
        <w:t xml:space="preserve"> This paragraph should explain that a fund’s assets are held separately from the management company and safeguarded by a depositary. A pay-out of the fund’s assets is thus not affected by a management company’s financial position or potential default.</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10: ‘How can I complain?’ section</w:t>
      </w:r>
    </w:p>
    <w:p w:rsidR="0045465D" w:rsidRPr="0045465D" w:rsidRDefault="0045465D" w:rsidP="0045465D">
      <w:pPr>
        <w:jc w:val="both"/>
        <w:rPr>
          <w:rFonts w:cs="Arial"/>
          <w:szCs w:val="22"/>
          <w:u w:val="single"/>
          <w:lang w:val="en-CA"/>
        </w:rPr>
      </w:pPr>
      <w:proofErr w:type="gramStart"/>
      <w:r w:rsidRPr="0045465D">
        <w:rPr>
          <w:rFonts w:cs="Arial"/>
          <w:szCs w:val="22"/>
          <w:lang w:val="en-CA"/>
        </w:rPr>
        <w:t>While we are generally in agreement with the drafting of Article 10.</w:t>
      </w:r>
      <w:proofErr w:type="gramEnd"/>
      <w:r w:rsidRPr="0045465D">
        <w:rPr>
          <w:rFonts w:cs="Arial"/>
          <w:szCs w:val="22"/>
          <w:lang w:val="en-CA"/>
        </w:rPr>
        <w:t xml:space="preserve"> However, it currently requires the PRIIP manufacturer to provide information on “the person advising on, or selling, the PRIIP on the relevant website”. This assumes a direct connection between the PRIIP manufacturer and distributer, which is not always the case. In particular, for funds information about who will be advising on or selling the PRIIP is rarely known by the manufacturer. </w:t>
      </w:r>
      <w:r w:rsidRPr="0045465D">
        <w:rPr>
          <w:rFonts w:cs="Arial"/>
          <w:szCs w:val="22"/>
          <w:u w:val="single"/>
          <w:lang w:val="en-CA"/>
        </w:rPr>
        <w:t xml:space="preserve">This information should thus be deleted. </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lastRenderedPageBreak/>
        <w:t>Article 11</w:t>
      </w:r>
    </w:p>
    <w:p w:rsidR="0045465D" w:rsidRPr="0045465D" w:rsidRDefault="0045465D" w:rsidP="0045465D">
      <w:pPr>
        <w:jc w:val="both"/>
        <w:rPr>
          <w:rFonts w:cs="Arial"/>
          <w:szCs w:val="22"/>
          <w:lang w:val="en-CA"/>
        </w:rPr>
      </w:pPr>
      <w:r w:rsidRPr="0045465D">
        <w:rPr>
          <w:rFonts w:cs="Arial"/>
          <w:szCs w:val="22"/>
          <w:lang w:val="en-CA"/>
        </w:rPr>
        <w:t>“Without prejudice to ad hoc reviews” should not be part of the information on the updating period. It could just be omitted because this information is not relevant for the investor. It conflicts with the plain language requirement and the restriction to three pages.</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Articles 12-15: Specific provisions on the key information document (i.e. Multi-investment option PRIIPs)</w:t>
      </w:r>
    </w:p>
    <w:p w:rsidR="0045465D" w:rsidRPr="0045465D" w:rsidRDefault="0045465D" w:rsidP="0045465D">
      <w:pPr>
        <w:jc w:val="both"/>
        <w:rPr>
          <w:rFonts w:cs="Arial"/>
          <w:szCs w:val="22"/>
          <w:lang w:val="en-CA"/>
        </w:rPr>
      </w:pPr>
      <w:r w:rsidRPr="0045465D">
        <w:rPr>
          <w:rFonts w:cs="Arial"/>
          <w:szCs w:val="22"/>
          <w:lang w:val="en-CA"/>
        </w:rPr>
        <w:t xml:space="preserve">We </w:t>
      </w:r>
      <w:r w:rsidR="00556C99">
        <w:rPr>
          <w:rFonts w:cs="Arial"/>
          <w:szCs w:val="22"/>
          <w:lang w:val="en-CA"/>
        </w:rPr>
        <w:t>support</w:t>
      </w:r>
      <w:r w:rsidRPr="0045465D">
        <w:rPr>
          <w:rFonts w:cs="Arial"/>
          <w:szCs w:val="22"/>
          <w:lang w:val="en-CA"/>
        </w:rPr>
        <w:t xml:space="preserve"> the clarification that the PRIIP manufacturer is responsible for the provision of the KID, but nevertheless think that the ESAs’ current drafting oversteps the Level-1 text</w:t>
      </w:r>
      <w:r w:rsidRPr="0045465D">
        <w:rPr>
          <w:rStyle w:val="Funotenzeichen"/>
          <w:rFonts w:cs="Arial"/>
          <w:szCs w:val="22"/>
        </w:rPr>
        <w:footnoteReference w:id="3"/>
      </w:r>
      <w:r w:rsidRPr="0045465D">
        <w:rPr>
          <w:rFonts w:cs="Arial"/>
          <w:szCs w:val="22"/>
          <w:lang w:val="en-CA"/>
        </w:rPr>
        <w:t xml:space="preserve"> which merely necess</w:t>
      </w:r>
      <w:r w:rsidRPr="0045465D">
        <w:rPr>
          <w:rFonts w:cs="Arial"/>
          <w:szCs w:val="22"/>
          <w:lang w:val="en-CA"/>
        </w:rPr>
        <w:t>i</w:t>
      </w:r>
      <w:r w:rsidRPr="0045465D">
        <w:rPr>
          <w:rFonts w:cs="Arial"/>
          <w:szCs w:val="22"/>
          <w:lang w:val="en-CA"/>
        </w:rPr>
        <w:t xml:space="preserve">tates Multi-investment option PRIIPs (MOPs) to provide “at least </w:t>
      </w:r>
      <w:r w:rsidRPr="0045465D">
        <w:rPr>
          <w:rFonts w:cs="Arial"/>
          <w:i/>
          <w:szCs w:val="22"/>
          <w:u w:val="single"/>
          <w:lang w:val="en-CA"/>
        </w:rPr>
        <w:t>a generic description</w:t>
      </w:r>
      <w:r w:rsidRPr="0045465D">
        <w:rPr>
          <w:rFonts w:cs="Arial"/>
          <w:szCs w:val="22"/>
          <w:lang w:val="en-CA"/>
        </w:rPr>
        <w:t xml:space="preserve"> of the underlying inves</w:t>
      </w:r>
      <w:r w:rsidRPr="0045465D">
        <w:rPr>
          <w:rFonts w:cs="Arial"/>
          <w:szCs w:val="22"/>
          <w:lang w:val="en-CA"/>
        </w:rPr>
        <w:t>t</w:t>
      </w:r>
      <w:r w:rsidRPr="0045465D">
        <w:rPr>
          <w:rFonts w:cs="Arial"/>
          <w:szCs w:val="22"/>
          <w:lang w:val="en-CA"/>
        </w:rPr>
        <w:t xml:space="preserve">ment options and </w:t>
      </w:r>
      <w:r w:rsidRPr="0045465D">
        <w:rPr>
          <w:rFonts w:cs="Arial"/>
          <w:i/>
          <w:szCs w:val="22"/>
          <w:u w:val="single"/>
          <w:lang w:val="en-CA"/>
        </w:rPr>
        <w:t>state where and how more detailed pre-contractual information documentation</w:t>
      </w:r>
      <w:r w:rsidRPr="0045465D">
        <w:rPr>
          <w:rFonts w:cs="Arial"/>
          <w:szCs w:val="22"/>
          <w:lang w:val="en-CA"/>
        </w:rPr>
        <w:t xml:space="preserve"> relating to the investment products backing the underlying investment options </w:t>
      </w:r>
      <w:r w:rsidRPr="0045465D">
        <w:rPr>
          <w:rFonts w:cs="Arial"/>
          <w:i/>
          <w:szCs w:val="22"/>
          <w:u w:val="single"/>
          <w:lang w:val="en-CA"/>
        </w:rPr>
        <w:t>can be found</w:t>
      </w:r>
      <w:r w:rsidRPr="0045465D">
        <w:rPr>
          <w:rFonts w:cs="Arial"/>
          <w:szCs w:val="22"/>
          <w:lang w:val="en-CA"/>
        </w:rPr>
        <w:t>.” This is due to the fact that Articles 12-15 (in particular Articles 12(1</w:t>
      </w:r>
      <w:proofErr w:type="gramStart"/>
      <w:r w:rsidRPr="0045465D">
        <w:rPr>
          <w:rFonts w:cs="Arial"/>
          <w:szCs w:val="22"/>
          <w:lang w:val="en-CA"/>
        </w:rPr>
        <w:t>)(</w:t>
      </w:r>
      <w:proofErr w:type="gramEnd"/>
      <w:r w:rsidRPr="0045465D">
        <w:rPr>
          <w:rFonts w:cs="Arial"/>
          <w:szCs w:val="22"/>
          <w:lang w:val="en-CA"/>
        </w:rPr>
        <w:t>a) &amp; (b) and Article 15(2)) as currently consulted on by the ESAs would de-facto require asset managers to provide “PRIIP KID-like” data to other providers, such as insurance companies. This unwarranted outcome is even acknowledged by the ESAs in the consult</w:t>
      </w:r>
      <w:r w:rsidRPr="0045465D">
        <w:rPr>
          <w:rFonts w:cs="Arial"/>
          <w:szCs w:val="22"/>
          <w:lang w:val="en-CA"/>
        </w:rPr>
        <w:t>a</w:t>
      </w:r>
      <w:r w:rsidRPr="0045465D">
        <w:rPr>
          <w:rFonts w:cs="Arial"/>
          <w:szCs w:val="22"/>
          <w:lang w:val="en-CA"/>
        </w:rPr>
        <w:t>tion p</w:t>
      </w:r>
      <w:r w:rsidRPr="0045465D">
        <w:rPr>
          <w:rFonts w:cs="Arial"/>
          <w:szCs w:val="22"/>
          <w:lang w:val="en-CA"/>
        </w:rPr>
        <w:t>a</w:t>
      </w:r>
      <w:r w:rsidRPr="0045465D">
        <w:rPr>
          <w:rFonts w:cs="Arial"/>
          <w:szCs w:val="22"/>
          <w:lang w:val="en-CA"/>
        </w:rPr>
        <w:t>per</w:t>
      </w:r>
      <w:r w:rsidRPr="0045465D">
        <w:rPr>
          <w:rStyle w:val="Funotenzeichen"/>
          <w:rFonts w:cs="Arial"/>
          <w:szCs w:val="22"/>
        </w:rPr>
        <w:footnoteReference w:id="4"/>
      </w:r>
      <w:r w:rsidRPr="0045465D">
        <w:rPr>
          <w:rFonts w:cs="Arial"/>
          <w:szCs w:val="22"/>
          <w:lang w:val="en-CA"/>
        </w:rPr>
        <w:t>.</w:t>
      </w:r>
    </w:p>
    <w:p w:rsidR="0045465D" w:rsidRPr="0045465D" w:rsidRDefault="0045465D" w:rsidP="0045465D">
      <w:pPr>
        <w:jc w:val="both"/>
        <w:rPr>
          <w:rFonts w:cs="Arial"/>
          <w:szCs w:val="22"/>
          <w:lang w:val="en-CA"/>
        </w:rPr>
      </w:pPr>
      <w:r w:rsidRPr="0045465D">
        <w:rPr>
          <w:rFonts w:cs="Arial"/>
          <w:szCs w:val="22"/>
          <w:lang w:val="en-CA"/>
        </w:rPr>
        <w:t>The Level-1 text, for this very reason, therefore specifically requires only “pre-contractual information documentation” such as the UCITS KIID. Until the review of the UCITS exemption in 2019, the ESAs should allow such to be as sufficient, since it would otherwise undermine the UCITS KIID’s pre-contractual nature before the legislators’ decision on the matter. Only in 2019, if the co-legislators decide not to pr</w:t>
      </w:r>
      <w:r w:rsidRPr="0045465D">
        <w:rPr>
          <w:rFonts w:cs="Arial"/>
          <w:szCs w:val="22"/>
          <w:lang w:val="en-CA"/>
        </w:rPr>
        <w:t>o</w:t>
      </w:r>
      <w:r w:rsidRPr="0045465D">
        <w:rPr>
          <w:rFonts w:cs="Arial"/>
          <w:szCs w:val="22"/>
          <w:lang w:val="en-CA"/>
        </w:rPr>
        <w:t>long the UCITS KIID going forward and instead require the PRIIP KID for all types of PRIIPs, should the full PRIIP information then be required for funds currently providing a UCITS KIID. But, in any case, the KID of the MOP wrapper (a KID itself) would still provide at least the “generic description” mentioned in Article 6 paragraph 3 of the Level-1 Regulation.</w:t>
      </w:r>
    </w:p>
    <w:p w:rsidR="0045465D" w:rsidRPr="0045465D" w:rsidRDefault="0045465D" w:rsidP="0045465D">
      <w:pPr>
        <w:jc w:val="both"/>
        <w:rPr>
          <w:rFonts w:cs="Arial"/>
          <w:szCs w:val="22"/>
          <w:lang w:val="en-CA"/>
        </w:rPr>
      </w:pPr>
      <w:r w:rsidRPr="0045465D">
        <w:rPr>
          <w:rFonts w:cs="Arial"/>
          <w:szCs w:val="22"/>
          <w:lang w:val="en-CA"/>
        </w:rPr>
        <w:t>Furthermore, the ESAs should also take into consideration what type of pre-contractual information will be presented to retail investors in the near to medium future. Since UCITS are legally required to provide a KIID until at least 2019, investors will always receive a KIID when investing directly into a UCITS. If MOPs were required to provide a PRIIP KID for the underlying investment options, then retail investors would receive different pre-disclosure information based on whether they are investing into a UCITS directly (i.e. KIID) or through a unit-linked insurance (i.e. KID). This is unsatisfactory, and will create unnecessary confusion for consumers.</w:t>
      </w:r>
    </w:p>
    <w:p w:rsidR="0045465D" w:rsidRPr="0045465D" w:rsidRDefault="0045465D" w:rsidP="0045465D">
      <w:pPr>
        <w:jc w:val="both"/>
        <w:rPr>
          <w:rFonts w:cs="Arial"/>
          <w:szCs w:val="22"/>
          <w:lang w:val="en-CA"/>
        </w:rPr>
      </w:pPr>
      <w:r w:rsidRPr="0045465D">
        <w:rPr>
          <w:rFonts w:cs="Arial"/>
          <w:szCs w:val="22"/>
          <w:lang w:val="en-CA"/>
        </w:rPr>
        <w:t xml:space="preserve">Therefore, Articles 12-15 need to be redrafted in order to comply with the Level-1 framework. </w:t>
      </w:r>
    </w:p>
    <w:p w:rsidR="0045465D" w:rsidRPr="0045465D" w:rsidRDefault="0045465D" w:rsidP="0045465D">
      <w:pPr>
        <w:jc w:val="both"/>
        <w:rPr>
          <w:rFonts w:cs="Arial"/>
          <w:szCs w:val="22"/>
          <w:lang w:val="en-CA"/>
        </w:rPr>
      </w:pPr>
      <w:r w:rsidRPr="0045465D">
        <w:rPr>
          <w:rFonts w:cs="Arial"/>
          <w:szCs w:val="22"/>
          <w:lang w:val="en-CA"/>
        </w:rPr>
        <w:t>See also our response to Question 11 regarding the risk indicator shown by the insurance MOP wrapper.</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16-20: Review, revision and republication of the key information document</w:t>
      </w:r>
    </w:p>
    <w:p w:rsidR="0045465D" w:rsidRPr="0045465D" w:rsidRDefault="0045465D" w:rsidP="0045465D">
      <w:pPr>
        <w:jc w:val="both"/>
        <w:rPr>
          <w:rFonts w:cs="Arial"/>
          <w:i/>
          <w:szCs w:val="22"/>
          <w:u w:val="single"/>
          <w:lang w:val="en-CA"/>
        </w:rPr>
      </w:pPr>
      <w:r w:rsidRPr="0045465D">
        <w:rPr>
          <w:rFonts w:cs="Arial"/>
          <w:i/>
          <w:szCs w:val="22"/>
          <w:u w:val="single"/>
          <w:lang w:val="en-CA"/>
        </w:rPr>
        <w:t>Recital 19: Use of mailing lists</w:t>
      </w:r>
    </w:p>
    <w:p w:rsidR="0045465D" w:rsidRPr="0045465D" w:rsidRDefault="0045465D" w:rsidP="0045465D">
      <w:pPr>
        <w:jc w:val="both"/>
        <w:rPr>
          <w:rFonts w:cs="Arial"/>
          <w:szCs w:val="22"/>
          <w:lang w:val="en-CA"/>
        </w:rPr>
      </w:pPr>
      <w:r w:rsidRPr="0045465D">
        <w:rPr>
          <w:rFonts w:cs="Arial"/>
          <w:szCs w:val="22"/>
          <w:u w:val="single"/>
          <w:lang w:val="en-CA"/>
        </w:rPr>
        <w:t>Recital 19 needs to be either deleted or clarified further</w:t>
      </w:r>
      <w:r w:rsidRPr="0045465D">
        <w:rPr>
          <w:rFonts w:cs="Arial"/>
          <w:szCs w:val="22"/>
          <w:lang w:val="en-CA"/>
        </w:rPr>
        <w:t xml:space="preserve">, as it states that </w:t>
      </w:r>
      <w:r w:rsidRPr="0045465D">
        <w:rPr>
          <w:rFonts w:cs="Arial"/>
          <w:i/>
          <w:szCs w:val="22"/>
          <w:lang w:val="en-CA"/>
        </w:rPr>
        <w:t>“[t]</w:t>
      </w:r>
      <w:proofErr w:type="spellStart"/>
      <w:r w:rsidRPr="0045465D">
        <w:rPr>
          <w:rFonts w:cs="Arial"/>
          <w:i/>
          <w:szCs w:val="22"/>
          <w:lang w:val="en-CA"/>
        </w:rPr>
        <w:t>ools</w:t>
      </w:r>
      <w:proofErr w:type="spellEnd"/>
      <w:r w:rsidRPr="0045465D">
        <w:rPr>
          <w:rFonts w:cs="Arial"/>
          <w:i/>
          <w:szCs w:val="22"/>
          <w:lang w:val="en-CA"/>
        </w:rPr>
        <w:t>, such as mailing lists or email alerts, might be implemented to inform existing retail investors when key investor documents are revised</w:t>
      </w:r>
      <w:r w:rsidRPr="0045465D">
        <w:rPr>
          <w:rFonts w:cs="Arial"/>
          <w:szCs w:val="22"/>
          <w:lang w:val="en-CA"/>
        </w:rPr>
        <w:t>“, which creates untrue statements. First, the KID is a pre-contractual document and is thus not designed to update current investors. Secondly, the current wording blurs the roles and responsibilities between manufacturers and distributors. It is the sole responsibility of the manufacturer to review, revise and republish the KID on his website. If possible, it can inform its known distribution network of the revised KID. It is not possible for the manufacturers to inform the investors, as most manufacturers are not aware who the end investors are and often do not have direct contact with them.</w:t>
      </w:r>
    </w:p>
    <w:p w:rsidR="0045465D" w:rsidRPr="0045465D" w:rsidRDefault="0045465D" w:rsidP="0045465D">
      <w:pPr>
        <w:jc w:val="both"/>
        <w:rPr>
          <w:rFonts w:cs="Arial"/>
          <w:i/>
          <w:szCs w:val="22"/>
          <w:u w:val="single"/>
          <w:lang w:val="en-CA"/>
        </w:rPr>
      </w:pPr>
      <w:r w:rsidRPr="0045465D">
        <w:rPr>
          <w:rFonts w:cs="Arial"/>
          <w:i/>
          <w:szCs w:val="22"/>
          <w:u w:val="single"/>
          <w:lang w:val="en-CA"/>
        </w:rPr>
        <w:t>Recital 20: Periodic review of a PRIIP on a secondary market</w:t>
      </w:r>
    </w:p>
    <w:p w:rsidR="0045465D" w:rsidRPr="0045465D" w:rsidRDefault="0045465D" w:rsidP="0045465D">
      <w:pPr>
        <w:jc w:val="both"/>
        <w:rPr>
          <w:rFonts w:cs="Arial"/>
          <w:szCs w:val="22"/>
          <w:lang w:val="en-CA"/>
        </w:rPr>
      </w:pPr>
      <w:r w:rsidRPr="0045465D">
        <w:rPr>
          <w:rFonts w:cs="Arial"/>
          <w:szCs w:val="22"/>
          <w:lang w:val="en-CA"/>
        </w:rPr>
        <w:t>First, please consider our comments to Q28 above.</w:t>
      </w:r>
    </w:p>
    <w:p w:rsidR="0045465D" w:rsidRPr="0045465D" w:rsidRDefault="0045465D" w:rsidP="0045465D">
      <w:pPr>
        <w:jc w:val="both"/>
        <w:rPr>
          <w:rFonts w:cs="Arial"/>
          <w:szCs w:val="22"/>
          <w:u w:val="single"/>
          <w:lang w:val="en-CA"/>
        </w:rPr>
      </w:pPr>
      <w:r w:rsidRPr="0045465D">
        <w:rPr>
          <w:rFonts w:cs="Arial"/>
          <w:szCs w:val="22"/>
          <w:lang w:val="en-CA"/>
        </w:rPr>
        <w:t xml:space="preserve">Second, in order to create more clarity among practitioners, </w:t>
      </w:r>
      <w:r w:rsidRPr="0045465D">
        <w:rPr>
          <w:rFonts w:cs="Arial"/>
          <w:szCs w:val="22"/>
          <w:u w:val="single"/>
          <w:lang w:val="en-CA"/>
        </w:rPr>
        <w:t xml:space="preserve">we suggest Article 16(1) is amended as follows: “The PRIIP manufacturer shall review the information contained in the key information document </w:t>
      </w:r>
      <w:r w:rsidRPr="0045465D">
        <w:rPr>
          <w:rFonts w:cs="Arial"/>
          <w:i/>
          <w:szCs w:val="22"/>
          <w:u w:val="single"/>
          <w:lang w:val="en-CA"/>
        </w:rPr>
        <w:t>at the latest</w:t>
      </w:r>
      <w:r w:rsidRPr="0045465D">
        <w:rPr>
          <w:rFonts w:cs="Arial"/>
          <w:szCs w:val="22"/>
          <w:u w:val="single"/>
          <w:lang w:val="en-CA"/>
        </w:rPr>
        <w:t xml:space="preserve"> by”.</w:t>
      </w:r>
    </w:p>
    <w:p w:rsidR="0045465D" w:rsidRPr="0045465D" w:rsidRDefault="0045465D" w:rsidP="0045465D">
      <w:pPr>
        <w:jc w:val="both"/>
        <w:rPr>
          <w:rFonts w:cs="Arial"/>
          <w:b/>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17: Ad hoc review of the key information document</w:t>
      </w:r>
    </w:p>
    <w:p w:rsidR="0045465D" w:rsidRPr="0045465D" w:rsidRDefault="0045465D" w:rsidP="0045465D">
      <w:pPr>
        <w:jc w:val="both"/>
        <w:rPr>
          <w:rFonts w:cs="Arial"/>
          <w:szCs w:val="22"/>
          <w:lang w:val="en-CA"/>
        </w:rPr>
      </w:pPr>
      <w:r w:rsidRPr="0045465D">
        <w:rPr>
          <w:rFonts w:cs="Arial"/>
          <w:szCs w:val="22"/>
          <w:u w:val="single"/>
          <w:lang w:val="en-CA"/>
        </w:rPr>
        <w:t>Article 17 is missing an all-important “materiality” reference</w:t>
      </w:r>
      <w:r w:rsidRPr="0045465D">
        <w:rPr>
          <w:rFonts w:cs="Arial"/>
          <w:b/>
          <w:szCs w:val="22"/>
          <w:lang w:val="en-CA"/>
        </w:rPr>
        <w:t>.</w:t>
      </w:r>
      <w:r w:rsidRPr="0045465D">
        <w:rPr>
          <w:rFonts w:cs="Arial"/>
          <w:szCs w:val="22"/>
          <w:lang w:val="en-CA"/>
        </w:rPr>
        <w:t xml:space="preserve">  This exists in the UCITS KIID requirements and ensures that only </w:t>
      </w:r>
      <w:r w:rsidRPr="0045465D">
        <w:rPr>
          <w:rFonts w:cs="Arial"/>
          <w:szCs w:val="22"/>
          <w:u w:val="single"/>
          <w:lang w:val="en-CA"/>
        </w:rPr>
        <w:t>material</w:t>
      </w:r>
      <w:r w:rsidRPr="0045465D">
        <w:rPr>
          <w:rFonts w:cs="Arial"/>
          <w:szCs w:val="22"/>
          <w:lang w:val="en-CA"/>
        </w:rPr>
        <w:t xml:space="preserve"> changes trigger an ad hoc review of the KIID. This is important, as it e</w:t>
      </w:r>
      <w:r w:rsidRPr="0045465D">
        <w:rPr>
          <w:rFonts w:cs="Arial"/>
          <w:szCs w:val="22"/>
          <w:lang w:val="en-CA"/>
        </w:rPr>
        <w:t>n</w:t>
      </w:r>
      <w:r w:rsidRPr="0045465D">
        <w:rPr>
          <w:rFonts w:cs="Arial"/>
          <w:szCs w:val="22"/>
          <w:lang w:val="en-CA"/>
        </w:rPr>
        <w:t xml:space="preserve">sures that minor and inconsequential changes do not require the PRIIP manufacturer to perform an ad hoc review. </w:t>
      </w:r>
    </w:p>
    <w:p w:rsidR="0045465D" w:rsidRPr="0045465D" w:rsidRDefault="0045465D" w:rsidP="0045465D">
      <w:pPr>
        <w:jc w:val="both"/>
        <w:rPr>
          <w:rFonts w:cs="Arial"/>
          <w:szCs w:val="22"/>
          <w:lang w:val="en-CA"/>
        </w:rPr>
      </w:pPr>
      <w:r w:rsidRPr="0045465D">
        <w:rPr>
          <w:rFonts w:cs="Arial"/>
          <w:szCs w:val="22"/>
          <w:lang w:val="en-CA"/>
        </w:rPr>
        <w:t>The triggers should be substantial, meaning that the change should have a significant impact on the investment risk, return scenarios and/or cost, taking into account how relevant the change is from an investor perspective. Subjective criteria’s might be appropriate to some extent (e.g. it should be clarified when changes in the technical risk indicator trigger a requirement to update the KID).</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20: Conditions on good time</w:t>
      </w:r>
      <w:r w:rsidRPr="0045465D">
        <w:rPr>
          <w:rStyle w:val="Funotenzeichen"/>
          <w:rFonts w:cs="Arial"/>
          <w:b/>
          <w:color w:val="4F81BD" w:themeColor="accent1"/>
          <w:szCs w:val="22"/>
        </w:rPr>
        <w:footnoteReference w:id="5"/>
      </w:r>
    </w:p>
    <w:p w:rsidR="0045465D" w:rsidRPr="0045465D" w:rsidRDefault="0045465D" w:rsidP="0045465D">
      <w:pPr>
        <w:jc w:val="both"/>
        <w:rPr>
          <w:rFonts w:cs="Arial"/>
          <w:b/>
          <w:szCs w:val="22"/>
          <w:lang w:val="en-CA"/>
        </w:rPr>
      </w:pPr>
      <w:r w:rsidRPr="0045465D">
        <w:rPr>
          <w:rFonts w:cs="Arial"/>
          <w:szCs w:val="22"/>
          <w:lang w:val="en-CA"/>
        </w:rPr>
        <w:t xml:space="preserve">The conditions for delivery in good time should make reference to the relevant passages in MiFID II, IDD and the PRIIP KID to ensure consistent application of the distribution requirements for all types of PRIIPs. </w:t>
      </w:r>
      <w:r w:rsidRPr="0045465D">
        <w:rPr>
          <w:rFonts w:cs="Arial"/>
          <w:szCs w:val="22"/>
          <w:u w:val="single"/>
          <w:lang w:val="en-CA"/>
        </w:rPr>
        <w:t xml:space="preserve">We therefore suggest </w:t>
      </w:r>
      <w:proofErr w:type="gramStart"/>
      <w:r w:rsidRPr="0045465D">
        <w:rPr>
          <w:rFonts w:cs="Arial"/>
          <w:szCs w:val="22"/>
          <w:u w:val="single"/>
          <w:lang w:val="en-CA"/>
        </w:rPr>
        <w:t>to align</w:t>
      </w:r>
      <w:proofErr w:type="gramEnd"/>
      <w:r w:rsidRPr="0045465D">
        <w:rPr>
          <w:rFonts w:cs="Arial"/>
          <w:szCs w:val="22"/>
          <w:u w:val="single"/>
          <w:lang w:val="en-CA"/>
        </w:rPr>
        <w:t xml:space="preserve"> Article 20 with Article 80(1) of the UCITS Directive 2009/65/EC.</w:t>
      </w:r>
    </w:p>
    <w:p w:rsidR="0045465D" w:rsidRPr="0045465D" w:rsidRDefault="0045465D" w:rsidP="0045465D">
      <w:pPr>
        <w:jc w:val="both"/>
        <w:rPr>
          <w:rFonts w:cs="Arial"/>
          <w:b/>
          <w:szCs w:val="22"/>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I: Overall KID template</w:t>
      </w:r>
    </w:p>
    <w:p w:rsidR="0045465D" w:rsidRPr="0045465D" w:rsidRDefault="0045465D" w:rsidP="0045465D">
      <w:pPr>
        <w:jc w:val="both"/>
        <w:rPr>
          <w:rFonts w:cs="Arial"/>
          <w:szCs w:val="22"/>
          <w:lang w:val="en-CA"/>
        </w:rPr>
      </w:pPr>
      <w:r w:rsidRPr="0045465D">
        <w:rPr>
          <w:rFonts w:cs="Arial"/>
          <w:szCs w:val="22"/>
          <w:lang w:val="en-CA"/>
        </w:rPr>
        <w:t>We have no particular comments on the template of the KID, but wonder how prescriptive its design is and how close a PRIIP KID has to resemble Annex I (not relating to its content, but rather to its formatting, font, colour, size, etc.)?</w:t>
      </w:r>
    </w:p>
    <w:p w:rsidR="0045465D" w:rsidRPr="0045465D" w:rsidRDefault="0045465D" w:rsidP="0045465D">
      <w:pPr>
        <w:jc w:val="both"/>
        <w:rPr>
          <w:rFonts w:cs="Arial"/>
          <w:szCs w:val="22"/>
          <w:lang w:val="en-CA"/>
        </w:rPr>
      </w:pPr>
      <w:r w:rsidRPr="0045465D">
        <w:rPr>
          <w:rFonts w:cs="Arial"/>
          <w:szCs w:val="22"/>
          <w:lang w:val="en-CA"/>
        </w:rPr>
        <w:t>Furthermore, it is not totally clear how the mock-up contained in Appendix 1 of Annex III will work with the template in Annex I. For example, the template refers to Summary Risk Indicator and narrative text purs</w:t>
      </w:r>
      <w:r w:rsidRPr="0045465D">
        <w:rPr>
          <w:rFonts w:cs="Arial"/>
          <w:szCs w:val="22"/>
          <w:lang w:val="en-CA"/>
        </w:rPr>
        <w:t>u</w:t>
      </w:r>
      <w:r w:rsidRPr="0045465D">
        <w:rPr>
          <w:rFonts w:cs="Arial"/>
          <w:szCs w:val="22"/>
          <w:lang w:val="en-CA"/>
        </w:rPr>
        <w:t>ant to Article 8(3</w:t>
      </w:r>
      <w:proofErr w:type="gramStart"/>
      <w:r w:rsidRPr="0045465D">
        <w:rPr>
          <w:rFonts w:cs="Arial"/>
          <w:szCs w:val="22"/>
          <w:lang w:val="en-CA"/>
        </w:rPr>
        <w:t>)(</w:t>
      </w:r>
      <w:proofErr w:type="gramEnd"/>
      <w:r w:rsidRPr="0045465D">
        <w:rPr>
          <w:rFonts w:cs="Arial"/>
          <w:szCs w:val="22"/>
          <w:lang w:val="en-CA"/>
        </w:rPr>
        <w:t>d) and Appendix 1 of Annex III provides various ‘elements’ a – o which may or may not need to be included.  The chart provided on page 49 of the 1-7 scale, includes words in brackets unde</w:t>
      </w:r>
      <w:r w:rsidRPr="0045465D">
        <w:rPr>
          <w:rFonts w:cs="Arial"/>
          <w:szCs w:val="22"/>
          <w:lang w:val="en-CA"/>
        </w:rPr>
        <w:t>r</w:t>
      </w:r>
      <w:r w:rsidRPr="0045465D">
        <w:rPr>
          <w:rFonts w:cs="Arial"/>
          <w:szCs w:val="22"/>
          <w:lang w:val="en-CA"/>
        </w:rPr>
        <w:t xml:space="preserve">neath the scale alongside a warning triangle.  But that wording does not equate to the wording provided in the various elements a - o.  So, does this mean that the chart is meeting PRIIP KID Regulation Article 8 3.(d)(i) (‘a summary risk indicator supplemented by a narrative explanation of that indicator, its main limitations, etc.) and the elements a - o meet the requirements of Article 8 3 (d)(ii)? </w:t>
      </w:r>
    </w:p>
    <w:p w:rsidR="0045465D" w:rsidRPr="0045465D" w:rsidRDefault="0045465D" w:rsidP="0045465D">
      <w:pPr>
        <w:jc w:val="both"/>
        <w:rPr>
          <w:rFonts w:cs="Arial"/>
          <w:szCs w:val="22"/>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II: Methodology of risk calculation</w:t>
      </w: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Part 1: Methodology for the market risk assessment</w:t>
      </w:r>
    </w:p>
    <w:p w:rsidR="0045465D" w:rsidRPr="0045465D" w:rsidRDefault="00556C99" w:rsidP="0045465D">
      <w:pPr>
        <w:jc w:val="both"/>
        <w:rPr>
          <w:rFonts w:cs="Arial"/>
          <w:szCs w:val="22"/>
          <w:lang w:val="en-CA"/>
        </w:rPr>
      </w:pPr>
      <w:r>
        <w:rPr>
          <w:rFonts w:cs="Arial"/>
          <w:szCs w:val="22"/>
          <w:lang w:val="en-CA"/>
        </w:rPr>
        <w:t>We are</w:t>
      </w:r>
      <w:r w:rsidR="0045465D" w:rsidRPr="0045465D">
        <w:rPr>
          <w:rFonts w:cs="Arial"/>
          <w:szCs w:val="22"/>
          <w:lang w:val="en-CA"/>
        </w:rPr>
        <w:t xml:space="preserve"> of the opinion that the current drafting of the “methodology for the market risk assessment” is of </w:t>
      </w:r>
      <w:r>
        <w:rPr>
          <w:rFonts w:cs="Arial"/>
          <w:szCs w:val="22"/>
          <w:lang w:val="en-CA"/>
        </w:rPr>
        <w:t>not sufficient</w:t>
      </w:r>
      <w:r w:rsidR="0045465D" w:rsidRPr="0045465D">
        <w:rPr>
          <w:rFonts w:cs="Arial"/>
          <w:szCs w:val="22"/>
          <w:lang w:val="en-CA"/>
        </w:rPr>
        <w:t xml:space="preserve"> quality, to the extent that certain passages are illegible. We urge that this section be redraf</w:t>
      </w:r>
      <w:r w:rsidR="0045465D" w:rsidRPr="0045465D">
        <w:rPr>
          <w:rFonts w:cs="Arial"/>
          <w:szCs w:val="22"/>
          <w:lang w:val="en-CA"/>
        </w:rPr>
        <w:t>t</w:t>
      </w:r>
      <w:r w:rsidR="0045465D" w:rsidRPr="0045465D">
        <w:rPr>
          <w:rFonts w:cs="Arial"/>
          <w:szCs w:val="22"/>
          <w:lang w:val="en-CA"/>
        </w:rPr>
        <w:t>ed for easier understanding.</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proofErr w:type="gramStart"/>
      <w:r w:rsidRPr="0045465D">
        <w:rPr>
          <w:rFonts w:cs="Arial"/>
          <w:b/>
          <w:color w:val="4F81BD" w:themeColor="accent1"/>
          <w:szCs w:val="22"/>
          <w:lang w:val="en-CA"/>
        </w:rPr>
        <w:t>Para.</w:t>
      </w:r>
      <w:proofErr w:type="gramEnd"/>
      <w:r w:rsidRPr="0045465D">
        <w:rPr>
          <w:rFonts w:cs="Arial"/>
          <w:b/>
          <w:color w:val="4F81BD" w:themeColor="accent1"/>
          <w:szCs w:val="22"/>
          <w:lang w:val="en-CA"/>
        </w:rPr>
        <w:t xml:space="preserve"> 1-19: PRIIP categories</w:t>
      </w:r>
    </w:p>
    <w:p w:rsidR="0045465D" w:rsidRPr="0045465D" w:rsidRDefault="0045465D" w:rsidP="0045465D">
      <w:pPr>
        <w:jc w:val="both"/>
        <w:rPr>
          <w:rFonts w:cs="Arial"/>
          <w:i/>
          <w:szCs w:val="22"/>
          <w:u w:val="single"/>
          <w:lang w:val="en-CA"/>
        </w:rPr>
      </w:pPr>
      <w:r w:rsidRPr="0045465D">
        <w:rPr>
          <w:rFonts w:cs="Arial"/>
          <w:i/>
          <w:szCs w:val="22"/>
          <w:u w:val="single"/>
          <w:lang w:val="en-CA"/>
        </w:rPr>
        <w:t>PRIIP categories from a fund’s perspective</w:t>
      </w:r>
    </w:p>
    <w:p w:rsidR="0045465D" w:rsidRPr="0045465D" w:rsidRDefault="0045465D" w:rsidP="0045465D">
      <w:pPr>
        <w:jc w:val="both"/>
        <w:rPr>
          <w:rFonts w:cs="Arial"/>
          <w:szCs w:val="22"/>
          <w:lang w:val="en-CA"/>
        </w:rPr>
      </w:pPr>
      <w:r w:rsidRPr="0045465D">
        <w:rPr>
          <w:rFonts w:cs="Arial"/>
          <w:szCs w:val="22"/>
          <w:lang w:val="en-CA"/>
        </w:rPr>
        <w:t>Taking the above comments into consideration, we are unclear into which PRIIP category UCITS and AIFs fall, which is of utmost importance, as the MRM calculation is dependent on the PRIIPs categoris</w:t>
      </w:r>
      <w:r w:rsidRPr="0045465D">
        <w:rPr>
          <w:rFonts w:cs="Arial"/>
          <w:szCs w:val="22"/>
          <w:lang w:val="en-CA"/>
        </w:rPr>
        <w:t>a</w:t>
      </w:r>
      <w:r w:rsidRPr="0045465D">
        <w:rPr>
          <w:rFonts w:cs="Arial"/>
          <w:szCs w:val="22"/>
          <w:lang w:val="en-CA"/>
        </w:rPr>
        <w:t>tion. It is our general understanding that funds may fall into the following categories:</w:t>
      </w:r>
    </w:p>
    <w:p w:rsidR="0045465D" w:rsidRPr="0045465D" w:rsidRDefault="0045465D" w:rsidP="0045465D">
      <w:pPr>
        <w:pStyle w:val="Listenabsatz"/>
        <w:numPr>
          <w:ilvl w:val="0"/>
          <w:numId w:val="43"/>
        </w:numPr>
        <w:jc w:val="both"/>
        <w:rPr>
          <w:rFonts w:cs="Arial"/>
          <w:i/>
          <w:szCs w:val="22"/>
        </w:rPr>
      </w:pPr>
      <w:r w:rsidRPr="0045465D">
        <w:rPr>
          <w:rFonts w:cs="Arial"/>
          <w:i/>
          <w:szCs w:val="22"/>
        </w:rPr>
        <w:t>Category I(a)</w:t>
      </w:r>
    </w:p>
    <w:p w:rsidR="0045465D" w:rsidRPr="0045465D" w:rsidRDefault="0045465D" w:rsidP="0045465D">
      <w:pPr>
        <w:jc w:val="both"/>
        <w:rPr>
          <w:rFonts w:cs="Arial"/>
          <w:szCs w:val="22"/>
          <w:lang w:val="en-CA"/>
        </w:rPr>
      </w:pPr>
      <w:proofErr w:type="gramStart"/>
      <w:r w:rsidRPr="0045465D">
        <w:rPr>
          <w:rFonts w:cs="Arial"/>
          <w:szCs w:val="22"/>
          <w:lang w:val="en-CA"/>
        </w:rPr>
        <w:t>E.g. a fund with maturity of up to five years with an unconditional protection of capital by a third party?</w:t>
      </w:r>
      <w:proofErr w:type="gramEnd"/>
      <w:r w:rsidRPr="0045465D">
        <w:rPr>
          <w:rFonts w:cs="Arial"/>
          <w:szCs w:val="22"/>
          <w:lang w:val="en-CA"/>
        </w:rPr>
        <w:t xml:space="preserve"> It should also be clarified that the unconditional protection of capital refers to all the capital and not only to a percentage of it (e.g. 95%).</w:t>
      </w:r>
    </w:p>
    <w:p w:rsidR="0045465D" w:rsidRPr="0045465D" w:rsidRDefault="0045465D" w:rsidP="0045465D">
      <w:pPr>
        <w:pStyle w:val="Listenabsatz"/>
        <w:numPr>
          <w:ilvl w:val="0"/>
          <w:numId w:val="43"/>
        </w:numPr>
        <w:jc w:val="both"/>
        <w:rPr>
          <w:rFonts w:cs="Arial"/>
          <w:i/>
          <w:szCs w:val="22"/>
          <w:lang w:val="en-CA"/>
        </w:rPr>
      </w:pPr>
      <w:r w:rsidRPr="0045465D">
        <w:rPr>
          <w:rFonts w:cs="Arial"/>
          <w:i/>
          <w:szCs w:val="22"/>
          <w:lang w:val="en-CA"/>
        </w:rPr>
        <w:t>Category II: Linear pay-off profile UCITS and AIFs</w:t>
      </w:r>
    </w:p>
    <w:p w:rsidR="0045465D" w:rsidRPr="0045465D" w:rsidRDefault="0045465D" w:rsidP="0045465D">
      <w:pPr>
        <w:jc w:val="both"/>
        <w:rPr>
          <w:rFonts w:cs="Arial"/>
          <w:szCs w:val="22"/>
          <w:lang w:val="en-CA"/>
        </w:rPr>
      </w:pPr>
      <w:r w:rsidRPr="0045465D">
        <w:rPr>
          <w:rFonts w:cs="Arial"/>
          <w:szCs w:val="22"/>
          <w:lang w:val="en-CA"/>
        </w:rPr>
        <w:t xml:space="preserve">Category II appears to include linear pay-off profile UCITS and AIFs and thus the bulk of fund products. If this assumption is correct, we ask the ESAs to redraft in particular the last two paragraphs of para. </w:t>
      </w:r>
      <w:proofErr w:type="gramStart"/>
      <w:r w:rsidRPr="0045465D">
        <w:rPr>
          <w:rFonts w:cs="Arial"/>
          <w:szCs w:val="22"/>
          <w:lang w:val="en-CA"/>
        </w:rPr>
        <w:t>10</w:t>
      </w:r>
      <w:r w:rsidRPr="0045465D">
        <w:rPr>
          <w:rStyle w:val="Funotenzeichen"/>
          <w:rFonts w:cs="Arial"/>
          <w:szCs w:val="22"/>
        </w:rPr>
        <w:footnoteReference w:id="6"/>
      </w:r>
      <w:r w:rsidRPr="0045465D">
        <w:rPr>
          <w:rFonts w:cs="Arial"/>
          <w:szCs w:val="22"/>
          <w:lang w:val="en-CA"/>
        </w:rPr>
        <w:t xml:space="preserve"> that seem to be applied together.</w:t>
      </w:r>
      <w:proofErr w:type="gramEnd"/>
      <w:r w:rsidRPr="0045465D">
        <w:rPr>
          <w:rFonts w:cs="Arial"/>
          <w:szCs w:val="22"/>
          <w:lang w:val="en-CA"/>
        </w:rPr>
        <w:t xml:space="preserve"> First, the second last paragraph on page 35 states that</w:t>
      </w:r>
    </w:p>
    <w:p w:rsidR="0045465D" w:rsidRPr="0045465D" w:rsidRDefault="0045465D" w:rsidP="0045465D">
      <w:pPr>
        <w:ind w:left="708"/>
        <w:jc w:val="both"/>
        <w:rPr>
          <w:rFonts w:cs="Arial"/>
          <w:i/>
          <w:szCs w:val="22"/>
          <w:lang w:val="en-CA"/>
        </w:rPr>
      </w:pPr>
      <w:r w:rsidRPr="0045465D">
        <w:rPr>
          <w:rFonts w:cs="Arial"/>
          <w:szCs w:val="22"/>
          <w:lang w:val="en-CA"/>
        </w:rPr>
        <w:t>“</w:t>
      </w:r>
      <w:proofErr w:type="gramStart"/>
      <w:r w:rsidRPr="0045465D">
        <w:rPr>
          <w:rFonts w:cs="Arial"/>
          <w:i/>
          <w:szCs w:val="22"/>
          <w:lang w:val="en-CA"/>
        </w:rPr>
        <w:t>where</w:t>
      </w:r>
      <w:proofErr w:type="gramEnd"/>
      <w:r w:rsidRPr="0045465D">
        <w:rPr>
          <w:rFonts w:cs="Arial"/>
          <w:i/>
          <w:szCs w:val="22"/>
          <w:lang w:val="en-CA"/>
        </w:rPr>
        <w:t xml:space="preserve"> these PRIIPs have, either directly or on a synthetic basis, a delta one or a leveraged exp</w:t>
      </w:r>
      <w:r w:rsidRPr="0045465D">
        <w:rPr>
          <w:rFonts w:cs="Arial"/>
          <w:i/>
          <w:szCs w:val="22"/>
          <w:lang w:val="en-CA"/>
        </w:rPr>
        <w:t>o</w:t>
      </w:r>
      <w:r w:rsidRPr="0045465D">
        <w:rPr>
          <w:rFonts w:cs="Arial"/>
          <w:i/>
          <w:szCs w:val="22"/>
          <w:lang w:val="en-CA"/>
        </w:rPr>
        <w:t>sure on underlying asset(s) that pays a constant multiple of a market price or index”</w:t>
      </w:r>
    </w:p>
    <w:p w:rsidR="0045465D" w:rsidRPr="0045465D" w:rsidRDefault="0045465D" w:rsidP="0045465D">
      <w:pPr>
        <w:jc w:val="both"/>
        <w:rPr>
          <w:rFonts w:cs="Arial"/>
          <w:szCs w:val="22"/>
          <w:lang w:val="en-CA"/>
        </w:rPr>
      </w:pPr>
      <w:proofErr w:type="gramStart"/>
      <w:r w:rsidRPr="0045465D">
        <w:rPr>
          <w:rFonts w:cs="Arial"/>
          <w:szCs w:val="22"/>
          <w:lang w:val="en-CA"/>
        </w:rPr>
        <w:lastRenderedPageBreak/>
        <w:t>which</w:t>
      </w:r>
      <w:proofErr w:type="gramEnd"/>
      <w:r w:rsidRPr="0045465D">
        <w:rPr>
          <w:rFonts w:cs="Arial"/>
          <w:szCs w:val="22"/>
          <w:lang w:val="en-CA"/>
        </w:rPr>
        <w:t xml:space="preserve"> creates questions about what is meant to be captured by “a constant multiple of a market price or index” and whether the reference to leverage is also linked to any definition of leverage within the AIFM Directive. Second, the last paragraph on page 35f states that</w:t>
      </w:r>
    </w:p>
    <w:p w:rsidR="0045465D" w:rsidRPr="0045465D" w:rsidRDefault="0045465D" w:rsidP="0045465D">
      <w:pPr>
        <w:ind w:left="708"/>
        <w:jc w:val="both"/>
        <w:rPr>
          <w:rFonts w:cs="Arial"/>
          <w:i/>
          <w:szCs w:val="22"/>
          <w:lang w:val="en-CA"/>
        </w:rPr>
      </w:pPr>
      <w:r w:rsidRPr="0045465D">
        <w:rPr>
          <w:rFonts w:cs="Arial"/>
          <w:szCs w:val="22"/>
          <w:lang w:val="en-CA"/>
        </w:rPr>
        <w:t>“</w:t>
      </w:r>
      <w:r w:rsidRPr="0045465D">
        <w:rPr>
          <w:rFonts w:cs="Arial"/>
          <w:i/>
          <w:szCs w:val="22"/>
          <w:lang w:val="en-CA"/>
        </w:rPr>
        <w:t>where at least 2 years of historical daily prices or 4 years of historical weekly prices are available, or, in the case where such minimum data are not available, where a natural benchmark or proxy exists (e.g. recently created ETF on a liquid market index), such that the data of this benchmark or proxy shall be used, on a complementary basis, in the calculation of the market risk.”</w:t>
      </w:r>
    </w:p>
    <w:p w:rsidR="0045465D" w:rsidRDefault="0045465D" w:rsidP="0045465D">
      <w:pPr>
        <w:jc w:val="both"/>
        <w:rPr>
          <w:rFonts w:cs="Arial"/>
          <w:szCs w:val="22"/>
          <w:lang w:val="en-CA"/>
        </w:rPr>
      </w:pPr>
      <w:r w:rsidRPr="0045465D">
        <w:rPr>
          <w:rFonts w:cs="Arial"/>
          <w:szCs w:val="22"/>
          <w:lang w:val="en-CA"/>
        </w:rPr>
        <w:t>We do not understand the intended meaning of a “natural” benchmark and wonder whether the ESAs meant “pre-existing” benchmark? In any case, it is important to note that there are no linkages with the currently agreed Benchmark Regulation, which creates further requirements around the use of a benc</w:t>
      </w:r>
      <w:r w:rsidRPr="0045465D">
        <w:rPr>
          <w:rFonts w:cs="Arial"/>
          <w:szCs w:val="22"/>
          <w:lang w:val="en-CA"/>
        </w:rPr>
        <w:t>h</w:t>
      </w:r>
      <w:r w:rsidRPr="0045465D">
        <w:rPr>
          <w:rFonts w:cs="Arial"/>
          <w:szCs w:val="22"/>
          <w:lang w:val="en-CA"/>
        </w:rPr>
        <w:t>mark.</w:t>
      </w:r>
    </w:p>
    <w:p w:rsidR="00CC4367" w:rsidRPr="00556C99" w:rsidRDefault="00CC4367" w:rsidP="0045465D">
      <w:pPr>
        <w:jc w:val="both"/>
        <w:rPr>
          <w:rFonts w:cs="Arial"/>
          <w:szCs w:val="22"/>
          <w:lang w:val="en-CA"/>
        </w:rPr>
      </w:pPr>
      <w:r w:rsidRPr="00556C99">
        <w:rPr>
          <w:rFonts w:cs="Arial"/>
          <w:szCs w:val="22"/>
          <w:lang w:val="en-CA"/>
        </w:rPr>
        <w:t xml:space="preserve">Concerning the </w:t>
      </w:r>
      <w:r w:rsidR="0053627C" w:rsidRPr="00556C99">
        <w:rPr>
          <w:rFonts w:cs="Arial"/>
          <w:szCs w:val="22"/>
          <w:lang w:val="en-CA"/>
        </w:rPr>
        <w:t xml:space="preserve">explanations for the </w:t>
      </w:r>
      <w:r w:rsidRPr="00556C99">
        <w:rPr>
          <w:rFonts w:cs="Arial"/>
          <w:szCs w:val="22"/>
          <w:lang w:val="en-CA"/>
        </w:rPr>
        <w:t>risk category II</w:t>
      </w:r>
      <w:r w:rsidR="0053627C" w:rsidRPr="00556C99">
        <w:rPr>
          <w:rFonts w:cs="Arial"/>
          <w:szCs w:val="22"/>
          <w:lang w:val="en-CA"/>
        </w:rPr>
        <w:t>: W</w:t>
      </w:r>
      <w:r w:rsidRPr="00556C99">
        <w:rPr>
          <w:rFonts w:cs="Arial"/>
          <w:szCs w:val="22"/>
          <w:lang w:val="en-CA"/>
        </w:rPr>
        <w:t>e</w:t>
      </w:r>
      <w:r w:rsidR="0053627C" w:rsidRPr="00556C99">
        <w:rPr>
          <w:rFonts w:cs="Arial"/>
          <w:szCs w:val="22"/>
          <w:lang w:val="en-CA"/>
        </w:rPr>
        <w:t xml:space="preserve"> would like to ask for a more precise </w:t>
      </w:r>
      <w:r w:rsidRPr="00556C99">
        <w:rPr>
          <w:rFonts w:cs="Arial"/>
          <w:szCs w:val="22"/>
          <w:lang w:val="en-CA"/>
        </w:rPr>
        <w:t xml:space="preserve">description of Annex II Part 1 (page 34ff) para 1 b), 7, 10, 11, 20-29 and the explanatory texts, </w:t>
      </w:r>
      <w:r w:rsidR="0053627C" w:rsidRPr="00556C99">
        <w:rPr>
          <w:rFonts w:cs="Arial"/>
          <w:szCs w:val="22"/>
          <w:lang w:val="en-CA"/>
        </w:rPr>
        <w:t>e.g.</w:t>
      </w:r>
      <w:r w:rsidRPr="00556C99">
        <w:rPr>
          <w:rFonts w:cs="Arial"/>
          <w:szCs w:val="22"/>
          <w:lang w:val="en-CA"/>
        </w:rPr>
        <w:t xml:space="preserve"> table on </w:t>
      </w:r>
      <w:r w:rsidR="0053627C" w:rsidRPr="00556C99">
        <w:rPr>
          <w:rFonts w:cs="Arial"/>
          <w:szCs w:val="22"/>
          <w:lang w:val="en-CA"/>
        </w:rPr>
        <w:t xml:space="preserve">the bottom of </w:t>
      </w:r>
      <w:r w:rsidRPr="00556C99">
        <w:rPr>
          <w:rFonts w:cs="Arial"/>
          <w:szCs w:val="22"/>
          <w:lang w:val="en-CA"/>
        </w:rPr>
        <w:t xml:space="preserve">page 75.   </w:t>
      </w:r>
    </w:p>
    <w:p w:rsidR="0045465D" w:rsidRPr="0045465D" w:rsidRDefault="0045465D" w:rsidP="0045465D">
      <w:pPr>
        <w:pStyle w:val="Listenabsatz"/>
        <w:numPr>
          <w:ilvl w:val="0"/>
          <w:numId w:val="43"/>
        </w:numPr>
        <w:jc w:val="both"/>
        <w:rPr>
          <w:rFonts w:cs="Arial"/>
          <w:i/>
          <w:szCs w:val="22"/>
          <w:lang w:val="en-CA"/>
        </w:rPr>
      </w:pPr>
      <w:r w:rsidRPr="0045465D">
        <w:rPr>
          <w:rFonts w:cs="Arial"/>
          <w:i/>
          <w:szCs w:val="22"/>
          <w:lang w:val="en-CA"/>
        </w:rPr>
        <w:t>Category III: Non-linear pay-off profile UCITS and AIFs (i.e. structured UCITS and AIFs)</w:t>
      </w:r>
    </w:p>
    <w:p w:rsidR="0045465D" w:rsidRPr="0045465D" w:rsidRDefault="0045465D" w:rsidP="0045465D">
      <w:pPr>
        <w:jc w:val="both"/>
        <w:rPr>
          <w:rFonts w:cs="Arial"/>
          <w:szCs w:val="22"/>
          <w:lang w:val="en-CA"/>
        </w:rPr>
      </w:pPr>
      <w:r w:rsidRPr="0045465D">
        <w:rPr>
          <w:rFonts w:cs="Arial"/>
          <w:szCs w:val="22"/>
          <w:lang w:val="en-CA"/>
        </w:rPr>
        <w:t xml:space="preserve">We ask the ESAs to take the above remarks into consideration and amend the RTS </w:t>
      </w:r>
      <w:r w:rsidRPr="00556C99">
        <w:rPr>
          <w:rFonts w:cs="Arial"/>
          <w:szCs w:val="22"/>
          <w:lang w:val="en-CA"/>
        </w:rPr>
        <w:t>accordingly. The correct definition of Category II funds is paramount, as Category III funds are simply defined as “any AIFs and UCITS not falling under Category II”.</w:t>
      </w:r>
      <w:r w:rsidRPr="00556C99">
        <w:rPr>
          <w:rFonts w:cs="Arial"/>
          <w:b/>
          <w:szCs w:val="22"/>
          <w:lang w:val="en-CA"/>
        </w:rPr>
        <w:t xml:space="preserve"> </w:t>
      </w:r>
      <w:r w:rsidRPr="00556C99">
        <w:rPr>
          <w:rFonts w:cs="Arial"/>
          <w:szCs w:val="22"/>
          <w:lang w:val="en-CA"/>
        </w:rPr>
        <w:t>An imprecise Category II definition could result in some types</w:t>
      </w:r>
      <w:r w:rsidRPr="0045465D">
        <w:rPr>
          <w:rFonts w:cs="Arial"/>
          <w:szCs w:val="22"/>
          <w:lang w:val="en-CA"/>
        </w:rPr>
        <w:t xml:space="preserve"> of funds to be considered as structured funds for its MRM calculation.</w:t>
      </w:r>
    </w:p>
    <w:p w:rsidR="0045465D" w:rsidRPr="0045465D" w:rsidRDefault="0045465D" w:rsidP="0045465D">
      <w:pPr>
        <w:jc w:val="both"/>
        <w:rPr>
          <w:rFonts w:cs="Arial"/>
          <w:szCs w:val="22"/>
          <w:lang w:val="en-CA"/>
        </w:rPr>
      </w:pPr>
      <w:r w:rsidRPr="0045465D">
        <w:rPr>
          <w:rFonts w:cs="Arial"/>
          <w:szCs w:val="22"/>
          <w:lang w:val="en-CA"/>
        </w:rPr>
        <w:t>Furthermore as Category III funds are simply defined as “any AIFs and UCITS not falling under Category II</w:t>
      </w:r>
      <w:r w:rsidRPr="0045465D">
        <w:rPr>
          <w:rFonts w:cs="Arial"/>
          <w:b/>
          <w:szCs w:val="22"/>
          <w:lang w:val="en-CA"/>
        </w:rPr>
        <w:t>”</w:t>
      </w:r>
      <w:r w:rsidRPr="0045465D">
        <w:rPr>
          <w:rFonts w:cs="Arial"/>
          <w:szCs w:val="22"/>
          <w:lang w:val="en-CA"/>
        </w:rPr>
        <w:t xml:space="preserve">, it seems that also funds with an insufficient amount of data or holding illiquid assets would fall under Category III. Also these </w:t>
      </w:r>
      <w:proofErr w:type="gramStart"/>
      <w:r w:rsidRPr="0045465D">
        <w:rPr>
          <w:rFonts w:cs="Arial"/>
          <w:szCs w:val="22"/>
          <w:lang w:val="en-CA"/>
        </w:rPr>
        <w:t>type</w:t>
      </w:r>
      <w:proofErr w:type="gramEnd"/>
      <w:r w:rsidRPr="0045465D">
        <w:rPr>
          <w:rFonts w:cs="Arial"/>
          <w:szCs w:val="22"/>
          <w:lang w:val="en-CA"/>
        </w:rPr>
        <w:t xml:space="preserve"> of funds should be excluded from Category III. </w:t>
      </w:r>
    </w:p>
    <w:p w:rsidR="0045465D" w:rsidRPr="0045465D" w:rsidRDefault="0045465D" w:rsidP="0045465D">
      <w:pPr>
        <w:jc w:val="both"/>
        <w:rPr>
          <w:rFonts w:cs="Arial"/>
          <w:szCs w:val="22"/>
          <w:lang w:val="en-US"/>
        </w:rPr>
      </w:pPr>
      <w:r w:rsidRPr="0045465D">
        <w:rPr>
          <w:rFonts w:cs="Arial"/>
          <w:szCs w:val="22"/>
          <w:lang w:val="en-US"/>
        </w:rPr>
        <w:t xml:space="preserve">This is particularly relevant for two points of </w:t>
      </w:r>
      <w:r w:rsidRPr="0045465D">
        <w:rPr>
          <w:rFonts w:cs="Arial"/>
          <w:szCs w:val="22"/>
          <w:lang w:val="en-CA"/>
        </w:rPr>
        <w:t>para. 17</w:t>
      </w:r>
      <w:r w:rsidRPr="0045465D">
        <w:rPr>
          <w:rStyle w:val="Funotenzeichen"/>
          <w:rFonts w:cs="Arial"/>
          <w:szCs w:val="22"/>
        </w:rPr>
        <w:footnoteReference w:id="7"/>
      </w:r>
      <w:r w:rsidRPr="0045465D">
        <w:rPr>
          <w:rFonts w:cs="Arial"/>
          <w:szCs w:val="22"/>
          <w:lang w:val="en-CA"/>
        </w:rPr>
        <w:t xml:space="preserve">. </w:t>
      </w:r>
      <w:r w:rsidRPr="0045465D">
        <w:rPr>
          <w:rFonts w:cs="Arial"/>
          <w:szCs w:val="22"/>
          <w:lang w:val="en-US"/>
        </w:rPr>
        <w:t>As explained further below (Para. 20-29), we b</w:t>
      </w:r>
      <w:r w:rsidRPr="0045465D">
        <w:rPr>
          <w:rFonts w:cs="Arial"/>
          <w:szCs w:val="22"/>
          <w:lang w:val="en-US"/>
        </w:rPr>
        <w:t>e</w:t>
      </w:r>
      <w:r w:rsidRPr="0045465D">
        <w:rPr>
          <w:rFonts w:cs="Arial"/>
          <w:szCs w:val="22"/>
          <w:lang w:val="en-US"/>
        </w:rPr>
        <w:t>lieve that daily price create unnecessary noise for the calculations. Instead, at most weekly or monthly prices should be used. Secondly, the reference to 500 historical data prices contradicts the later mentio</w:t>
      </w:r>
      <w:r w:rsidRPr="0045465D">
        <w:rPr>
          <w:rFonts w:cs="Arial"/>
          <w:szCs w:val="22"/>
          <w:lang w:val="en-US"/>
        </w:rPr>
        <w:t>n</w:t>
      </w:r>
      <w:r w:rsidRPr="0045465D">
        <w:rPr>
          <w:rFonts w:cs="Arial"/>
          <w:szCs w:val="22"/>
          <w:lang w:val="en-US"/>
        </w:rPr>
        <w:t xml:space="preserve">ing of 5 years’ data. </w:t>
      </w:r>
    </w:p>
    <w:p w:rsidR="0045465D" w:rsidRPr="0045465D" w:rsidRDefault="0045465D" w:rsidP="0045465D">
      <w:pPr>
        <w:pStyle w:val="Listenabsatz"/>
        <w:numPr>
          <w:ilvl w:val="0"/>
          <w:numId w:val="43"/>
        </w:numPr>
        <w:jc w:val="both"/>
        <w:rPr>
          <w:rFonts w:cs="Arial"/>
          <w:i/>
          <w:szCs w:val="22"/>
          <w:lang w:val="en-CA"/>
        </w:rPr>
      </w:pPr>
      <w:r w:rsidRPr="0045465D">
        <w:rPr>
          <w:rFonts w:cs="Arial"/>
          <w:i/>
          <w:szCs w:val="22"/>
          <w:lang w:val="en-CA"/>
        </w:rPr>
        <w:t>Category V: Fund with insufficient amount of data or holding illiquid assets</w:t>
      </w:r>
    </w:p>
    <w:p w:rsidR="0045465D" w:rsidRPr="0045465D" w:rsidRDefault="0045465D" w:rsidP="0045465D">
      <w:pPr>
        <w:jc w:val="both"/>
        <w:rPr>
          <w:rFonts w:cs="Arial"/>
          <w:szCs w:val="22"/>
          <w:lang w:val="en-US"/>
        </w:rPr>
      </w:pPr>
      <w:r w:rsidRPr="0045465D">
        <w:rPr>
          <w:rFonts w:cs="Arial"/>
          <w:szCs w:val="22"/>
          <w:lang w:val="en-US"/>
        </w:rPr>
        <w:t xml:space="preserve">In our understanding, to assess the MRM for funds with insufficient history and for which is not possible to use a benchmark or proxy a qualitative approach should be used. The ESAs suggest a table with different risk categories on the basis of the “type of the funds”. </w:t>
      </w:r>
    </w:p>
    <w:p w:rsidR="0045465D" w:rsidRPr="0045465D" w:rsidRDefault="0045465D" w:rsidP="0045465D">
      <w:pPr>
        <w:jc w:val="both"/>
        <w:rPr>
          <w:rFonts w:cs="Arial"/>
          <w:szCs w:val="22"/>
          <w:lang w:val="en-US"/>
        </w:rPr>
      </w:pPr>
      <w:r w:rsidRPr="0045465D">
        <w:rPr>
          <w:rFonts w:cs="Arial"/>
          <w:szCs w:val="22"/>
          <w:lang w:val="en-US"/>
        </w:rPr>
        <w:t>We have some concerns about this proposal because the MRM class for a new absolute return or total return fund with a dynamic allocation seems always to be 5 at the minimum and this would not always be correct. An incorrect risk representation could also incur for other types of funds which have a dynamic asset allocation between the same “</w:t>
      </w:r>
      <w:proofErr w:type="gramStart"/>
      <w:r w:rsidRPr="0045465D">
        <w:rPr>
          <w:rFonts w:cs="Arial"/>
          <w:szCs w:val="22"/>
          <w:lang w:val="en-US"/>
        </w:rPr>
        <w:t>type</w:t>
      </w:r>
      <w:proofErr w:type="gramEnd"/>
      <w:r w:rsidRPr="0045465D">
        <w:rPr>
          <w:rFonts w:cs="Arial"/>
          <w:szCs w:val="22"/>
          <w:lang w:val="en-US"/>
        </w:rPr>
        <w:t xml:space="preserve"> of funds”.</w:t>
      </w:r>
    </w:p>
    <w:p w:rsidR="0045465D" w:rsidRPr="0045465D" w:rsidRDefault="0045465D" w:rsidP="0045465D">
      <w:pPr>
        <w:jc w:val="both"/>
        <w:rPr>
          <w:rFonts w:cs="Arial"/>
          <w:szCs w:val="22"/>
          <w:lang w:val="en-CA"/>
        </w:rPr>
      </w:pPr>
      <w:r w:rsidRPr="0045465D">
        <w:rPr>
          <w:rFonts w:cs="Arial"/>
          <w:szCs w:val="22"/>
          <w:lang w:val="en-CA"/>
        </w:rPr>
        <w:t>We also ask the ESAs to clarify para. 13(a</w:t>
      </w:r>
      <w:proofErr w:type="gramStart"/>
      <w:r w:rsidRPr="0045465D">
        <w:rPr>
          <w:rFonts w:cs="Arial"/>
          <w:szCs w:val="22"/>
          <w:lang w:val="en-CA"/>
        </w:rPr>
        <w:t>)(</w:t>
      </w:r>
      <w:proofErr w:type="gramEnd"/>
      <w:r w:rsidRPr="0045465D">
        <w:rPr>
          <w:rFonts w:cs="Arial"/>
          <w:szCs w:val="22"/>
          <w:lang w:val="en-CA"/>
        </w:rPr>
        <w:t>ii) with regard to insufficient data. Indeed, the added value of this statement is unclear, as there are other paragraphs already dealing with rules on insufficient data: Category II, par. 10 last sentences ((2 years historical daily prices or 4 years of historical weekly pri</w:t>
      </w:r>
      <w:r w:rsidRPr="0045465D">
        <w:rPr>
          <w:rFonts w:cs="Arial"/>
          <w:szCs w:val="22"/>
          <w:lang w:val="en-CA"/>
        </w:rPr>
        <w:t>c</w:t>
      </w:r>
      <w:r w:rsidRPr="0045465D">
        <w:rPr>
          <w:rFonts w:cs="Arial"/>
          <w:szCs w:val="22"/>
          <w:lang w:val="en-CA"/>
        </w:rPr>
        <w:t xml:space="preserve">es/proxy are available) and Category V, par. 17. </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proofErr w:type="gramStart"/>
      <w:r w:rsidRPr="0045465D">
        <w:rPr>
          <w:rFonts w:cs="Arial"/>
          <w:b/>
          <w:color w:val="4F81BD" w:themeColor="accent1"/>
          <w:szCs w:val="22"/>
          <w:lang w:val="en-CA"/>
        </w:rPr>
        <w:t>Para.</w:t>
      </w:r>
      <w:proofErr w:type="gramEnd"/>
      <w:r w:rsidRPr="0045465D">
        <w:rPr>
          <w:rFonts w:cs="Arial"/>
          <w:b/>
          <w:color w:val="4F81BD" w:themeColor="accent1"/>
          <w:szCs w:val="22"/>
          <w:lang w:val="en-CA"/>
        </w:rPr>
        <w:t xml:space="preserve"> 20-52: Calculation methodology of MRM</w:t>
      </w:r>
    </w:p>
    <w:p w:rsidR="0045465D" w:rsidRPr="0045465D" w:rsidRDefault="0045465D" w:rsidP="0045465D">
      <w:pPr>
        <w:jc w:val="both"/>
        <w:rPr>
          <w:rFonts w:cs="Arial"/>
          <w:szCs w:val="22"/>
          <w:lang w:val="en-CA"/>
        </w:rPr>
      </w:pPr>
      <w:r w:rsidRPr="0045465D">
        <w:rPr>
          <w:rFonts w:cs="Arial"/>
          <w:szCs w:val="22"/>
          <w:lang w:val="en-CA"/>
        </w:rPr>
        <w:t xml:space="preserve">We regrettably also consider the drafting of the MRM methodologies in some places technically </w:t>
      </w:r>
      <w:r w:rsidR="00556C99">
        <w:rPr>
          <w:rFonts w:cs="Arial"/>
          <w:szCs w:val="22"/>
          <w:lang w:val="en-CA"/>
        </w:rPr>
        <w:t>not co</w:t>
      </w:r>
      <w:r w:rsidR="00556C99">
        <w:rPr>
          <w:rFonts w:cs="Arial"/>
          <w:szCs w:val="22"/>
          <w:lang w:val="en-CA"/>
        </w:rPr>
        <w:t>r</w:t>
      </w:r>
      <w:r w:rsidR="00556C99">
        <w:rPr>
          <w:rFonts w:cs="Arial"/>
          <w:szCs w:val="22"/>
          <w:lang w:val="en-CA"/>
        </w:rPr>
        <w:t>rect</w:t>
      </w:r>
      <w:r w:rsidRPr="0045465D">
        <w:rPr>
          <w:rFonts w:cs="Arial"/>
          <w:szCs w:val="22"/>
          <w:lang w:val="en-CA"/>
        </w:rPr>
        <w:t>, as was confirmed by the ESAs through the publication of an errata. The initial fee</w:t>
      </w:r>
      <w:r w:rsidRPr="0045465D">
        <w:rPr>
          <w:rFonts w:cs="Arial"/>
          <w:szCs w:val="22"/>
          <w:lang w:val="en-CA"/>
        </w:rPr>
        <w:t>d</w:t>
      </w:r>
      <w:r w:rsidRPr="0045465D">
        <w:rPr>
          <w:rFonts w:cs="Arial"/>
          <w:szCs w:val="22"/>
          <w:lang w:val="en-CA"/>
        </w:rPr>
        <w:t>back we received by experts was that the current drafting is unnecessarily complex and should thus be simplified. Notwit</w:t>
      </w:r>
      <w:r w:rsidRPr="0045465D">
        <w:rPr>
          <w:rFonts w:cs="Arial"/>
          <w:szCs w:val="22"/>
          <w:lang w:val="en-CA"/>
        </w:rPr>
        <w:t>h</w:t>
      </w:r>
      <w:r w:rsidRPr="0045465D">
        <w:rPr>
          <w:rFonts w:cs="Arial"/>
          <w:szCs w:val="22"/>
          <w:lang w:val="en-CA"/>
        </w:rPr>
        <w:t>standing our below comments, it is of utmost importance that the language and formulas used (i.e. co</w:t>
      </w:r>
      <w:r w:rsidRPr="0045465D">
        <w:rPr>
          <w:rFonts w:cs="Arial"/>
          <w:szCs w:val="22"/>
          <w:lang w:val="en-CA"/>
        </w:rPr>
        <w:t>n</w:t>
      </w:r>
      <w:r w:rsidRPr="0045465D">
        <w:rPr>
          <w:rFonts w:cs="Arial"/>
          <w:szCs w:val="22"/>
          <w:lang w:val="en-CA"/>
        </w:rPr>
        <w:t>vention of terminology, symbols, and formulas) in this section is understood by quantit</w:t>
      </w:r>
      <w:r w:rsidRPr="0045465D">
        <w:rPr>
          <w:rFonts w:cs="Arial"/>
          <w:szCs w:val="22"/>
          <w:lang w:val="en-CA"/>
        </w:rPr>
        <w:t>a</w:t>
      </w:r>
      <w:r w:rsidRPr="0045465D">
        <w:rPr>
          <w:rFonts w:cs="Arial"/>
          <w:szCs w:val="22"/>
          <w:lang w:val="en-CA"/>
        </w:rPr>
        <w:t>tive analysts that are ultimately responsible for the calculation of the MRM. Going into more detail, we have the following remarks.</w:t>
      </w:r>
    </w:p>
    <w:p w:rsidR="0045465D" w:rsidRPr="0045465D" w:rsidRDefault="0045465D" w:rsidP="0045465D">
      <w:pPr>
        <w:jc w:val="both"/>
        <w:rPr>
          <w:rFonts w:cs="Arial"/>
          <w:i/>
          <w:szCs w:val="22"/>
          <w:u w:val="single"/>
          <w:lang w:val="en-CA"/>
        </w:rPr>
      </w:pPr>
      <w:proofErr w:type="gramStart"/>
      <w:r w:rsidRPr="0045465D">
        <w:rPr>
          <w:rFonts w:cs="Arial"/>
          <w:i/>
          <w:szCs w:val="22"/>
          <w:u w:val="single"/>
          <w:lang w:val="en-CA"/>
        </w:rPr>
        <w:t>Para.</w:t>
      </w:r>
      <w:proofErr w:type="gramEnd"/>
      <w:r w:rsidRPr="0045465D">
        <w:rPr>
          <w:rFonts w:cs="Arial"/>
          <w:i/>
          <w:szCs w:val="22"/>
          <w:u w:val="single"/>
          <w:lang w:val="en-CA"/>
        </w:rPr>
        <w:t xml:space="preserve"> 20-29: “Cornish Fisher” VaR for Category II PRIIPs</w:t>
      </w:r>
    </w:p>
    <w:p w:rsidR="0045465D" w:rsidRPr="0045465D" w:rsidRDefault="0045465D" w:rsidP="0045465D">
      <w:pPr>
        <w:jc w:val="both"/>
        <w:rPr>
          <w:rFonts w:cs="Arial"/>
          <w:szCs w:val="22"/>
          <w:lang w:val="en-CA"/>
        </w:rPr>
      </w:pPr>
      <w:r w:rsidRPr="0045465D">
        <w:rPr>
          <w:rFonts w:cs="Arial"/>
          <w:szCs w:val="22"/>
          <w:lang w:val="en-CA"/>
        </w:rPr>
        <w:t xml:space="preserve">The ESAs suggest </w:t>
      </w:r>
      <w:proofErr w:type="gramStart"/>
      <w:r w:rsidRPr="0045465D">
        <w:rPr>
          <w:rFonts w:cs="Arial"/>
          <w:szCs w:val="22"/>
          <w:lang w:val="en-CA"/>
        </w:rPr>
        <w:t>to use</w:t>
      </w:r>
      <w:proofErr w:type="gramEnd"/>
      <w:r w:rsidRPr="0045465D">
        <w:rPr>
          <w:rFonts w:cs="Arial"/>
          <w:szCs w:val="22"/>
          <w:lang w:val="en-CA"/>
        </w:rPr>
        <w:t xml:space="preserve"> daily prices for the VaR calculation. Daily prices produce much “noise”, which will distort the VaR calculations. Instead, weekly prices or monthly should be used, which will still allow for enough sample data to be collected. The use of weekly prices or monthly prices, where possible, in line </w:t>
      </w:r>
      <w:r w:rsidRPr="0045465D">
        <w:rPr>
          <w:rFonts w:cs="Arial"/>
          <w:szCs w:val="22"/>
          <w:lang w:val="en-CA"/>
        </w:rPr>
        <w:lastRenderedPageBreak/>
        <w:t>with the UCITS SRI methodologies also overcomes operational problems for funds that do not have a daily NAV.</w:t>
      </w:r>
    </w:p>
    <w:p w:rsidR="0045465D" w:rsidRDefault="0045465D" w:rsidP="0045465D">
      <w:pPr>
        <w:jc w:val="both"/>
        <w:rPr>
          <w:rFonts w:cs="Arial"/>
          <w:szCs w:val="22"/>
          <w:lang w:val="en-CA"/>
        </w:rPr>
      </w:pPr>
      <w:r w:rsidRPr="0045465D">
        <w:rPr>
          <w:rFonts w:cs="Arial"/>
          <w:szCs w:val="22"/>
          <w:lang w:val="en-CA"/>
        </w:rPr>
        <w:t>Also, the VaR calculation is based on the recommended holding period (RHP) in years (para. 28). Since this assumed RHP may be different from one manufacturer to the next, this may result in different MRM for the same underlying of a PRIIP due to differently assumed RHPs.</w:t>
      </w:r>
    </w:p>
    <w:p w:rsidR="00F05FBD" w:rsidRPr="00556C99" w:rsidRDefault="00F05FBD" w:rsidP="0045465D">
      <w:pPr>
        <w:jc w:val="both"/>
        <w:rPr>
          <w:rFonts w:cs="Arial"/>
          <w:szCs w:val="22"/>
          <w:lang w:val="en-CA"/>
        </w:rPr>
      </w:pPr>
      <w:r w:rsidRPr="00556C99">
        <w:rPr>
          <w:rFonts w:cs="Arial"/>
          <w:szCs w:val="22"/>
          <w:lang w:val="en-CA"/>
        </w:rPr>
        <w:t>The formula</w:t>
      </w:r>
      <w:r w:rsidR="0053627C" w:rsidRPr="00556C99">
        <w:rPr>
          <w:rFonts w:cs="Arial"/>
          <w:szCs w:val="22"/>
          <w:lang w:val="en-CA"/>
        </w:rPr>
        <w:t>s</w:t>
      </w:r>
      <w:r w:rsidRPr="00556C99">
        <w:rPr>
          <w:rFonts w:cs="Arial"/>
          <w:szCs w:val="22"/>
          <w:lang w:val="en-CA"/>
        </w:rPr>
        <w:t xml:space="preserve"> on page 37 (para 20-29) </w:t>
      </w:r>
      <w:r w:rsidR="0053627C" w:rsidRPr="00556C99">
        <w:rPr>
          <w:rFonts w:cs="Arial"/>
          <w:szCs w:val="22"/>
          <w:lang w:val="en-CA"/>
        </w:rPr>
        <w:t>need improvement from our point of view</w:t>
      </w:r>
      <w:r w:rsidRPr="00556C99">
        <w:rPr>
          <w:rFonts w:cs="Arial"/>
          <w:szCs w:val="22"/>
          <w:lang w:val="en-CA"/>
        </w:rPr>
        <w:t>: Two test cases have been calculated completely and historicized with unusual result</w:t>
      </w:r>
      <w:r w:rsidR="00E24F41" w:rsidRPr="00556C99">
        <w:rPr>
          <w:rFonts w:cs="Arial"/>
          <w:szCs w:val="22"/>
          <w:lang w:val="en-CA"/>
        </w:rPr>
        <w:t>s</w:t>
      </w:r>
      <w:r w:rsidRPr="00556C99">
        <w:rPr>
          <w:rFonts w:cs="Arial"/>
          <w:szCs w:val="22"/>
          <w:lang w:val="en-CA"/>
        </w:rPr>
        <w:t>. A fund investing in emerging market bonds</w:t>
      </w:r>
      <w:r w:rsidR="0053627C" w:rsidRPr="00556C99">
        <w:rPr>
          <w:rFonts w:cs="Arial"/>
          <w:szCs w:val="22"/>
          <w:lang w:val="en-CA"/>
        </w:rPr>
        <w:t xml:space="preserve"> and an</w:t>
      </w:r>
      <w:r w:rsidRPr="00556C99">
        <w:rPr>
          <w:rFonts w:cs="Arial"/>
          <w:szCs w:val="22"/>
          <w:lang w:val="en-CA"/>
        </w:rPr>
        <w:t xml:space="preserve"> SRRI of 4 </w:t>
      </w:r>
      <w:r w:rsidR="0053627C" w:rsidRPr="00556C99">
        <w:rPr>
          <w:rFonts w:cs="Arial"/>
          <w:szCs w:val="22"/>
          <w:lang w:val="en-CA"/>
        </w:rPr>
        <w:t xml:space="preserve">since autumn 2013 </w:t>
      </w:r>
      <w:r w:rsidRPr="00556C99">
        <w:rPr>
          <w:rFonts w:cs="Arial"/>
          <w:szCs w:val="22"/>
          <w:lang w:val="en-CA"/>
        </w:rPr>
        <w:t>(</w:t>
      </w:r>
      <w:r w:rsidR="0053627C" w:rsidRPr="00556C99">
        <w:rPr>
          <w:rFonts w:cs="Arial"/>
          <w:szCs w:val="22"/>
          <w:lang w:val="en-CA"/>
        </w:rPr>
        <w:t xml:space="preserve">before: </w:t>
      </w:r>
      <w:r w:rsidRPr="00556C99">
        <w:rPr>
          <w:rFonts w:cs="Arial"/>
          <w:szCs w:val="22"/>
          <w:lang w:val="en-CA"/>
        </w:rPr>
        <w:t>5) would have a MRM clas</w:t>
      </w:r>
      <w:r w:rsidR="0053627C" w:rsidRPr="00556C99">
        <w:rPr>
          <w:rFonts w:cs="Arial"/>
          <w:szCs w:val="22"/>
          <w:lang w:val="en-CA"/>
        </w:rPr>
        <w:t xml:space="preserve">s of 6. This seems too high. A single country stock fund (with an </w:t>
      </w:r>
      <w:r w:rsidRPr="00556C99">
        <w:rPr>
          <w:rFonts w:cs="Arial"/>
          <w:szCs w:val="22"/>
          <w:lang w:val="en-CA"/>
        </w:rPr>
        <w:t>SRRI of 7</w:t>
      </w:r>
      <w:r w:rsidR="0053627C" w:rsidRPr="00556C99">
        <w:rPr>
          <w:rFonts w:cs="Arial"/>
          <w:szCs w:val="22"/>
          <w:lang w:val="en-CA"/>
        </w:rPr>
        <w:t xml:space="preserve"> over the whole period)</w:t>
      </w:r>
      <w:r w:rsidRPr="00556C99">
        <w:rPr>
          <w:rFonts w:cs="Arial"/>
          <w:szCs w:val="22"/>
          <w:lang w:val="en-CA"/>
        </w:rPr>
        <w:t xml:space="preserve"> would have a MRM class of 4. This seems in turn too low. </w:t>
      </w:r>
    </w:p>
    <w:p w:rsidR="0045465D" w:rsidRPr="00556C99" w:rsidRDefault="0045465D" w:rsidP="00F05FBD">
      <w:pPr>
        <w:ind w:left="709" w:hanging="709"/>
        <w:jc w:val="both"/>
        <w:rPr>
          <w:rFonts w:cs="Arial"/>
          <w:szCs w:val="22"/>
          <w:lang w:val="en-CA"/>
        </w:rPr>
      </w:pPr>
    </w:p>
    <w:p w:rsidR="00F05FBD" w:rsidRPr="00556C99" w:rsidRDefault="00F05FBD" w:rsidP="00F05FBD">
      <w:pPr>
        <w:ind w:left="709" w:hanging="709"/>
        <w:jc w:val="both"/>
        <w:rPr>
          <w:rFonts w:cs="Arial"/>
          <w:szCs w:val="22"/>
          <w:lang w:val="en-CA"/>
        </w:rPr>
      </w:pPr>
      <w:r w:rsidRPr="00556C99">
        <w:rPr>
          <w:rFonts w:cs="Arial"/>
          <w:szCs w:val="22"/>
          <w:lang w:val="en-CA"/>
        </w:rPr>
        <w:t>The following aspects of the VaR-model seem problematic:</w:t>
      </w:r>
    </w:p>
    <w:p w:rsidR="00F05FBD" w:rsidRPr="00556C99" w:rsidRDefault="00443680" w:rsidP="00443680">
      <w:pPr>
        <w:pStyle w:val="Listenabsatz"/>
        <w:numPr>
          <w:ilvl w:val="0"/>
          <w:numId w:val="44"/>
        </w:numPr>
        <w:ind w:left="364"/>
        <w:jc w:val="both"/>
        <w:rPr>
          <w:rFonts w:cs="Arial"/>
          <w:szCs w:val="22"/>
          <w:lang w:val="en-CA"/>
        </w:rPr>
      </w:pPr>
      <w:r w:rsidRPr="00556C99">
        <w:rPr>
          <w:rFonts w:cs="Arial"/>
          <w:szCs w:val="22"/>
          <w:lang w:val="en-CA"/>
        </w:rPr>
        <w:t xml:space="preserve">The notation is confusing: instead of Mo it </w:t>
      </w:r>
      <w:r w:rsidR="0053627C" w:rsidRPr="00556C99">
        <w:rPr>
          <w:rFonts w:cs="Arial"/>
          <w:szCs w:val="22"/>
          <w:lang w:val="en-CA"/>
        </w:rPr>
        <w:t>would be sufficient</w:t>
      </w:r>
      <w:r w:rsidRPr="00556C99">
        <w:rPr>
          <w:rFonts w:cs="Arial"/>
          <w:szCs w:val="22"/>
          <w:lang w:val="en-CA"/>
        </w:rPr>
        <w:t xml:space="preserve"> to write N. M1 can then be </w:t>
      </w:r>
      <w:r w:rsidR="0053627C" w:rsidRPr="00556C99">
        <w:rPr>
          <w:rFonts w:cs="Arial"/>
          <w:szCs w:val="22"/>
          <w:lang w:val="en-CA"/>
        </w:rPr>
        <w:t>specified in its</w:t>
      </w:r>
      <w:r w:rsidRPr="00556C99">
        <w:rPr>
          <w:rFonts w:cs="Arial"/>
          <w:szCs w:val="22"/>
          <w:lang w:val="en-CA"/>
        </w:rPr>
        <w:t xml:space="preserve"> </w:t>
      </w:r>
      <w:r w:rsidR="0053627C" w:rsidRPr="00556C99">
        <w:rPr>
          <w:rFonts w:cs="Arial"/>
          <w:szCs w:val="22"/>
          <w:lang w:val="en-CA"/>
        </w:rPr>
        <w:t xml:space="preserve">classic </w:t>
      </w:r>
      <w:r w:rsidRPr="00556C99">
        <w:rPr>
          <w:rFonts w:cs="Arial"/>
          <w:szCs w:val="22"/>
          <w:lang w:val="en-CA"/>
        </w:rPr>
        <w:t xml:space="preserve">form. </w:t>
      </w:r>
    </w:p>
    <w:p w:rsidR="00443680" w:rsidRPr="00556C99" w:rsidRDefault="00443680" w:rsidP="00443680">
      <w:pPr>
        <w:pStyle w:val="Listenabsatz"/>
        <w:numPr>
          <w:ilvl w:val="0"/>
          <w:numId w:val="44"/>
        </w:numPr>
        <w:ind w:left="364"/>
        <w:jc w:val="both"/>
        <w:rPr>
          <w:rFonts w:cs="Arial"/>
          <w:szCs w:val="22"/>
          <w:lang w:val="en-CA"/>
        </w:rPr>
      </w:pPr>
      <w:r w:rsidRPr="00556C99">
        <w:rPr>
          <w:rFonts w:cs="Arial"/>
          <w:szCs w:val="22"/>
          <w:lang w:val="en-CA"/>
        </w:rPr>
        <w:t>The “Bessel correction” (calculat</w:t>
      </w:r>
      <w:r w:rsidR="0053627C" w:rsidRPr="00556C99">
        <w:rPr>
          <w:rFonts w:cs="Arial"/>
          <w:szCs w:val="22"/>
          <w:lang w:val="en-CA"/>
        </w:rPr>
        <w:t>ing</w:t>
      </w:r>
      <w:r w:rsidR="00E24F41" w:rsidRPr="00556C99">
        <w:rPr>
          <w:rFonts w:cs="Arial"/>
          <w:szCs w:val="22"/>
          <w:lang w:val="en-CA"/>
        </w:rPr>
        <w:t xml:space="preserve"> the</w:t>
      </w:r>
      <w:r w:rsidRPr="00556C99">
        <w:rPr>
          <w:rFonts w:cs="Arial"/>
          <w:szCs w:val="22"/>
          <w:lang w:val="en-CA"/>
        </w:rPr>
        <w:t xml:space="preserve"> standard deviation with N-1 instead of N) is missing </w:t>
      </w:r>
      <w:r w:rsidR="0053627C" w:rsidRPr="00556C99">
        <w:rPr>
          <w:rFonts w:cs="Arial"/>
          <w:szCs w:val="22"/>
          <w:lang w:val="en-CA"/>
        </w:rPr>
        <w:t>in the formulas for</w:t>
      </w:r>
      <w:r w:rsidRPr="00556C99">
        <w:rPr>
          <w:rFonts w:cs="Arial"/>
          <w:szCs w:val="22"/>
          <w:lang w:val="en-CA"/>
        </w:rPr>
        <w:t xml:space="preserve"> </w:t>
      </w:r>
      <w:r w:rsidR="0053627C" w:rsidRPr="00556C99">
        <w:rPr>
          <w:rFonts w:cs="Arial"/>
          <w:szCs w:val="22"/>
          <w:lang w:val="en-CA"/>
        </w:rPr>
        <w:t>S</w:t>
      </w:r>
      <w:r w:rsidRPr="00556C99">
        <w:rPr>
          <w:rFonts w:cs="Arial"/>
          <w:szCs w:val="22"/>
          <w:lang w:val="en-CA"/>
        </w:rPr>
        <w:t xml:space="preserve">igma, </w:t>
      </w:r>
      <w:r w:rsidR="0053627C" w:rsidRPr="00556C99">
        <w:rPr>
          <w:rFonts w:cs="Arial"/>
          <w:szCs w:val="22"/>
          <w:lang w:val="en-CA"/>
        </w:rPr>
        <w:t>S</w:t>
      </w:r>
      <w:r w:rsidRPr="00556C99">
        <w:rPr>
          <w:rFonts w:cs="Arial"/>
          <w:szCs w:val="22"/>
          <w:lang w:val="en-CA"/>
        </w:rPr>
        <w:t xml:space="preserve">kew and </w:t>
      </w:r>
      <w:r w:rsidR="0053627C" w:rsidRPr="00556C99">
        <w:rPr>
          <w:rFonts w:cs="Arial"/>
          <w:szCs w:val="22"/>
          <w:lang w:val="en-CA"/>
        </w:rPr>
        <w:t>K</w:t>
      </w:r>
      <w:r w:rsidRPr="00556C99">
        <w:rPr>
          <w:rFonts w:cs="Arial"/>
          <w:szCs w:val="22"/>
          <w:lang w:val="en-CA"/>
        </w:rPr>
        <w:t xml:space="preserve">urtosis. Although </w:t>
      </w:r>
      <w:r w:rsidR="0053627C" w:rsidRPr="00556C99">
        <w:rPr>
          <w:rFonts w:cs="Arial"/>
          <w:szCs w:val="22"/>
          <w:lang w:val="en-CA"/>
        </w:rPr>
        <w:t>the impact on VaR is negligible the formulas should be consistent.</w:t>
      </w:r>
      <w:r w:rsidRPr="00556C99">
        <w:rPr>
          <w:rFonts w:cs="Arial"/>
          <w:szCs w:val="22"/>
          <w:lang w:val="en-CA"/>
        </w:rPr>
        <w:t xml:space="preserve"> </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We would prefer to use a classic time scaling like „σ√T</w:t>
      </w:r>
      <w:proofErr w:type="gramStart"/>
      <w:r w:rsidRPr="00556C99">
        <w:rPr>
          <w:rFonts w:cs="Arial"/>
          <w:szCs w:val="22"/>
          <w:lang w:val="en-CA"/>
        </w:rPr>
        <w:t>“ over</w:t>
      </w:r>
      <w:proofErr w:type="gramEnd"/>
      <w:r w:rsidRPr="00556C99">
        <w:rPr>
          <w:rFonts w:cs="Arial"/>
          <w:szCs w:val="22"/>
          <w:lang w:val="en-CA"/>
        </w:rPr>
        <w:t xml:space="preserve"> „σ√M0“. A good illustration can be found in the CESR/10-673 (CESR's guidelines on the methodology for the calculation of the synthetic risk and reward indicator). It is also essential which values are supposed to be scaled and which not.</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It is not advisable to use a time scaling for the Cornish-Fisher Expansion Skew and Kurtosis: Consi</w:t>
      </w:r>
      <w:r w:rsidRPr="00556C99">
        <w:rPr>
          <w:rFonts w:cs="Arial"/>
          <w:szCs w:val="22"/>
          <w:lang w:val="en-CA"/>
        </w:rPr>
        <w:t>d</w:t>
      </w:r>
      <w:r w:rsidRPr="00556C99">
        <w:rPr>
          <w:rFonts w:cs="Arial"/>
          <w:szCs w:val="22"/>
          <w:lang w:val="en-CA"/>
        </w:rPr>
        <w:t xml:space="preserve">ering a time period of 5 years (1250 days) the skew is incorporated with 1/√1250 – we think that in this case both methodology and the decision for time scaling is wrong. We suggest </w:t>
      </w:r>
      <w:proofErr w:type="gramStart"/>
      <w:r w:rsidRPr="00556C99">
        <w:rPr>
          <w:rFonts w:cs="Arial"/>
          <w:szCs w:val="22"/>
          <w:lang w:val="en-CA"/>
        </w:rPr>
        <w:t>to leave</w:t>
      </w:r>
      <w:proofErr w:type="gramEnd"/>
      <w:r w:rsidRPr="00556C99">
        <w:rPr>
          <w:rFonts w:cs="Arial"/>
          <w:szCs w:val="22"/>
          <w:lang w:val="en-CA"/>
        </w:rPr>
        <w:t xml:space="preserve"> out a time scaling for daily </w:t>
      </w:r>
      <w:proofErr w:type="spellStart"/>
      <w:r w:rsidRPr="00556C99">
        <w:rPr>
          <w:rFonts w:cs="Arial"/>
          <w:szCs w:val="22"/>
          <w:lang w:val="en-CA"/>
        </w:rPr>
        <w:t>retuns</w:t>
      </w:r>
      <w:proofErr w:type="spellEnd"/>
      <w:r w:rsidRPr="00556C99">
        <w:rPr>
          <w:rFonts w:cs="Arial"/>
          <w:szCs w:val="22"/>
          <w:lang w:val="en-CA"/>
        </w:rPr>
        <w:t xml:space="preserve"> in the CF expansion.</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There is a mistake in the Cornish-Fisher Expansion: +0,474 should read -0,474. It is advisable to specify the formula for the Cornish-Fisher Expansion first and then to explain the variables used.</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VaR is calculated for</w:t>
      </w:r>
      <w:proofErr w:type="gramStart"/>
      <w:r w:rsidRPr="00556C99">
        <w:rPr>
          <w:rFonts w:cs="Arial"/>
          <w:szCs w:val="22"/>
          <w:lang w:val="en-CA"/>
        </w:rPr>
        <w:t>  a</w:t>
      </w:r>
      <w:proofErr w:type="gramEnd"/>
      <w:r w:rsidRPr="00556C99">
        <w:rPr>
          <w:rFonts w:cs="Arial"/>
          <w:szCs w:val="22"/>
          <w:lang w:val="en-CA"/>
        </w:rPr>
        <w:t xml:space="preserve"> horizon of multiple years with the aid of CF-Expansion which is based on the distribution of daily returns. This appears more „precisely wrong</w:t>
      </w:r>
      <w:proofErr w:type="gramStart"/>
      <w:r w:rsidRPr="00556C99">
        <w:rPr>
          <w:rFonts w:cs="Arial"/>
          <w:szCs w:val="22"/>
          <w:lang w:val="en-CA"/>
        </w:rPr>
        <w:t>“ as</w:t>
      </w:r>
      <w:proofErr w:type="gramEnd"/>
      <w:r w:rsidRPr="00556C99">
        <w:rPr>
          <w:rFonts w:cs="Arial"/>
          <w:szCs w:val="22"/>
          <w:lang w:val="en-CA"/>
        </w:rPr>
        <w:t xml:space="preserve"> „approximately accurate“. We propose using weekly returns as being used in the CESR/10-673. With weekly returns it would also make sense to use a time scaling for skew and kurtosis although the CF-Expansion would then only have a minor “expanding” effect on </w:t>
      </w:r>
      <w:proofErr w:type="spellStart"/>
      <w:r w:rsidRPr="00556C99">
        <w:rPr>
          <w:rFonts w:cs="Arial"/>
          <w:szCs w:val="22"/>
          <w:lang w:val="en-CA"/>
        </w:rPr>
        <w:t>VaR.</w:t>
      </w:r>
      <w:proofErr w:type="spellEnd"/>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Explanations to the formulas are missing; the Annex is not detailed enough.</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 xml:space="preserve">We think that he formula of </w:t>
      </w:r>
      <w:proofErr w:type="spellStart"/>
      <w:r w:rsidRPr="00556C99">
        <w:rPr>
          <w:rFonts w:cs="Arial"/>
          <w:szCs w:val="22"/>
          <w:lang w:val="en-CA"/>
        </w:rPr>
        <w:t>VaRPrice</w:t>
      </w:r>
      <w:proofErr w:type="spellEnd"/>
      <w:r w:rsidRPr="00556C99">
        <w:rPr>
          <w:rFonts w:cs="Arial"/>
          <w:szCs w:val="22"/>
          <w:lang w:val="en-CA"/>
        </w:rPr>
        <w:t xml:space="preserve"> Space is wrong since log-returns are considered: It is wrong to use the second summand 0</w:t>
      </w:r>
      <w:proofErr w:type="gramStart"/>
      <w:r w:rsidRPr="00556C99">
        <w:rPr>
          <w:rFonts w:cs="Arial"/>
          <w:szCs w:val="22"/>
          <w:lang w:val="en-CA"/>
        </w:rPr>
        <w:t>,5</w:t>
      </w:r>
      <w:proofErr w:type="gramEnd"/>
      <w:r w:rsidRPr="00556C99">
        <w:rPr>
          <w:rFonts w:cs="Arial"/>
          <w:szCs w:val="22"/>
          <w:lang w:val="en-CA"/>
        </w:rPr>
        <w:t>*M0 * σ2 .</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The formula for VEV is not comprehensible – a more precise explanation is necessary. CESR/10-673 can be seen as favorable in this respect.</w:t>
      </w:r>
    </w:p>
    <w:p w:rsidR="009153B1" w:rsidRPr="00556C99" w:rsidRDefault="009153B1" w:rsidP="009153B1">
      <w:pPr>
        <w:jc w:val="both"/>
        <w:rPr>
          <w:rFonts w:cs="Arial"/>
          <w:szCs w:val="22"/>
          <w:lang w:val="en-CA"/>
        </w:rPr>
      </w:pPr>
      <w:r w:rsidRPr="00556C99">
        <w:rPr>
          <w:rFonts w:cs="Arial"/>
          <w:szCs w:val="22"/>
          <w:lang w:val="en-CA"/>
        </w:rPr>
        <w:t>In general it can be said, that a historical simulation (Bootstrapping) would provide more reliable results tha</w:t>
      </w:r>
      <w:r w:rsidR="00E24F41" w:rsidRPr="00556C99">
        <w:rPr>
          <w:rFonts w:cs="Arial"/>
          <w:szCs w:val="22"/>
          <w:lang w:val="en-CA"/>
        </w:rPr>
        <w:t>n</w:t>
      </w:r>
      <w:r w:rsidRPr="00556C99">
        <w:rPr>
          <w:rFonts w:cs="Arial"/>
          <w:szCs w:val="22"/>
          <w:lang w:val="en-CA"/>
        </w:rPr>
        <w:t xml:space="preserve"> a CF-expansion over a </w:t>
      </w:r>
      <w:r w:rsidR="0053627C" w:rsidRPr="00556C99">
        <w:rPr>
          <w:rFonts w:cs="Arial"/>
          <w:szCs w:val="22"/>
          <w:lang w:val="en-CA"/>
        </w:rPr>
        <w:t>time span</w:t>
      </w:r>
      <w:r w:rsidRPr="00556C99">
        <w:rPr>
          <w:rFonts w:cs="Arial"/>
          <w:szCs w:val="22"/>
          <w:lang w:val="en-CA"/>
        </w:rPr>
        <w:t xml:space="preserve"> of five years. </w:t>
      </w:r>
    </w:p>
    <w:p w:rsidR="00443680" w:rsidRPr="00443680" w:rsidRDefault="00443680" w:rsidP="00443680">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Part 2: Methodology for the credit risk assessment</w:t>
      </w:r>
    </w:p>
    <w:p w:rsidR="0045465D" w:rsidRPr="0045465D" w:rsidRDefault="0045465D" w:rsidP="0045465D">
      <w:pPr>
        <w:jc w:val="both"/>
        <w:rPr>
          <w:rFonts w:cs="Arial"/>
          <w:i/>
          <w:szCs w:val="22"/>
          <w:u w:val="single"/>
          <w:lang w:val="en-CA"/>
        </w:rPr>
      </w:pPr>
      <w:r w:rsidRPr="0045465D">
        <w:rPr>
          <w:rFonts w:cs="Arial"/>
          <w:i/>
          <w:szCs w:val="22"/>
          <w:u w:val="single"/>
          <w:lang w:val="en-CA"/>
        </w:rPr>
        <w:t>No credit risk assessment for AIFs and UCITS</w:t>
      </w:r>
    </w:p>
    <w:p w:rsidR="0045465D" w:rsidRPr="0045465D" w:rsidRDefault="0045465D" w:rsidP="0045465D">
      <w:pPr>
        <w:jc w:val="both"/>
        <w:rPr>
          <w:rFonts w:cs="Arial"/>
          <w:szCs w:val="22"/>
          <w:lang w:val="en-CA"/>
        </w:rPr>
      </w:pPr>
      <w:r w:rsidRPr="0045465D">
        <w:rPr>
          <w:rFonts w:cs="Arial"/>
          <w:szCs w:val="22"/>
          <w:lang w:val="en-CA"/>
        </w:rPr>
        <w:t xml:space="preserve">We support para. </w:t>
      </w:r>
      <w:proofErr w:type="gramStart"/>
      <w:r w:rsidRPr="0045465D">
        <w:rPr>
          <w:rFonts w:cs="Arial"/>
          <w:szCs w:val="22"/>
          <w:lang w:val="en-CA"/>
        </w:rPr>
        <w:t>54 (p. 40), which states that credit risk shall not be assessed for AIFs and UCITS.</w:t>
      </w:r>
      <w:proofErr w:type="gramEnd"/>
      <w:r w:rsidRPr="0045465D">
        <w:rPr>
          <w:rFonts w:cs="Arial"/>
          <w:szCs w:val="22"/>
          <w:lang w:val="en-CA"/>
        </w:rPr>
        <w:t xml:space="preserve"> Nonetheless, a statement is missing that these UCITS/AIFs are therefore automatically categ</w:t>
      </w:r>
      <w:r w:rsidRPr="0045465D">
        <w:rPr>
          <w:rFonts w:cs="Arial"/>
          <w:szCs w:val="22"/>
          <w:lang w:val="en-CA"/>
        </w:rPr>
        <w:t>o</w:t>
      </w:r>
      <w:r w:rsidRPr="0045465D">
        <w:rPr>
          <w:rFonts w:cs="Arial"/>
          <w:szCs w:val="22"/>
          <w:lang w:val="en-CA"/>
        </w:rPr>
        <w:t>rised as CR1. Additionally in order properly to inform investors, the KID should include a short statement that these UCITS/AIFs do not carry Credit Risk (CR).</w:t>
      </w:r>
    </w:p>
    <w:p w:rsidR="0045465D" w:rsidRPr="0045465D" w:rsidRDefault="0045465D" w:rsidP="0045465D">
      <w:pPr>
        <w:jc w:val="both"/>
        <w:rPr>
          <w:rFonts w:cs="Arial"/>
          <w:szCs w:val="22"/>
          <w:lang w:val="en-CA"/>
        </w:rPr>
      </w:pPr>
      <w:r w:rsidRPr="0045465D">
        <w:rPr>
          <w:rFonts w:cs="Arial"/>
          <w:szCs w:val="22"/>
          <w:lang w:val="en-CA"/>
        </w:rPr>
        <w:t xml:space="preserve">Nevertheless, while certain UCITS and AIFs are exempted, the explanatory text for para. 55 </w:t>
      </w:r>
      <w:proofErr w:type="gramStart"/>
      <w:r w:rsidRPr="0045465D">
        <w:rPr>
          <w:rFonts w:cs="Arial"/>
          <w:szCs w:val="22"/>
          <w:lang w:val="en-CA"/>
        </w:rPr>
        <w:t>lit(</w:t>
      </w:r>
      <w:proofErr w:type="gramEnd"/>
      <w:r w:rsidRPr="0045465D">
        <w:rPr>
          <w:rFonts w:cs="Arial"/>
          <w:szCs w:val="22"/>
          <w:lang w:val="en-CA"/>
        </w:rPr>
        <w:t>b), page 76, makes direct references to AIFs, which requires further clarification from the ESAs. Instead of “AIFs”, we believe it should correctly refer to “structured notes”.</w:t>
      </w:r>
    </w:p>
    <w:p w:rsidR="0045465D" w:rsidRPr="0045465D" w:rsidRDefault="0045465D" w:rsidP="0045465D">
      <w:pPr>
        <w:jc w:val="both"/>
        <w:rPr>
          <w:rFonts w:cs="Arial"/>
          <w:i/>
          <w:szCs w:val="22"/>
          <w:u w:val="single"/>
          <w:lang w:val="en-CA"/>
        </w:rPr>
      </w:pPr>
      <w:r w:rsidRPr="0045465D">
        <w:rPr>
          <w:rFonts w:cs="Arial"/>
          <w:i/>
          <w:szCs w:val="22"/>
          <w:u w:val="single"/>
          <w:lang w:val="en-CA"/>
        </w:rPr>
        <w:t>Credit quality steps</w:t>
      </w:r>
    </w:p>
    <w:p w:rsidR="0045465D" w:rsidRPr="0045465D" w:rsidRDefault="0045465D" w:rsidP="0045465D">
      <w:pPr>
        <w:jc w:val="both"/>
        <w:rPr>
          <w:rFonts w:cs="Arial"/>
          <w:szCs w:val="22"/>
          <w:lang w:val="en-US"/>
        </w:rPr>
      </w:pPr>
      <w:r w:rsidRPr="0045465D">
        <w:rPr>
          <w:rFonts w:cs="Arial"/>
          <w:szCs w:val="22"/>
          <w:lang w:val="en-US"/>
        </w:rPr>
        <w:t>Please note that that paragraph 62 erroneously refers to “paragraph 57</w:t>
      </w:r>
      <w:r w:rsidRPr="0045465D">
        <w:rPr>
          <w:rFonts w:cs="Arial"/>
          <w:szCs w:val="22"/>
          <w:u w:val="single"/>
          <w:lang w:val="en-US"/>
        </w:rPr>
        <w:t>(c)</w:t>
      </w:r>
      <w:r w:rsidRPr="0045465D">
        <w:rPr>
          <w:rFonts w:cs="Arial"/>
          <w:szCs w:val="22"/>
          <w:lang w:val="en-US"/>
        </w:rPr>
        <w:t>” instead of “paragraph 57</w:t>
      </w:r>
      <w:r w:rsidRPr="0045465D">
        <w:rPr>
          <w:rFonts w:cs="Arial"/>
          <w:szCs w:val="22"/>
          <w:u w:val="single"/>
          <w:lang w:val="en-US"/>
        </w:rPr>
        <w:t>(iii)</w:t>
      </w:r>
      <w:r w:rsidRPr="0045465D">
        <w:rPr>
          <w:rFonts w:cs="Arial"/>
          <w:szCs w:val="22"/>
          <w:lang w:val="en-US"/>
        </w:rPr>
        <w:t>”.</w:t>
      </w:r>
    </w:p>
    <w:p w:rsidR="0045465D" w:rsidRPr="0045465D" w:rsidRDefault="0045465D" w:rsidP="0045465D">
      <w:pPr>
        <w:jc w:val="both"/>
        <w:rPr>
          <w:rFonts w:cs="Arial"/>
          <w:szCs w:val="22"/>
          <w:lang w:val="en-US"/>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Part 3: Aggregation of market and credit risk into the summary risk indicator</w:t>
      </w:r>
    </w:p>
    <w:p w:rsidR="0045465D" w:rsidRPr="0045465D" w:rsidRDefault="0045465D" w:rsidP="0045465D">
      <w:pPr>
        <w:jc w:val="both"/>
        <w:rPr>
          <w:rFonts w:cs="Arial"/>
          <w:szCs w:val="22"/>
          <w:lang w:val="en-CA"/>
        </w:rPr>
      </w:pPr>
      <w:r w:rsidRPr="0045465D">
        <w:rPr>
          <w:rFonts w:cs="Arial"/>
          <w:szCs w:val="22"/>
          <w:lang w:val="en-CA"/>
        </w:rPr>
        <w:t>Again, as mentioned above and for the avoidance of doubt by retail investors, it should be clarified that UCITS and AIFs within the meaning of para. 54 should fall within the CR1 credit risk-class.</w:t>
      </w:r>
    </w:p>
    <w:p w:rsidR="0045465D" w:rsidRPr="0045465D" w:rsidRDefault="0045465D" w:rsidP="0045465D">
      <w:pPr>
        <w:jc w:val="both"/>
        <w:rPr>
          <w:rFonts w:cs="Arial"/>
          <w:szCs w:val="22"/>
          <w:lang w:val="en-CA"/>
        </w:rPr>
      </w:pPr>
      <w:r w:rsidRPr="0045465D">
        <w:rPr>
          <w:rFonts w:cs="Arial"/>
          <w:szCs w:val="22"/>
          <w:lang w:val="en-CA"/>
        </w:rPr>
        <w:t>Generally speaking, it seems that when aggregating market and credit risk into the summary risk indicator, credit risk is underrepresented when compared to market risk. We believe that MRM and CRM should carry equal weightings.</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Part 5: Liquidity risk</w:t>
      </w:r>
    </w:p>
    <w:p w:rsidR="0045465D" w:rsidRPr="0045465D" w:rsidRDefault="0045465D" w:rsidP="0045465D">
      <w:pPr>
        <w:jc w:val="both"/>
        <w:rPr>
          <w:rFonts w:cs="Arial"/>
          <w:szCs w:val="22"/>
          <w:lang w:val="en-CA"/>
        </w:rPr>
      </w:pPr>
      <w:proofErr w:type="gramStart"/>
      <w:r w:rsidRPr="0045465D">
        <w:rPr>
          <w:rFonts w:cs="Arial"/>
          <w:szCs w:val="22"/>
          <w:lang w:val="en-CA"/>
        </w:rPr>
        <w:t>While we have no major remarks regarding para.</w:t>
      </w:r>
      <w:proofErr w:type="gramEnd"/>
      <w:r w:rsidRPr="0045465D">
        <w:rPr>
          <w:rFonts w:cs="Arial"/>
          <w:szCs w:val="22"/>
          <w:lang w:val="en-CA"/>
        </w:rPr>
        <w:t xml:space="preserve"> 74-76, we would ask for further clarity around the la</w:t>
      </w:r>
      <w:r w:rsidRPr="0045465D">
        <w:rPr>
          <w:rFonts w:cs="Arial"/>
          <w:szCs w:val="22"/>
          <w:lang w:val="en-CA"/>
        </w:rPr>
        <w:t>n</w:t>
      </w:r>
      <w:r w:rsidRPr="0045465D">
        <w:rPr>
          <w:rFonts w:cs="Arial"/>
          <w:szCs w:val="22"/>
          <w:lang w:val="en-CA"/>
        </w:rPr>
        <w:t>guage that is being used in the relevant paragraphs.</w:t>
      </w:r>
    </w:p>
    <w:p w:rsidR="0045465D" w:rsidRPr="0045465D" w:rsidRDefault="0045465D" w:rsidP="0045465D">
      <w:pPr>
        <w:jc w:val="both"/>
        <w:rPr>
          <w:rFonts w:cs="Arial"/>
          <w:szCs w:val="22"/>
          <w:lang w:val="en-CA"/>
        </w:rPr>
      </w:pPr>
      <w:proofErr w:type="gramStart"/>
      <w:r w:rsidRPr="0045465D">
        <w:rPr>
          <w:rFonts w:cs="Arial"/>
          <w:szCs w:val="22"/>
          <w:lang w:val="en-CA"/>
        </w:rPr>
        <w:t>For example para.</w:t>
      </w:r>
      <w:proofErr w:type="gramEnd"/>
      <w:r w:rsidRPr="0045465D">
        <w:rPr>
          <w:rFonts w:cs="Arial"/>
          <w:szCs w:val="22"/>
          <w:lang w:val="en-CA"/>
        </w:rPr>
        <w:t xml:space="preserve"> 76(d) talks about “significant” early exit penalties. Does this have any significance for funds with predefined maturity, and when must early exit penalties be considered “significant”? It should also be ensured that such penalties cannot simply be classified as “costs” in order to escape this asses</w:t>
      </w:r>
      <w:r w:rsidRPr="0045465D">
        <w:rPr>
          <w:rFonts w:cs="Arial"/>
          <w:szCs w:val="22"/>
          <w:lang w:val="en-CA"/>
        </w:rPr>
        <w:t>s</w:t>
      </w:r>
      <w:r w:rsidRPr="0045465D">
        <w:rPr>
          <w:rFonts w:cs="Arial"/>
          <w:szCs w:val="22"/>
          <w:lang w:val="en-CA"/>
        </w:rPr>
        <w:t>ment and its subsequent disclosure as an additional risk. Also, please provide further clarification as what is considered to be a “long” disinvestment notice.</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Part 6: Currency Risk Assessment</w:t>
      </w:r>
    </w:p>
    <w:p w:rsidR="0045465D" w:rsidRPr="0045465D" w:rsidRDefault="0045465D" w:rsidP="0045465D">
      <w:pPr>
        <w:jc w:val="both"/>
        <w:rPr>
          <w:rFonts w:cs="Arial"/>
          <w:i/>
          <w:szCs w:val="22"/>
          <w:lang w:val="en-CA"/>
        </w:rPr>
      </w:pPr>
      <w:r w:rsidRPr="0045465D">
        <w:rPr>
          <w:rFonts w:cs="Arial"/>
          <w:szCs w:val="22"/>
          <w:lang w:val="en-CA"/>
        </w:rPr>
        <w:t>Please see our answer to Question 12.</w:t>
      </w:r>
    </w:p>
    <w:p w:rsidR="0045465D" w:rsidRPr="0045465D" w:rsidRDefault="0045465D" w:rsidP="0045465D">
      <w:pPr>
        <w:jc w:val="both"/>
        <w:rPr>
          <w:rFonts w:cs="Arial"/>
          <w:b/>
          <w:caps/>
          <w:color w:val="4F81BD" w:themeColor="accent1"/>
          <w:szCs w:val="22"/>
          <w:u w:val="single"/>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III: Methodology for the presentation of summary risk indicator</w:t>
      </w: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Appendix 1: Format of Presentation of the Summary Risk Indicator</w:t>
      </w:r>
    </w:p>
    <w:p w:rsidR="0045465D" w:rsidRPr="0045465D" w:rsidRDefault="0045465D" w:rsidP="0045465D">
      <w:pPr>
        <w:jc w:val="both"/>
        <w:rPr>
          <w:rFonts w:cs="Arial"/>
          <w:szCs w:val="22"/>
          <w:lang w:val="en-CA"/>
        </w:rPr>
      </w:pPr>
      <w:r w:rsidRPr="0045465D">
        <w:rPr>
          <w:rFonts w:cs="Arial"/>
          <w:szCs w:val="22"/>
          <w:lang w:val="en-CA"/>
        </w:rPr>
        <w:t>With regards to the presentation of the currency risk, please consider our above comments and our a</w:t>
      </w:r>
      <w:r w:rsidRPr="0045465D">
        <w:rPr>
          <w:rFonts w:cs="Arial"/>
          <w:szCs w:val="22"/>
          <w:lang w:val="en-CA"/>
        </w:rPr>
        <w:t>n</w:t>
      </w:r>
      <w:r w:rsidRPr="0045465D">
        <w:rPr>
          <w:rFonts w:cs="Arial"/>
          <w:szCs w:val="22"/>
          <w:lang w:val="en-CA"/>
        </w:rPr>
        <w:t>swer to Question 12.</w:t>
      </w:r>
    </w:p>
    <w:p w:rsidR="0045465D" w:rsidRPr="0045465D" w:rsidRDefault="0045465D" w:rsidP="0045465D">
      <w:pPr>
        <w:jc w:val="both"/>
        <w:rPr>
          <w:rFonts w:cs="Arial"/>
          <w:szCs w:val="22"/>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IV: Technical rules of performance scenarios</w:t>
      </w:r>
    </w:p>
    <w:p w:rsidR="0045465D" w:rsidRPr="0045465D" w:rsidRDefault="0045465D" w:rsidP="0045465D">
      <w:pPr>
        <w:jc w:val="both"/>
        <w:rPr>
          <w:rFonts w:cs="Arial"/>
          <w:szCs w:val="22"/>
          <w:lang w:val="en-CA"/>
        </w:rPr>
      </w:pPr>
      <w:r w:rsidRPr="0045465D">
        <w:rPr>
          <w:rFonts w:cs="Arial"/>
          <w:szCs w:val="22"/>
          <w:lang w:val="en-CA"/>
        </w:rPr>
        <w:t>Please also consider our answer to Question 14 as well as comments to Article 6(7) above.</w:t>
      </w:r>
    </w:p>
    <w:p w:rsidR="0045465D" w:rsidRPr="0045465D" w:rsidRDefault="0045465D" w:rsidP="0045465D">
      <w:pPr>
        <w:jc w:val="both"/>
        <w:rPr>
          <w:rFonts w:cs="Arial"/>
          <w:b/>
          <w:caps/>
          <w:color w:val="4F81BD" w:themeColor="accent1"/>
          <w:szCs w:val="22"/>
          <w:u w:val="single"/>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V: Presentation of performance scenarios</w:t>
      </w:r>
    </w:p>
    <w:p w:rsidR="0045465D" w:rsidRPr="0045465D" w:rsidRDefault="0045465D" w:rsidP="0045465D">
      <w:pPr>
        <w:jc w:val="both"/>
        <w:rPr>
          <w:rFonts w:cs="Arial"/>
          <w:szCs w:val="22"/>
          <w:lang w:val="en-CA"/>
        </w:rPr>
      </w:pPr>
      <w:r w:rsidRPr="0045465D">
        <w:rPr>
          <w:rFonts w:cs="Arial"/>
          <w:szCs w:val="22"/>
          <w:lang w:val="en-CA"/>
        </w:rPr>
        <w:t>Please also consider our answer to Question 14 as well as comments to Article 6(7) above.</w:t>
      </w:r>
    </w:p>
    <w:p w:rsidR="0045465D" w:rsidRPr="0045465D" w:rsidRDefault="0045465D" w:rsidP="0045465D">
      <w:pPr>
        <w:jc w:val="both"/>
        <w:rPr>
          <w:rFonts w:cs="Arial"/>
          <w:szCs w:val="22"/>
          <w:lang w:val="en-CA"/>
        </w:rPr>
      </w:pPr>
      <w:r w:rsidRPr="0045465D">
        <w:rPr>
          <w:rFonts w:cs="Arial"/>
          <w:szCs w:val="22"/>
          <w:lang w:val="en-CA"/>
        </w:rPr>
        <w:t>Generally speaking, guidelines are required to avoid that PRIIPs manufacturer will potentially spawn a multitude of various approaches and a risk/return that this will be used as a competition or marketing element.</w:t>
      </w:r>
    </w:p>
    <w:p w:rsidR="0045465D" w:rsidRPr="0045465D" w:rsidRDefault="0045465D" w:rsidP="0045465D">
      <w:pPr>
        <w:jc w:val="both"/>
        <w:rPr>
          <w:rFonts w:cs="Arial"/>
          <w:b/>
          <w:color w:val="4F81BD" w:themeColor="accent1"/>
          <w:szCs w:val="22"/>
          <w:u w:val="single"/>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Appendix 1: Presentation of Performance Scenarios</w:t>
      </w:r>
    </w:p>
    <w:p w:rsidR="0045465D" w:rsidRPr="0045465D" w:rsidRDefault="0045465D" w:rsidP="0045465D">
      <w:pPr>
        <w:jc w:val="both"/>
        <w:rPr>
          <w:rFonts w:cs="Arial"/>
          <w:szCs w:val="22"/>
          <w:lang w:val="en-CA"/>
        </w:rPr>
      </w:pPr>
      <w:r w:rsidRPr="0045465D">
        <w:rPr>
          <w:rFonts w:cs="Arial"/>
          <w:szCs w:val="22"/>
          <w:lang w:val="en-CA"/>
        </w:rPr>
        <w:t>With regards to the proposed presentation in Appendix 1, we wonder why there are two almost identical tables presented on page 55? Should one consider that the first table is used for one-off investments, whereas the second table is meant for investment connected to an investment plan (as it includes “acc</w:t>
      </w:r>
      <w:r w:rsidRPr="0045465D">
        <w:rPr>
          <w:rFonts w:cs="Arial"/>
          <w:szCs w:val="22"/>
          <w:lang w:val="en-CA"/>
        </w:rPr>
        <w:t>u</w:t>
      </w:r>
      <w:r w:rsidRPr="0045465D">
        <w:rPr>
          <w:rFonts w:cs="Arial"/>
          <w:szCs w:val="22"/>
          <w:lang w:val="en-CA"/>
        </w:rPr>
        <w:t>mulated invested amount”)? We seek clarification.</w:t>
      </w:r>
    </w:p>
    <w:p w:rsidR="0045465D" w:rsidRPr="0045465D" w:rsidRDefault="0045465D" w:rsidP="0045465D">
      <w:pPr>
        <w:jc w:val="both"/>
        <w:rPr>
          <w:rFonts w:cs="Arial"/>
          <w:b/>
          <w:caps/>
          <w:color w:val="4F81BD" w:themeColor="accent1"/>
          <w:szCs w:val="22"/>
          <w:u w:val="single"/>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VI: Methodology for calculation of costs</w:t>
      </w:r>
    </w:p>
    <w:p w:rsidR="0045465D" w:rsidRPr="0045465D" w:rsidRDefault="0045465D" w:rsidP="0045465D">
      <w:pPr>
        <w:jc w:val="both"/>
        <w:rPr>
          <w:rFonts w:cs="Arial"/>
          <w:b/>
          <w:i/>
          <w:color w:val="4F81BD" w:themeColor="accent1"/>
          <w:szCs w:val="22"/>
          <w:lang w:val="en-CA"/>
        </w:rPr>
      </w:pPr>
      <w:r w:rsidRPr="0045465D">
        <w:rPr>
          <w:rFonts w:cs="Arial"/>
          <w:b/>
          <w:i/>
          <w:color w:val="4F81BD" w:themeColor="accent1"/>
          <w:szCs w:val="22"/>
          <w:lang w:val="en-CA"/>
        </w:rPr>
        <w:t>Part 1: List of costs of the different types of PRIIPs</w:t>
      </w:r>
    </w:p>
    <w:p w:rsidR="0045465D" w:rsidRPr="0045465D" w:rsidRDefault="0045465D" w:rsidP="0045465D">
      <w:pPr>
        <w:jc w:val="both"/>
        <w:rPr>
          <w:rFonts w:cs="Arial"/>
          <w:b/>
          <w:color w:val="4F81BD" w:themeColor="accent1"/>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Section I: List of Costs of investments funds (AIFs and UCITS)</w:t>
      </w:r>
    </w:p>
    <w:p w:rsidR="0045465D" w:rsidRPr="0045465D" w:rsidRDefault="0045465D" w:rsidP="0045465D">
      <w:pPr>
        <w:jc w:val="both"/>
        <w:rPr>
          <w:rFonts w:cs="Arial"/>
          <w:szCs w:val="22"/>
          <w:lang w:val="en-CA"/>
        </w:rPr>
      </w:pPr>
      <w:r w:rsidRPr="0045465D">
        <w:rPr>
          <w:rFonts w:cs="Arial"/>
          <w:szCs w:val="22"/>
          <w:lang w:val="en-CA"/>
        </w:rPr>
        <w:t>We understand that this list of costs of investment funds is based on the currently applicable CESR guid</w:t>
      </w:r>
      <w:r w:rsidRPr="0045465D">
        <w:rPr>
          <w:rFonts w:cs="Arial"/>
          <w:szCs w:val="22"/>
          <w:lang w:val="en-CA"/>
        </w:rPr>
        <w:t>e</w:t>
      </w:r>
      <w:r w:rsidRPr="0045465D">
        <w:rPr>
          <w:rFonts w:cs="Arial"/>
          <w:szCs w:val="22"/>
          <w:lang w:val="en-CA"/>
        </w:rPr>
        <w:t>lines. In particular, it seems that the underlying motive for this new cost list was to define as many costs as possible with different terminologies, instead of describing the underlying reason(s) for these types of costs to occur in the first place. This creates unnecessary ambiguities that can be avoided by using the approach used in the UCITS KIID guidelines. In particular, since it already covers all costs described in the “one-off” and “recurring” section.</w:t>
      </w:r>
    </w:p>
    <w:p w:rsidR="0045465D" w:rsidRPr="0045465D" w:rsidRDefault="0045465D" w:rsidP="0045465D">
      <w:pPr>
        <w:jc w:val="both"/>
        <w:rPr>
          <w:rFonts w:cs="Arial"/>
          <w:i/>
          <w:szCs w:val="22"/>
          <w:u w:val="single"/>
          <w:lang w:val="en-CA"/>
        </w:rPr>
      </w:pPr>
      <w:r w:rsidRPr="0045465D">
        <w:rPr>
          <w:rFonts w:cs="Arial"/>
          <w:i/>
          <w:szCs w:val="22"/>
          <w:u w:val="single"/>
          <w:lang w:val="en-CA"/>
        </w:rPr>
        <w:t>One-off costs</w:t>
      </w:r>
    </w:p>
    <w:p w:rsidR="0045465D" w:rsidRPr="0045465D" w:rsidRDefault="0045465D" w:rsidP="0045465D">
      <w:pPr>
        <w:jc w:val="both"/>
        <w:rPr>
          <w:rFonts w:cs="Arial"/>
          <w:szCs w:val="22"/>
          <w:lang w:val="en-CA"/>
        </w:rPr>
      </w:pPr>
      <w:r w:rsidRPr="0045465D">
        <w:rPr>
          <w:rFonts w:cs="Arial"/>
          <w:szCs w:val="22"/>
          <w:lang w:val="en-CA"/>
        </w:rPr>
        <w:t xml:space="preserve">Keeping our above comments in mind, we ask for further clarification of what is meant by a cost “borne by the fund” (para. 2). Our understanding would be that such a cost is a recurring cost rather than a one-off cost. Additionally, we do not understand the term “loading costs” (para. 3(b)) and wonder whether this is the same as subscription costs? </w:t>
      </w:r>
    </w:p>
    <w:p w:rsidR="0045465D" w:rsidRPr="0045465D" w:rsidRDefault="0045465D" w:rsidP="0045465D">
      <w:pPr>
        <w:jc w:val="both"/>
        <w:rPr>
          <w:rFonts w:cs="Arial"/>
          <w:i/>
          <w:szCs w:val="22"/>
          <w:u w:val="single"/>
          <w:lang w:val="en-CA"/>
        </w:rPr>
      </w:pPr>
      <w:r w:rsidRPr="0045465D">
        <w:rPr>
          <w:rFonts w:cs="Arial"/>
          <w:i/>
          <w:szCs w:val="22"/>
          <w:u w:val="single"/>
          <w:lang w:val="en-CA"/>
        </w:rPr>
        <w:t>Recurring costs</w:t>
      </w:r>
    </w:p>
    <w:p w:rsidR="0045465D" w:rsidRPr="0045465D" w:rsidRDefault="0045465D" w:rsidP="0045465D">
      <w:pPr>
        <w:jc w:val="both"/>
        <w:rPr>
          <w:rFonts w:cs="Arial"/>
          <w:szCs w:val="22"/>
          <w:lang w:val="en-CA"/>
        </w:rPr>
      </w:pPr>
      <w:r w:rsidRPr="0045465D">
        <w:rPr>
          <w:rFonts w:cs="Arial"/>
          <w:szCs w:val="22"/>
          <w:lang w:val="en-CA"/>
        </w:rPr>
        <w:t>We have several observations on the recurring cost section.</w:t>
      </w:r>
    </w:p>
    <w:p w:rsidR="0045465D" w:rsidRPr="0045465D" w:rsidRDefault="0045465D" w:rsidP="0045465D">
      <w:pPr>
        <w:jc w:val="both"/>
        <w:rPr>
          <w:rFonts w:cs="Arial"/>
          <w:szCs w:val="22"/>
          <w:lang w:val="en-CA"/>
        </w:rPr>
      </w:pPr>
      <w:proofErr w:type="gramStart"/>
      <w:r w:rsidRPr="0045465D">
        <w:rPr>
          <w:rFonts w:cs="Arial"/>
          <w:szCs w:val="22"/>
          <w:lang w:val="en-CA"/>
        </w:rPr>
        <w:t>First, para.</w:t>
      </w:r>
      <w:proofErr w:type="gramEnd"/>
      <w:r w:rsidRPr="0045465D">
        <w:rPr>
          <w:rFonts w:cs="Arial"/>
          <w:szCs w:val="22"/>
          <w:lang w:val="en-CA"/>
        </w:rPr>
        <w:t xml:space="preserve"> 6(b) sub point (v) contains both “securities lending” and “property management”, which are two distinctively different outsourced services and should thus be separated in their own sub points. Furthe</w:t>
      </w:r>
      <w:r w:rsidRPr="0045465D">
        <w:rPr>
          <w:rFonts w:cs="Arial"/>
          <w:szCs w:val="22"/>
          <w:lang w:val="en-CA"/>
        </w:rPr>
        <w:t>r</w:t>
      </w:r>
      <w:r w:rsidRPr="0045465D">
        <w:rPr>
          <w:rFonts w:cs="Arial"/>
          <w:szCs w:val="22"/>
          <w:lang w:val="en-CA"/>
        </w:rPr>
        <w:t>more, “capital expenditure” should not be included in the costs together with other operating expenses. “Capital expenditure” is a capital investment made directly on the assets with the effect of increasing the value of an asset (i.e. repairing the roof of a building) and thus is not an outsourced service. Its reference should be deleted.</w:t>
      </w:r>
    </w:p>
    <w:p w:rsidR="0045465D" w:rsidRPr="0045465D" w:rsidRDefault="0045465D" w:rsidP="0045465D">
      <w:pPr>
        <w:jc w:val="both"/>
        <w:rPr>
          <w:rFonts w:cs="Arial"/>
          <w:szCs w:val="22"/>
          <w:lang w:val="en-CA"/>
        </w:rPr>
      </w:pPr>
      <w:proofErr w:type="gramStart"/>
      <w:r w:rsidRPr="0045465D">
        <w:rPr>
          <w:rFonts w:cs="Arial"/>
          <w:szCs w:val="22"/>
          <w:lang w:val="en-CA"/>
        </w:rPr>
        <w:lastRenderedPageBreak/>
        <w:t>Second, with regards to para.</w:t>
      </w:r>
      <w:proofErr w:type="gramEnd"/>
      <w:r w:rsidRPr="0045465D">
        <w:rPr>
          <w:rFonts w:cs="Arial"/>
          <w:szCs w:val="22"/>
          <w:lang w:val="en-CA"/>
        </w:rPr>
        <w:t xml:space="preserve"> 6(h), we are unsure what is meant by “related parties” and ask for further clarification.</w:t>
      </w:r>
    </w:p>
    <w:p w:rsidR="0045465D" w:rsidRPr="0045465D" w:rsidRDefault="0045465D" w:rsidP="0045465D">
      <w:pPr>
        <w:jc w:val="both"/>
        <w:rPr>
          <w:rFonts w:cs="Arial"/>
          <w:szCs w:val="22"/>
          <w:lang w:val="en-CA"/>
        </w:rPr>
      </w:pPr>
      <w:proofErr w:type="gramStart"/>
      <w:r w:rsidRPr="0045465D">
        <w:rPr>
          <w:rFonts w:cs="Arial"/>
          <w:szCs w:val="22"/>
          <w:lang w:val="en-CA"/>
        </w:rPr>
        <w:t>With regard to para.</w:t>
      </w:r>
      <w:proofErr w:type="gramEnd"/>
      <w:r w:rsidRPr="0045465D">
        <w:rPr>
          <w:rFonts w:cs="Arial"/>
          <w:szCs w:val="22"/>
          <w:lang w:val="en-CA"/>
        </w:rPr>
        <w:t xml:space="preserve"> 6(i), we agree on the wording, but we disagree with the explanatory text on page 79. </w:t>
      </w:r>
      <w:r w:rsidRPr="0045465D">
        <w:rPr>
          <w:rFonts w:cs="Arial"/>
          <w:szCs w:val="22"/>
          <w:u w:val="single"/>
          <w:lang w:val="en-CA"/>
        </w:rPr>
        <w:t>Option premiums are not costs</w:t>
      </w:r>
      <w:r w:rsidRPr="0045465D">
        <w:rPr>
          <w:rFonts w:cs="Arial"/>
          <w:szCs w:val="22"/>
          <w:lang w:val="en-CA"/>
        </w:rPr>
        <w:t xml:space="preserve">. Generally speaking, the total price paid to invest into an asset (whether it </w:t>
      </w:r>
      <w:proofErr w:type="gramStart"/>
      <w:r w:rsidRPr="0045465D">
        <w:rPr>
          <w:rFonts w:cs="Arial"/>
          <w:szCs w:val="22"/>
          <w:lang w:val="en-CA"/>
        </w:rPr>
        <w:t>be</w:t>
      </w:r>
      <w:proofErr w:type="gramEnd"/>
      <w:r w:rsidRPr="0045465D">
        <w:rPr>
          <w:rFonts w:cs="Arial"/>
          <w:szCs w:val="22"/>
          <w:lang w:val="en-CA"/>
        </w:rPr>
        <w:t xml:space="preserve"> a stock, a bond or an option) is not a cost. Only a little part of the total price is cost (like brokerage fee). Furthermore, this explanatory text contradicts §18(c) on page 61.</w:t>
      </w:r>
    </w:p>
    <w:p w:rsidR="0045465D" w:rsidRPr="0045465D" w:rsidRDefault="0045465D" w:rsidP="0045465D">
      <w:pPr>
        <w:jc w:val="both"/>
        <w:rPr>
          <w:rFonts w:cs="Arial"/>
          <w:szCs w:val="22"/>
          <w:lang w:val="en-CA"/>
        </w:rPr>
      </w:pPr>
      <w:r w:rsidRPr="0045465D">
        <w:rPr>
          <w:rFonts w:cs="Arial"/>
          <w:szCs w:val="22"/>
          <w:u w:val="single"/>
          <w:lang w:val="en-CA"/>
        </w:rPr>
        <w:t>As regards costs of underlying investments</w:t>
      </w:r>
      <w:r w:rsidRPr="0045465D">
        <w:rPr>
          <w:rFonts w:cs="Arial"/>
          <w:szCs w:val="22"/>
          <w:lang w:val="en-CA"/>
        </w:rPr>
        <w:t>, the wording in paragraph 6(l) and (m) is very ambiguous and should be rectified by deleting the first subparagraph and starting right away with the respective subpar</w:t>
      </w:r>
      <w:r w:rsidRPr="0045465D">
        <w:rPr>
          <w:rFonts w:cs="Arial"/>
          <w:szCs w:val="22"/>
          <w:lang w:val="en-CA"/>
        </w:rPr>
        <w:t>a</w:t>
      </w:r>
      <w:r w:rsidRPr="0045465D">
        <w:rPr>
          <w:rFonts w:cs="Arial"/>
          <w:szCs w:val="22"/>
          <w:lang w:val="en-CA"/>
        </w:rPr>
        <w:t xml:space="preserve">graph (i). In our view, the correct provision should read as follows (taking the example of 6(l)): </w:t>
      </w:r>
    </w:p>
    <w:p w:rsidR="0045465D" w:rsidRPr="0045465D" w:rsidRDefault="0045465D" w:rsidP="0045465D">
      <w:pPr>
        <w:ind w:left="708"/>
        <w:jc w:val="both"/>
        <w:rPr>
          <w:rFonts w:cs="Arial"/>
          <w:szCs w:val="22"/>
          <w:lang w:val="en-US"/>
        </w:rPr>
      </w:pPr>
      <w:r w:rsidRPr="0045465D">
        <w:rPr>
          <w:rFonts w:cs="Arial"/>
          <w:szCs w:val="22"/>
          <w:lang w:val="en-US"/>
        </w:rPr>
        <w:t xml:space="preserve">(l) </w:t>
      </w:r>
      <w:proofErr w:type="gramStart"/>
      <w:r w:rsidRPr="0045465D">
        <w:rPr>
          <w:rFonts w:cs="Arial"/>
          <w:szCs w:val="22"/>
          <w:lang w:val="en-US"/>
        </w:rPr>
        <w:t>the</w:t>
      </w:r>
      <w:proofErr w:type="gramEnd"/>
      <w:r w:rsidRPr="0045465D">
        <w:rPr>
          <w:rFonts w:cs="Arial"/>
          <w:szCs w:val="22"/>
          <w:lang w:val="en-US"/>
        </w:rPr>
        <w:t xml:space="preserve"> costs of acquiring or disposing of units in UCITS or AIFs shall be taken into account in a</w:t>
      </w:r>
      <w:r w:rsidRPr="0045465D">
        <w:rPr>
          <w:rFonts w:cs="Arial"/>
          <w:szCs w:val="22"/>
          <w:lang w:val="en-US"/>
        </w:rPr>
        <w:t>c</w:t>
      </w:r>
      <w:r w:rsidRPr="0045465D">
        <w:rPr>
          <w:rFonts w:cs="Arial"/>
          <w:szCs w:val="22"/>
          <w:lang w:val="en-US"/>
        </w:rPr>
        <w:t xml:space="preserve">cordance with the following steps: </w:t>
      </w:r>
    </w:p>
    <w:p w:rsidR="0045465D" w:rsidRPr="0045465D" w:rsidRDefault="0045465D" w:rsidP="0045465D">
      <w:pPr>
        <w:ind w:left="1416"/>
        <w:jc w:val="both"/>
        <w:rPr>
          <w:rFonts w:cs="Arial"/>
          <w:szCs w:val="22"/>
          <w:lang w:val="en-US"/>
        </w:rPr>
      </w:pPr>
      <w:r w:rsidRPr="0045465D">
        <w:rPr>
          <w:rFonts w:cs="Arial"/>
          <w:szCs w:val="22"/>
          <w:lang w:val="en-US"/>
        </w:rPr>
        <w:t>(i) Where a fund invests its assets in UCITS or AIFs, its summary cost indicator and recu</w:t>
      </w:r>
      <w:r w:rsidRPr="0045465D">
        <w:rPr>
          <w:rFonts w:cs="Arial"/>
          <w:szCs w:val="22"/>
          <w:lang w:val="en-US"/>
        </w:rPr>
        <w:t>r</w:t>
      </w:r>
      <w:r w:rsidRPr="0045465D">
        <w:rPr>
          <w:rFonts w:cs="Arial"/>
          <w:szCs w:val="22"/>
          <w:lang w:val="en-US"/>
        </w:rPr>
        <w:t>ring ratio shall take account of the charges incurred in the underlying UCITS/AIFs. The fo</w:t>
      </w:r>
      <w:r w:rsidRPr="0045465D">
        <w:rPr>
          <w:rFonts w:cs="Arial"/>
          <w:szCs w:val="22"/>
          <w:lang w:val="en-US"/>
        </w:rPr>
        <w:t>l</w:t>
      </w:r>
      <w:r w:rsidRPr="0045465D">
        <w:rPr>
          <w:rFonts w:cs="Arial"/>
          <w:szCs w:val="22"/>
          <w:lang w:val="en-US"/>
        </w:rPr>
        <w:t xml:space="preserve">lowing shall be included in the calculation: </w:t>
      </w:r>
    </w:p>
    <w:p w:rsidR="0045465D" w:rsidRPr="0045465D" w:rsidRDefault="0045465D" w:rsidP="0045465D">
      <w:pPr>
        <w:ind w:left="1416"/>
        <w:jc w:val="both"/>
        <w:rPr>
          <w:rFonts w:cs="Arial"/>
          <w:szCs w:val="22"/>
          <w:lang w:val="en-US"/>
        </w:rPr>
      </w:pPr>
      <w:r w:rsidRPr="0045465D">
        <w:rPr>
          <w:rFonts w:cs="Arial"/>
          <w:szCs w:val="22"/>
          <w:lang w:val="en-US"/>
        </w:rPr>
        <w:t>(ii) if the underlying is a UCITS its most recently available recurring and entry/exit charges figure shall be used; this may be the figure published by the UCITS or its operator or management company, or a figure calculated by a reliable third-party source if more up-to-date than the published figure; […]</w:t>
      </w:r>
    </w:p>
    <w:p w:rsidR="0045465D" w:rsidRPr="0045465D" w:rsidRDefault="0045465D" w:rsidP="0045465D">
      <w:pPr>
        <w:jc w:val="both"/>
        <w:rPr>
          <w:rFonts w:cs="Arial"/>
          <w:szCs w:val="22"/>
          <w:lang w:val="en-CA"/>
        </w:rPr>
      </w:pPr>
      <w:r w:rsidRPr="0045465D">
        <w:rPr>
          <w:rFonts w:cs="Arial"/>
          <w:szCs w:val="22"/>
          <w:lang w:val="en-CA"/>
        </w:rPr>
        <w:t xml:space="preserve">Lastly, we believe that para. 6(q) contains a drafting error: it should be referencing either “section II” not “paragraph 2”, or para. </w:t>
      </w:r>
      <w:proofErr w:type="gramStart"/>
      <w:r w:rsidRPr="0045465D">
        <w:rPr>
          <w:rFonts w:cs="Arial"/>
          <w:szCs w:val="22"/>
          <w:lang w:val="en-CA"/>
        </w:rPr>
        <w:t>37 (page 65f) which discusses “implicit costs of PRIIPs other than investments funds”.</w:t>
      </w:r>
      <w:proofErr w:type="gramEnd"/>
      <w:r w:rsidRPr="0045465D">
        <w:rPr>
          <w:rFonts w:cs="Arial"/>
          <w:szCs w:val="22"/>
          <w:lang w:val="en-CA"/>
        </w:rPr>
        <w:t xml:space="preserve"> It seems to refer to implicit costs of derivatives entered into by funds. Those derivatives often do not qualify as PRIIPs, so their implicit costs will not be disclosed by counterparties. </w:t>
      </w:r>
      <w:proofErr w:type="gramStart"/>
      <w:r w:rsidRPr="0045465D">
        <w:rPr>
          <w:rFonts w:cs="Arial"/>
          <w:szCs w:val="22"/>
          <w:lang w:val="en-CA"/>
        </w:rPr>
        <w:t>Para.</w:t>
      </w:r>
      <w:proofErr w:type="gramEnd"/>
      <w:r w:rsidRPr="0045465D">
        <w:rPr>
          <w:rFonts w:cs="Arial"/>
          <w:szCs w:val="22"/>
          <w:lang w:val="en-CA"/>
        </w:rPr>
        <w:t xml:space="preserve"> 37 and following could not be applied, because asset managers are not able to compute the “fair value” with the same accuracy as investment banks. If the implicit costs incurred by funds have to be disclosed, then regulation should oblige counterparties (investment banks) to disclose them to asset managers.</w:t>
      </w:r>
    </w:p>
    <w:p w:rsidR="0045465D" w:rsidRPr="0045465D" w:rsidRDefault="0045465D" w:rsidP="0045465D">
      <w:pPr>
        <w:jc w:val="both"/>
        <w:rPr>
          <w:rFonts w:cs="Arial"/>
          <w:i/>
          <w:szCs w:val="22"/>
          <w:u w:val="single"/>
          <w:lang w:val="en-CA"/>
        </w:rPr>
      </w:pPr>
      <w:r w:rsidRPr="0045465D">
        <w:rPr>
          <w:rFonts w:cs="Arial"/>
          <w:i/>
          <w:szCs w:val="22"/>
          <w:u w:val="single"/>
          <w:lang w:val="en-CA"/>
        </w:rPr>
        <w:t>Transaction costs</w:t>
      </w:r>
    </w:p>
    <w:p w:rsidR="0045465D" w:rsidRPr="0045465D" w:rsidRDefault="0045465D" w:rsidP="0045465D">
      <w:pPr>
        <w:jc w:val="both"/>
        <w:rPr>
          <w:rFonts w:cs="Arial"/>
          <w:szCs w:val="22"/>
          <w:lang w:val="en-CA"/>
        </w:rPr>
      </w:pPr>
      <w:r w:rsidRPr="0045465D">
        <w:rPr>
          <w:rFonts w:cs="Arial"/>
          <w:szCs w:val="22"/>
          <w:lang w:val="en-CA"/>
        </w:rPr>
        <w:t>Please consider our answers to Questions 16 and 17.</w:t>
      </w:r>
    </w:p>
    <w:p w:rsidR="0045465D" w:rsidRPr="0045465D" w:rsidRDefault="0045465D" w:rsidP="0045465D">
      <w:pPr>
        <w:jc w:val="both"/>
        <w:rPr>
          <w:rFonts w:cs="Arial"/>
          <w:szCs w:val="22"/>
          <w:lang w:val="en-CA"/>
        </w:rPr>
      </w:pPr>
      <w:r w:rsidRPr="0045465D">
        <w:rPr>
          <w:rFonts w:cs="Arial"/>
          <w:szCs w:val="22"/>
          <w:lang w:val="en-CA"/>
        </w:rPr>
        <w:t xml:space="preserve">Furthermore, the reference to customised derivatives is not understandable and in contradiction with para. </w:t>
      </w:r>
      <w:proofErr w:type="gramStart"/>
      <w:r w:rsidRPr="0045465D">
        <w:rPr>
          <w:rFonts w:cs="Arial"/>
          <w:szCs w:val="22"/>
          <w:lang w:val="en-CA"/>
        </w:rPr>
        <w:t>6(q) on page 59.</w:t>
      </w:r>
      <w:proofErr w:type="gramEnd"/>
    </w:p>
    <w:p w:rsidR="0045465D" w:rsidRPr="0045465D" w:rsidRDefault="0045465D" w:rsidP="0045465D">
      <w:pPr>
        <w:jc w:val="both"/>
        <w:rPr>
          <w:rFonts w:cs="Arial"/>
          <w:i/>
          <w:szCs w:val="22"/>
          <w:u w:val="single"/>
          <w:lang w:val="en-CA"/>
        </w:rPr>
      </w:pPr>
      <w:r w:rsidRPr="0045465D">
        <w:rPr>
          <w:rFonts w:cs="Arial"/>
          <w:i/>
          <w:szCs w:val="22"/>
          <w:u w:val="single"/>
          <w:lang w:val="en-CA"/>
        </w:rPr>
        <w:t>Performance Fees</w:t>
      </w:r>
    </w:p>
    <w:p w:rsidR="0045465D" w:rsidRPr="0045465D" w:rsidRDefault="0045465D" w:rsidP="0045465D">
      <w:pPr>
        <w:jc w:val="both"/>
        <w:rPr>
          <w:rFonts w:cs="Arial"/>
          <w:szCs w:val="22"/>
          <w:lang w:val="en-CA"/>
        </w:rPr>
      </w:pPr>
      <w:r w:rsidRPr="0045465D">
        <w:rPr>
          <w:rFonts w:cs="Arial"/>
          <w:szCs w:val="22"/>
          <w:lang w:val="en-CA"/>
        </w:rPr>
        <w:t>For more detailed comments on the presentation of the Performance Fees, please consider our comments above on Annex V.</w:t>
      </w:r>
    </w:p>
    <w:p w:rsidR="0045465D" w:rsidRPr="0045465D" w:rsidRDefault="0045465D" w:rsidP="0045465D">
      <w:pPr>
        <w:jc w:val="both"/>
        <w:rPr>
          <w:rFonts w:cs="Arial"/>
          <w:b/>
          <w:color w:val="4F81BD" w:themeColor="accent1"/>
          <w:szCs w:val="22"/>
          <w:u w:val="single"/>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Section II: List of costs of PRIPs other than investment funds – including structured products, derivatives and contracts for difference (CFDs)</w:t>
      </w:r>
    </w:p>
    <w:p w:rsidR="0045465D" w:rsidRPr="0045465D" w:rsidRDefault="0045465D" w:rsidP="0045465D">
      <w:pPr>
        <w:jc w:val="both"/>
        <w:rPr>
          <w:rFonts w:cs="Arial"/>
          <w:szCs w:val="22"/>
          <w:lang w:val="en-CA"/>
        </w:rPr>
      </w:pPr>
      <w:proofErr w:type="gramStart"/>
      <w:r w:rsidRPr="0045465D">
        <w:rPr>
          <w:rFonts w:cs="Arial"/>
          <w:szCs w:val="22"/>
          <w:lang w:val="en-CA"/>
        </w:rPr>
        <w:t>With regards to para.</w:t>
      </w:r>
      <w:proofErr w:type="gramEnd"/>
      <w:r w:rsidRPr="0045465D">
        <w:rPr>
          <w:rFonts w:cs="Arial"/>
          <w:szCs w:val="22"/>
          <w:lang w:val="en-CA"/>
        </w:rPr>
        <w:t xml:space="preserve"> 32 on page 65 we suggest adding the following item: “direct or indirect costs assoc</w:t>
      </w:r>
      <w:r w:rsidRPr="0045465D">
        <w:rPr>
          <w:rFonts w:cs="Arial"/>
          <w:szCs w:val="22"/>
          <w:lang w:val="en-CA"/>
        </w:rPr>
        <w:t>i</w:t>
      </w:r>
      <w:r w:rsidRPr="0045465D">
        <w:rPr>
          <w:rFonts w:cs="Arial"/>
          <w:szCs w:val="22"/>
          <w:lang w:val="en-CA"/>
        </w:rPr>
        <w:t>ated to the structure of the product in relation to prudential requirements (own funds, liquidity, etc.)”. Also, we suggest adding the following to para. 26: “any recurring cost similar to those listed in paragraph 32”.</w:t>
      </w:r>
    </w:p>
    <w:p w:rsidR="0045465D" w:rsidRPr="0045465D" w:rsidRDefault="0045465D" w:rsidP="0045465D">
      <w:pPr>
        <w:jc w:val="both"/>
        <w:rPr>
          <w:rFonts w:cs="Arial"/>
          <w:b/>
          <w:color w:val="4F81BD" w:themeColor="accent1"/>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Section III: List of Costs of Insurance-based investment products</w:t>
      </w:r>
    </w:p>
    <w:p w:rsidR="0045465D" w:rsidRPr="0045465D" w:rsidRDefault="0045465D" w:rsidP="0045465D">
      <w:pPr>
        <w:jc w:val="both"/>
        <w:rPr>
          <w:rFonts w:cs="Arial"/>
          <w:szCs w:val="22"/>
          <w:lang w:val="en-CA"/>
        </w:rPr>
      </w:pPr>
      <w:r w:rsidRPr="0045465D">
        <w:rPr>
          <w:rFonts w:cs="Arial"/>
          <w:szCs w:val="22"/>
          <w:lang w:val="en-CA"/>
        </w:rPr>
        <w:t>Please consider our response to Question 19 above.</w:t>
      </w:r>
    </w:p>
    <w:p w:rsidR="0045465D" w:rsidRPr="0045465D" w:rsidRDefault="0045465D" w:rsidP="0045465D">
      <w:pPr>
        <w:jc w:val="both"/>
        <w:rPr>
          <w:rFonts w:cs="Arial"/>
          <w:szCs w:val="22"/>
          <w:lang w:val="en-CA"/>
        </w:rPr>
      </w:pPr>
      <w:r w:rsidRPr="0045465D">
        <w:rPr>
          <w:rFonts w:cs="Arial"/>
          <w:szCs w:val="22"/>
          <w:lang w:val="en-CA"/>
        </w:rPr>
        <w:t>In addition, all costs incurred in a fund that can be incurred by an insurance company in the manufactu</w:t>
      </w:r>
      <w:r w:rsidRPr="0045465D">
        <w:rPr>
          <w:rFonts w:cs="Arial"/>
          <w:szCs w:val="22"/>
          <w:lang w:val="en-CA"/>
        </w:rPr>
        <w:t>r</w:t>
      </w:r>
      <w:r w:rsidRPr="0045465D">
        <w:rPr>
          <w:rFonts w:cs="Arial"/>
          <w:szCs w:val="22"/>
          <w:lang w:val="en-CA"/>
        </w:rPr>
        <w:t>ing/managing of a PRIIP should be included. Alas, the same rules should be applied.</w:t>
      </w:r>
    </w:p>
    <w:p w:rsidR="0045465D" w:rsidRPr="0045465D" w:rsidRDefault="0045465D" w:rsidP="0045465D">
      <w:pPr>
        <w:jc w:val="both"/>
        <w:rPr>
          <w:rFonts w:cs="Arial"/>
          <w:b/>
          <w:i/>
          <w:color w:val="4F81BD" w:themeColor="accent1"/>
          <w:szCs w:val="22"/>
          <w:lang w:val="en-CA"/>
        </w:rPr>
      </w:pPr>
    </w:p>
    <w:p w:rsidR="0045465D" w:rsidRPr="0045465D" w:rsidRDefault="0045465D" w:rsidP="0045465D">
      <w:pPr>
        <w:jc w:val="both"/>
        <w:rPr>
          <w:rFonts w:cs="Arial"/>
          <w:b/>
          <w:i/>
          <w:color w:val="4F81BD" w:themeColor="accent1"/>
          <w:szCs w:val="22"/>
          <w:lang w:val="en-CA"/>
        </w:rPr>
      </w:pPr>
      <w:r w:rsidRPr="0045465D">
        <w:rPr>
          <w:rFonts w:cs="Arial"/>
          <w:b/>
          <w:i/>
          <w:color w:val="4F81BD" w:themeColor="accent1"/>
          <w:szCs w:val="22"/>
          <w:lang w:val="en-CA"/>
        </w:rPr>
        <w:t>Part 2: Summary indicators</w:t>
      </w:r>
    </w:p>
    <w:p w:rsidR="0045465D" w:rsidRPr="0045465D" w:rsidRDefault="0045465D" w:rsidP="0045465D">
      <w:pPr>
        <w:rPr>
          <w:sz w:val="18"/>
        </w:rPr>
      </w:pPr>
      <w:r w:rsidRPr="0045465D">
        <w:rPr>
          <w:rFonts w:cs="Arial"/>
          <w:szCs w:val="22"/>
          <w:lang w:val="en-CA"/>
        </w:rPr>
        <w:t>While having no technical remarks on the actual Reduction-In-Yield methodology, we question whether the concept “RIY” is understood by the average retail investor. We therefore propose (see comments on Annex VII’s presentation of costs) to circumscribe RIY with something more understandable such as “equivalent annual percentage rate”</w:t>
      </w:r>
    </w:p>
    <w:p w:rsidR="0045465D" w:rsidRPr="00F01C8E" w:rsidRDefault="0045465D" w:rsidP="00D34282"/>
    <w:permEnd w:id="2126190012"/>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657F6C" w:rsidRDefault="00657F6C" w:rsidP="00750796">
      <w:permStart w:id="1363547939" w:edGrp="everyone"/>
      <w:r w:rsidRPr="00657F6C">
        <w:t>The criteria for the comprehension alert in Recital 18 are clearly linked to the definition of complex and non-complex financial instruments described under MiFID II (Art. 25(4)) as well as complex and non-complex insurance-based investment products under IDD (Draft IDD Art. 30(3)). This means that any PRIIPs considered as non-complex in either MiFID II or IDD should not require a comprehension alert. By corollary, the need for a comprehension alert needs to be considered only for those PRIIPs considered complex under MiFID or IDD.</w:t>
      </w:r>
    </w:p>
    <w:p w:rsidR="00657F6C" w:rsidRDefault="00657F6C" w:rsidP="00750796"/>
    <w:p w:rsidR="00750796" w:rsidRDefault="00077FDA" w:rsidP="00750796">
      <w:r>
        <w:t>Having screened the Consultation Paper on PRIIPs KID</w:t>
      </w:r>
      <w:r w:rsidR="00C754A3">
        <w:t>,</w:t>
      </w:r>
      <w:r>
        <w:t xml:space="preserve"> </w:t>
      </w:r>
      <w:r w:rsidR="007F2CE1">
        <w:t>we are</w:t>
      </w:r>
      <w:r>
        <w:t xml:space="preserve"> still not sure whether the PRIIPs KID also need</w:t>
      </w:r>
      <w:r w:rsidR="0065297D">
        <w:t>s</w:t>
      </w:r>
      <w:r>
        <w:t xml:space="preserve"> to be provided to the client in advisory-free business.</w:t>
      </w:r>
    </w:p>
    <w:permEnd w:id="1363547939"/>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45"/>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45"/>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657F6C" w:rsidRDefault="007F2CE1" w:rsidP="0045465D">
      <w:pPr>
        <w:pStyle w:val="Listenabsatz"/>
        <w:numPr>
          <w:ilvl w:val="0"/>
          <w:numId w:val="39"/>
        </w:numPr>
      </w:pPr>
      <w:permStart w:id="1562060417" w:edGrp="everyone"/>
      <w:r>
        <w:t>We think</w:t>
      </w:r>
      <w:r w:rsidR="00077FDA">
        <w:t xml:space="preserve"> that there should be prescribed amounts amended to ensure comparability.</w:t>
      </w:r>
      <w:r w:rsidR="00072A55">
        <w:t xml:space="preserve"> We su</w:t>
      </w:r>
      <w:r w:rsidR="00072A55">
        <w:t>g</w:t>
      </w:r>
      <w:r w:rsidR="00072A55">
        <w:t>gest an amount of 10.000€</w:t>
      </w:r>
      <w:r w:rsidR="0065297D">
        <w:t>.</w:t>
      </w:r>
      <w:r w:rsidR="00F118A9">
        <w:t xml:space="preserve"> </w:t>
      </w:r>
      <w:r w:rsidR="00C754A3">
        <w:t>This would improve comparability</w:t>
      </w:r>
      <w:r w:rsidR="0063090C">
        <w:t>. Additionally it represents a more realistic investment sum for the typical retail client.</w:t>
      </w:r>
      <w:r w:rsidR="00657F6C" w:rsidRPr="00657F6C">
        <w:t xml:space="preserve"> </w:t>
      </w:r>
    </w:p>
    <w:p w:rsidR="00077FDA" w:rsidRDefault="00657F6C" w:rsidP="00657F6C">
      <w:pPr>
        <w:pStyle w:val="Listenabsatz"/>
        <w:ind w:left="1080"/>
      </w:pPr>
      <w:r w:rsidRPr="00657F6C">
        <w:t>The same default amounts should be used for all types of PRIIPs. Having different default amounts for different PRIIP types will hinder comparability for retail investors. The same logic should apply to</w:t>
      </w:r>
      <w:r>
        <w:t xml:space="preserve"> PRIIPs denominated in non-Euro</w:t>
      </w:r>
      <w:r w:rsidRPr="00657F6C">
        <w:t>.</w:t>
      </w:r>
    </w:p>
    <w:p w:rsidR="00657F6C" w:rsidRDefault="00657F6C" w:rsidP="00657F6C">
      <w:pPr>
        <w:pStyle w:val="Listenabsatz"/>
        <w:ind w:left="1080"/>
      </w:pPr>
      <w:r w:rsidRPr="008F5AE3">
        <w:t>Furthermore, to ensure comparability between all types of investment products, PRIIPs with a higher or prescribed investment amount should use the standard default amount for the pu</w:t>
      </w:r>
      <w:r w:rsidRPr="008F5AE3">
        <w:t>r</w:t>
      </w:r>
      <w:r w:rsidRPr="008F5AE3">
        <w:t>poses of the performance scenarios and costs calculation. The minimum or prescribed i</w:t>
      </w:r>
      <w:r w:rsidRPr="008F5AE3">
        <w:t>n</w:t>
      </w:r>
      <w:r w:rsidRPr="008F5AE3">
        <w:t>vestment amount should be disclosed clearly to the investor within the KID to inform him/her that only this (minimum) amount can be invested.</w:t>
      </w:r>
    </w:p>
    <w:p w:rsidR="00077FDA" w:rsidRDefault="00077FDA" w:rsidP="0045465D">
      <w:pPr>
        <w:pStyle w:val="Listenabsatz"/>
        <w:numPr>
          <w:ilvl w:val="0"/>
          <w:numId w:val="39"/>
        </w:numPr>
      </w:pPr>
      <w:r>
        <w:t xml:space="preserve">For PRIIPs products with </w:t>
      </w:r>
      <w:r w:rsidRPr="00077FDA">
        <w:t>a prescribed standardised amount</w:t>
      </w:r>
      <w:r w:rsidR="00072A55">
        <w:t xml:space="preserve"> an individualized amount should be allowed in order to avoid confusion for the investor.</w:t>
      </w:r>
    </w:p>
    <w:permEnd w:id="1562060417"/>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8F5AE3" w:rsidRPr="008F5AE3" w:rsidRDefault="008F5AE3" w:rsidP="008F5AE3">
      <w:pPr>
        <w:jc w:val="both"/>
        <w:rPr>
          <w:rFonts w:cs="Arial"/>
          <w:szCs w:val="22"/>
          <w:lang w:val="en-CA"/>
        </w:rPr>
      </w:pPr>
      <w:permStart w:id="1821778067" w:edGrp="everyone"/>
      <w:r w:rsidRPr="008F5AE3">
        <w:rPr>
          <w:rFonts w:cs="Arial"/>
          <w:szCs w:val="22"/>
          <w:lang w:val="en-CA"/>
        </w:rPr>
        <w:t>First, it is unclear into which categories of UCITS and AIFs fall – II, III or V.  This is due to the conflicting and imprecise wording of Annex II, which should be redrafted and simplified. The determination of what PRIIPs fall into which category is of utmost importance, as the MRM calculation is dependent on the PRIIPs categorisation. Even though the calculation formulas for category II PRIIPs had already been declared erroneous in the open hearing on 9 December 2015, an erratum was published only on 5 Jan</w:t>
      </w:r>
      <w:r w:rsidRPr="008F5AE3">
        <w:rPr>
          <w:rFonts w:cs="Arial"/>
          <w:szCs w:val="22"/>
          <w:lang w:val="en-CA"/>
        </w:rPr>
        <w:t>u</w:t>
      </w:r>
      <w:r w:rsidRPr="008F5AE3">
        <w:rPr>
          <w:rFonts w:cs="Arial"/>
          <w:szCs w:val="22"/>
          <w:lang w:val="en-CA"/>
        </w:rPr>
        <w:t>ary 2016. This confusion has seriously impeded the practical analysis and assessment of the calculation methodology. Discussions on the formula need to continue also among the expert group in order to elim</w:t>
      </w:r>
      <w:r w:rsidRPr="008F5AE3">
        <w:rPr>
          <w:rFonts w:cs="Arial"/>
          <w:szCs w:val="22"/>
          <w:lang w:val="en-CA"/>
        </w:rPr>
        <w:t>i</w:t>
      </w:r>
      <w:r w:rsidRPr="008F5AE3">
        <w:rPr>
          <w:rFonts w:cs="Arial"/>
          <w:szCs w:val="22"/>
          <w:lang w:val="en-CA"/>
        </w:rPr>
        <w:lastRenderedPageBreak/>
        <w:t>nate any errors and to allow the stakeholders for a renewed assessment. Otherwise, no final evaluation of methodology or comparison between Category II and III PRIIPs will be possible.</w:t>
      </w:r>
    </w:p>
    <w:p w:rsidR="008F5AE3" w:rsidRPr="008F5AE3" w:rsidRDefault="008F5AE3" w:rsidP="008F5AE3">
      <w:pPr>
        <w:jc w:val="both"/>
        <w:rPr>
          <w:rFonts w:cs="Arial"/>
          <w:szCs w:val="22"/>
          <w:lang w:val="en-CA"/>
        </w:rPr>
      </w:pPr>
      <w:r w:rsidRPr="008F5AE3">
        <w:rPr>
          <w:rFonts w:cs="Arial"/>
          <w:szCs w:val="22"/>
          <w:lang w:val="en-CA"/>
        </w:rPr>
        <w:t>Notwithstanding the confusing text, we agree that the Cornish Fisher expansion is an appropriate metho</w:t>
      </w:r>
      <w:r w:rsidRPr="008F5AE3">
        <w:rPr>
          <w:rFonts w:cs="Arial"/>
          <w:szCs w:val="22"/>
          <w:lang w:val="en-CA"/>
        </w:rPr>
        <w:t>d</w:t>
      </w:r>
      <w:r w:rsidRPr="008F5AE3">
        <w:rPr>
          <w:rFonts w:cs="Arial"/>
          <w:szCs w:val="22"/>
          <w:lang w:val="en-CA"/>
        </w:rPr>
        <w:t>ology to be applied for Category II PRIIPs.</w:t>
      </w:r>
    </w:p>
    <w:p w:rsidR="008F5AE3" w:rsidRPr="008F5AE3" w:rsidRDefault="008F5AE3" w:rsidP="008F5AE3">
      <w:pPr>
        <w:jc w:val="both"/>
        <w:rPr>
          <w:rFonts w:cs="Arial"/>
          <w:szCs w:val="22"/>
          <w:lang w:val="en-CA"/>
        </w:rPr>
      </w:pPr>
      <w:r w:rsidRPr="008F5AE3">
        <w:rPr>
          <w:rFonts w:cs="Arial"/>
          <w:szCs w:val="22"/>
          <w:lang w:val="en-CA"/>
        </w:rPr>
        <w:t>Preliminary calculations using the corrected Cornish Fisher expansion for Category II PRIIPs show that UCITS tend to end up in the same 7-scale MRM risk bucket as the currently used 7-scale SRRI. We thus question whether the implementation costs of a new methodology for UCITS and AIFs (already using the UCITS KIID) are justified, as applying the new risk methodology still arrives at the same market risk ind</w:t>
      </w:r>
      <w:r w:rsidRPr="008F5AE3">
        <w:rPr>
          <w:rFonts w:cs="Arial"/>
          <w:szCs w:val="22"/>
          <w:lang w:val="en-CA"/>
        </w:rPr>
        <w:t>i</w:t>
      </w:r>
      <w:r w:rsidRPr="008F5AE3">
        <w:rPr>
          <w:rFonts w:cs="Arial"/>
          <w:szCs w:val="22"/>
          <w:lang w:val="en-CA"/>
        </w:rPr>
        <w:t>cator.</w:t>
      </w:r>
    </w:p>
    <w:p w:rsidR="008F5AE3" w:rsidRPr="008F5AE3" w:rsidRDefault="008F5AE3" w:rsidP="008F5AE3">
      <w:pPr>
        <w:jc w:val="both"/>
        <w:rPr>
          <w:rFonts w:cs="Arial"/>
          <w:szCs w:val="22"/>
          <w:u w:val="single"/>
          <w:lang w:val="en-CA"/>
        </w:rPr>
      </w:pPr>
      <w:r w:rsidRPr="008F5AE3">
        <w:rPr>
          <w:rFonts w:cs="Arial"/>
          <w:szCs w:val="22"/>
          <w:lang w:val="en-CA"/>
        </w:rPr>
        <w:t xml:space="preserve">We must highlight that a PRIIP’s MRM must always be comparable to the risk level other PRIIPs which is currently not the case. We are against combining PRIIPs where the investor may lose more than the money invested (i.e. creating additional payment liabilities) and other types of PRIIPs with high volatility into the same Class-7 MRM. This would create the perception for retail investors that potentially losing much of your invested money is equally as risky as investing into a PRIIP that creates </w:t>
      </w:r>
      <w:r w:rsidRPr="008F5AE3">
        <w:rPr>
          <w:rFonts w:cs="Arial"/>
          <w:szCs w:val="22"/>
          <w:u w:val="single"/>
          <w:lang w:val="en-CA"/>
        </w:rPr>
        <w:t>additional</w:t>
      </w:r>
      <w:r w:rsidRPr="008F5AE3">
        <w:rPr>
          <w:rFonts w:cs="Arial"/>
          <w:szCs w:val="22"/>
          <w:lang w:val="en-CA"/>
        </w:rPr>
        <w:t xml:space="preserve"> payment liabilities beyond the initially invested amount. </w:t>
      </w:r>
    </w:p>
    <w:p w:rsidR="008F5AE3" w:rsidRPr="008F5AE3" w:rsidRDefault="008F5AE3" w:rsidP="008F5AE3">
      <w:pPr>
        <w:jc w:val="both"/>
        <w:rPr>
          <w:rFonts w:cs="Arial"/>
          <w:szCs w:val="22"/>
          <w:lang w:val="en-CA"/>
        </w:rPr>
      </w:pPr>
      <w:r w:rsidRPr="008F5AE3">
        <w:rPr>
          <w:rFonts w:cs="Arial"/>
          <w:szCs w:val="22"/>
          <w:lang w:val="en-CA"/>
        </w:rPr>
        <w:t xml:space="preserve">Additionally, under the ESAs’ proposal most equity funds will end up with a MRM of 6 to 7, while PRIIPs invested in illiquid assets will be assigned an MRM of 5. </w:t>
      </w:r>
    </w:p>
    <w:p w:rsidR="008F5AE3" w:rsidRPr="008F5AE3" w:rsidRDefault="008F5AE3" w:rsidP="008F5AE3">
      <w:pPr>
        <w:jc w:val="both"/>
        <w:rPr>
          <w:rFonts w:cs="Arial"/>
          <w:szCs w:val="22"/>
          <w:lang w:val="en-CA"/>
        </w:rPr>
      </w:pPr>
      <w:r w:rsidRPr="008F5AE3">
        <w:rPr>
          <w:rFonts w:cs="Arial"/>
          <w:szCs w:val="22"/>
          <w:lang w:val="en-CA"/>
        </w:rPr>
        <w:t xml:space="preserve">Also, if PRIIPs invested in illiquid assets (Category V) have sufficient data available to them to calculate their MRM according to Category II, they should be allowed to do so and refer only to Annex II para 14 in </w:t>
      </w:r>
      <w:proofErr w:type="gramStart"/>
      <w:r w:rsidRPr="008F5AE3">
        <w:rPr>
          <w:rFonts w:cs="Arial"/>
          <w:szCs w:val="22"/>
          <w:lang w:val="en-CA"/>
        </w:rPr>
        <w:t>case</w:t>
      </w:r>
      <w:proofErr w:type="gramEnd"/>
      <w:r w:rsidRPr="008F5AE3">
        <w:rPr>
          <w:rFonts w:cs="Arial"/>
          <w:szCs w:val="22"/>
          <w:lang w:val="en-CA"/>
        </w:rPr>
        <w:t xml:space="preserve"> of insufficient data.</w:t>
      </w:r>
    </w:p>
    <w:p w:rsidR="008F5AE3" w:rsidRPr="0046657D" w:rsidRDefault="008F5AE3" w:rsidP="008F5AE3">
      <w:pPr>
        <w:jc w:val="both"/>
        <w:rPr>
          <w:rFonts w:cs="Arial"/>
          <w:sz w:val="22"/>
          <w:szCs w:val="22"/>
          <w:u w:val="single"/>
          <w:lang w:val="en-CA"/>
        </w:rPr>
      </w:pPr>
      <w:r w:rsidRPr="008F5AE3">
        <w:rPr>
          <w:rFonts w:cs="Arial"/>
          <w:szCs w:val="22"/>
          <w:lang w:val="en-CA"/>
        </w:rPr>
        <w:t>Furthermore, we are against using “bootstrapping” for Category II PRIIPs, as preliminary calculations show that “Cornish Fisher” calculations provide almost the same results and this additional exercise provides no cost-benefit advantage, to investors nor to manufacturers. This is even more the case b</w:t>
      </w:r>
      <w:r w:rsidRPr="008F5AE3">
        <w:rPr>
          <w:rFonts w:cs="Arial"/>
          <w:szCs w:val="22"/>
          <w:lang w:val="en-CA"/>
        </w:rPr>
        <w:t>e</w:t>
      </w:r>
      <w:r w:rsidRPr="008F5AE3">
        <w:rPr>
          <w:rFonts w:cs="Arial"/>
          <w:szCs w:val="22"/>
          <w:lang w:val="en-CA"/>
        </w:rPr>
        <w:t xml:space="preserve">cause the majority of funds will fall into only two numbers of the seven-point scale.  During the open-hearing in Frankfurt the ESAs admitted that the results of “Cornish Fisher” and “bootstrapping” were comparable. </w:t>
      </w:r>
      <w:r w:rsidRPr="008F5AE3">
        <w:rPr>
          <w:rFonts w:cs="Arial"/>
          <w:szCs w:val="22"/>
          <w:u w:val="single"/>
          <w:lang w:val="en-CA"/>
        </w:rPr>
        <w:t xml:space="preserve">We therefore suggest </w:t>
      </w:r>
      <w:proofErr w:type="gramStart"/>
      <w:r w:rsidRPr="008F5AE3">
        <w:rPr>
          <w:rFonts w:cs="Arial"/>
          <w:szCs w:val="22"/>
          <w:u w:val="single"/>
          <w:lang w:val="en-CA"/>
        </w:rPr>
        <w:t>to use</w:t>
      </w:r>
      <w:proofErr w:type="gramEnd"/>
      <w:r w:rsidRPr="008F5AE3">
        <w:rPr>
          <w:rFonts w:cs="Arial"/>
          <w:szCs w:val="22"/>
          <w:u w:val="single"/>
          <w:lang w:val="en-CA"/>
        </w:rPr>
        <w:t xml:space="preserve"> the Cornish Fisher expansion for all Category II PRIIPs.</w:t>
      </w:r>
    </w:p>
    <w:permEnd w:id="1821778067"/>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8F5AE3" w:rsidRPr="00000DE7" w:rsidRDefault="008F5AE3" w:rsidP="008F5AE3">
      <w:pPr>
        <w:jc w:val="both"/>
        <w:rPr>
          <w:rFonts w:cs="Arial"/>
          <w:sz w:val="22"/>
          <w:szCs w:val="22"/>
          <w:lang w:val="en-CA"/>
        </w:rPr>
      </w:pPr>
      <w:permStart w:id="352419775" w:edGrp="everyone"/>
      <w:r w:rsidRPr="008F5AE3">
        <w:rPr>
          <w:rFonts w:cs="Arial"/>
          <w:szCs w:val="22"/>
          <w:lang w:val="en-CA"/>
        </w:rPr>
        <w:t>We agree with the ESAs’ proposal to use a confidence interval of 97.5%.</w:t>
      </w:r>
    </w:p>
    <w:permEnd w:id="352419775"/>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8F5AE3" w:rsidRPr="008F5AE3" w:rsidRDefault="00556C99" w:rsidP="00BC6926">
      <w:pPr>
        <w:jc w:val="both"/>
        <w:rPr>
          <w:rFonts w:cs="Arial"/>
          <w:szCs w:val="22"/>
          <w:lang w:val="en-CA"/>
        </w:rPr>
      </w:pPr>
      <w:permStart w:id="1517643968" w:edGrp="everyone"/>
      <w:r>
        <w:rPr>
          <w:rFonts w:cs="Arial"/>
          <w:szCs w:val="22"/>
          <w:lang w:val="en-CA"/>
        </w:rPr>
        <w:t>T</w:t>
      </w:r>
      <w:r w:rsidR="008F5AE3" w:rsidRPr="008F5AE3">
        <w:rPr>
          <w:rFonts w:cs="Arial"/>
          <w:szCs w:val="22"/>
          <w:lang w:val="en-CA"/>
        </w:rPr>
        <w:t>he existence of a compensation or guarantee scheme should not alter the credit risk assessment of an individual PRIIP (and thus its manufacturer). The KID has been designed to ensure that retail investors are being made aware of potential benefits and risks of a PRIIP. While it may make sense to highlight the existence of such schemes to investors</w:t>
      </w:r>
      <w:r w:rsidR="008F5AE3" w:rsidRPr="008F5AE3">
        <w:rPr>
          <w:rStyle w:val="Funotenzeichen"/>
          <w:rFonts w:cs="Arial"/>
          <w:szCs w:val="22"/>
        </w:rPr>
        <w:footnoteReference w:id="8"/>
      </w:r>
      <w:r w:rsidR="008F5AE3" w:rsidRPr="008F5AE3">
        <w:rPr>
          <w:rFonts w:cs="Arial"/>
          <w:szCs w:val="22"/>
          <w:lang w:val="en-CA"/>
        </w:rPr>
        <w:t>, it must be ensured that these compensation or guarantee schemes are seen as a measure of last resort and not as some additional benefit that lower the credit risk of a PRIIP. Systematically lowering (or even nullifying) the credit risk for a PRIIP that is connected to a (national) compensation or guarantee schemes would even create additional sy</w:t>
      </w:r>
      <w:r w:rsidR="008F5AE3" w:rsidRPr="008F5AE3">
        <w:rPr>
          <w:rFonts w:cs="Arial"/>
          <w:szCs w:val="22"/>
          <w:lang w:val="en-CA"/>
        </w:rPr>
        <w:t>s</w:t>
      </w:r>
      <w:r w:rsidR="008F5AE3" w:rsidRPr="008F5AE3">
        <w:rPr>
          <w:rFonts w:cs="Arial"/>
          <w:szCs w:val="22"/>
          <w:lang w:val="en-CA"/>
        </w:rPr>
        <w:t xml:space="preserve">temic risks, as it would </w:t>
      </w:r>
      <w:r w:rsidR="008F5AE3" w:rsidRPr="008F5AE3">
        <w:rPr>
          <w:rFonts w:cs="Arial"/>
          <w:szCs w:val="22"/>
          <w:lang w:val="en-CA"/>
        </w:rPr>
        <w:lastRenderedPageBreak/>
        <w:t xml:space="preserve">allow PRIIPs with a high credit risk the strong benefit of a compensation scheme and therefore appear as risky as PRIIPs with a lower credit risk. </w:t>
      </w:r>
    </w:p>
    <w:p w:rsidR="00750796" w:rsidRPr="00580880" w:rsidRDefault="008F5AE3" w:rsidP="00750796">
      <w:pPr>
        <w:rPr>
          <w:lang w:val="fr-FR"/>
        </w:rPr>
      </w:pPr>
      <w:r w:rsidRPr="008F5AE3">
        <w:rPr>
          <w:rFonts w:cs="Arial"/>
          <w:szCs w:val="22"/>
          <w:lang w:val="en-CA"/>
        </w:rPr>
        <w:t xml:space="preserve">Moreover, the level of potential additional protection through such schemes capped at a certain maximum amount per financial institution and individual investor. Therefore, including the fact of such a scheme in the credit assessment of an individual PRIIP could mislead investors to believe that investing larger amount is equally protected. </w:t>
      </w:r>
      <w:permEnd w:id="1517643968"/>
      <w:r w:rsidR="00750796" w:rsidRPr="00580880">
        <w:rPr>
          <w:lang w:val="fr-FR"/>
        </w:rPr>
        <w:t>&lt;ESMA_QUESTION_</w:t>
      </w:r>
      <w:r w:rsidR="003E4B00">
        <w:rPr>
          <w:lang w:val="fr-FR"/>
        </w:rPr>
        <w:t>PRIIPS</w:t>
      </w:r>
      <w:r w:rsidR="00750796"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BD516D" w:rsidRPr="00BD516D" w:rsidRDefault="00BD516D" w:rsidP="00BD516D">
      <w:pPr>
        <w:jc w:val="both"/>
        <w:rPr>
          <w:rFonts w:cs="Arial"/>
          <w:szCs w:val="22"/>
          <w:lang w:val="en-CA"/>
        </w:rPr>
      </w:pPr>
      <w:permStart w:id="1186337167" w:edGrp="everyone"/>
      <w:r w:rsidRPr="00BD516D">
        <w:rPr>
          <w:rFonts w:cs="Arial"/>
          <w:szCs w:val="22"/>
          <w:lang w:val="en-CA"/>
        </w:rPr>
        <w:t>We believe that an increase of the SRI should be allowed in a number of circumstances, such as, but not limited to, (i) increasing the SRI by one risk step in case the calculated SRI is oscillating between two risk buckets and (ii) setting the SRI by default at 7 if the manufacturer considers the product to be of high risk in any circumstances.</w:t>
      </w:r>
      <w:r w:rsidRPr="00BD516D">
        <w:rPr>
          <w:rStyle w:val="Funotenzeichen"/>
          <w:rFonts w:cs="Arial"/>
          <w:szCs w:val="22"/>
        </w:rPr>
        <w:footnoteReference w:id="9"/>
      </w:r>
    </w:p>
    <w:p w:rsidR="00BD516D" w:rsidRPr="00BD516D" w:rsidRDefault="00BD516D" w:rsidP="00BD516D">
      <w:pPr>
        <w:jc w:val="both"/>
        <w:rPr>
          <w:rFonts w:cs="Arial"/>
          <w:szCs w:val="22"/>
          <w:lang w:val="en-CA"/>
        </w:rPr>
      </w:pPr>
      <w:r w:rsidRPr="00BD516D">
        <w:rPr>
          <w:rFonts w:cs="Arial"/>
          <w:szCs w:val="22"/>
          <w:lang w:val="en-CA"/>
        </w:rPr>
        <w:t>Furthermore with regards to oscillation between two risk buckets, an important provision in the UCITS SRRI is missing, namely “[t]he synthetic risk and reward indicator shall be revised if the relevant volatility of the UCITS has fallen outside the bucket corresponding to its previous risk category on each weekly or monthly data reference point over the preceding 4 months.”</w:t>
      </w:r>
      <w:r w:rsidRPr="00BD516D">
        <w:rPr>
          <w:rStyle w:val="Funotenzeichen"/>
          <w:rFonts w:cs="Arial"/>
          <w:szCs w:val="22"/>
        </w:rPr>
        <w:footnoteReference w:id="10"/>
      </w:r>
      <w:r w:rsidRPr="00BD516D">
        <w:rPr>
          <w:rFonts w:cs="Arial"/>
          <w:szCs w:val="22"/>
          <w:lang w:val="en-CA"/>
        </w:rPr>
        <w:t xml:space="preserve"> This provision should be included for PRIIPs with regards to the migration rules for the MRM. However, given the widely diverse population of PRIIPs relative to UCITS, we suggest that this period should be lengthened to one calendar year. This lengthened period is necessary as we expect the currently proposed PRIIPs’ SRI to change much more frequently than the current UCITS SRRI.</w:t>
      </w:r>
    </w:p>
    <w:permEnd w:id="1186337167"/>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BD516D" w:rsidRPr="00BD516D" w:rsidRDefault="00BD516D" w:rsidP="00BD516D">
      <w:pPr>
        <w:jc w:val="both"/>
        <w:rPr>
          <w:rFonts w:cs="Arial"/>
          <w:szCs w:val="22"/>
          <w:lang w:val="en-CA"/>
        </w:rPr>
      </w:pPr>
      <w:permStart w:id="1470563029" w:edGrp="everyone"/>
      <w:r w:rsidRPr="00BD516D">
        <w:rPr>
          <w:rFonts w:cs="Arial"/>
          <w:szCs w:val="22"/>
          <w:lang w:val="en-CA"/>
        </w:rPr>
        <w:t xml:space="preserve">We agree with an adjustment of the credit risk for the tenor, as the calculation for market risk is also reflecting the higher risk for longer holding period for long term investments (e.g. higher discount for bonds with longer maturity). Not reflecting the tenor in the credit risk would give the false impression to retail investors that the credit risk of an obligor is the same, no matter the actual holding period of a PRIIP. </w:t>
      </w:r>
    </w:p>
    <w:p w:rsidR="00BD516D" w:rsidRDefault="00BD516D" w:rsidP="00BD516D">
      <w:pPr>
        <w:jc w:val="both"/>
        <w:rPr>
          <w:rFonts w:cs="Arial"/>
          <w:sz w:val="22"/>
          <w:szCs w:val="22"/>
          <w:lang w:val="en-CA"/>
        </w:rPr>
      </w:pPr>
      <w:r w:rsidRPr="00BD516D">
        <w:rPr>
          <w:rFonts w:cs="Arial"/>
          <w:szCs w:val="22"/>
          <w:lang w:val="en-CA"/>
        </w:rPr>
        <w:t>As stated in previous replies, we believe the credit risk scale should also contain seven risk classes to coincide with the 7-scale Market Risk Measure. This should allow aggregation that is less biased towards MRM as currently proposed.</w:t>
      </w:r>
    </w:p>
    <w:permEnd w:id="1470563029"/>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lastRenderedPageBreak/>
        <w:t>&lt;ESMA_QUESTION_PRIIPS_8&gt;</w:t>
      </w:r>
    </w:p>
    <w:p w:rsidR="00266F32" w:rsidRDefault="007F2CE1" w:rsidP="00BD516D">
      <w:permStart w:id="440097678" w:edGrp="everyone"/>
      <w:r>
        <w:t>We do</w:t>
      </w:r>
      <w:r w:rsidR="0039082B">
        <w:t xml:space="preserve"> not agree with the SRI classification. </w:t>
      </w:r>
      <w:r w:rsidR="0014461B">
        <w:t>Referring to the table in Part 3 (paragraph 69)</w:t>
      </w:r>
      <w:r w:rsidR="00BD516D">
        <w:t xml:space="preserve"> w</w:t>
      </w:r>
      <w:r>
        <w:t>e are</w:t>
      </w:r>
      <w:r w:rsidR="0014461B">
        <w:t xml:space="preserve"> of t</w:t>
      </w:r>
      <w:r w:rsidR="0039082B">
        <w:t xml:space="preserve">he opinion </w:t>
      </w:r>
      <w:r w:rsidR="0014461B">
        <w:t>that the higher SRI classes 5, 6 and 7 are overrepresented</w:t>
      </w:r>
      <w:r w:rsidR="0065297D">
        <w:t xml:space="preserve"> in the table</w:t>
      </w:r>
      <w:r w:rsidR="0014461B">
        <w:t>. Especially in line CR4 it is not comprehensible why there are just SRI classifications from 5 to 7.</w:t>
      </w:r>
      <w:r w:rsidR="007B2C2E">
        <w:t xml:space="preserve"> This might be due to the different scales use (MRM 1-7, CRM 1-7)</w:t>
      </w:r>
      <w:r w:rsidR="0071365D">
        <w:t xml:space="preserve">. </w:t>
      </w:r>
      <w:r w:rsidR="0039337E">
        <w:t>A standardization of the scales would be welcomed.</w:t>
      </w:r>
      <w:r w:rsidR="00BD516D">
        <w:t xml:space="preserve"> </w:t>
      </w:r>
    </w:p>
    <w:p w:rsidR="00BD516D" w:rsidRPr="00BD516D" w:rsidRDefault="00266F32" w:rsidP="00BD516D">
      <w:r>
        <w:t>Moreover w</w:t>
      </w:r>
      <w:proofErr w:type="spellStart"/>
      <w:r w:rsidR="00BD516D" w:rsidRPr="00BD516D">
        <w:rPr>
          <w:rFonts w:cs="Arial"/>
          <w:szCs w:val="22"/>
          <w:lang w:val="en-CA"/>
        </w:rPr>
        <w:t>e</w:t>
      </w:r>
      <w:proofErr w:type="spellEnd"/>
      <w:r w:rsidR="00BD516D" w:rsidRPr="00BD516D">
        <w:rPr>
          <w:rFonts w:cs="Arial"/>
          <w:szCs w:val="22"/>
          <w:lang w:val="en-CA"/>
        </w:rPr>
        <w:t xml:space="preserve"> regret the ESAs’ decision to aggregate market risk and credit risk into a single risk indicator. In line with our previous replies, we are sceptical about the supposed value of such an artificial aggreg</w:t>
      </w:r>
      <w:r w:rsidR="00BD516D" w:rsidRPr="00BD516D">
        <w:rPr>
          <w:rFonts w:cs="Arial"/>
          <w:szCs w:val="22"/>
          <w:lang w:val="en-CA"/>
        </w:rPr>
        <w:t>a</w:t>
      </w:r>
      <w:r w:rsidR="00BD516D" w:rsidRPr="00BD516D">
        <w:rPr>
          <w:rFonts w:cs="Arial"/>
          <w:szCs w:val="22"/>
          <w:lang w:val="en-CA"/>
        </w:rPr>
        <w:t>tion and thus the added benefit (if any) for retail investors. Indeed, we are very concerned that it will mi</w:t>
      </w:r>
      <w:r w:rsidR="00BD516D" w:rsidRPr="00BD516D">
        <w:rPr>
          <w:rFonts w:cs="Arial"/>
          <w:szCs w:val="22"/>
          <w:lang w:val="en-CA"/>
        </w:rPr>
        <w:t>s</w:t>
      </w:r>
      <w:r w:rsidR="00BD516D" w:rsidRPr="00BD516D">
        <w:rPr>
          <w:rFonts w:cs="Arial"/>
          <w:szCs w:val="22"/>
          <w:lang w:val="en-CA"/>
        </w:rPr>
        <w:t>lead or perpetuate a lack of understanding among investors.</w:t>
      </w:r>
    </w:p>
    <w:p w:rsidR="00BD516D" w:rsidRPr="00BD516D" w:rsidRDefault="00BD516D" w:rsidP="00BD516D">
      <w:pPr>
        <w:jc w:val="both"/>
        <w:rPr>
          <w:rFonts w:cs="Arial"/>
          <w:szCs w:val="22"/>
          <w:lang w:val="en-CA"/>
        </w:rPr>
      </w:pPr>
      <w:r w:rsidRPr="00BD516D">
        <w:rPr>
          <w:rFonts w:cs="Arial"/>
          <w:szCs w:val="22"/>
          <w:lang w:val="en-CA"/>
        </w:rPr>
        <w:t xml:space="preserve">Second, please also consider our reservations against combining PRIIPs that may lose the investor more than the money invested (i.e. creating additional payment liabilities) and other types of PRIIPs with high volatility into the same Class-7 MRM. </w:t>
      </w:r>
    </w:p>
    <w:p w:rsidR="00BD516D" w:rsidRPr="00BD516D" w:rsidRDefault="00BD516D" w:rsidP="00BD516D">
      <w:pPr>
        <w:jc w:val="both"/>
        <w:rPr>
          <w:rFonts w:cs="Arial"/>
          <w:szCs w:val="22"/>
          <w:lang w:val="en-CA"/>
        </w:rPr>
      </w:pPr>
      <w:r w:rsidRPr="00BD516D">
        <w:rPr>
          <w:rFonts w:cs="Arial"/>
          <w:szCs w:val="22"/>
          <w:lang w:val="en-CA"/>
        </w:rPr>
        <w:t>Third, as already mentioned in our answer to Q3, we are also concerned that the current scales do not allow for proper MRM comparability between all types of PRIIPs. At the moment, most equity funds will end up with a MRM of 6 to 7, while PRIIPs invested in illiquid assets will be assigned an MRM of 5.</w:t>
      </w:r>
    </w:p>
    <w:p w:rsidR="00BD516D" w:rsidRPr="00BD516D" w:rsidRDefault="00BD516D" w:rsidP="00BD516D">
      <w:pPr>
        <w:rPr>
          <w:sz w:val="18"/>
        </w:rPr>
      </w:pPr>
      <w:r w:rsidRPr="00BD516D">
        <w:rPr>
          <w:rFonts w:cs="Arial"/>
          <w:szCs w:val="22"/>
          <w:lang w:val="en-CA"/>
        </w:rPr>
        <w:t xml:space="preserve">Generally speaking, it seems that when aggregating market and credit risk into the summary risk indicator, credit risk is underrepresented. We believe that MRM and CRM should carry equal weightings. In any case, </w:t>
      </w:r>
      <w:r w:rsidRPr="00BD516D">
        <w:rPr>
          <w:rFonts w:cs="Arial"/>
          <w:szCs w:val="22"/>
          <w:u w:val="single"/>
          <w:lang w:val="en-CA"/>
        </w:rPr>
        <w:t xml:space="preserve">we are against the proposed alternative to restrict the number of credit risk classes to five, therefore further underweighting credit risk and creating a more </w:t>
      </w:r>
      <w:proofErr w:type="spellStart"/>
      <w:r w:rsidRPr="00BD516D">
        <w:rPr>
          <w:rFonts w:cs="Arial"/>
          <w:szCs w:val="22"/>
          <w:u w:val="single"/>
          <w:lang w:val="en-CA"/>
        </w:rPr>
        <w:t>unlevel</w:t>
      </w:r>
      <w:proofErr w:type="spellEnd"/>
      <w:r w:rsidRPr="00BD516D">
        <w:rPr>
          <w:rFonts w:cs="Arial"/>
          <w:szCs w:val="22"/>
          <w:u w:val="single"/>
          <w:lang w:val="en-CA"/>
        </w:rPr>
        <w:t xml:space="preserve"> playing field between different types of PRIIPs</w:t>
      </w:r>
      <w:r w:rsidRPr="00BD516D">
        <w:rPr>
          <w:rFonts w:cs="Arial"/>
          <w:szCs w:val="22"/>
          <w:lang w:val="en-CA"/>
        </w:rPr>
        <w:t xml:space="preserve"> which would further bias against market risk in favour of credit risk in the overall risk aggregation</w:t>
      </w:r>
      <w:r>
        <w:rPr>
          <w:rFonts w:cs="Arial"/>
          <w:szCs w:val="22"/>
          <w:lang w:val="en-CA"/>
        </w:rPr>
        <w:t>.</w:t>
      </w:r>
    </w:p>
    <w:permEnd w:id="440097678"/>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266F32" w:rsidRPr="00266F32" w:rsidRDefault="00266F32" w:rsidP="00BC6926">
      <w:pPr>
        <w:jc w:val="both"/>
        <w:rPr>
          <w:rFonts w:cs="Arial"/>
          <w:szCs w:val="22"/>
          <w:lang w:val="en-CA"/>
        </w:rPr>
      </w:pPr>
      <w:permStart w:id="1350436308" w:edGrp="everyone"/>
      <w:r w:rsidRPr="00266F32">
        <w:rPr>
          <w:rFonts w:cs="Arial"/>
          <w:szCs w:val="22"/>
          <w:lang w:val="en-CA"/>
        </w:rPr>
        <w:t>We agree with the proposed automatic allocation of a PRIIP to MRM class 1 when there is full (100%) capital protection. However, we seek further clarity on the definition of “capital protection” and that it may not correspond to a legally enforceable commitment.</w:t>
      </w:r>
    </w:p>
    <w:p w:rsidR="003E4B00" w:rsidRPr="00580880" w:rsidRDefault="00266F32" w:rsidP="003E4B00">
      <w:pPr>
        <w:rPr>
          <w:lang w:val="fr-FR"/>
        </w:rPr>
      </w:pPr>
      <w:r w:rsidRPr="00266F32">
        <w:rPr>
          <w:rFonts w:cs="Arial"/>
          <w:szCs w:val="22"/>
          <w:lang w:val="en-CA"/>
        </w:rPr>
        <w:t>We are nevertheless against extending a PRIIP’s automatic assessment to MRM class 1 beyond a five-year tenor. It is imperative that retail investors are not left under the impression that receiving back the initial investment amount after a long investment period is the same as a risk-less investment. Develo</w:t>
      </w:r>
      <w:r w:rsidRPr="00266F32">
        <w:rPr>
          <w:rFonts w:cs="Arial"/>
          <w:szCs w:val="22"/>
          <w:lang w:val="en-CA"/>
        </w:rPr>
        <w:t>p</w:t>
      </w:r>
      <w:r w:rsidRPr="00266F32">
        <w:rPr>
          <w:rFonts w:cs="Arial"/>
          <w:szCs w:val="22"/>
          <w:lang w:val="en-CA"/>
        </w:rPr>
        <w:t>ments in terms of inflation and general market circumstances are less predictable the longer the term. While the amount lost to inflation (when receiving back the initial investment amount) may not be that relevant in the first five years (at least in the current low-interest rate environment</w:t>
      </w:r>
      <w:r w:rsidRPr="00266F32">
        <w:rPr>
          <w:rFonts w:cs="Arial"/>
          <w:szCs w:val="22"/>
          <w:vertAlign w:val="superscript"/>
        </w:rPr>
        <w:footnoteReference w:id="11"/>
      </w:r>
      <w:r w:rsidRPr="00266F32">
        <w:rPr>
          <w:rFonts w:cs="Arial"/>
          <w:szCs w:val="22"/>
          <w:lang w:val="en-CA"/>
        </w:rPr>
        <w:t>), this effect is exa</w:t>
      </w:r>
      <w:r w:rsidRPr="00266F32">
        <w:rPr>
          <w:rFonts w:cs="Arial"/>
          <w:szCs w:val="22"/>
          <w:lang w:val="en-CA"/>
        </w:rPr>
        <w:t>g</w:t>
      </w:r>
      <w:r w:rsidRPr="00266F32">
        <w:rPr>
          <w:rFonts w:cs="Arial"/>
          <w:szCs w:val="22"/>
          <w:lang w:val="en-CA"/>
        </w:rPr>
        <w:t>gerated after a holding period of more than five years</w:t>
      </w:r>
      <w:proofErr w:type="gramStart"/>
      <w:r>
        <w:rPr>
          <w:rFonts w:cs="Arial"/>
          <w:szCs w:val="22"/>
          <w:lang w:val="en-CA"/>
        </w:rPr>
        <w:t>.</w:t>
      </w:r>
      <w:permEnd w:id="1350436308"/>
      <w:r w:rsidR="003E4B00" w:rsidRPr="00580880">
        <w:rPr>
          <w:lang w:val="fr-FR"/>
        </w:rPr>
        <w:t>&lt;</w:t>
      </w:r>
      <w:proofErr w:type="gramEnd"/>
      <w:r w:rsidR="003E4B00" w:rsidRPr="00580880">
        <w:rPr>
          <w:lang w:val="fr-FR"/>
        </w:rPr>
        <w:t>ESMA_QUESTION_</w:t>
      </w:r>
      <w:r w:rsidR="003E4B00">
        <w:rPr>
          <w:lang w:val="fr-FR"/>
        </w:rPr>
        <w:t>PRIIPS_9</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266F32" w:rsidRPr="00266F32" w:rsidRDefault="00266F32" w:rsidP="00BC6926">
      <w:pPr>
        <w:jc w:val="both"/>
        <w:rPr>
          <w:rFonts w:cs="Arial"/>
          <w:szCs w:val="22"/>
          <w:lang w:val="en-CA"/>
        </w:rPr>
      </w:pPr>
      <w:permStart w:id="864432725" w:edGrp="everyone"/>
      <w:r w:rsidRPr="00266F32">
        <w:rPr>
          <w:rFonts w:cs="Arial"/>
          <w:szCs w:val="22"/>
          <w:lang w:val="en-CA"/>
        </w:rPr>
        <w:lastRenderedPageBreak/>
        <w:t>We are not aware of circumstances in which the credit risk assessment should be assumed to be mitiga</w:t>
      </w:r>
      <w:r w:rsidRPr="00266F32">
        <w:rPr>
          <w:rFonts w:cs="Arial"/>
          <w:szCs w:val="22"/>
          <w:lang w:val="en-CA"/>
        </w:rPr>
        <w:t>t</w:t>
      </w:r>
      <w:r w:rsidRPr="00266F32">
        <w:rPr>
          <w:rFonts w:cs="Arial"/>
          <w:szCs w:val="22"/>
          <w:lang w:val="en-CA"/>
        </w:rPr>
        <w:t>ed. The Solvency II Directive, CRD IV/CRR and the Bank Recovery and Resolution Directive (among others) are merely tools to mitigate systemic risk by large institutions on the financial sector to reduce the need of public interventions for these institutions in times of great financial distress. These directives merely provide for further systemic risk buffers, but do not make these institutions infallible, thus rendering null and void the need to assess credit risk for PRIIPs connected to these institutions. In a worst case scenario, assuming that any PRIIP issued by institutions falling under such schemes would categor</w:t>
      </w:r>
      <w:r w:rsidRPr="00266F32">
        <w:rPr>
          <w:rFonts w:cs="Arial"/>
          <w:szCs w:val="22"/>
          <w:lang w:val="en-CA"/>
        </w:rPr>
        <w:t>i</w:t>
      </w:r>
      <w:r w:rsidRPr="00266F32">
        <w:rPr>
          <w:rFonts w:cs="Arial"/>
          <w:szCs w:val="22"/>
          <w:lang w:val="en-CA"/>
        </w:rPr>
        <w:t xml:space="preserve">cally lower their credit </w:t>
      </w:r>
      <w:proofErr w:type="gramStart"/>
      <w:r w:rsidRPr="00266F32">
        <w:rPr>
          <w:rFonts w:cs="Arial"/>
          <w:szCs w:val="22"/>
          <w:lang w:val="en-CA"/>
        </w:rPr>
        <w:t>risk,</w:t>
      </w:r>
      <w:proofErr w:type="gramEnd"/>
      <w:r w:rsidRPr="00266F32">
        <w:rPr>
          <w:rFonts w:cs="Arial"/>
          <w:szCs w:val="22"/>
          <w:lang w:val="en-CA"/>
        </w:rPr>
        <w:t xml:space="preserve"> would make these products seem less risky than comparable products. This, in turn, could even increase the systemic risk to the financial markets as a whole, which should not be the effect of the PRIIP KID Level-2 measures.</w:t>
      </w:r>
    </w:p>
    <w:p w:rsidR="00266F32" w:rsidRPr="00266F32" w:rsidRDefault="00266F32" w:rsidP="00BC6926">
      <w:pPr>
        <w:jc w:val="both"/>
        <w:rPr>
          <w:rFonts w:cs="Arial"/>
          <w:szCs w:val="22"/>
          <w:lang w:val="en-CA"/>
        </w:rPr>
      </w:pPr>
      <w:r w:rsidRPr="00266F32">
        <w:rPr>
          <w:rFonts w:cs="Arial"/>
          <w:szCs w:val="22"/>
          <w:lang w:val="en-CA"/>
        </w:rPr>
        <w:t>We welcome the ESAs’ statement on page 40 (para. 54 of Annex II to section 3) confirming that, in princ</w:t>
      </w:r>
      <w:r w:rsidRPr="00266F32">
        <w:rPr>
          <w:rFonts w:cs="Arial"/>
          <w:szCs w:val="22"/>
          <w:lang w:val="en-CA"/>
        </w:rPr>
        <w:t>i</w:t>
      </w:r>
      <w:r w:rsidRPr="00266F32">
        <w:rPr>
          <w:rFonts w:cs="Arial"/>
          <w:szCs w:val="22"/>
          <w:lang w:val="en-CA"/>
        </w:rPr>
        <w:t>ple, credit risk shall not be assessed on AIFs or UCITS. This is correct because investment funds do not expose investors to manufacturers’ credit risk because they are not on the balance sheet and very few have credit risk to guarantors.</w:t>
      </w:r>
    </w:p>
    <w:p w:rsidR="00266F32" w:rsidRPr="00266F32" w:rsidRDefault="00266F32" w:rsidP="00BC6926">
      <w:pPr>
        <w:jc w:val="both"/>
        <w:rPr>
          <w:rFonts w:cs="Arial"/>
          <w:szCs w:val="22"/>
          <w:lang w:val="en-CA"/>
        </w:rPr>
      </w:pPr>
      <w:r w:rsidRPr="00266F32">
        <w:rPr>
          <w:rFonts w:cs="Arial"/>
          <w:szCs w:val="22"/>
          <w:lang w:val="en-CA"/>
        </w:rPr>
        <w:t xml:space="preserve">We believe the cases outlined by the ESAs in relation to para. 55 of Annex II to section 3 (on page 40, completed by explanatory text on page 76), in which credit risk is still meant to be considered for funds, should be discarded, because all potential credit risk arising within a fund’s portfolio impacts the fund’s NAV and thus is already covered by its market risk. As a result, we think that for all calculations of the SRI, a fund’s credit risk should always be considered as being CR1. If the ESAs nevertheless persist with the proposal to require certain funds to calculate credit risk, these should be limited to those funds for which </w:t>
      </w:r>
      <w:r w:rsidRPr="00266F32">
        <w:rPr>
          <w:rFonts w:cs="Arial"/>
          <w:szCs w:val="22"/>
          <w:lang w:val="en-US"/>
        </w:rPr>
        <w:t>an entity directly engages to make a payment to the unitholder (i.e. external guaranteed funds).  In such cases, the fund’s credit risk rating should be that of the guarantor.</w:t>
      </w:r>
    </w:p>
    <w:p w:rsidR="003E4B00" w:rsidRPr="00580880" w:rsidRDefault="00266F32" w:rsidP="003E4B00">
      <w:pPr>
        <w:rPr>
          <w:lang w:val="fr-FR"/>
        </w:rPr>
      </w:pPr>
      <w:r w:rsidRPr="00266F32">
        <w:rPr>
          <w:rFonts w:cs="Arial"/>
          <w:szCs w:val="22"/>
          <w:lang w:val="en-CA"/>
        </w:rPr>
        <w:t>Finally, the absence of a guarantee scheme should not make funds be disregarded in comparison to other products. Funds, whose investments are insolvency remote, should instead be able to highlight the role of the depositary in the section “What happens if [the name of the PRIIP’s manufacturer] is unable to pay?</w:t>
      </w:r>
      <w:proofErr w:type="gramStart"/>
      <w:r w:rsidRPr="00266F32">
        <w:rPr>
          <w:rFonts w:cs="Arial"/>
          <w:szCs w:val="22"/>
          <w:lang w:val="en-CA"/>
        </w:rPr>
        <w:t>”.</w:t>
      </w:r>
      <w:proofErr w:type="gramEnd"/>
      <w:r w:rsidRPr="00266F32">
        <w:rPr>
          <w:rFonts w:cs="Arial"/>
          <w:szCs w:val="22"/>
          <w:lang w:val="en-CA"/>
        </w:rPr>
        <w:t xml:space="preserve"> All assets which the depositary holds in custody must be subject to adequate segregation and the depos</w:t>
      </w:r>
      <w:r w:rsidRPr="00266F32">
        <w:rPr>
          <w:rFonts w:cs="Arial"/>
          <w:szCs w:val="22"/>
          <w:lang w:val="en-CA"/>
        </w:rPr>
        <w:t>i</w:t>
      </w:r>
      <w:r w:rsidRPr="00266F32">
        <w:rPr>
          <w:rFonts w:cs="Arial"/>
          <w:szCs w:val="22"/>
          <w:lang w:val="en-CA"/>
        </w:rPr>
        <w:t>tary’s safekeeping duties are detailed by EU and national law</w:t>
      </w:r>
      <w:proofErr w:type="gramStart"/>
      <w:r>
        <w:rPr>
          <w:rFonts w:cs="Arial"/>
          <w:szCs w:val="22"/>
          <w:lang w:val="en-CA"/>
        </w:rPr>
        <w:t>.</w:t>
      </w:r>
      <w:permEnd w:id="864432725"/>
      <w:r w:rsidR="003E4B00" w:rsidRPr="00580880">
        <w:rPr>
          <w:lang w:val="fr-FR"/>
        </w:rPr>
        <w:t>&lt;</w:t>
      </w:r>
      <w:proofErr w:type="gramEnd"/>
      <w:r w:rsidR="003E4B00" w:rsidRPr="00580880">
        <w:rPr>
          <w:lang w:val="fr-FR"/>
        </w:rPr>
        <w:t>ESMA_QUESTION_</w:t>
      </w:r>
      <w:r w:rsidR="003E4B00">
        <w:rPr>
          <w:lang w:val="fr-FR"/>
        </w:rPr>
        <w:t>PRIIPS_10</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266F32" w:rsidRPr="00266F32" w:rsidRDefault="00266F32" w:rsidP="00BC6926">
      <w:pPr>
        <w:jc w:val="both"/>
        <w:rPr>
          <w:rFonts w:cs="Arial"/>
          <w:szCs w:val="22"/>
          <w:lang w:val="en-CA"/>
        </w:rPr>
      </w:pPr>
      <w:permStart w:id="637295889" w:edGrp="everyone"/>
      <w:r w:rsidRPr="00266F32">
        <w:rPr>
          <w:rFonts w:cs="Arial"/>
          <w:szCs w:val="22"/>
          <w:lang w:val="en-CA"/>
        </w:rPr>
        <w:t xml:space="preserve">A look-through approach to the assessment of credit risk may be necessary if packaging into another PRIIP is used to escape the assessment of credit risk of the effective underlying. However, it should not generally apply in the case of PRIIPs investing in other PRIIPs or into other underlying instruments as suggested in para. </w:t>
      </w:r>
      <w:proofErr w:type="gramStart"/>
      <w:r w:rsidRPr="00266F32">
        <w:rPr>
          <w:rFonts w:cs="Arial"/>
          <w:szCs w:val="22"/>
          <w:lang w:val="en-CA"/>
        </w:rPr>
        <w:t>55 (d) of Annex II.</w:t>
      </w:r>
      <w:proofErr w:type="gramEnd"/>
      <w:r w:rsidRPr="00266F32">
        <w:rPr>
          <w:rFonts w:cs="Arial"/>
          <w:szCs w:val="22"/>
          <w:lang w:val="en-CA"/>
        </w:rPr>
        <w:t xml:space="preserve"> The credit or counterparty risk involved with such investments should be considered part of the market risk as is the case for other investments in underlying assets and indeed, will be captured by the historical volatility data or performance simulations relevant for establishing the MRM category.</w:t>
      </w:r>
    </w:p>
    <w:p w:rsidR="003E4B00" w:rsidRPr="00580880" w:rsidRDefault="00266F32" w:rsidP="003E4B00">
      <w:pPr>
        <w:rPr>
          <w:lang w:val="fr-FR"/>
        </w:rPr>
      </w:pPr>
      <w:r w:rsidRPr="00266F32">
        <w:rPr>
          <w:rFonts w:cs="Arial"/>
          <w:szCs w:val="22"/>
          <w:lang w:val="en-CA"/>
        </w:rPr>
        <w:t>There is an important link between this proposal and that for MOPs. Many MOPs are insurance products with the underlying investment options being investment funds. Funds do not generally bear CR but insu</w:t>
      </w:r>
      <w:r w:rsidRPr="00266F32">
        <w:rPr>
          <w:rFonts w:cs="Arial"/>
          <w:szCs w:val="22"/>
          <w:lang w:val="en-CA"/>
        </w:rPr>
        <w:t>r</w:t>
      </w:r>
      <w:r>
        <w:rPr>
          <w:rFonts w:cs="Arial"/>
          <w:szCs w:val="22"/>
          <w:lang w:val="en-CA"/>
        </w:rPr>
        <w:t xml:space="preserve">ance products do. </w:t>
      </w:r>
      <w:r w:rsidRPr="00266F32">
        <w:rPr>
          <w:rFonts w:cs="Arial"/>
          <w:szCs w:val="22"/>
          <w:lang w:val="en-CA"/>
        </w:rPr>
        <w:t>The generic KID for the MOP should therefore show the effect of the CR of the insurer, otherwise MOPs produced by insurers with very different credit ratings will appear to carry the same overall risk for consumers</w:t>
      </w:r>
      <w:proofErr w:type="gramStart"/>
      <w:r>
        <w:rPr>
          <w:rFonts w:cs="Arial"/>
          <w:szCs w:val="22"/>
          <w:lang w:val="en-CA"/>
        </w:rPr>
        <w:t>.</w:t>
      </w:r>
      <w:permEnd w:id="637295889"/>
      <w:r w:rsidR="003E4B00" w:rsidRPr="00580880">
        <w:rPr>
          <w:lang w:val="fr-FR"/>
        </w:rPr>
        <w:t>&lt;</w:t>
      </w:r>
      <w:proofErr w:type="gramEnd"/>
      <w:r w:rsidR="003E4B00" w:rsidRPr="00580880">
        <w:rPr>
          <w:lang w:val="fr-FR"/>
        </w:rPr>
        <w:t>ESMA_QUESTION_</w:t>
      </w:r>
      <w:r w:rsidR="003E4B00">
        <w:rPr>
          <w:lang w:val="fr-FR"/>
        </w:rPr>
        <w:t>PRIIPS_11</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266F32" w:rsidRPr="00266F32" w:rsidRDefault="00266F32" w:rsidP="00266F32">
      <w:pPr>
        <w:spacing w:before="240" w:after="240"/>
        <w:jc w:val="both"/>
        <w:rPr>
          <w:rFonts w:cs="Arial"/>
          <w:szCs w:val="22"/>
          <w:lang w:val="en-CA"/>
        </w:rPr>
      </w:pPr>
      <w:permStart w:id="180119699" w:edGrp="everyone"/>
      <w:r w:rsidRPr="00266F32">
        <w:rPr>
          <w:rFonts w:cs="Arial"/>
          <w:szCs w:val="22"/>
          <w:lang w:val="en-CA"/>
        </w:rPr>
        <w:t>Generally speaking, the KID is meant to describe the overall characteristics of a PRIIP and not factor in the aspects of the individual investor such as, but not limited to national currency, risk appetite or tax situation. Therefore, the approach chosen to showcase the potential currency risk (when there is a diffe</w:t>
      </w:r>
      <w:r w:rsidRPr="00266F32">
        <w:rPr>
          <w:rFonts w:cs="Arial"/>
          <w:szCs w:val="22"/>
          <w:lang w:val="en-CA"/>
        </w:rPr>
        <w:t>r</w:t>
      </w:r>
      <w:r w:rsidRPr="00266F32">
        <w:rPr>
          <w:rFonts w:cs="Arial"/>
          <w:szCs w:val="22"/>
          <w:lang w:val="en-CA"/>
        </w:rPr>
        <w:t>ence between the currency of the PRIIP and the national currency of the investor targeted by the PRIIP manufacturer) should be disclosed from the point of view of the PRIIP and not that of the individual inve</w:t>
      </w:r>
      <w:r w:rsidRPr="00266F32">
        <w:rPr>
          <w:rFonts w:cs="Arial"/>
          <w:szCs w:val="22"/>
          <w:lang w:val="en-CA"/>
        </w:rPr>
        <w:t>s</w:t>
      </w:r>
      <w:r w:rsidRPr="00266F32">
        <w:rPr>
          <w:rFonts w:cs="Arial"/>
          <w:szCs w:val="22"/>
          <w:lang w:val="en-CA"/>
        </w:rPr>
        <w:t xml:space="preserve">tor. </w:t>
      </w:r>
    </w:p>
    <w:p w:rsidR="00266F32" w:rsidRPr="00266F32" w:rsidRDefault="00266F32" w:rsidP="00266F32">
      <w:pPr>
        <w:spacing w:before="240" w:after="240"/>
        <w:jc w:val="both"/>
        <w:rPr>
          <w:rFonts w:cs="Arial"/>
          <w:szCs w:val="22"/>
          <w:lang w:val="en-CA"/>
        </w:rPr>
      </w:pPr>
      <w:r w:rsidRPr="00266F32">
        <w:rPr>
          <w:rFonts w:cs="Arial"/>
          <w:szCs w:val="22"/>
          <w:lang w:val="en-CA"/>
        </w:rPr>
        <w:t>The currently proposed narrative for PRIIPs “denominated in a currency other than the legal tender in the Member State where the product is being marketed” will in effect require a separate KID for every country the PRIIP is being marketed into in case it diverges from the retail investor’s currency, which will inhibit cross-border distribution in the EU single market. We propose a more generic statement in element c of Annexes III’s Appendix 1 that should avoid such duplications, but still sufficiently alert the retail investor to the currency risk.</w:t>
      </w:r>
    </w:p>
    <w:p w:rsidR="00266F32" w:rsidRPr="00266F32" w:rsidRDefault="00266F32" w:rsidP="00266F32">
      <w:pPr>
        <w:spacing w:before="240" w:after="240"/>
        <w:ind w:left="708"/>
        <w:jc w:val="both"/>
        <w:rPr>
          <w:rFonts w:cs="Arial"/>
          <w:i/>
          <w:szCs w:val="22"/>
          <w:lang w:val="en-CA"/>
        </w:rPr>
      </w:pPr>
      <w:r w:rsidRPr="00266F32">
        <w:rPr>
          <w:rFonts w:cs="Arial"/>
          <w:i/>
          <w:szCs w:val="22"/>
          <w:lang w:val="en-US"/>
        </w:rPr>
        <w:t xml:space="preserve">[Where applicable: c] </w:t>
      </w:r>
      <w:proofErr w:type="gramStart"/>
      <w:r w:rsidRPr="00266F32">
        <w:rPr>
          <w:rFonts w:cs="Arial"/>
          <w:i/>
          <w:szCs w:val="22"/>
          <w:lang w:val="en-US"/>
        </w:rPr>
        <w:t>The</w:t>
      </w:r>
      <w:proofErr w:type="gramEnd"/>
      <w:r w:rsidRPr="00266F32">
        <w:rPr>
          <w:rFonts w:cs="Arial"/>
          <w:i/>
          <w:szCs w:val="22"/>
          <w:lang w:val="en-US"/>
        </w:rPr>
        <w:t xml:space="preserve"> money you get back is in [</w:t>
      </w:r>
      <w:r w:rsidRPr="00266F32">
        <w:rPr>
          <w:rFonts w:cs="Arial"/>
          <w:b/>
          <w:i/>
          <w:szCs w:val="22"/>
          <w:lang w:val="en-US"/>
        </w:rPr>
        <w:t>insert currency</w:t>
      </w:r>
      <w:r w:rsidRPr="00266F32">
        <w:rPr>
          <w:rFonts w:cs="Arial"/>
          <w:i/>
          <w:szCs w:val="22"/>
          <w:lang w:val="en-US"/>
        </w:rPr>
        <w:t>]. If your country has another currency, this means that the value of this product to you also depends on the exchange rate b</w:t>
      </w:r>
      <w:r w:rsidRPr="00266F32">
        <w:rPr>
          <w:rFonts w:cs="Arial"/>
          <w:i/>
          <w:szCs w:val="22"/>
          <w:lang w:val="en-US"/>
        </w:rPr>
        <w:t>e</w:t>
      </w:r>
      <w:r w:rsidRPr="00266F32">
        <w:rPr>
          <w:rFonts w:cs="Arial"/>
          <w:i/>
          <w:szCs w:val="22"/>
          <w:lang w:val="en-US"/>
        </w:rPr>
        <w:t>tween [</w:t>
      </w:r>
      <w:r w:rsidRPr="00266F32">
        <w:rPr>
          <w:rFonts w:cs="Arial"/>
          <w:b/>
          <w:i/>
          <w:szCs w:val="22"/>
          <w:lang w:val="en-US"/>
        </w:rPr>
        <w:t>currency of product</w:t>
      </w:r>
      <w:r w:rsidRPr="00266F32">
        <w:rPr>
          <w:rFonts w:cs="Arial"/>
          <w:i/>
          <w:szCs w:val="22"/>
          <w:lang w:val="en-US"/>
        </w:rPr>
        <w:t>] and the currency of your country.</w:t>
      </w:r>
    </w:p>
    <w:permEnd w:id="180119699"/>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266F32" w:rsidRPr="00556C99" w:rsidRDefault="00266F32" w:rsidP="00BC6926">
      <w:pPr>
        <w:jc w:val="both"/>
        <w:rPr>
          <w:rFonts w:cs="Arial"/>
          <w:szCs w:val="22"/>
          <w:lang w:val="en-CA"/>
        </w:rPr>
      </w:pPr>
      <w:permStart w:id="302543809" w:edGrp="everyone"/>
      <w:r w:rsidRPr="00556C99">
        <w:rPr>
          <w:rFonts w:cs="Arial"/>
          <w:szCs w:val="22"/>
          <w:lang w:val="en-CA"/>
        </w:rPr>
        <w:t>Yes, we think the Consultation Paper addresses the issue sufficiently.</w:t>
      </w:r>
    </w:p>
    <w:p w:rsidR="003E4B00" w:rsidRPr="00580880" w:rsidRDefault="00266F32" w:rsidP="003E4B00">
      <w:pPr>
        <w:rPr>
          <w:lang w:val="fr-FR"/>
        </w:rPr>
      </w:pPr>
      <w:r w:rsidRPr="00556C99">
        <w:rPr>
          <w:rFonts w:cs="Arial"/>
          <w:szCs w:val="22"/>
          <w:lang w:val="en-CA"/>
        </w:rPr>
        <w:t>The SRI should clearly indicate that it is computed on the assumption that the investor keeps the PRIIP until maturity, and therefore that it does not cover risk associated with early redemptions by investors or secondary market transactions. A warning should be required for capital guara</w:t>
      </w:r>
      <w:r w:rsidRPr="00556C99">
        <w:rPr>
          <w:rFonts w:cs="Arial"/>
          <w:szCs w:val="22"/>
          <w:lang w:val="en-CA"/>
        </w:rPr>
        <w:t>n</w:t>
      </w:r>
      <w:r w:rsidRPr="00556C99">
        <w:rPr>
          <w:rFonts w:cs="Arial"/>
          <w:szCs w:val="22"/>
          <w:lang w:val="en-CA"/>
        </w:rPr>
        <w:t>teed PRIIPs, stating that the value of the PRIIP could be significantly lower than the guaranteed value during the life of the PRIIP due to market and liquidity risk and fluctuations of market prices (as covered in element I on page 50</w:t>
      </w:r>
      <w:r w:rsidR="00556C99">
        <w:rPr>
          <w:rFonts w:cs="Arial"/>
          <w:szCs w:val="22"/>
          <w:lang w:val="en-CA"/>
        </w:rPr>
        <w:t>).</w:t>
      </w:r>
      <w:r>
        <w:rPr>
          <w:rFonts w:cs="Arial"/>
          <w:sz w:val="22"/>
          <w:szCs w:val="22"/>
          <w:lang w:val="en-CA"/>
        </w:rPr>
        <w:t>.</w:t>
      </w:r>
      <w:permEnd w:id="302543809"/>
      <w:r w:rsidR="003E4B00" w:rsidRPr="00580880">
        <w:rPr>
          <w:lang w:val="fr-FR"/>
        </w:rPr>
        <w:t>&lt;ESMA_QUESTION_</w:t>
      </w:r>
      <w:r w:rsidR="003E4B00">
        <w:rPr>
          <w:lang w:val="fr-FR"/>
        </w:rPr>
        <w:t>PRIIPS_13</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BC6926" w:rsidRPr="00BC6926" w:rsidRDefault="00BC6926" w:rsidP="00BC6926">
      <w:pPr>
        <w:jc w:val="both"/>
        <w:rPr>
          <w:rFonts w:cs="Arial"/>
          <w:szCs w:val="22"/>
          <w:lang w:val="en-CA"/>
        </w:rPr>
      </w:pPr>
      <w:permStart w:id="1988781732" w:edGrp="everyone"/>
      <w:r w:rsidRPr="00BC6926">
        <w:rPr>
          <w:rFonts w:cs="Arial"/>
          <w:szCs w:val="22"/>
          <w:lang w:val="en-CA"/>
        </w:rPr>
        <w:t xml:space="preserve">We severely regret that the PRIIP KID will not allow past performance to be shown. Experience with the UCITS KIID shows that investors wish to see the product’s history of returns (where there is one). We believe that both the performance history and possible future performance scenarios can and should be </w:t>
      </w:r>
      <w:r w:rsidRPr="00BC6926">
        <w:rPr>
          <w:rFonts w:cs="Arial"/>
          <w:szCs w:val="22"/>
          <w:lang w:val="en-CA"/>
        </w:rPr>
        <w:lastRenderedPageBreak/>
        <w:t>shown in the graphical presentation. They have the benefit of being based on facts, and give a useful indication of the way in which a fund is run</w:t>
      </w:r>
      <w:r w:rsidRPr="00BC6926">
        <w:rPr>
          <w:rStyle w:val="Funotenzeichen"/>
          <w:rFonts w:cs="Arial"/>
          <w:szCs w:val="22"/>
        </w:rPr>
        <w:footnoteReference w:id="12"/>
      </w:r>
      <w:r w:rsidRPr="00BC6926">
        <w:rPr>
          <w:rFonts w:cs="Arial"/>
          <w:szCs w:val="22"/>
          <w:lang w:val="en-CA"/>
        </w:rPr>
        <w:t xml:space="preserve">.  </w:t>
      </w:r>
    </w:p>
    <w:p w:rsidR="00BC6926" w:rsidRPr="00BC6926" w:rsidRDefault="00BC6926" w:rsidP="00BC6926">
      <w:pPr>
        <w:jc w:val="both"/>
        <w:rPr>
          <w:rFonts w:cs="Arial"/>
          <w:szCs w:val="22"/>
          <w:lang w:val="en-CA"/>
        </w:rPr>
      </w:pPr>
      <w:r w:rsidRPr="00BC6926">
        <w:rPr>
          <w:rFonts w:cs="Arial"/>
          <w:szCs w:val="22"/>
          <w:lang w:val="en-CA"/>
        </w:rPr>
        <w:t xml:space="preserve">Although we generally agree to use the performance fee, as prescribed in the cost section as a basis for the calculations in the performance section, we have the following comments: </w:t>
      </w:r>
    </w:p>
    <w:p w:rsidR="00BC6926" w:rsidRPr="00BC6926" w:rsidRDefault="00BC6926" w:rsidP="00BC6926">
      <w:pPr>
        <w:jc w:val="both"/>
        <w:rPr>
          <w:rFonts w:cs="Arial"/>
          <w:szCs w:val="22"/>
          <w:lang w:val="en-CA"/>
        </w:rPr>
      </w:pPr>
      <w:r w:rsidRPr="00BC6926">
        <w:rPr>
          <w:rFonts w:cs="Arial"/>
          <w:szCs w:val="22"/>
          <w:lang w:val="en-CA"/>
        </w:rPr>
        <w:t>In principle, a performance fee applies when superior performance arises and it may be appropriate to demonstrate it kicks in only in the favourable scenario. The moderate scenario should represent achieving the target performance, whereby no “over” performance arises and the unfavourable scenario should represent underperformance of the target.</w:t>
      </w:r>
    </w:p>
    <w:p w:rsidR="00BC6926" w:rsidRPr="00BC6926" w:rsidRDefault="00BC6926" w:rsidP="00BC6926">
      <w:pPr>
        <w:jc w:val="both"/>
        <w:rPr>
          <w:rFonts w:cs="Arial"/>
          <w:szCs w:val="22"/>
          <w:lang w:val="en-CA"/>
        </w:rPr>
      </w:pPr>
      <w:r w:rsidRPr="00BC6926">
        <w:rPr>
          <w:rFonts w:cs="Arial"/>
          <w:szCs w:val="22"/>
          <w:lang w:val="en-CA"/>
        </w:rPr>
        <w:t xml:space="preserve">Also, the ESAs are considering </w:t>
      </w:r>
      <w:proofErr w:type="gramStart"/>
      <w:r w:rsidRPr="00BC6926">
        <w:rPr>
          <w:rFonts w:cs="Arial"/>
          <w:szCs w:val="22"/>
          <w:lang w:val="en-CA"/>
        </w:rPr>
        <w:t>to use</w:t>
      </w:r>
      <w:proofErr w:type="gramEnd"/>
      <w:r w:rsidRPr="00BC6926">
        <w:rPr>
          <w:rFonts w:cs="Arial"/>
          <w:szCs w:val="22"/>
          <w:lang w:val="en-CA"/>
        </w:rPr>
        <w:t xml:space="preserve"> the past performance of the last five years as the benchmark (A</w:t>
      </w:r>
      <w:r w:rsidRPr="00BC6926">
        <w:rPr>
          <w:rFonts w:cs="Arial"/>
          <w:szCs w:val="22"/>
          <w:lang w:val="en-CA"/>
        </w:rPr>
        <w:t>n</w:t>
      </w:r>
      <w:r w:rsidRPr="00BC6926">
        <w:rPr>
          <w:rFonts w:cs="Arial"/>
          <w:szCs w:val="22"/>
          <w:lang w:val="en-CA"/>
        </w:rPr>
        <w:t>nex VI, para. 9, page 63) of the moderate scenario. This requires PRIIP manufacturers to define “unf</w:t>
      </w:r>
      <w:r w:rsidRPr="00BC6926">
        <w:rPr>
          <w:rFonts w:cs="Arial"/>
          <w:szCs w:val="22"/>
          <w:lang w:val="en-CA"/>
        </w:rPr>
        <w:t>a</w:t>
      </w:r>
      <w:r w:rsidRPr="00BC6926">
        <w:rPr>
          <w:rFonts w:cs="Arial"/>
          <w:szCs w:val="22"/>
          <w:lang w:val="en-CA"/>
        </w:rPr>
        <w:t>vourable” and “favourable”, which are completely different from historic performance and may lead to the wrong assumptions about performances in these two scenarios. Furthermore, such an approach would also assume that the past performance of the last five years’ could always be considered a moderate performance, which may not be the case. For example, if a PRIIP substantially outperformed its benc</w:t>
      </w:r>
      <w:r w:rsidRPr="00BC6926">
        <w:rPr>
          <w:rFonts w:cs="Arial"/>
          <w:szCs w:val="22"/>
          <w:lang w:val="en-CA"/>
        </w:rPr>
        <w:t>h</w:t>
      </w:r>
      <w:r w:rsidRPr="00BC6926">
        <w:rPr>
          <w:rFonts w:cs="Arial"/>
          <w:szCs w:val="22"/>
          <w:lang w:val="en-CA"/>
        </w:rPr>
        <w:t>mark in the past five years, this outperformance would now be considered as the normally expected return under the moderate scenario. It appears too short-sighted to make the choice of relevant scenarios entir</w:t>
      </w:r>
      <w:r w:rsidRPr="00BC6926">
        <w:rPr>
          <w:rFonts w:cs="Arial"/>
          <w:szCs w:val="22"/>
          <w:lang w:val="en-CA"/>
        </w:rPr>
        <w:t>e</w:t>
      </w:r>
      <w:r w:rsidRPr="00BC6926">
        <w:rPr>
          <w:rFonts w:cs="Arial"/>
          <w:szCs w:val="22"/>
          <w:lang w:val="en-CA"/>
        </w:rPr>
        <w:t>ly dependent on the past results in terms of performance fees. Hence, it should be left to the discretion of the product provider whether the previous performance results which generated the performance fee are presented as a moderate or a favourable scenario depending on the extent of the achieved outperfo</w:t>
      </w:r>
      <w:r w:rsidRPr="00BC6926">
        <w:rPr>
          <w:rFonts w:cs="Arial"/>
          <w:szCs w:val="22"/>
          <w:lang w:val="en-CA"/>
        </w:rPr>
        <w:t>r</w:t>
      </w:r>
      <w:r w:rsidRPr="00BC6926">
        <w:rPr>
          <w:rFonts w:cs="Arial"/>
          <w:szCs w:val="22"/>
          <w:lang w:val="en-CA"/>
        </w:rPr>
        <w:t>mance and the underlying development of the markets.</w:t>
      </w:r>
    </w:p>
    <w:p w:rsidR="00BC6926" w:rsidRPr="00BC6926" w:rsidRDefault="00BC6926" w:rsidP="00BC6926">
      <w:pPr>
        <w:jc w:val="both"/>
        <w:rPr>
          <w:rFonts w:cs="Arial"/>
          <w:szCs w:val="22"/>
          <w:lang w:val="en-CA"/>
        </w:rPr>
      </w:pPr>
      <w:r w:rsidRPr="00BC6926">
        <w:rPr>
          <w:rFonts w:cs="Arial"/>
          <w:szCs w:val="22"/>
          <w:lang w:val="en-CA"/>
        </w:rPr>
        <w:t>Moreover, fund providers should also have the discretion to assume different benchmark returns for different scenarios in order to avoid overly positive performance presentation where there has been ou</w:t>
      </w:r>
      <w:r w:rsidRPr="00BC6926">
        <w:rPr>
          <w:rFonts w:cs="Arial"/>
          <w:szCs w:val="22"/>
          <w:lang w:val="en-CA"/>
        </w:rPr>
        <w:t>t</w:t>
      </w:r>
      <w:r w:rsidRPr="00BC6926">
        <w:rPr>
          <w:rFonts w:cs="Arial"/>
          <w:szCs w:val="22"/>
          <w:lang w:val="en-CA"/>
        </w:rPr>
        <w:t>standing market performance in the preceding years. For instance, under the approach proposed by the ESAs, equity funds which succeeded to beat their respective benchmarks would have been required to make assumptions on their performance on the basis of very positive market developments in the years 2003-2007, even though market prospects had dramatically changed and the fund managers knew that past performance figures would not be even remotely achievable in the near future. In this case, and assuming that other funds would follow the general line of illustrating performance on the basis of reaso</w:t>
      </w:r>
      <w:r w:rsidRPr="00BC6926">
        <w:rPr>
          <w:rFonts w:cs="Arial"/>
          <w:szCs w:val="22"/>
          <w:lang w:val="en-CA"/>
        </w:rPr>
        <w:t>n</w:t>
      </w:r>
      <w:r w:rsidRPr="00BC6926">
        <w:rPr>
          <w:rFonts w:cs="Arial"/>
          <w:szCs w:val="22"/>
          <w:lang w:val="en-CA"/>
        </w:rPr>
        <w:t>able and conservative assumptions about future market conditions, it might even be that the ESAs would have created an unjustified bias in favour of funds charging performance fees by requiring excessively positive performance presentation on the basis of historical data.</w:t>
      </w:r>
    </w:p>
    <w:p w:rsidR="00BC6926" w:rsidRPr="00BC6926" w:rsidRDefault="00BC6926" w:rsidP="00BC6926">
      <w:pPr>
        <w:jc w:val="both"/>
        <w:rPr>
          <w:rFonts w:cs="Arial"/>
          <w:szCs w:val="22"/>
          <w:lang w:val="en-CA"/>
        </w:rPr>
      </w:pPr>
      <w:r w:rsidRPr="00BC6926">
        <w:rPr>
          <w:rFonts w:cs="Arial"/>
          <w:szCs w:val="22"/>
          <w:lang w:val="en-CA"/>
        </w:rPr>
        <w:t>In any event, the approach presuming that the return of the benchmark will remain stable for all scenarios should be clearly limited to events where a benchmark is being used as a determinant for performance fee calculation. Such an assumption implies that a fund is able to generate performance that is detached from the relevant market developments which is certainly not true in every case.</w:t>
      </w:r>
    </w:p>
    <w:p w:rsidR="00A2049D" w:rsidRPr="003E4B00" w:rsidRDefault="00BC6926" w:rsidP="003E4B00">
      <w:pPr>
        <w:rPr>
          <w:lang w:val="fr-FR"/>
        </w:rPr>
      </w:pPr>
      <w:r w:rsidRPr="00BC6926">
        <w:rPr>
          <w:rFonts w:cs="Arial"/>
          <w:szCs w:val="22"/>
          <w:lang w:val="en-CA"/>
        </w:rPr>
        <w:t>In particular with regards to the comparison of different types of PRIIPs, we disagree with the statement in para. 3 of Annex V (page 54), which stipulates that “in cases where products are considered to be illiquid according to Annex II part 5 paragraph 76, no information on the performance scenarios for the interim periods is required.” We consider that only PRIIPs with no disinvestment possibility before the reco</w:t>
      </w:r>
      <w:r w:rsidRPr="00BC6926">
        <w:rPr>
          <w:rFonts w:cs="Arial"/>
          <w:szCs w:val="22"/>
          <w:lang w:val="en-CA"/>
        </w:rPr>
        <w:t>m</w:t>
      </w:r>
      <w:r w:rsidRPr="00BC6926">
        <w:rPr>
          <w:rFonts w:cs="Arial"/>
          <w:szCs w:val="22"/>
          <w:lang w:val="en-CA"/>
        </w:rPr>
        <w:t>mended holding period (RHP) should be allowed to provide only one, performance scenario for the RHP. This is important as some illiquid PRIIPs do indeed offer disinvestment opportunity before the reco</w:t>
      </w:r>
      <w:r w:rsidRPr="00BC6926">
        <w:rPr>
          <w:rFonts w:cs="Arial"/>
          <w:szCs w:val="22"/>
          <w:lang w:val="en-CA"/>
        </w:rPr>
        <w:t>m</w:t>
      </w:r>
      <w:r w:rsidRPr="00BC6926">
        <w:rPr>
          <w:rFonts w:cs="Arial"/>
          <w:szCs w:val="22"/>
          <w:lang w:val="en-CA"/>
        </w:rPr>
        <w:t>mended holding period, but at additional costs and/or losses, which may not be as apparent to the retail investor if not consistently disclosed in the relevant KID sections. For these types of investment, it is important also to show interim holding periods</w:t>
      </w:r>
      <w:proofErr w:type="gramStart"/>
      <w:r w:rsidRPr="00000DE7">
        <w:rPr>
          <w:rFonts w:cs="Arial"/>
          <w:sz w:val="22"/>
          <w:szCs w:val="22"/>
          <w:lang w:val="en-CA"/>
        </w:rPr>
        <w:t>.</w:t>
      </w:r>
      <w:permEnd w:id="1988781732"/>
      <w:r w:rsidR="003E4B00" w:rsidRPr="00580880">
        <w:rPr>
          <w:lang w:val="fr-FR"/>
        </w:rPr>
        <w:t>&lt;</w:t>
      </w:r>
      <w:proofErr w:type="gramEnd"/>
      <w:r w:rsidR="003E4B00" w:rsidRPr="00580880">
        <w:rPr>
          <w:lang w:val="fr-FR"/>
        </w:rPr>
        <w:t>ESMA_QUESTION_</w:t>
      </w:r>
      <w:r w:rsidR="003E4B00">
        <w:rPr>
          <w:lang w:val="fr-FR"/>
        </w:rPr>
        <w:t>PRIIPS_14</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w:t>
      </w:r>
      <w:r w:rsidRPr="00A2049D">
        <w:rPr>
          <w:rFonts w:ascii="Calibri" w:hAnsi="Calibri"/>
          <w:i/>
          <w:sz w:val="22"/>
          <w:lang w:eastAsia="en-US"/>
        </w:rPr>
        <w:lastRenderedPageBreak/>
        <w:t xml:space="preserve">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7F2CE1" w:rsidP="003E4B00">
      <w:permStart w:id="1758683231" w:edGrp="everyone"/>
      <w:r>
        <w:t xml:space="preserve">We </w:t>
      </w:r>
      <w:r w:rsidR="00072A55">
        <w:t xml:space="preserve">want to indicate that it is not possible showing both </w:t>
      </w:r>
      <w:r w:rsidR="0065297D">
        <w:t xml:space="preserve">- </w:t>
      </w:r>
      <w:r w:rsidR="00072A55">
        <w:t>a table and a graph</w:t>
      </w:r>
      <w:r w:rsidR="0065297D">
        <w:t xml:space="preserve"> -</w:t>
      </w:r>
      <w:r w:rsidR="00072A55">
        <w:t xml:space="preserve"> while presenting all the other relevant information on a 3 pages document. Furthermore, showing both – a table and a graph – comprising the same information might confuse the retail client.</w:t>
      </w:r>
      <w:r w:rsidR="00BC6926">
        <w:t xml:space="preserve"> </w:t>
      </w:r>
    </w:p>
    <w:p w:rsidR="00BC6926" w:rsidRPr="00BC6926" w:rsidRDefault="00BC6926" w:rsidP="00BC6926">
      <w:pPr>
        <w:jc w:val="both"/>
        <w:rPr>
          <w:rFonts w:cs="Arial"/>
          <w:szCs w:val="22"/>
          <w:lang w:val="en-CA"/>
        </w:rPr>
      </w:pPr>
      <w:r w:rsidRPr="00BC6926">
        <w:rPr>
          <w:rFonts w:cs="Arial"/>
          <w:szCs w:val="22"/>
          <w:lang w:val="en-CA"/>
        </w:rPr>
        <w:t>Keeping in mind our previous comments, we favour a graphical representation. However, we are co</w:t>
      </w:r>
      <w:r w:rsidRPr="00BC6926">
        <w:rPr>
          <w:rFonts w:cs="Arial"/>
          <w:szCs w:val="22"/>
          <w:lang w:val="en-CA"/>
        </w:rPr>
        <w:t>n</w:t>
      </w:r>
      <w:r w:rsidRPr="00BC6926">
        <w:rPr>
          <w:rFonts w:cs="Arial"/>
          <w:szCs w:val="22"/>
          <w:lang w:val="en-CA"/>
        </w:rPr>
        <w:t xml:space="preserve">cerned that, as presented, consumers might interpret the plotted lines between the different holding period points as an indication of potential performance over intermediate periods. </w:t>
      </w:r>
    </w:p>
    <w:p w:rsidR="00BC6926" w:rsidRPr="00BC6926" w:rsidRDefault="00BC6926" w:rsidP="00BC6926">
      <w:pPr>
        <w:jc w:val="both"/>
        <w:rPr>
          <w:rFonts w:cs="Arial"/>
          <w:szCs w:val="22"/>
          <w:lang w:val="en-CA"/>
        </w:rPr>
      </w:pPr>
      <w:r w:rsidRPr="00BC6926">
        <w:rPr>
          <w:rFonts w:cs="Arial"/>
          <w:szCs w:val="22"/>
          <w:lang w:val="en-CA"/>
        </w:rPr>
        <w:t>Generally, we think a presentation of the performance scenarios in the form of a graph should be pr</w:t>
      </w:r>
      <w:r w:rsidRPr="00BC6926">
        <w:rPr>
          <w:rFonts w:cs="Arial"/>
          <w:szCs w:val="22"/>
          <w:lang w:val="en-CA"/>
        </w:rPr>
        <w:t>e</w:t>
      </w:r>
      <w:r w:rsidRPr="00BC6926">
        <w:rPr>
          <w:rFonts w:cs="Arial"/>
          <w:szCs w:val="22"/>
          <w:lang w:val="en-CA"/>
        </w:rPr>
        <w:t>ferred to allow easier comparability for retail investors. The consumer testing (p. 47) showed that graphical representation (i.e. “line graphs”) performed equally well as a table with a single holding period. Thus, a graphical presentation allows retail investors to assess different holding periods (especially for time per</w:t>
      </w:r>
      <w:r w:rsidRPr="00BC6926">
        <w:rPr>
          <w:rFonts w:cs="Arial"/>
          <w:szCs w:val="22"/>
          <w:lang w:val="en-CA"/>
        </w:rPr>
        <w:t>i</w:t>
      </w:r>
      <w:r w:rsidRPr="00BC6926">
        <w:rPr>
          <w:rFonts w:cs="Arial"/>
          <w:szCs w:val="22"/>
          <w:lang w:val="en-CA"/>
        </w:rPr>
        <w:t>ods before the end of the recommended holding period) while keeping the performance scenarios as simple, and at the same time being as exhaustive as possible. This would also be more intuitive for the investors and easier to understand, than if solely numbers and percentages were to be disclosed.</w:t>
      </w:r>
    </w:p>
    <w:p w:rsidR="00BC6926" w:rsidRPr="00BC6926" w:rsidRDefault="00BC6926" w:rsidP="00BC6926">
      <w:pPr>
        <w:rPr>
          <w:sz w:val="18"/>
        </w:rPr>
      </w:pPr>
      <w:r w:rsidRPr="00BC6926">
        <w:rPr>
          <w:rFonts w:cs="Arial"/>
          <w:szCs w:val="22"/>
          <w:lang w:val="en-CA"/>
        </w:rPr>
        <w:t>Lastly, the presentation of performance scenarios should be future-proof to allow enough flexibility to allow the usage of modern technology, i.e. websites, to better showcase different performance scenarios than is currently possible in paper form.</w:t>
      </w:r>
    </w:p>
    <w:permEnd w:id="1758683231"/>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7F2CE1" w:rsidP="003E4B00">
      <w:permStart w:id="1827416819" w:edGrp="everyone"/>
      <w:r>
        <w:t>We</w:t>
      </w:r>
      <w:r w:rsidR="00001BD9">
        <w:t xml:space="preserve"> agree that the transaction costs should be defined based on an estimated value.</w:t>
      </w:r>
    </w:p>
    <w:p w:rsidR="00BC6926" w:rsidRPr="00BC6926" w:rsidRDefault="00BC6926" w:rsidP="00BC6926">
      <w:pPr>
        <w:jc w:val="both"/>
        <w:rPr>
          <w:rFonts w:cs="Arial"/>
          <w:szCs w:val="22"/>
          <w:lang w:val="en-CA"/>
        </w:rPr>
      </w:pPr>
      <w:r w:rsidRPr="00BC6926">
        <w:rPr>
          <w:rFonts w:cs="Arial"/>
          <w:szCs w:val="22"/>
          <w:lang w:val="en-CA"/>
        </w:rPr>
        <w:t>But we are against the methodology prescribed by the ESAs to calculate potential transaction costs for a number of reasons.</w:t>
      </w:r>
    </w:p>
    <w:p w:rsidR="00BC6926" w:rsidRPr="00BC6926" w:rsidRDefault="00BC6926" w:rsidP="00BC6926">
      <w:pPr>
        <w:jc w:val="both"/>
        <w:rPr>
          <w:rFonts w:cs="Arial"/>
          <w:szCs w:val="22"/>
          <w:lang w:val="en-CA"/>
        </w:rPr>
      </w:pPr>
      <w:r w:rsidRPr="00BC6926">
        <w:rPr>
          <w:rFonts w:cs="Arial"/>
          <w:szCs w:val="22"/>
          <w:lang w:val="en-CA"/>
        </w:rPr>
        <w:t>First and foremost, any methodology must take into consideration that the calculation of Transaction Costs (TC) is simply a future estimate based on three years’ of historic data. Its outcome can never be fully accurate, so there should be a cost-benefit trade-off in finding a suitable calculation methodology.  Ther</w:t>
      </w:r>
      <w:r w:rsidRPr="00BC6926">
        <w:rPr>
          <w:rFonts w:cs="Arial"/>
          <w:szCs w:val="22"/>
          <w:lang w:val="en-CA"/>
        </w:rPr>
        <w:t>e</w:t>
      </w:r>
      <w:r w:rsidRPr="00BC6926">
        <w:rPr>
          <w:rFonts w:cs="Arial"/>
          <w:szCs w:val="22"/>
          <w:lang w:val="en-CA"/>
        </w:rPr>
        <w:t>fore, the proposed TC model is too burdensome to provide future estimates.</w:t>
      </w:r>
    </w:p>
    <w:p w:rsidR="00BC6926" w:rsidRPr="00BC6926" w:rsidRDefault="00BC6926" w:rsidP="00BC6926">
      <w:pPr>
        <w:jc w:val="both"/>
        <w:rPr>
          <w:rFonts w:cs="Arial"/>
          <w:szCs w:val="22"/>
          <w:lang w:val="en-CA"/>
        </w:rPr>
      </w:pPr>
      <w:r w:rsidRPr="00BC6926">
        <w:rPr>
          <w:rFonts w:cs="Arial"/>
          <w:szCs w:val="22"/>
          <w:lang w:val="en-CA"/>
        </w:rPr>
        <w:t>Furthermore, the proposed methodology is different from the options consulted upon in the ESAs’ Tec</w:t>
      </w:r>
      <w:r w:rsidRPr="00BC6926">
        <w:rPr>
          <w:rFonts w:cs="Arial"/>
          <w:szCs w:val="22"/>
          <w:lang w:val="en-CA"/>
        </w:rPr>
        <w:t>h</w:t>
      </w:r>
      <w:r w:rsidRPr="00BC6926">
        <w:rPr>
          <w:rFonts w:cs="Arial"/>
          <w:szCs w:val="22"/>
          <w:lang w:val="en-CA"/>
        </w:rPr>
        <w:t xml:space="preserve">nical Discussion Paper in the summer. The newly proposed model for calculating transaction costs now introduces the concept of an “arrival price” (para. 16). We understand this concept to originate from equity pricing models, but this </w:t>
      </w:r>
      <w:r w:rsidRPr="00BC6926">
        <w:rPr>
          <w:rFonts w:cs="Arial"/>
          <w:szCs w:val="22"/>
          <w:u w:val="single"/>
          <w:lang w:val="en-CA"/>
        </w:rPr>
        <w:t>methodology is unsuitable to calculate transaction costs.</w:t>
      </w:r>
      <w:r w:rsidRPr="00BC6926">
        <w:rPr>
          <w:rFonts w:cs="Arial"/>
          <w:b/>
          <w:szCs w:val="22"/>
          <w:lang w:val="en-CA"/>
        </w:rPr>
        <w:t xml:space="preserve"> </w:t>
      </w:r>
      <w:r w:rsidRPr="00BC6926">
        <w:rPr>
          <w:rFonts w:cs="Arial"/>
          <w:szCs w:val="22"/>
          <w:lang w:val="en-CA"/>
        </w:rPr>
        <w:t>The below reasons emphasise that a different approach for fixed income and other non-equities is needed.</w:t>
      </w:r>
    </w:p>
    <w:p w:rsidR="00BC6926" w:rsidRPr="00BC6926" w:rsidRDefault="00BC6926" w:rsidP="00BC6926">
      <w:pPr>
        <w:jc w:val="both"/>
        <w:rPr>
          <w:rFonts w:cs="Arial"/>
          <w:szCs w:val="22"/>
          <w:lang w:val="en-CA"/>
        </w:rPr>
      </w:pPr>
    </w:p>
    <w:p w:rsidR="00BC6926" w:rsidRPr="00BC6926" w:rsidRDefault="00BC6926" w:rsidP="00BC6926">
      <w:pPr>
        <w:jc w:val="both"/>
        <w:rPr>
          <w:rFonts w:cs="Arial"/>
          <w:i/>
          <w:szCs w:val="22"/>
          <w:u w:val="single"/>
          <w:lang w:val="en-CA"/>
        </w:rPr>
      </w:pPr>
      <w:r w:rsidRPr="00BC6926">
        <w:rPr>
          <w:rFonts w:cs="Arial"/>
          <w:i/>
          <w:szCs w:val="22"/>
          <w:u w:val="single"/>
          <w:lang w:val="en-CA"/>
        </w:rPr>
        <w:t>Inclusion of market impact at odds with MiFID II</w:t>
      </w:r>
    </w:p>
    <w:p w:rsidR="00BC6926" w:rsidRPr="00BC6926" w:rsidRDefault="00BC6926" w:rsidP="00BC6926">
      <w:pPr>
        <w:jc w:val="both"/>
        <w:rPr>
          <w:rFonts w:cs="Arial"/>
          <w:szCs w:val="22"/>
          <w:lang w:val="en-CA"/>
        </w:rPr>
      </w:pPr>
      <w:r w:rsidRPr="00BC6926">
        <w:rPr>
          <w:rFonts w:cs="Arial"/>
          <w:szCs w:val="22"/>
          <w:lang w:val="en-US"/>
        </w:rPr>
        <w:t>MiFID II clearly and explicitly excludes market impact from its definition of costs</w:t>
      </w:r>
      <w:r w:rsidRPr="00BC6926">
        <w:rPr>
          <w:rStyle w:val="Funotenzeichen"/>
          <w:rFonts w:cs="Arial"/>
          <w:szCs w:val="22"/>
          <w:lang w:val="en-US"/>
        </w:rPr>
        <w:footnoteReference w:id="13"/>
      </w:r>
      <w:r w:rsidRPr="00BC6926">
        <w:rPr>
          <w:rFonts w:cs="Arial"/>
          <w:szCs w:val="22"/>
          <w:lang w:val="en-US"/>
        </w:rPr>
        <w:t>. The re-inclusion through the now proposed methodology is not only legally wrong and but also provides for incorrect a</w:t>
      </w:r>
      <w:r w:rsidRPr="00BC6926">
        <w:rPr>
          <w:rFonts w:cs="Arial"/>
          <w:szCs w:val="22"/>
          <w:lang w:val="en-US"/>
        </w:rPr>
        <w:t>s</w:t>
      </w:r>
      <w:r w:rsidRPr="00BC6926">
        <w:rPr>
          <w:rFonts w:cs="Arial"/>
          <w:szCs w:val="22"/>
          <w:lang w:val="en-US"/>
        </w:rPr>
        <w:t>sumptions in calculating transaction costs</w:t>
      </w:r>
      <w:r w:rsidRPr="00BC6926">
        <w:rPr>
          <w:rStyle w:val="Funotenzeichen"/>
          <w:rFonts w:cs="Arial"/>
          <w:szCs w:val="22"/>
          <w:lang w:val="en-US"/>
        </w:rPr>
        <w:footnoteReference w:id="14"/>
      </w:r>
      <w:r w:rsidRPr="00BC6926">
        <w:rPr>
          <w:rFonts w:cs="Arial"/>
          <w:szCs w:val="22"/>
          <w:lang w:val="en-US"/>
        </w:rPr>
        <w:t>. Market</w:t>
      </w:r>
      <w:r w:rsidRPr="00BC6926">
        <w:rPr>
          <w:rFonts w:cs="Arial"/>
          <w:szCs w:val="22"/>
          <w:lang w:val="en-CA"/>
        </w:rPr>
        <w:t xml:space="preserve"> impact is not a cost, but it is part of market risk. What </w:t>
      </w:r>
      <w:r w:rsidRPr="00BC6926">
        <w:rPr>
          <w:rFonts w:cs="Arial"/>
          <w:szCs w:val="22"/>
          <w:lang w:val="en-CA"/>
        </w:rPr>
        <w:lastRenderedPageBreak/>
        <w:t>you are calculating is whether or not you have timed your order well. The transaction costs in the pr</w:t>
      </w:r>
      <w:r w:rsidRPr="00BC6926">
        <w:rPr>
          <w:rFonts w:cs="Arial"/>
          <w:szCs w:val="22"/>
          <w:lang w:val="en-CA"/>
        </w:rPr>
        <w:t>o</w:t>
      </w:r>
      <w:r w:rsidRPr="00BC6926">
        <w:rPr>
          <w:rFonts w:cs="Arial"/>
          <w:szCs w:val="22"/>
          <w:lang w:val="en-CA"/>
        </w:rPr>
        <w:t>posed model are equal to the exercise price at closing minus the mid-market price at the time the portfolio manager placed the order. The mixing with performance is then so great and the added value is so li</w:t>
      </w:r>
      <w:r w:rsidRPr="00BC6926">
        <w:rPr>
          <w:rFonts w:cs="Arial"/>
          <w:szCs w:val="22"/>
          <w:lang w:val="en-CA"/>
        </w:rPr>
        <w:t>m</w:t>
      </w:r>
      <w:r w:rsidRPr="00BC6926">
        <w:rPr>
          <w:rFonts w:cs="Arial"/>
          <w:szCs w:val="22"/>
          <w:lang w:val="en-CA"/>
        </w:rPr>
        <w:t>ited, that its desirability is highly questionable. Also</w:t>
      </w:r>
      <w:r w:rsidRPr="00BC6926">
        <w:rPr>
          <w:rFonts w:cs="Arial"/>
          <w:szCs w:val="22"/>
          <w:lang w:val="en-US"/>
        </w:rPr>
        <w:t xml:space="preserve"> under the proposed methodology it will be possible that a trade could incur negative transaction costs, if the market price at execution is lower than at the time of the order. This is because the price of an instrument may go down</w:t>
      </w:r>
      <w:r w:rsidRPr="00BC6926" w:rsidDel="00A668FC">
        <w:rPr>
          <w:rFonts w:cs="Arial"/>
          <w:szCs w:val="22"/>
          <w:lang w:val="en-US"/>
        </w:rPr>
        <w:t xml:space="preserve"> </w:t>
      </w:r>
      <w:r w:rsidRPr="00BC6926">
        <w:rPr>
          <w:rFonts w:cs="Arial"/>
          <w:szCs w:val="22"/>
          <w:lang w:val="en-US"/>
        </w:rPr>
        <w:t>after the order is sent. This unde</w:t>
      </w:r>
      <w:r w:rsidRPr="00BC6926">
        <w:rPr>
          <w:rFonts w:cs="Arial"/>
          <w:szCs w:val="22"/>
          <w:lang w:val="en-US"/>
        </w:rPr>
        <w:t>r</w:t>
      </w:r>
      <w:r w:rsidRPr="00BC6926">
        <w:rPr>
          <w:rFonts w:cs="Arial"/>
          <w:szCs w:val="22"/>
          <w:lang w:val="en-US"/>
        </w:rPr>
        <w:t>lines that the costs would largely depend on the trading model used and is therefore unlikely to promote comparability or predictability of costs for the retail investor. </w:t>
      </w:r>
    </w:p>
    <w:p w:rsidR="00BC6926" w:rsidRPr="00BC6926" w:rsidRDefault="00BC6926" w:rsidP="00BC6926">
      <w:pPr>
        <w:jc w:val="both"/>
        <w:rPr>
          <w:rFonts w:cs="Arial"/>
          <w:szCs w:val="22"/>
          <w:lang w:val="en-US"/>
        </w:rPr>
      </w:pPr>
      <w:r w:rsidRPr="00BC6926">
        <w:rPr>
          <w:rFonts w:cs="Arial"/>
          <w:szCs w:val="22"/>
          <w:lang w:val="en-US"/>
        </w:rPr>
        <w:t xml:space="preserve">Furthermore, managers may adapt their transactions by trying to time the market, or by cutting orders into smaller parts, or may </w:t>
      </w:r>
      <w:r w:rsidRPr="00BC6926">
        <w:rPr>
          <w:rFonts w:cs="Arial"/>
          <w:szCs w:val="22"/>
          <w:lang w:val="en-CA"/>
        </w:rPr>
        <w:t>aim to time the sending of the order instructions closer to the execution time just to reduce reportable costs</w:t>
      </w:r>
      <w:r w:rsidRPr="00BC6926">
        <w:rPr>
          <w:rFonts w:cs="Arial"/>
          <w:szCs w:val="22"/>
          <w:lang w:val="en-US"/>
        </w:rPr>
        <w:t>. This is not because that will be more cost-effective for the investor (the larger number of orders suggest it may become more expensive), but because the proposed calculation method makes it appear more cost-effective.  (Please see our comments on best execution below).</w:t>
      </w:r>
    </w:p>
    <w:p w:rsidR="00BC6926" w:rsidRPr="00BC6926" w:rsidRDefault="00BC6926" w:rsidP="00BC6926">
      <w:pPr>
        <w:jc w:val="both"/>
        <w:rPr>
          <w:rFonts w:cs="Arial"/>
          <w:i/>
          <w:szCs w:val="22"/>
          <w:u w:val="single"/>
          <w:lang w:val="en-CA"/>
        </w:rPr>
      </w:pPr>
      <w:r w:rsidRPr="00BC6926">
        <w:rPr>
          <w:rFonts w:cs="Arial"/>
          <w:i/>
          <w:szCs w:val="22"/>
          <w:u w:val="single"/>
          <w:lang w:val="en-CA"/>
        </w:rPr>
        <w:t>Costs of equity transactions</w:t>
      </w:r>
    </w:p>
    <w:p w:rsidR="00BC6926" w:rsidRPr="00BC6926" w:rsidRDefault="00BC6926" w:rsidP="00BC6926">
      <w:pPr>
        <w:jc w:val="both"/>
        <w:rPr>
          <w:rFonts w:cs="Arial"/>
          <w:szCs w:val="22"/>
          <w:lang w:val="en-CA"/>
        </w:rPr>
      </w:pPr>
      <w:r w:rsidRPr="00BC6926">
        <w:rPr>
          <w:rFonts w:cs="Arial"/>
          <w:szCs w:val="22"/>
          <w:lang w:val="en-CA"/>
        </w:rPr>
        <w:t>Fees charged in terms of equity transactions are already captured by letter (j) in paragraph 6 of Annex VI. These comprise broker fees, depositary fees, taxes and potential fees charged by specialised custodians, which already represent the total costs of equity transactions.</w:t>
      </w:r>
    </w:p>
    <w:p w:rsidR="00BC6926" w:rsidRPr="00BC6926" w:rsidRDefault="00BC6926" w:rsidP="00BC6926">
      <w:pPr>
        <w:jc w:val="both"/>
        <w:rPr>
          <w:rFonts w:cs="Arial"/>
          <w:i/>
          <w:szCs w:val="22"/>
          <w:u w:val="single"/>
          <w:lang w:val="en-CA"/>
        </w:rPr>
      </w:pPr>
      <w:r w:rsidRPr="00BC6926">
        <w:rPr>
          <w:rFonts w:cs="Arial"/>
          <w:i/>
          <w:szCs w:val="22"/>
          <w:u w:val="single"/>
          <w:lang w:val="en-CA"/>
        </w:rPr>
        <w:t>Costs of non-equity transactions</w:t>
      </w:r>
    </w:p>
    <w:p w:rsidR="00BC6926" w:rsidRPr="00BC6926" w:rsidRDefault="00BC6926" w:rsidP="00BC6926">
      <w:pPr>
        <w:jc w:val="both"/>
        <w:rPr>
          <w:rFonts w:cs="Arial"/>
          <w:b/>
          <w:szCs w:val="22"/>
          <w:lang w:val="en-CA"/>
        </w:rPr>
      </w:pPr>
      <w:r w:rsidRPr="00BC6926">
        <w:rPr>
          <w:rFonts w:cs="Arial"/>
          <w:szCs w:val="22"/>
          <w:lang w:val="en-CA"/>
        </w:rPr>
        <w:t>It is not feasible to calculate transaction costs for fixed-income trades on the basis of the proposed met</w:t>
      </w:r>
      <w:r w:rsidRPr="00BC6926">
        <w:rPr>
          <w:rFonts w:cs="Arial"/>
          <w:szCs w:val="22"/>
          <w:lang w:val="en-CA"/>
        </w:rPr>
        <w:t>h</w:t>
      </w:r>
      <w:r w:rsidRPr="00BC6926">
        <w:rPr>
          <w:rFonts w:cs="Arial"/>
          <w:szCs w:val="22"/>
          <w:lang w:val="en-CA"/>
        </w:rPr>
        <w:t>odology due to the lack of reference data for establishing the relevant arrival prices. Since the arrival price shall reflect the mid-market price at the time the order to transact is initiated, the calculation of the arrival price necessarily implies availability of the relevant data on market prices. In the fixed-income market, however, market prices are not yet transparent enough to assume this required data set</w:t>
      </w:r>
      <w:r w:rsidRPr="00BC6926">
        <w:rPr>
          <w:rFonts w:cs="Arial"/>
          <w:szCs w:val="22"/>
          <w:vertAlign w:val="superscript"/>
        </w:rPr>
        <w:footnoteReference w:id="15"/>
      </w:r>
      <w:r w:rsidRPr="00BC6926">
        <w:rPr>
          <w:rFonts w:cs="Arial"/>
          <w:szCs w:val="22"/>
          <w:lang w:val="en-CA"/>
        </w:rPr>
        <w:t xml:space="preserve">. </w:t>
      </w:r>
      <w:r w:rsidRPr="00BC6926">
        <w:rPr>
          <w:rFonts w:cs="Arial"/>
          <w:szCs w:val="22"/>
          <w:u w:val="single"/>
          <w:lang w:val="en-CA"/>
        </w:rPr>
        <w:t>It is therefore essential that calculations on the basis of such indicative prices are not capable of establishing real tran</w:t>
      </w:r>
      <w:r w:rsidRPr="00BC6926">
        <w:rPr>
          <w:rFonts w:cs="Arial"/>
          <w:szCs w:val="22"/>
          <w:u w:val="single"/>
          <w:lang w:val="en-CA"/>
        </w:rPr>
        <w:t>s</w:t>
      </w:r>
      <w:r w:rsidRPr="00BC6926">
        <w:rPr>
          <w:rFonts w:cs="Arial"/>
          <w:szCs w:val="22"/>
          <w:u w:val="single"/>
          <w:lang w:val="en-CA"/>
        </w:rPr>
        <w:t>action costs for fixed-income trades.</w:t>
      </w:r>
    </w:p>
    <w:p w:rsidR="00BC6926" w:rsidRPr="00BC6926" w:rsidRDefault="00BC6926" w:rsidP="00BC6926">
      <w:pPr>
        <w:jc w:val="both"/>
        <w:rPr>
          <w:rFonts w:cs="Arial"/>
          <w:szCs w:val="22"/>
          <w:lang w:val="en-CA"/>
        </w:rPr>
      </w:pPr>
      <w:r w:rsidRPr="00BC6926">
        <w:rPr>
          <w:rFonts w:cs="Arial"/>
          <w:szCs w:val="22"/>
          <w:lang w:val="en-CA"/>
        </w:rPr>
        <w:t xml:space="preserve">In addition, the approach to determining the relevant arrival price as proposed in para. 16 of Annex VI </w:t>
      </w:r>
      <w:proofErr w:type="gramStart"/>
      <w:r w:rsidRPr="00BC6926">
        <w:rPr>
          <w:rFonts w:cs="Arial"/>
          <w:szCs w:val="22"/>
          <w:lang w:val="en-CA"/>
        </w:rPr>
        <w:t>creates</w:t>
      </w:r>
      <w:proofErr w:type="gramEnd"/>
      <w:r w:rsidRPr="00BC6926">
        <w:rPr>
          <w:rFonts w:cs="Arial"/>
          <w:szCs w:val="22"/>
          <w:lang w:val="en-CA"/>
        </w:rPr>
        <w:t xml:space="preserve"> quite significant arbitrage opportunities for calculating transaction costs, thus increasing its su</w:t>
      </w:r>
      <w:r w:rsidRPr="00BC6926">
        <w:rPr>
          <w:rFonts w:cs="Arial"/>
          <w:szCs w:val="22"/>
          <w:lang w:val="en-CA"/>
        </w:rPr>
        <w:t>s</w:t>
      </w:r>
      <w:r w:rsidRPr="00BC6926">
        <w:rPr>
          <w:rFonts w:cs="Arial"/>
          <w:szCs w:val="22"/>
          <w:lang w:val="en-CA"/>
        </w:rPr>
        <w:t>ceptibility to errors. Specifically, calculations on the basis of market prices known before the initiation of an order may be used in order to push down transaction costs in case of an anticipated price decrease, possibly based on market developments after the last available quote. In any case, the ESAs should be aware that even indicative quotes for some fixed-income products are often not updated for several hours, or even days, due to the low level of trading activities in certain fixed-income products.</w:t>
      </w:r>
    </w:p>
    <w:p w:rsidR="00BC6926" w:rsidRPr="00BC6926" w:rsidRDefault="00BC6926" w:rsidP="00BC6926">
      <w:pPr>
        <w:jc w:val="both"/>
        <w:rPr>
          <w:rFonts w:cs="Arial"/>
          <w:szCs w:val="22"/>
          <w:lang w:val="en-CA"/>
        </w:rPr>
      </w:pPr>
      <w:r w:rsidRPr="00BC6926">
        <w:rPr>
          <w:rFonts w:cs="Arial"/>
          <w:szCs w:val="22"/>
          <w:lang w:val="en-CA"/>
        </w:rPr>
        <w:t>This lack of data is due to the currently inherent structures in the non-equity space. Even though intensive debates are still on-going within the context of MiFID II/MiFIR in order to provide this pre-trade transpa</w:t>
      </w:r>
      <w:r w:rsidRPr="00BC6926">
        <w:rPr>
          <w:rFonts w:cs="Arial"/>
          <w:szCs w:val="22"/>
          <w:lang w:val="en-CA"/>
        </w:rPr>
        <w:t>r</w:t>
      </w:r>
      <w:r w:rsidRPr="00BC6926">
        <w:rPr>
          <w:rFonts w:cs="Arial"/>
          <w:szCs w:val="22"/>
          <w:lang w:val="en-CA"/>
        </w:rPr>
        <w:t>ency applicable to fixed-income instruments, the outcome of these discussions (in particular the detailed Level-2 measures) is yet uncertain, which means it cannot yet be known whether implementation of MiFID II/MiFIR will even provide, going forward, enough price transparency for PRIIPs manufacturers to calculate the transaction costs as currently envisaged by the ESAs. Currently, asset managers cannot record an arrival prices and are simply required to record the prices of their own transactions (along with other data points) which are consequently based on the market data available under MiFID 1 which provides insuff</w:t>
      </w:r>
      <w:r w:rsidRPr="00BC6926">
        <w:rPr>
          <w:rFonts w:cs="Arial"/>
          <w:szCs w:val="22"/>
          <w:lang w:val="en-CA"/>
        </w:rPr>
        <w:t>i</w:t>
      </w:r>
      <w:r w:rsidRPr="00BC6926">
        <w:rPr>
          <w:rFonts w:cs="Arial"/>
          <w:szCs w:val="22"/>
          <w:lang w:val="en-CA"/>
        </w:rPr>
        <w:t xml:space="preserve">cient data for the currently requested methodology. </w:t>
      </w:r>
    </w:p>
    <w:p w:rsidR="00BC6926" w:rsidRPr="00BC6926" w:rsidRDefault="00BC6926" w:rsidP="00BC6926">
      <w:pPr>
        <w:jc w:val="both"/>
        <w:rPr>
          <w:rFonts w:cs="Arial"/>
          <w:szCs w:val="22"/>
          <w:lang w:val="en-CA"/>
        </w:rPr>
      </w:pPr>
      <w:r w:rsidRPr="00BC6926">
        <w:rPr>
          <w:rFonts w:cs="Arial"/>
          <w:szCs w:val="22"/>
          <w:lang w:val="en-CA"/>
        </w:rPr>
        <w:t>Even if MiFID II/MiFIR succeeds in providing the required price transparency in the non-equity space, the required data will not be available at the time of the application of the PRIIP KID Regulation. The ESAs’ draft RTS require its calculation on the basis of transactions incurred over the previous three years. This means that, a full set of historical data needed to perform the calculation according to the ESAs’ draft RTS will not be possible until three years after the coming-into-force of MiFID II/MiFIR, i.e. earliest in December 2019, but later if implementation of MiFID II/MiFIR is delayed.</w:t>
      </w:r>
    </w:p>
    <w:p w:rsidR="00BC6926" w:rsidRPr="00BC6926" w:rsidRDefault="00BC6926" w:rsidP="00BC6926">
      <w:pPr>
        <w:jc w:val="both"/>
        <w:rPr>
          <w:rFonts w:cs="Arial"/>
          <w:szCs w:val="22"/>
          <w:lang w:val="en-CA"/>
        </w:rPr>
      </w:pPr>
      <w:r w:rsidRPr="00BC6926">
        <w:rPr>
          <w:rFonts w:cs="Arial"/>
          <w:szCs w:val="22"/>
          <w:lang w:val="en-CA"/>
        </w:rPr>
        <w:t>This date would even trail the review for the PRIIP KID Regulation by a full calendar year, which suggests that the only sensible solution would be to postpone such a wide-reaching decision (i.e. to introduce such a sophisticated calculation methodology for transaction costs) to coincide with the review of the PRIIP KID Regulation. The feasibility of the proposed calculations should then be appraised in light of the availability of data for the fixed-income markets after the first experiences with the MiFID II transparency regime. Such staggered process would allow the regulators to make evidence-based decisions instead of inven</w:t>
      </w:r>
      <w:r w:rsidRPr="00BC6926">
        <w:rPr>
          <w:rFonts w:cs="Arial"/>
          <w:szCs w:val="22"/>
          <w:lang w:val="en-CA"/>
        </w:rPr>
        <w:t>t</w:t>
      </w:r>
      <w:r w:rsidRPr="00BC6926">
        <w:rPr>
          <w:rFonts w:cs="Arial"/>
          <w:szCs w:val="22"/>
          <w:lang w:val="en-CA"/>
        </w:rPr>
        <w:lastRenderedPageBreak/>
        <w:t xml:space="preserve">ing new standards lacking the compulsory base of market data. In the meantime, the ESAs should revive the hybrid approach to the calculation of transaction costs, which was favoured in the previous round of consultation. </w:t>
      </w:r>
    </w:p>
    <w:p w:rsidR="00BC6926" w:rsidRPr="00BC6926" w:rsidRDefault="00BC6926" w:rsidP="00BC6926">
      <w:pPr>
        <w:jc w:val="both"/>
        <w:rPr>
          <w:rFonts w:cs="Arial"/>
          <w:szCs w:val="22"/>
          <w:lang w:val="en-CA"/>
        </w:rPr>
      </w:pPr>
      <w:r w:rsidRPr="00BC6926">
        <w:rPr>
          <w:rFonts w:cs="Arial"/>
          <w:szCs w:val="22"/>
          <w:u w:val="single"/>
          <w:lang w:val="en-CA"/>
        </w:rPr>
        <w:t>This means that PRIIPs manufacturers will need to base their spread calculations on the table in para. 25 (currently only envisaged for new PRIIPs) until this required data is available to market participants</w:t>
      </w:r>
      <w:r w:rsidRPr="00BC6926">
        <w:rPr>
          <w:rStyle w:val="Funotenzeichen"/>
          <w:rFonts w:cs="Arial"/>
          <w:szCs w:val="22"/>
          <w:u w:val="single"/>
        </w:rPr>
        <w:footnoteReference w:id="16"/>
      </w:r>
      <w:r w:rsidRPr="00BC6926">
        <w:rPr>
          <w:rFonts w:cs="Arial"/>
          <w:szCs w:val="22"/>
          <w:u w:val="single"/>
          <w:lang w:val="en-CA"/>
        </w:rPr>
        <w:t>. Changes to the draft RTS should be made accordingly</w:t>
      </w:r>
      <w:r w:rsidRPr="00BC6926">
        <w:rPr>
          <w:rFonts w:cs="Arial"/>
          <w:b/>
          <w:szCs w:val="22"/>
          <w:lang w:val="en-CA"/>
        </w:rPr>
        <w:t>.</w:t>
      </w:r>
      <w:r w:rsidRPr="00BC6926">
        <w:rPr>
          <w:rFonts w:cs="Arial"/>
          <w:szCs w:val="22"/>
          <w:lang w:val="en-CA"/>
        </w:rPr>
        <w:t xml:space="preserve"> </w:t>
      </w:r>
    </w:p>
    <w:p w:rsidR="00BC6926" w:rsidRPr="00BC6926" w:rsidRDefault="00BC6926" w:rsidP="00BC6926">
      <w:pPr>
        <w:jc w:val="both"/>
        <w:rPr>
          <w:rFonts w:cs="Arial"/>
          <w:szCs w:val="22"/>
          <w:lang w:val="en-CA"/>
        </w:rPr>
      </w:pPr>
      <w:r w:rsidRPr="00BC6926">
        <w:rPr>
          <w:rFonts w:cs="Arial"/>
          <w:szCs w:val="22"/>
          <w:lang w:val="en-CA"/>
        </w:rPr>
        <w:t>For further comments on the spread table, also consider our answer to Question 17. Again, this linkage between the PRIIP KID and MiFID II/MiFIR shows the interconnections between these two frameworks and will create further complications once the former comes into force on 31 December 2016.</w:t>
      </w:r>
      <w:r w:rsidRPr="00BC6926" w:rsidDel="00100FB2">
        <w:rPr>
          <w:rFonts w:cs="Arial"/>
          <w:szCs w:val="22"/>
          <w:lang w:val="en-CA"/>
        </w:rPr>
        <w:t xml:space="preserve"> </w:t>
      </w:r>
    </w:p>
    <w:p w:rsidR="00BC6926" w:rsidRPr="00BC6926" w:rsidRDefault="00BC6926" w:rsidP="00BC6926">
      <w:pPr>
        <w:jc w:val="both"/>
        <w:rPr>
          <w:rFonts w:cs="Arial"/>
          <w:i/>
          <w:szCs w:val="22"/>
          <w:u w:val="single"/>
          <w:lang w:val="en-CA"/>
        </w:rPr>
      </w:pPr>
      <w:r w:rsidRPr="00BC6926">
        <w:rPr>
          <w:rFonts w:cs="Arial"/>
          <w:i/>
          <w:szCs w:val="22"/>
          <w:u w:val="single"/>
          <w:lang w:val="en-CA"/>
        </w:rPr>
        <w:t>Scope of definition of transaction costs</w:t>
      </w:r>
    </w:p>
    <w:p w:rsidR="00BC6926" w:rsidRPr="00BC6926" w:rsidRDefault="00BC6926" w:rsidP="00BC6926">
      <w:pPr>
        <w:jc w:val="both"/>
        <w:rPr>
          <w:rFonts w:cs="Arial"/>
          <w:szCs w:val="22"/>
          <w:lang w:val="en-CA"/>
        </w:rPr>
      </w:pPr>
      <w:r w:rsidRPr="00BC6926">
        <w:rPr>
          <w:rFonts w:cs="Arial"/>
          <w:szCs w:val="22"/>
          <w:lang w:val="en-CA"/>
        </w:rPr>
        <w:t>The PRIIP document rightly mentions anti-dilution fees. These can be deducted from transaction costs. It is however unclear whether all anti-dilution fees have to be reported under entry and exit fees. If this is the case, the ESAs should make clear which types of anti-dilution fees are caught.</w:t>
      </w:r>
    </w:p>
    <w:p w:rsidR="00BC6926" w:rsidRPr="00BC6926" w:rsidRDefault="00BC6926" w:rsidP="00BC6926">
      <w:pPr>
        <w:jc w:val="both"/>
        <w:rPr>
          <w:rFonts w:cs="Arial"/>
          <w:szCs w:val="22"/>
          <w:lang w:val="en-CA"/>
        </w:rPr>
      </w:pPr>
      <w:r w:rsidRPr="00BC6926">
        <w:rPr>
          <w:rFonts w:cs="Arial"/>
          <w:szCs w:val="22"/>
          <w:lang w:val="en-CA"/>
        </w:rPr>
        <w:t>The Regulation is also unclear on the treatment of costs for holding margin at clearing brokers. EMIR requires brokers to ask asset managers for margins and the former then bill the latter for keeping this margin. On the one hand this can be viewed as a cost. On the other hand this cost is caused by a specific investment and is therefore part of the transaction costs.</w:t>
      </w:r>
    </w:p>
    <w:permEnd w:id="1827416819"/>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7F2CE1" w:rsidP="003E4B00">
      <w:permStart w:id="2004381382" w:edGrp="everyone"/>
      <w:r>
        <w:t>We</w:t>
      </w:r>
      <w:r w:rsidR="00001BD9">
        <w:t xml:space="preserve"> prefer the presentation of costs on an annual basis as this increases the comparability of investment products for the client.</w:t>
      </w:r>
    </w:p>
    <w:p w:rsidR="002D4C6F" w:rsidRPr="002D4C6F" w:rsidRDefault="002D4C6F" w:rsidP="002D4C6F">
      <w:pPr>
        <w:spacing w:before="160"/>
        <w:jc w:val="both"/>
        <w:rPr>
          <w:rFonts w:cs="Arial"/>
          <w:szCs w:val="22"/>
          <w:lang w:val="en-CA"/>
        </w:rPr>
      </w:pPr>
      <w:r w:rsidRPr="002D4C6F">
        <w:rPr>
          <w:rFonts w:cs="Arial"/>
          <w:szCs w:val="22"/>
          <w:lang w:val="en-CA"/>
        </w:rPr>
        <w:t xml:space="preserve">Generally speaking, it is important to note that the cost table as suggested in para. 25 (page 62f) should be part of Level-3 guidelines rather than Level-2 RTS. The </w:t>
      </w:r>
      <w:proofErr w:type="gramStart"/>
      <w:r w:rsidRPr="002D4C6F">
        <w:rPr>
          <w:rFonts w:cs="Arial"/>
          <w:szCs w:val="22"/>
          <w:lang w:val="en-CA"/>
        </w:rPr>
        <w:t>reason for this is that market spreads are a reflection of market volatility and do</w:t>
      </w:r>
      <w:proofErr w:type="gramEnd"/>
      <w:r w:rsidRPr="002D4C6F">
        <w:rPr>
          <w:rFonts w:cs="Arial"/>
          <w:szCs w:val="22"/>
          <w:lang w:val="en-CA"/>
        </w:rPr>
        <w:t xml:space="preserve"> not remain constant for a period of three years. It is crucial that this table is maintained and updated on a constant basis by the ESAs to provide a relatively accurate descri</w:t>
      </w:r>
      <w:r w:rsidRPr="002D4C6F">
        <w:rPr>
          <w:rFonts w:cs="Arial"/>
          <w:szCs w:val="22"/>
          <w:lang w:val="en-CA"/>
        </w:rPr>
        <w:t>p</w:t>
      </w:r>
      <w:r w:rsidRPr="002D4C6F">
        <w:rPr>
          <w:rFonts w:cs="Arial"/>
          <w:szCs w:val="22"/>
          <w:lang w:val="en-CA"/>
        </w:rPr>
        <w:t>tion of current market spreads. The currently proposed three-year interval of reviewing the table is ther</w:t>
      </w:r>
      <w:r w:rsidRPr="002D4C6F">
        <w:rPr>
          <w:rFonts w:cs="Arial"/>
          <w:szCs w:val="22"/>
          <w:lang w:val="en-CA"/>
        </w:rPr>
        <w:t>e</w:t>
      </w:r>
      <w:r w:rsidRPr="002D4C6F">
        <w:rPr>
          <w:rFonts w:cs="Arial"/>
          <w:szCs w:val="22"/>
          <w:lang w:val="en-CA"/>
        </w:rPr>
        <w:t xml:space="preserve">fore not realistic and needs to adapt to the changes in market circumstances. It is necessary that the ESAs regularly and frequently back test the proposed values against actual transaction costs in existing fund portfolios to validate the levels proposed and </w:t>
      </w:r>
      <w:proofErr w:type="gramStart"/>
      <w:r w:rsidRPr="002D4C6F">
        <w:rPr>
          <w:rFonts w:cs="Arial"/>
          <w:szCs w:val="22"/>
          <w:lang w:val="en-CA"/>
        </w:rPr>
        <w:t>make  updates</w:t>
      </w:r>
      <w:proofErr w:type="gramEnd"/>
      <w:r w:rsidRPr="002D4C6F">
        <w:rPr>
          <w:rFonts w:cs="Arial"/>
          <w:szCs w:val="22"/>
          <w:lang w:val="en-CA"/>
        </w:rPr>
        <w:t xml:space="preserve"> when necessary.</w:t>
      </w:r>
    </w:p>
    <w:p w:rsidR="002D4C6F" w:rsidRPr="002D4C6F" w:rsidRDefault="002D4C6F" w:rsidP="002D4C6F">
      <w:pPr>
        <w:spacing w:before="160"/>
        <w:jc w:val="both"/>
        <w:rPr>
          <w:rFonts w:cs="Arial"/>
          <w:szCs w:val="22"/>
          <w:lang w:val="en-CA"/>
        </w:rPr>
      </w:pPr>
      <w:r w:rsidRPr="002D4C6F">
        <w:rPr>
          <w:rFonts w:cs="Arial"/>
          <w:szCs w:val="22"/>
          <w:lang w:val="en-CA"/>
        </w:rPr>
        <w:t>We favour using a standardised cost table to calculate implicit transaction cost, which will allow for uniform calculation of transaction costs among all PRIIP manufacturers. This is especially important as the rel</w:t>
      </w:r>
      <w:r w:rsidRPr="002D4C6F">
        <w:rPr>
          <w:rFonts w:cs="Arial"/>
          <w:szCs w:val="22"/>
          <w:lang w:val="en-CA"/>
        </w:rPr>
        <w:t>i</w:t>
      </w:r>
      <w:r w:rsidRPr="002D4C6F">
        <w:rPr>
          <w:rFonts w:cs="Arial"/>
          <w:szCs w:val="22"/>
          <w:lang w:val="en-CA"/>
        </w:rPr>
        <w:t>ance on a standardised spread table will allow smaller PRIIP manufacturers to perform their transaction costs calculation without disproportionate cost, which could put them at a competitive disadvantage.</w:t>
      </w:r>
    </w:p>
    <w:p w:rsidR="002D4C6F" w:rsidRPr="002D4C6F" w:rsidRDefault="002D4C6F" w:rsidP="002D4C6F">
      <w:pPr>
        <w:spacing w:before="160"/>
        <w:jc w:val="both"/>
        <w:rPr>
          <w:rFonts w:cs="Arial"/>
          <w:szCs w:val="22"/>
          <w:lang w:val="en-CA"/>
        </w:rPr>
      </w:pPr>
      <w:r w:rsidRPr="002D4C6F">
        <w:rPr>
          <w:rFonts w:cs="Arial"/>
          <w:szCs w:val="22"/>
          <w:lang w:val="en-CA"/>
        </w:rPr>
        <w:t>Also, ESMA should be best equipped to set up and maintain such standardised transaction cost table in view of the transaction data to be collected and processed for MiFID II purposes. In the recent debate on the possible postponement of MiFID II, ESMA itself explained that it is currently running a project called “FIRDS” with the purpose of centralising the collection of reference data which entails direct connections to around 100 trading venues and collection of data on more than 15 million instruments</w:t>
      </w:r>
      <w:r w:rsidRPr="002D4C6F">
        <w:rPr>
          <w:rStyle w:val="Funotenzeichen"/>
          <w:rFonts w:cs="Arial"/>
          <w:szCs w:val="22"/>
        </w:rPr>
        <w:footnoteReference w:id="17"/>
      </w:r>
      <w:r w:rsidRPr="002D4C6F">
        <w:rPr>
          <w:rFonts w:cs="Arial"/>
          <w:szCs w:val="22"/>
          <w:lang w:val="en-CA"/>
        </w:rPr>
        <w:t>. The FIRDS project is also meant to apply to collecting and consolidating transaction data for the purpose of determi</w:t>
      </w:r>
      <w:r w:rsidRPr="002D4C6F">
        <w:rPr>
          <w:rFonts w:cs="Arial"/>
          <w:szCs w:val="22"/>
          <w:lang w:val="en-CA"/>
        </w:rPr>
        <w:t>n</w:t>
      </w:r>
      <w:r w:rsidRPr="002D4C6F">
        <w:rPr>
          <w:rFonts w:cs="Arial"/>
          <w:szCs w:val="22"/>
          <w:lang w:val="en-CA"/>
        </w:rPr>
        <w:t>ing the liquidity status of a financial instrument. We are convinced that this extensive data collection exe</w:t>
      </w:r>
      <w:r w:rsidRPr="002D4C6F">
        <w:rPr>
          <w:rFonts w:cs="Arial"/>
          <w:szCs w:val="22"/>
          <w:lang w:val="en-CA"/>
        </w:rPr>
        <w:t>r</w:t>
      </w:r>
      <w:r w:rsidRPr="002D4C6F">
        <w:rPr>
          <w:rFonts w:cs="Arial"/>
          <w:szCs w:val="22"/>
          <w:lang w:val="en-CA"/>
        </w:rPr>
        <w:t>cise could and should also be utilised in order to establish average transaction cost of financial instr</w:t>
      </w:r>
      <w:r w:rsidRPr="002D4C6F">
        <w:rPr>
          <w:rFonts w:cs="Arial"/>
          <w:szCs w:val="22"/>
          <w:lang w:val="en-CA"/>
        </w:rPr>
        <w:t>u</w:t>
      </w:r>
      <w:r w:rsidRPr="002D4C6F">
        <w:rPr>
          <w:rFonts w:cs="Arial"/>
          <w:szCs w:val="22"/>
          <w:lang w:val="en-CA"/>
        </w:rPr>
        <w:lastRenderedPageBreak/>
        <w:t>ments, including fixed-income products, in the MiFID II environment. However, being aware that the complexity of FIRDS is one of the main reasons for the probable MiFID II delay and will not allow for operational readiness before mid-2017, it is likely that a temporary solution needs to be found. Such a temporary solution could involve, as already mentioned, a table based on reasonable estimations of relevant transaction costs like the one proposed in para. 25.</w:t>
      </w:r>
    </w:p>
    <w:p w:rsidR="002D4C6F" w:rsidRPr="002D4C6F" w:rsidRDefault="002D4C6F" w:rsidP="002D4C6F">
      <w:pPr>
        <w:spacing w:before="160"/>
        <w:jc w:val="both"/>
        <w:rPr>
          <w:rFonts w:cs="Arial"/>
          <w:szCs w:val="22"/>
          <w:lang w:val="en-CA"/>
        </w:rPr>
      </w:pPr>
      <w:r w:rsidRPr="002D4C6F">
        <w:rPr>
          <w:rFonts w:cs="Arial"/>
          <w:szCs w:val="22"/>
          <w:lang w:val="en-CA"/>
        </w:rPr>
        <w:t>The importance of this table is further elevated by the fact that (as explained above) market data, in pa</w:t>
      </w:r>
      <w:r w:rsidRPr="002D4C6F">
        <w:rPr>
          <w:rFonts w:cs="Arial"/>
          <w:szCs w:val="22"/>
          <w:lang w:val="en-CA"/>
        </w:rPr>
        <w:t>r</w:t>
      </w:r>
      <w:r w:rsidRPr="002D4C6F">
        <w:rPr>
          <w:rFonts w:cs="Arial"/>
          <w:szCs w:val="22"/>
          <w:lang w:val="en-CA"/>
        </w:rPr>
        <w:t xml:space="preserve">ticular for non-equities, will not be available for a number of years.  Thus, PRIIP manufacturers will be forced to use this standardised table as no other information is available. </w:t>
      </w:r>
    </w:p>
    <w:p w:rsidR="002D4C6F" w:rsidRPr="002D4C6F" w:rsidRDefault="002D4C6F" w:rsidP="002D4C6F">
      <w:pPr>
        <w:spacing w:before="160"/>
        <w:jc w:val="both"/>
        <w:rPr>
          <w:rFonts w:cs="Arial"/>
          <w:szCs w:val="22"/>
          <w:lang w:val="en-CA"/>
        </w:rPr>
      </w:pPr>
      <w:r w:rsidRPr="002D4C6F">
        <w:rPr>
          <w:rFonts w:cs="Arial"/>
          <w:szCs w:val="22"/>
          <w:lang w:val="en-CA"/>
        </w:rPr>
        <w:t>As regards the specific table design, we suggest distinguishing between implicit and explicit costs and including a further column to accommodate the latter. Trading costs in equity instruments and listed deri</w:t>
      </w:r>
      <w:r w:rsidRPr="002D4C6F">
        <w:rPr>
          <w:rFonts w:cs="Arial"/>
          <w:szCs w:val="22"/>
          <w:lang w:val="en-CA"/>
        </w:rPr>
        <w:t>v</w:t>
      </w:r>
      <w:r w:rsidRPr="002D4C6F">
        <w:rPr>
          <w:rFonts w:cs="Arial"/>
          <w:szCs w:val="22"/>
          <w:lang w:val="en-CA"/>
        </w:rPr>
        <w:t>atives should then be classified as explicit costs. Furthermore, we recommend distinguishing between program and no program trading also in terms of emerging market shares and assuming the explicit costs of listed derivative transaction in absolute numbers in order to reflect the prevailing market practice.</w:t>
      </w:r>
    </w:p>
    <w:p w:rsidR="002D4C6F" w:rsidRPr="002D4C6F" w:rsidRDefault="002D4C6F" w:rsidP="002D4C6F">
      <w:pPr>
        <w:rPr>
          <w:sz w:val="18"/>
        </w:rPr>
      </w:pPr>
      <w:r w:rsidRPr="002D4C6F">
        <w:rPr>
          <w:rFonts w:cs="Arial"/>
          <w:szCs w:val="22"/>
          <w:lang w:val="en-CA"/>
        </w:rPr>
        <w:t>These adaptations would also help to mark out the relevance of the table for existing products as co</w:t>
      </w:r>
      <w:r w:rsidRPr="002D4C6F">
        <w:rPr>
          <w:rFonts w:cs="Arial"/>
          <w:szCs w:val="22"/>
          <w:lang w:val="en-CA"/>
        </w:rPr>
        <w:t>m</w:t>
      </w:r>
      <w:r w:rsidRPr="002D4C6F">
        <w:rPr>
          <w:rFonts w:cs="Arial"/>
          <w:szCs w:val="22"/>
          <w:lang w:val="en-CA"/>
        </w:rPr>
        <w:t>pared to new PRIIIPs: whereas newly launched PRIIPs would need to apply the entire table in order to compute their transaction costs, funds with a relevant trading history would rely only on the assumptions for the implicit cost elements. Explicit costs incurred in existing PRIIPs which comprise in particular broker fees, depositary fees, taxes and potential fees charged by specialised custodians in case of equity tran</w:t>
      </w:r>
      <w:r w:rsidRPr="002D4C6F">
        <w:rPr>
          <w:rFonts w:cs="Arial"/>
          <w:szCs w:val="22"/>
          <w:lang w:val="en-CA"/>
        </w:rPr>
        <w:t>s</w:t>
      </w:r>
      <w:r w:rsidRPr="002D4C6F">
        <w:rPr>
          <w:rFonts w:cs="Arial"/>
          <w:szCs w:val="22"/>
          <w:lang w:val="en-CA"/>
        </w:rPr>
        <w:t xml:space="preserve">actions would be disclosed on the basis of actual transaction data according to para. </w:t>
      </w:r>
      <w:proofErr w:type="gramStart"/>
      <w:r w:rsidRPr="002D4C6F">
        <w:rPr>
          <w:rFonts w:cs="Arial"/>
          <w:szCs w:val="22"/>
          <w:lang w:val="en-CA"/>
        </w:rPr>
        <w:t>6 (j) of Annex II.</w:t>
      </w:r>
      <w:proofErr w:type="gramEnd"/>
    </w:p>
    <w:permEnd w:id="2004381382"/>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2D4C6F" w:rsidRPr="002D4C6F" w:rsidRDefault="002D4C6F" w:rsidP="002D4C6F">
      <w:pPr>
        <w:jc w:val="both"/>
        <w:rPr>
          <w:rFonts w:cs="Arial"/>
          <w:szCs w:val="22"/>
          <w:lang w:val="en-CA"/>
        </w:rPr>
      </w:pPr>
      <w:permStart w:id="402658068" w:edGrp="everyone"/>
      <w:r w:rsidRPr="002D4C6F">
        <w:rPr>
          <w:rFonts w:cs="Arial"/>
          <w:szCs w:val="22"/>
          <w:lang w:val="en-CA"/>
        </w:rPr>
        <w:t>The approach to cost disclosure over the respective holding periods should correspond to the presentation of performance prospects in the risk and reward section. This is of particular importance if, as proposed by the ESAs, the cost disclosure in monetary terms is supplemented by a Reduction in Yield figure to illu</w:t>
      </w:r>
      <w:r w:rsidRPr="002D4C6F">
        <w:rPr>
          <w:rFonts w:cs="Arial"/>
          <w:szCs w:val="22"/>
          <w:lang w:val="en-CA"/>
        </w:rPr>
        <w:t>s</w:t>
      </w:r>
      <w:r w:rsidRPr="002D4C6F">
        <w:rPr>
          <w:rFonts w:cs="Arial"/>
          <w:szCs w:val="22"/>
          <w:lang w:val="en-CA"/>
        </w:rPr>
        <w:t xml:space="preserve">trate the effects of costs on performance </w:t>
      </w:r>
    </w:p>
    <w:p w:rsidR="002D4C6F" w:rsidRDefault="002D4C6F" w:rsidP="002D4C6F">
      <w:pPr>
        <w:jc w:val="both"/>
        <w:rPr>
          <w:rFonts w:cs="Arial"/>
          <w:sz w:val="22"/>
          <w:szCs w:val="22"/>
          <w:lang w:val="en-CA"/>
        </w:rPr>
      </w:pPr>
      <w:r w:rsidRPr="002D4C6F">
        <w:rPr>
          <w:rFonts w:cs="Arial"/>
          <w:szCs w:val="22"/>
          <w:lang w:val="en-CA"/>
        </w:rPr>
        <w:t>In this context, we suggest taking further steps in order to enhance the comprehensibility of the Reduction in Yield concept. Specifically, the term “Reduction in Yield” should be replaced by a description readily understandable for retail investors such as “estimated impact of costs on return”. In addition, the introdu</w:t>
      </w:r>
      <w:r w:rsidRPr="002D4C6F">
        <w:rPr>
          <w:rFonts w:cs="Arial"/>
          <w:szCs w:val="22"/>
          <w:lang w:val="en-CA"/>
        </w:rPr>
        <w:t>c</w:t>
      </w:r>
      <w:r w:rsidRPr="002D4C6F">
        <w:rPr>
          <w:rFonts w:cs="Arial"/>
          <w:szCs w:val="22"/>
          <w:lang w:val="en-CA"/>
        </w:rPr>
        <w:t>tory part should clearly explain that the impact of costs is calculated on the basis of the moderate scenario displayed in the risk and reward section.</w:t>
      </w:r>
    </w:p>
    <w:permEnd w:id="402658068"/>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2D4C6F" w:rsidRPr="002D4C6F" w:rsidRDefault="002D4C6F" w:rsidP="00C62C8E">
      <w:pPr>
        <w:spacing w:before="160"/>
        <w:jc w:val="both"/>
        <w:rPr>
          <w:rFonts w:cs="Arial"/>
          <w:szCs w:val="22"/>
          <w:lang w:val="en-CA"/>
        </w:rPr>
      </w:pPr>
      <w:permStart w:id="1211521671" w:edGrp="everyone"/>
      <w:r w:rsidRPr="002D4C6F">
        <w:rPr>
          <w:rFonts w:cs="Arial"/>
          <w:szCs w:val="22"/>
          <w:lang w:val="en-CA"/>
        </w:rPr>
        <w:t>We do not fully understand why the cost of providing life insurance cover should not be fully disclosed. The presented calculation of a “fair value” seems to deduct benefits and to understate costs. If a guara</w:t>
      </w:r>
      <w:r w:rsidRPr="002D4C6F">
        <w:rPr>
          <w:rFonts w:cs="Arial"/>
          <w:szCs w:val="22"/>
          <w:lang w:val="en-CA"/>
        </w:rPr>
        <w:t>n</w:t>
      </w:r>
      <w:r w:rsidRPr="002D4C6F">
        <w:rPr>
          <w:rFonts w:cs="Arial"/>
          <w:szCs w:val="22"/>
          <w:lang w:val="en-CA"/>
        </w:rPr>
        <w:t>tee, external to a fund, is provided to a client, then that “benefit” is a cost and should have to be fully disclosed and taken into account in the cost calculation.</w:t>
      </w:r>
    </w:p>
    <w:p w:rsidR="002D4C6F" w:rsidRPr="002D4C6F" w:rsidRDefault="002D4C6F" w:rsidP="00C62C8E">
      <w:pPr>
        <w:spacing w:before="160"/>
        <w:jc w:val="both"/>
        <w:rPr>
          <w:rFonts w:cs="Arial"/>
          <w:szCs w:val="22"/>
          <w:lang w:val="en-CA"/>
        </w:rPr>
      </w:pPr>
      <w:r w:rsidRPr="002D4C6F">
        <w:rPr>
          <w:rFonts w:cs="Arial"/>
          <w:szCs w:val="22"/>
          <w:lang w:val="en-CA"/>
        </w:rPr>
        <w:lastRenderedPageBreak/>
        <w:t>As estimating the fair value of biometric risk premiums will raise some technical difficulties, especially linked to underlying asset projection (stochastic modelling, profit-sharing, etc.), we suggest that the ESAs develop Level-3 guidelines on the assumption to be used when calculating the fair value of biometric risk premiums in order to allow a common methodology not only among insurance PRIIPs, but also among other PRIIP types. In any case, we agree with the ESAs that if the insurance undertaking is not able to establish the fair value of a biometric risk premium based on sound estimations of future benefit pa</w:t>
      </w:r>
      <w:r w:rsidRPr="002D4C6F">
        <w:rPr>
          <w:rFonts w:cs="Arial"/>
          <w:szCs w:val="22"/>
          <w:lang w:val="en-CA"/>
        </w:rPr>
        <w:t>y</w:t>
      </w:r>
      <w:r w:rsidRPr="002D4C6F">
        <w:rPr>
          <w:rFonts w:cs="Arial"/>
          <w:szCs w:val="22"/>
          <w:lang w:val="en-CA"/>
        </w:rPr>
        <w:t>ments, it should be obliged to include the full biometric risk premium in the cost calculations.</w:t>
      </w:r>
    </w:p>
    <w:p w:rsidR="003E4B00" w:rsidRPr="003E4B00" w:rsidRDefault="002D4C6F" w:rsidP="003E4B00">
      <w:pPr>
        <w:rPr>
          <w:lang w:val="fr-FR"/>
        </w:rPr>
      </w:pPr>
      <w:proofErr w:type="gramStart"/>
      <w:r w:rsidRPr="002D4C6F">
        <w:rPr>
          <w:rFonts w:cs="Arial"/>
          <w:szCs w:val="22"/>
          <w:lang w:val="en-CA"/>
        </w:rPr>
        <w:t>Para.</w:t>
      </w:r>
      <w:proofErr w:type="gramEnd"/>
      <w:r w:rsidRPr="002D4C6F">
        <w:rPr>
          <w:rFonts w:cs="Arial"/>
          <w:szCs w:val="22"/>
          <w:lang w:val="en-CA"/>
        </w:rPr>
        <w:t xml:space="preserve"> 55(b) allows for profit-sharing mechanisms to be deducted from the costs of an insurance PRIIP. As profit-sharing mechanisms are already part of the performance calculation (see page 52, para. 11(c) in the performance scenarios section), this would allow insurance PRIIPs to add them to the PRIIP’s perfo</w:t>
      </w:r>
      <w:r w:rsidRPr="002D4C6F">
        <w:rPr>
          <w:rFonts w:cs="Arial"/>
          <w:szCs w:val="22"/>
          <w:lang w:val="en-CA"/>
        </w:rPr>
        <w:t>r</w:t>
      </w:r>
      <w:r w:rsidRPr="002D4C6F">
        <w:rPr>
          <w:rFonts w:cs="Arial"/>
          <w:szCs w:val="22"/>
          <w:lang w:val="en-CA"/>
        </w:rPr>
        <w:t>mance and also deduct them from its costs. Profit-sharing mechanisms should be used either to reduce costs or to increase performance, but not both</w:t>
      </w:r>
      <w:proofErr w:type="gramStart"/>
      <w:r w:rsidRPr="00000DE7">
        <w:rPr>
          <w:rFonts w:cs="Arial"/>
          <w:sz w:val="22"/>
          <w:szCs w:val="22"/>
          <w:lang w:val="en-CA"/>
        </w:rPr>
        <w:t>.</w:t>
      </w:r>
      <w:permEnd w:id="1211521671"/>
      <w:r w:rsidR="003E4B00" w:rsidRPr="00580880">
        <w:rPr>
          <w:lang w:val="fr-FR"/>
        </w:rPr>
        <w:t>&lt;</w:t>
      </w:r>
      <w:proofErr w:type="gramEnd"/>
      <w:r w:rsidR="003E4B00" w:rsidRPr="00580880">
        <w:rPr>
          <w:lang w:val="fr-FR"/>
        </w:rPr>
        <w:t>ESMA_QUESTION_</w:t>
      </w:r>
      <w:r w:rsidR="003E4B00">
        <w:rPr>
          <w:lang w:val="fr-FR"/>
        </w:rPr>
        <w:t>PRIIPS_1</w:t>
      </w:r>
      <w:r w:rsidR="00491E49">
        <w:rPr>
          <w:lang w:val="fr-FR"/>
        </w:rPr>
        <w:t>9</w:t>
      </w:r>
      <w:r w:rsidR="003E4B00"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Pr="003E4B00" w:rsidRDefault="00491E49" w:rsidP="00491E49">
      <w:pPr>
        <w:rPr>
          <w:lang w:val="fr-FR"/>
        </w:rPr>
      </w:pPr>
      <w:permStart w:id="1278739167" w:edGrp="everyone"/>
      <w:permEnd w:id="1278739167"/>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F82D57" w:rsidRDefault="006D1E86" w:rsidP="00491E49">
      <w:permStart w:id="59455501" w:edGrp="everyone"/>
      <w:r>
        <w:t xml:space="preserve">We </w:t>
      </w:r>
      <w:r w:rsidR="00AA314D">
        <w:t xml:space="preserve">think that there is no need to show two tables </w:t>
      </w:r>
      <w:r w:rsidR="0065297D">
        <w:t>which include</w:t>
      </w:r>
      <w:r w:rsidR="00AA314D">
        <w:t xml:space="preserve"> the same information and want to emph</w:t>
      </w:r>
      <w:r w:rsidR="00AA314D">
        <w:t>a</w:t>
      </w:r>
      <w:r w:rsidR="00AA314D">
        <w:t>size that it is not possible to show, besides all the other information, both tables whi</w:t>
      </w:r>
      <w:r w:rsidR="00AA5A80">
        <w:t>le ensuring a 3 pages document.</w:t>
      </w:r>
    </w:p>
    <w:p w:rsidR="002D4C6F" w:rsidRPr="002D4C6F" w:rsidRDefault="002D4C6F" w:rsidP="002D4C6F">
      <w:pPr>
        <w:spacing w:before="160"/>
        <w:jc w:val="both"/>
        <w:rPr>
          <w:rFonts w:cs="Arial"/>
          <w:szCs w:val="22"/>
          <w:lang w:val="en-CA"/>
        </w:rPr>
      </w:pPr>
      <w:r w:rsidRPr="002D4C6F">
        <w:rPr>
          <w:rFonts w:cs="Arial"/>
          <w:szCs w:val="22"/>
          <w:lang w:val="en-CA"/>
        </w:rPr>
        <w:t xml:space="preserve">The use of percentage figures would be in line with the existing UCITS KIID and, on the basis of consumer experience, generally </w:t>
      </w:r>
      <w:proofErr w:type="gramStart"/>
      <w:r w:rsidRPr="002D4C6F">
        <w:rPr>
          <w:rFonts w:cs="Arial"/>
          <w:szCs w:val="22"/>
          <w:lang w:val="en-CA"/>
        </w:rPr>
        <w:t>be</w:t>
      </w:r>
      <w:proofErr w:type="gramEnd"/>
      <w:r w:rsidRPr="002D4C6F">
        <w:rPr>
          <w:rFonts w:cs="Arial"/>
          <w:szCs w:val="22"/>
          <w:lang w:val="en-CA"/>
        </w:rPr>
        <w:t xml:space="preserve"> preferable, because actual or monetary figures could be taken literally by the investor (who might expect fixed costs and not understand if the indicated amount is different in practice). In particular, recurring costs expressed in monetary values could be misleading for the investor. We are not aware of any concerns raised by investors into UCITS as a result of using percentage figures in the KIID.</w:t>
      </w:r>
    </w:p>
    <w:p w:rsidR="002D4C6F" w:rsidRPr="002D4C6F" w:rsidRDefault="002D4C6F" w:rsidP="002D4C6F">
      <w:pPr>
        <w:spacing w:before="160"/>
        <w:jc w:val="both"/>
        <w:rPr>
          <w:rFonts w:cs="Arial"/>
          <w:szCs w:val="22"/>
          <w:lang w:val="en-CA"/>
        </w:rPr>
      </w:pPr>
      <w:r w:rsidRPr="002D4C6F">
        <w:rPr>
          <w:rFonts w:cs="Arial"/>
          <w:szCs w:val="22"/>
          <w:lang w:val="en-CA"/>
        </w:rPr>
        <w:t>Nevertheless, we believe that these percentages should not be in the form of RIY figures based on the RHP. As the first table is showing the effect of charges, it would be most useful if the second table showed the actual cost structure, thereby enabling a proper understanding, and even replication of the cost stru</w:t>
      </w:r>
      <w:r w:rsidRPr="002D4C6F">
        <w:rPr>
          <w:rFonts w:cs="Arial"/>
          <w:szCs w:val="22"/>
          <w:lang w:val="en-CA"/>
        </w:rPr>
        <w:t>c</w:t>
      </w:r>
      <w:r w:rsidRPr="002D4C6F">
        <w:rPr>
          <w:rFonts w:cs="Arial"/>
          <w:szCs w:val="22"/>
          <w:lang w:val="en-CA"/>
        </w:rPr>
        <w:t xml:space="preserve">ture in other scenarios. It is likely to be misleading to show a 5% entry cost as 1% in the hope that the investor realises that the table relates to a recommended holding period of 5 years and the 5% has been </w:t>
      </w:r>
      <w:r w:rsidRPr="002D4C6F">
        <w:rPr>
          <w:rFonts w:cs="Arial"/>
          <w:szCs w:val="22"/>
          <w:lang w:val="en-CA"/>
        </w:rPr>
        <w:lastRenderedPageBreak/>
        <w:t>amortised. These actual percentages are also what will be used by online calculators and required by MiFID II.</w:t>
      </w:r>
    </w:p>
    <w:p w:rsidR="002D4C6F" w:rsidRPr="002D4C6F" w:rsidRDefault="002D4C6F" w:rsidP="00491E49">
      <w:pPr>
        <w:rPr>
          <w:lang w:val="en-CA"/>
        </w:rPr>
      </w:pPr>
    </w:p>
    <w:permEnd w:id="59455501"/>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6D1E86" w:rsidP="00491E49">
      <w:permStart w:id="254682788" w:edGrp="everyone"/>
      <w:r>
        <w:t>We</w:t>
      </w:r>
      <w:r w:rsidR="00AA314D">
        <w:t xml:space="preserve"> think that no additional graphic or replacement of tables by graphics is necessary as the tables are comprehensible enough.</w:t>
      </w:r>
    </w:p>
    <w:p w:rsidR="00872134" w:rsidRPr="00872134" w:rsidRDefault="00872134" w:rsidP="00872134">
      <w:pPr>
        <w:spacing w:before="160"/>
        <w:jc w:val="both"/>
        <w:rPr>
          <w:rFonts w:cs="Arial"/>
          <w:szCs w:val="22"/>
          <w:lang w:val="en-CA"/>
        </w:rPr>
      </w:pPr>
      <w:r>
        <w:rPr>
          <w:rFonts w:cs="Arial"/>
          <w:szCs w:val="22"/>
          <w:lang w:val="en-CA"/>
        </w:rPr>
        <w:t>But e</w:t>
      </w:r>
      <w:r w:rsidRPr="00872134">
        <w:rPr>
          <w:rFonts w:cs="Arial"/>
          <w:szCs w:val="22"/>
          <w:lang w:val="en-CA"/>
        </w:rPr>
        <w:t>ven though the KID already contains a number of tables, the vital information on costs portrayed to the retail investors necessitates a summary table as well as a detailed breakout table. The table has the decisive advantage of accommodating cost impacts for different holding periods which is difficult to a</w:t>
      </w:r>
      <w:r w:rsidRPr="00872134">
        <w:rPr>
          <w:rFonts w:cs="Arial"/>
          <w:szCs w:val="22"/>
          <w:lang w:val="en-CA"/>
        </w:rPr>
        <w:t>c</w:t>
      </w:r>
      <w:r w:rsidRPr="00872134">
        <w:rPr>
          <w:rFonts w:cs="Arial"/>
          <w:szCs w:val="22"/>
          <w:lang w:val="en-CA"/>
        </w:rPr>
        <w:t xml:space="preserve">complish in the graphic. </w:t>
      </w:r>
    </w:p>
    <w:p w:rsidR="00872134" w:rsidRDefault="00872134" w:rsidP="00872134">
      <w:r w:rsidRPr="00872134">
        <w:rPr>
          <w:rFonts w:cs="Arial"/>
          <w:szCs w:val="22"/>
          <w:lang w:val="en-CA"/>
        </w:rPr>
        <w:t>A more graphic presentation may oversimplify different types of costs and may make it harder to unde</w:t>
      </w:r>
      <w:r w:rsidRPr="00872134">
        <w:rPr>
          <w:rFonts w:cs="Arial"/>
          <w:szCs w:val="22"/>
          <w:lang w:val="en-CA"/>
        </w:rPr>
        <w:t>r</w:t>
      </w:r>
      <w:r w:rsidRPr="00872134">
        <w:rPr>
          <w:rFonts w:cs="Arial"/>
          <w:szCs w:val="22"/>
          <w:lang w:val="en-CA"/>
        </w:rPr>
        <w:t>stand the differences between particular types of PRIIPs. It may also not provide the cost breakdown as required by MiFID II and should therefore be avoided</w:t>
      </w:r>
      <w:r>
        <w:rPr>
          <w:rFonts w:cs="Arial"/>
          <w:szCs w:val="22"/>
          <w:lang w:val="en-CA"/>
        </w:rPr>
        <w:t>.</w:t>
      </w:r>
    </w:p>
    <w:permEnd w:id="254682788"/>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872134" w:rsidP="00491E49">
      <w:permStart w:id="1005419616" w:edGrp="everyone"/>
      <w:r>
        <w:t>Generally w</w:t>
      </w:r>
      <w:r w:rsidR="006D1E86">
        <w:t>e</w:t>
      </w:r>
      <w:r w:rsidR="00313937">
        <w:t xml:space="preserve"> think that there is no additional information required in order to understand the scenarios. Fu</w:t>
      </w:r>
      <w:r w:rsidR="0065297D">
        <w:t>r</w:t>
      </w:r>
      <w:r w:rsidR="00313937">
        <w:t>thermore</w:t>
      </w:r>
      <w:r w:rsidR="006D1E86">
        <w:t xml:space="preserve"> </w:t>
      </w:r>
      <w:r w:rsidR="00313937">
        <w:t>there is no space for additional information on the 3 pages KID.</w:t>
      </w:r>
    </w:p>
    <w:p w:rsidR="00872134" w:rsidRPr="00872134" w:rsidRDefault="00872134" w:rsidP="00872134">
      <w:pPr>
        <w:spacing w:before="160"/>
        <w:jc w:val="both"/>
        <w:rPr>
          <w:rFonts w:cs="Arial"/>
          <w:szCs w:val="22"/>
          <w:lang w:val="en-CA"/>
        </w:rPr>
      </w:pPr>
      <w:r w:rsidRPr="00872134">
        <w:rPr>
          <w:rFonts w:cs="Arial"/>
          <w:szCs w:val="22"/>
          <w:lang w:val="en-CA"/>
        </w:rPr>
        <w:t xml:space="preserve">The example proposed in the paper above Question 23 provides detailed information on performance fees but does not showcase the variability of other cost elements. Investors could be induced to assume that, since only the performance fee figures are presented as variable in different market </w:t>
      </w:r>
      <w:proofErr w:type="gramStart"/>
      <w:r w:rsidRPr="00872134">
        <w:rPr>
          <w:rFonts w:cs="Arial"/>
          <w:szCs w:val="22"/>
          <w:lang w:val="en-CA"/>
        </w:rPr>
        <w:t>conditions,</w:t>
      </w:r>
      <w:proofErr w:type="gramEnd"/>
      <w:r w:rsidRPr="00872134">
        <w:rPr>
          <w:rFonts w:cs="Arial"/>
          <w:szCs w:val="22"/>
          <w:lang w:val="en-CA"/>
        </w:rPr>
        <w:t xml:space="preserve"> other costs will remain stable in any case. This impression should be avoided given that the recurring cost figure is also meant to comprise transaction costs which may vary considerably depending on the market situation and the portfolio composition at a specific point of time.</w:t>
      </w:r>
    </w:p>
    <w:p w:rsidR="00872134" w:rsidRPr="00872134" w:rsidRDefault="00872134" w:rsidP="00872134">
      <w:pPr>
        <w:spacing w:before="160"/>
        <w:jc w:val="both"/>
        <w:rPr>
          <w:rFonts w:cs="Arial"/>
          <w:szCs w:val="22"/>
          <w:lang w:val="en-CA"/>
        </w:rPr>
      </w:pPr>
      <w:r w:rsidRPr="00872134">
        <w:rPr>
          <w:rFonts w:cs="Arial"/>
          <w:szCs w:val="22"/>
          <w:lang w:val="en-CA"/>
        </w:rPr>
        <w:t>We are, thus, in favour of the summary table as well as a detailed breakout table as explained above.</w:t>
      </w:r>
    </w:p>
    <w:p w:rsidR="00872134" w:rsidRPr="00872134" w:rsidRDefault="00872134" w:rsidP="00491E49">
      <w:pPr>
        <w:rPr>
          <w:lang w:val="en-CA"/>
        </w:rPr>
      </w:pPr>
    </w:p>
    <w:permEnd w:id="1005419616"/>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872134" w:rsidP="00491E49">
      <w:permStart w:id="267528337" w:edGrp="everyone"/>
      <w:r w:rsidRPr="00872134">
        <w:rPr>
          <w:rFonts w:cs="Arial"/>
          <w:szCs w:val="22"/>
          <w:lang w:val="en-CA"/>
        </w:rPr>
        <w:lastRenderedPageBreak/>
        <w:t>We are not in favour of combining both tables, as the second table rather provides clarity on the info</w:t>
      </w:r>
      <w:r w:rsidRPr="00872134">
        <w:rPr>
          <w:rFonts w:cs="Arial"/>
          <w:szCs w:val="22"/>
          <w:lang w:val="en-CA"/>
        </w:rPr>
        <w:t>r</w:t>
      </w:r>
      <w:r w:rsidRPr="00872134">
        <w:rPr>
          <w:rFonts w:cs="Arial"/>
          <w:szCs w:val="22"/>
          <w:lang w:val="en-CA"/>
        </w:rPr>
        <w:t>mation included in the first table. Please consider our suggested revised summary and detailed breakout tables below</w:t>
      </w:r>
      <w:r>
        <w:rPr>
          <w:rFonts w:cs="Arial"/>
          <w:szCs w:val="22"/>
          <w:lang w:val="en-CA"/>
        </w:rPr>
        <w:t>.</w:t>
      </w:r>
      <w:r w:rsidRPr="00872134">
        <w:t xml:space="preserve"> </w:t>
      </w:r>
      <w:r>
        <w:t>We would also suggest cancelling the second table rather than combining the two tables. For retail investors, a combined table would be too complex to understand, while showing both tables would go beyond the 3 pages limit.</w:t>
      </w:r>
    </w:p>
    <w:permEnd w:id="267528337"/>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A2049D" w:rsidRPr="00491E49" w:rsidRDefault="00872134" w:rsidP="00491E49">
      <w:pPr>
        <w:rPr>
          <w:lang w:val="fr-FR"/>
        </w:rPr>
      </w:pPr>
      <w:permStart w:id="885021062" w:edGrp="everyone"/>
      <w:r w:rsidRPr="00872134">
        <w:rPr>
          <w:rFonts w:cs="Arial"/>
          <w:szCs w:val="22"/>
          <w:lang w:val="en-CA"/>
        </w:rPr>
        <w:t>Yes, the RTS could specify that for structured products, calculations for the cost free scenario have a</w:t>
      </w:r>
      <w:r w:rsidRPr="00872134">
        <w:rPr>
          <w:rFonts w:cs="Arial"/>
          <w:szCs w:val="22"/>
          <w:lang w:val="en-CA"/>
        </w:rPr>
        <w:t>l</w:t>
      </w:r>
      <w:r w:rsidRPr="00872134">
        <w:rPr>
          <w:rFonts w:cs="Arial"/>
          <w:szCs w:val="22"/>
          <w:lang w:val="en-CA"/>
        </w:rPr>
        <w:t>ways to be based on an adjustment of the payments by the investor, as investors in structured products often have no possibility to make additional investments after the initial subscri</w:t>
      </w:r>
      <w:r>
        <w:rPr>
          <w:rFonts w:cs="Arial"/>
          <w:szCs w:val="22"/>
          <w:lang w:val="en-CA"/>
        </w:rPr>
        <w:t>ption. .</w:t>
      </w:r>
      <w:permEnd w:id="885021062"/>
      <w:r w:rsidR="00491E49" w:rsidRPr="00580880">
        <w:rPr>
          <w:lang w:val="fr-FR"/>
        </w:rPr>
        <w:t>&lt;ESMA_QUESTION_</w:t>
      </w:r>
      <w:r w:rsidR="00491E49">
        <w:rPr>
          <w:lang w:val="fr-FR"/>
        </w:rPr>
        <w:t>PRIIPS_25</w:t>
      </w:r>
      <w:r w:rsidR="00491E49"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72134" w:rsidRPr="00872134" w:rsidRDefault="00872134" w:rsidP="00872134">
      <w:pPr>
        <w:jc w:val="both"/>
        <w:rPr>
          <w:rFonts w:cs="Arial"/>
          <w:szCs w:val="22"/>
          <w:lang w:val="en-CA"/>
        </w:rPr>
      </w:pPr>
      <w:permStart w:id="2023387383" w:edGrp="everyone"/>
      <w:r w:rsidRPr="00872134">
        <w:rPr>
          <w:rFonts w:cs="Arial"/>
          <w:szCs w:val="22"/>
          <w:lang w:val="en-CA"/>
        </w:rPr>
        <w:t>As explained above, we are in favour of showcasing both a summary table and a more detailed brea</w:t>
      </w:r>
      <w:r w:rsidRPr="00872134">
        <w:rPr>
          <w:rFonts w:cs="Arial"/>
          <w:szCs w:val="22"/>
          <w:lang w:val="en-CA"/>
        </w:rPr>
        <w:t>k</w:t>
      </w:r>
      <w:r w:rsidRPr="00872134">
        <w:rPr>
          <w:rFonts w:cs="Arial"/>
          <w:szCs w:val="22"/>
          <w:lang w:val="en-CA"/>
        </w:rPr>
        <w:t>down table as suggested by the ESAs.</w:t>
      </w:r>
    </w:p>
    <w:p w:rsidR="00872134" w:rsidRPr="00872134" w:rsidRDefault="00872134" w:rsidP="00872134">
      <w:pPr>
        <w:jc w:val="both"/>
        <w:rPr>
          <w:rFonts w:cs="Arial"/>
          <w:szCs w:val="22"/>
          <w:lang w:val="en-CA"/>
        </w:rPr>
      </w:pPr>
      <w:r w:rsidRPr="00872134">
        <w:rPr>
          <w:rFonts w:cs="Arial"/>
          <w:szCs w:val="22"/>
          <w:lang w:val="en-CA"/>
        </w:rPr>
        <w:t>The currently proposed summary table on page 73 is nevertheless a hybrid between a summary and breakdown table. We recommend a simpler summary table followed by a more detailed breakdown.</w:t>
      </w:r>
    </w:p>
    <w:p w:rsidR="00872134" w:rsidRPr="00872134" w:rsidRDefault="00872134" w:rsidP="00872134">
      <w:pPr>
        <w:jc w:val="both"/>
        <w:rPr>
          <w:rFonts w:cs="Arial"/>
          <w:szCs w:val="22"/>
          <w:lang w:val="en-CA"/>
        </w:rPr>
      </w:pPr>
      <w:r w:rsidRPr="00872134">
        <w:rPr>
          <w:rFonts w:cs="Arial"/>
          <w:szCs w:val="22"/>
          <w:lang w:val="en-CA"/>
        </w:rPr>
        <w:t>By way of introduction, please note the following:</w:t>
      </w:r>
    </w:p>
    <w:p w:rsidR="00872134" w:rsidRPr="00872134" w:rsidRDefault="00872134" w:rsidP="0045465D">
      <w:pPr>
        <w:pStyle w:val="Listenabsatz"/>
        <w:numPr>
          <w:ilvl w:val="0"/>
          <w:numId w:val="41"/>
        </w:numPr>
        <w:spacing w:before="160" w:after="160" w:line="259" w:lineRule="auto"/>
        <w:jc w:val="both"/>
        <w:rPr>
          <w:rFonts w:cs="Arial"/>
          <w:szCs w:val="22"/>
          <w:lang w:val="en-CA"/>
        </w:rPr>
      </w:pPr>
      <w:r w:rsidRPr="00872134">
        <w:rPr>
          <w:rFonts w:cs="Arial"/>
          <w:szCs w:val="22"/>
          <w:lang w:val="en-CA"/>
        </w:rPr>
        <w:t>As the first table is showing the effect of charges, it would be most useful if the second table showed the actual cost structure, thereby enabling a proper understanding, and even replication of the cost structure in other scenarios. It is likely to be misleading to show a 5% entry cost as 1% in the hope that the investor realises that the table relates to a recommended holding period of 5 years and the 5% has been amortised. These actual percentages are also what will be required by MiFID II and will be used by online calculators.</w:t>
      </w:r>
    </w:p>
    <w:p w:rsidR="00872134" w:rsidRPr="00872134" w:rsidRDefault="00872134" w:rsidP="0045465D">
      <w:pPr>
        <w:pStyle w:val="Listenabsatz"/>
        <w:numPr>
          <w:ilvl w:val="0"/>
          <w:numId w:val="41"/>
        </w:numPr>
        <w:spacing w:before="160" w:after="160" w:line="259" w:lineRule="auto"/>
        <w:jc w:val="both"/>
        <w:rPr>
          <w:rFonts w:cs="Arial"/>
          <w:szCs w:val="22"/>
          <w:lang w:val="en-CA"/>
        </w:rPr>
      </w:pPr>
      <w:r w:rsidRPr="00872134">
        <w:rPr>
          <w:rFonts w:cs="Arial"/>
          <w:szCs w:val="22"/>
          <w:lang w:val="en-CA"/>
        </w:rPr>
        <w:t>While in favour of the reduction-in-yield methodology, we question whether the concept “RIY” is understood by the average retail investor. We therefore propose (see comments on Annex VII’s presentation of costs) to describe RIY in plain language such as “equivalent annual percentage rate”.</w:t>
      </w:r>
    </w:p>
    <w:p w:rsidR="00872134" w:rsidRPr="00872134" w:rsidRDefault="00872134" w:rsidP="0045465D">
      <w:pPr>
        <w:pStyle w:val="Listenabsatz"/>
        <w:numPr>
          <w:ilvl w:val="0"/>
          <w:numId w:val="41"/>
        </w:numPr>
        <w:spacing w:before="160" w:after="160" w:line="259" w:lineRule="auto"/>
        <w:jc w:val="both"/>
        <w:rPr>
          <w:rFonts w:cs="Arial"/>
          <w:szCs w:val="22"/>
          <w:lang w:val="en-CA"/>
        </w:rPr>
      </w:pPr>
      <w:r w:rsidRPr="00872134">
        <w:rPr>
          <w:rFonts w:cs="Arial"/>
          <w:szCs w:val="22"/>
          <w:lang w:val="en-CA"/>
        </w:rPr>
        <w:t>The ESAs’ proposal misses a link to the performance scenario, i.e. indicating that the costs are based on the moderate performance scenario.</w:t>
      </w:r>
    </w:p>
    <w:p w:rsidR="00872134" w:rsidRPr="00872134" w:rsidRDefault="00872134" w:rsidP="0045465D">
      <w:pPr>
        <w:pStyle w:val="Listenabsatz"/>
        <w:numPr>
          <w:ilvl w:val="0"/>
          <w:numId w:val="41"/>
        </w:numPr>
        <w:spacing w:before="160" w:after="160" w:line="259" w:lineRule="auto"/>
        <w:jc w:val="both"/>
        <w:rPr>
          <w:rFonts w:cs="Arial"/>
          <w:szCs w:val="22"/>
          <w:lang w:val="en-CA"/>
        </w:rPr>
      </w:pPr>
      <w:r w:rsidRPr="00872134">
        <w:rPr>
          <w:rFonts w:cs="Arial"/>
          <w:szCs w:val="22"/>
          <w:lang w:val="en-CA"/>
        </w:rPr>
        <w:t>Each of the detailed cost items should be shown only if relevant. The below example showcasing a fund’s costs should thus delete the lines on “exit costs”, “insurance costs”, “carried interest” and “exit penalties” in the final version.</w:t>
      </w:r>
      <w:r w:rsidRPr="00872134">
        <w:rPr>
          <w:rFonts w:cs="Arial"/>
          <w:szCs w:val="22"/>
          <w:lang w:val="en-CA"/>
        </w:rPr>
        <w:br w:type="page"/>
      </w:r>
    </w:p>
    <w:tbl>
      <w:tblPr>
        <w:tblW w:w="9062" w:type="dxa"/>
        <w:tblLook w:val="04A0" w:firstRow="1" w:lastRow="0" w:firstColumn="1" w:lastColumn="0" w:noHBand="0" w:noVBand="1"/>
      </w:tblPr>
      <w:tblGrid>
        <w:gridCol w:w="1674"/>
        <w:gridCol w:w="979"/>
        <w:gridCol w:w="2230"/>
        <w:gridCol w:w="1208"/>
        <w:gridCol w:w="1275"/>
        <w:gridCol w:w="1717"/>
      </w:tblGrid>
      <w:tr w:rsidR="00872134" w:rsidRPr="00872134" w:rsidTr="00C62C8E">
        <w:trPr>
          <w:trHeight w:val="411"/>
        </w:trPr>
        <w:tc>
          <w:tcPr>
            <w:tcW w:w="4883" w:type="dxa"/>
            <w:gridSpan w:val="3"/>
            <w:tcBorders>
              <w:top w:val="single" w:sz="4" w:space="0" w:color="auto"/>
              <w:left w:val="single" w:sz="4" w:space="0" w:color="auto"/>
              <w:bottom w:val="nil"/>
              <w:right w:val="nil"/>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lastRenderedPageBreak/>
              <w:t>What are the costs?</w:t>
            </w:r>
          </w:p>
        </w:tc>
        <w:tc>
          <w:tcPr>
            <w:tcW w:w="1208" w:type="dxa"/>
            <w:tcBorders>
              <w:top w:val="single" w:sz="4" w:space="0" w:color="auto"/>
              <w:left w:val="nil"/>
              <w:bottom w:val="nil"/>
              <w:right w:val="nil"/>
            </w:tcBorders>
            <w:shd w:val="clear" w:color="auto" w:fill="auto"/>
            <w:noWrap/>
            <w:vAlign w:val="bottom"/>
            <w:hideMark/>
          </w:tcPr>
          <w:p w:rsidR="00872134" w:rsidRPr="00872134" w:rsidRDefault="00872134" w:rsidP="00C62C8E">
            <w:pPr>
              <w:jc w:val="both"/>
              <w:rPr>
                <w:rFonts w:cs="Arial"/>
                <w:b/>
                <w:bCs/>
                <w:color w:val="000000"/>
                <w:sz w:val="18"/>
                <w:lang w:eastAsia="en-GB"/>
              </w:rPr>
            </w:pPr>
          </w:p>
        </w:tc>
        <w:tc>
          <w:tcPr>
            <w:tcW w:w="1275" w:type="dxa"/>
            <w:tcBorders>
              <w:top w:val="single" w:sz="4" w:space="0" w:color="auto"/>
              <w:left w:val="nil"/>
              <w:bottom w:val="nil"/>
              <w:right w:val="nil"/>
            </w:tcBorders>
            <w:shd w:val="clear" w:color="auto" w:fill="auto"/>
            <w:noWrap/>
            <w:vAlign w:val="bottom"/>
            <w:hideMark/>
          </w:tcPr>
          <w:p w:rsidR="00872134" w:rsidRPr="00872134" w:rsidRDefault="00872134" w:rsidP="00C62C8E">
            <w:pPr>
              <w:jc w:val="both"/>
              <w:rPr>
                <w:rFonts w:cs="Arial"/>
                <w:sz w:val="18"/>
                <w:lang w:eastAsia="en-GB"/>
              </w:rPr>
            </w:pPr>
          </w:p>
        </w:tc>
        <w:tc>
          <w:tcPr>
            <w:tcW w:w="1696" w:type="dxa"/>
            <w:tcBorders>
              <w:top w:val="single" w:sz="4" w:space="0" w:color="auto"/>
              <w:left w:val="nil"/>
              <w:bottom w:val="nil"/>
              <w:right w:val="single" w:sz="4" w:space="0" w:color="auto"/>
            </w:tcBorders>
            <w:shd w:val="clear" w:color="auto" w:fill="auto"/>
            <w:noWrap/>
            <w:vAlign w:val="bottom"/>
            <w:hideMark/>
          </w:tcPr>
          <w:p w:rsidR="00872134" w:rsidRPr="00872134" w:rsidRDefault="00872134" w:rsidP="00C62C8E">
            <w:pPr>
              <w:jc w:val="both"/>
              <w:rPr>
                <w:rFonts w:cs="Arial"/>
                <w:sz w:val="18"/>
                <w:lang w:eastAsia="en-GB"/>
              </w:rPr>
            </w:pPr>
          </w:p>
        </w:tc>
      </w:tr>
      <w:tr w:rsidR="00872134" w:rsidRPr="00872134" w:rsidTr="00C62C8E">
        <w:trPr>
          <w:trHeight w:val="997"/>
        </w:trPr>
        <w:tc>
          <w:tcPr>
            <w:tcW w:w="9062" w:type="dxa"/>
            <w:gridSpan w:val="6"/>
            <w:tcBorders>
              <w:top w:val="nil"/>
              <w:left w:val="single" w:sz="4" w:space="0" w:color="auto"/>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This section tells you the effect that costs might have on what you get back from your investment and explains the different types of costs. The amounts shown are the costs of this product. Your adviser or the person selling you this product will tell you about any additional costs of distribution not included in these amounts.</w:t>
            </w:r>
          </w:p>
        </w:tc>
      </w:tr>
      <w:tr w:rsidR="00872134" w:rsidRPr="00872134" w:rsidTr="00C62C8E">
        <w:trPr>
          <w:trHeight w:val="375"/>
        </w:trPr>
        <w:tc>
          <w:tcPr>
            <w:tcW w:w="2653" w:type="dxa"/>
            <w:gridSpan w:val="2"/>
            <w:tcBorders>
              <w:top w:val="single" w:sz="4" w:space="0" w:color="auto"/>
              <w:left w:val="single" w:sz="4" w:space="0" w:color="auto"/>
              <w:bottom w:val="single" w:sz="4" w:space="0" w:color="auto"/>
              <w:right w:val="nil"/>
            </w:tcBorders>
            <w:shd w:val="clear" w:color="000000" w:fill="D9D9D9"/>
            <w:noWrap/>
            <w:vAlign w:val="bottom"/>
            <w:hideMark/>
          </w:tcPr>
          <w:p w:rsidR="00872134" w:rsidRPr="00872134" w:rsidRDefault="00872134" w:rsidP="00C62C8E">
            <w:pPr>
              <w:jc w:val="both"/>
              <w:rPr>
                <w:rFonts w:cs="Arial"/>
                <w:b/>
                <w:bCs/>
                <w:color w:val="000000"/>
                <w:sz w:val="18"/>
                <w:lang w:val="en-CA" w:eastAsia="en-GB"/>
              </w:rPr>
            </w:pPr>
            <w:r w:rsidRPr="00872134">
              <w:rPr>
                <w:rFonts w:cs="Arial"/>
                <w:b/>
                <w:bCs/>
                <w:color w:val="000000"/>
                <w:szCs w:val="22"/>
                <w:lang w:val="en-CA" w:eastAsia="en-GB"/>
              </w:rPr>
              <w:t>Estimate of costs over time</w:t>
            </w:r>
          </w:p>
          <w:p w:rsidR="00872134" w:rsidRPr="00872134" w:rsidRDefault="00872134" w:rsidP="00C62C8E">
            <w:pPr>
              <w:jc w:val="both"/>
              <w:rPr>
                <w:rFonts w:cs="Arial"/>
                <w:b/>
                <w:bCs/>
                <w:color w:val="000000"/>
                <w:sz w:val="18"/>
                <w:lang w:val="en-CA" w:eastAsia="en-GB"/>
              </w:rPr>
            </w:pPr>
            <w:r w:rsidRPr="00872134">
              <w:rPr>
                <w:rFonts w:cs="Arial"/>
                <w:b/>
                <w:bCs/>
                <w:color w:val="000000"/>
                <w:szCs w:val="22"/>
                <w:lang w:val="en-CA" w:eastAsia="en-GB"/>
              </w:rPr>
              <w:t>If you invest €1,000</w:t>
            </w:r>
          </w:p>
        </w:tc>
        <w:tc>
          <w:tcPr>
            <w:tcW w:w="2230" w:type="dxa"/>
            <w:tcBorders>
              <w:top w:val="single" w:sz="4" w:space="0" w:color="auto"/>
              <w:left w:val="nil"/>
              <w:bottom w:val="single" w:sz="4" w:space="0" w:color="auto"/>
              <w:right w:val="nil"/>
            </w:tcBorders>
            <w:shd w:val="clear" w:color="000000" w:fill="D9D9D9"/>
            <w:noWrap/>
            <w:vAlign w:val="bottom"/>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 </w:t>
            </w:r>
          </w:p>
        </w:tc>
        <w:tc>
          <w:tcPr>
            <w:tcW w:w="1208" w:type="dxa"/>
            <w:tcBorders>
              <w:top w:val="single" w:sz="4" w:space="0" w:color="auto"/>
              <w:left w:val="nil"/>
              <w:bottom w:val="single" w:sz="4" w:space="0" w:color="auto"/>
              <w:right w:val="nil"/>
            </w:tcBorders>
            <w:shd w:val="clear" w:color="000000" w:fill="D9D9D9"/>
            <w:noWrap/>
            <w:vAlign w:val="bottom"/>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Over a year</w:t>
            </w:r>
          </w:p>
        </w:tc>
        <w:tc>
          <w:tcPr>
            <w:tcW w:w="1275" w:type="dxa"/>
            <w:tcBorders>
              <w:top w:val="single" w:sz="4" w:space="0" w:color="auto"/>
              <w:left w:val="nil"/>
              <w:bottom w:val="single" w:sz="4" w:space="0" w:color="auto"/>
              <w:right w:val="nil"/>
            </w:tcBorders>
            <w:shd w:val="clear" w:color="000000" w:fill="D9D9D9"/>
            <w:noWrap/>
            <w:vAlign w:val="bottom"/>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Over 3 years</w:t>
            </w:r>
          </w:p>
        </w:tc>
        <w:tc>
          <w:tcPr>
            <w:tcW w:w="1696" w:type="dxa"/>
            <w:tcBorders>
              <w:top w:val="single" w:sz="4" w:space="0" w:color="auto"/>
              <w:left w:val="nil"/>
              <w:bottom w:val="single" w:sz="4" w:space="0" w:color="auto"/>
              <w:right w:val="single" w:sz="4" w:space="0" w:color="auto"/>
            </w:tcBorders>
            <w:shd w:val="clear" w:color="000000" w:fill="D9D9D9"/>
            <w:noWrap/>
            <w:vAlign w:val="bottom"/>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Over 5 years</w:t>
            </w:r>
          </w:p>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(recommended)</w:t>
            </w:r>
          </w:p>
        </w:tc>
      </w:tr>
      <w:tr w:rsidR="00872134" w:rsidRPr="00872134" w:rsidTr="00C62C8E">
        <w:trPr>
          <w:trHeight w:val="375"/>
        </w:trPr>
        <w:tc>
          <w:tcPr>
            <w:tcW w:w="4883" w:type="dxa"/>
            <w:gridSpan w:val="3"/>
            <w:tcBorders>
              <w:top w:val="single" w:sz="4" w:space="0" w:color="auto"/>
              <w:left w:val="single" w:sz="4" w:space="0" w:color="auto"/>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Total impact of costs over each time period</w:t>
            </w:r>
          </w:p>
        </w:tc>
        <w:tc>
          <w:tcPr>
            <w:tcW w:w="1208" w:type="dxa"/>
            <w:tcBorders>
              <w:top w:val="nil"/>
              <w:left w:val="nil"/>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eastAsia="en-GB"/>
              </w:rPr>
              <w:t>€ 53</w:t>
            </w:r>
          </w:p>
        </w:tc>
        <w:tc>
          <w:tcPr>
            <w:tcW w:w="1275" w:type="dxa"/>
            <w:tcBorders>
              <w:top w:val="nil"/>
              <w:left w:val="nil"/>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eastAsia="en-GB"/>
              </w:rPr>
              <w:t>€ 85</w:t>
            </w:r>
          </w:p>
        </w:tc>
        <w:tc>
          <w:tcPr>
            <w:tcW w:w="1696" w:type="dxa"/>
            <w:tcBorders>
              <w:top w:val="nil"/>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€ 125</w:t>
            </w:r>
          </w:p>
        </w:tc>
      </w:tr>
      <w:tr w:rsidR="00872134" w:rsidRPr="00872134" w:rsidTr="00C62C8E">
        <w:trPr>
          <w:trHeight w:val="375"/>
        </w:trPr>
        <w:tc>
          <w:tcPr>
            <w:tcW w:w="4883" w:type="dxa"/>
            <w:gridSpan w:val="3"/>
            <w:tcBorders>
              <w:top w:val="nil"/>
              <w:left w:val="single" w:sz="4" w:space="0" w:color="auto"/>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Equivalent annual percentage rate (N.B. “RIY”)</w:t>
            </w:r>
          </w:p>
        </w:tc>
        <w:tc>
          <w:tcPr>
            <w:tcW w:w="1208" w:type="dxa"/>
            <w:tcBorders>
              <w:top w:val="nil"/>
              <w:left w:val="nil"/>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eastAsia="en-GB"/>
              </w:rPr>
              <w:t>5,3%</w:t>
            </w:r>
          </w:p>
        </w:tc>
        <w:tc>
          <w:tcPr>
            <w:tcW w:w="1275" w:type="dxa"/>
            <w:tcBorders>
              <w:top w:val="nil"/>
              <w:left w:val="nil"/>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eastAsia="en-GB"/>
              </w:rPr>
              <w:t>2,6%</w:t>
            </w:r>
          </w:p>
        </w:tc>
        <w:tc>
          <w:tcPr>
            <w:tcW w:w="1696" w:type="dxa"/>
            <w:tcBorders>
              <w:top w:val="nil"/>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2,2%</w:t>
            </w:r>
          </w:p>
        </w:tc>
      </w:tr>
      <w:tr w:rsidR="00872134" w:rsidRPr="00872134" w:rsidTr="00C62C8E">
        <w:trPr>
          <w:trHeight w:val="1534"/>
        </w:trPr>
        <w:tc>
          <w:tcPr>
            <w:tcW w:w="90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The table above shows you the estimated impact of costs on what you might get back from your investment. To see what you might get back after these costs you should read the performance scenarios section of this document.</w:t>
            </w:r>
            <w:r w:rsidRPr="00872134">
              <w:rPr>
                <w:rFonts w:cs="Arial"/>
                <w:color w:val="000000"/>
                <w:szCs w:val="22"/>
                <w:lang w:val="en-CA" w:eastAsia="en-GB"/>
              </w:rPr>
              <w:br/>
              <w:t>The table above is based on the moderate performance scenario and assumes you invest €1,000 and leave it invested for the time periods shown. The costs used are estimated based on data from the past and therefore are likely to be different in the future.</w:t>
            </w:r>
          </w:p>
        </w:tc>
      </w:tr>
      <w:tr w:rsidR="00872134" w:rsidRPr="00872134" w:rsidTr="00C62C8E">
        <w:trPr>
          <w:trHeight w:val="465"/>
        </w:trPr>
        <w:tc>
          <w:tcPr>
            <w:tcW w:w="906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The costs explained</w:t>
            </w:r>
          </w:p>
        </w:tc>
      </w:tr>
      <w:tr w:rsidR="00872134" w:rsidRPr="00872134" w:rsidTr="00C62C8E">
        <w:trPr>
          <w:trHeight w:val="375"/>
        </w:trPr>
        <w:tc>
          <w:tcPr>
            <w:tcW w:w="906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2134" w:rsidRPr="00872134" w:rsidRDefault="00872134" w:rsidP="00C62C8E">
            <w:pPr>
              <w:jc w:val="both"/>
              <w:rPr>
                <w:rFonts w:cs="Arial"/>
                <w:b/>
                <w:bCs/>
                <w:color w:val="000000"/>
                <w:sz w:val="18"/>
                <w:lang w:val="en-CA" w:eastAsia="en-GB"/>
              </w:rPr>
            </w:pPr>
            <w:r w:rsidRPr="00872134">
              <w:rPr>
                <w:rFonts w:cs="Arial"/>
                <w:b/>
                <w:bCs/>
                <w:color w:val="000000"/>
                <w:szCs w:val="22"/>
                <w:lang w:val="en-CA" w:eastAsia="en-GB"/>
              </w:rPr>
              <w:t>One-off costs taken before or after your money is invested</w:t>
            </w:r>
          </w:p>
        </w:tc>
      </w:tr>
      <w:tr w:rsidR="00872134" w:rsidRPr="00872134" w:rsidTr="00C62C8E">
        <w:trPr>
          <w:trHeight w:val="649"/>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Entry costs</w:t>
            </w:r>
          </w:p>
        </w:tc>
        <w:tc>
          <w:tcPr>
            <w:tcW w:w="979" w:type="dxa"/>
            <w:tcBorders>
              <w:top w:val="nil"/>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3,00%</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val="en-CA" w:eastAsia="en-GB"/>
              </w:rPr>
              <w:t xml:space="preserve">This is the maximum that might be taken out of your money before it is invested. </w:t>
            </w:r>
            <w:r w:rsidRPr="00872134">
              <w:rPr>
                <w:rFonts w:cs="Arial"/>
                <w:color w:val="000000"/>
                <w:szCs w:val="22"/>
                <w:lang w:eastAsia="en-GB"/>
              </w:rPr>
              <w:t>In some cases you might pay less.</w:t>
            </w:r>
          </w:p>
        </w:tc>
      </w:tr>
      <w:tr w:rsidR="00872134" w:rsidRPr="00872134" w:rsidTr="00C62C8E">
        <w:trPr>
          <w:trHeight w:val="559"/>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Exit costs</w:t>
            </w:r>
          </w:p>
        </w:tc>
        <w:tc>
          <w:tcPr>
            <w:tcW w:w="979" w:type="dxa"/>
            <w:tcBorders>
              <w:top w:val="nil"/>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 </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val="en-CA" w:eastAsia="en-GB"/>
              </w:rPr>
              <w:t xml:space="preserve">This is the maximum that might be taken out of your money before the proceeds of your investment are paid to you. </w:t>
            </w:r>
            <w:r w:rsidRPr="00872134">
              <w:rPr>
                <w:rFonts w:cs="Arial"/>
                <w:color w:val="000000"/>
                <w:szCs w:val="22"/>
                <w:lang w:eastAsia="en-GB"/>
              </w:rPr>
              <w:t>In some cases you might pay less.</w:t>
            </w:r>
          </w:p>
        </w:tc>
      </w:tr>
      <w:tr w:rsidR="00872134" w:rsidRPr="00872134" w:rsidTr="00C62C8E">
        <w:trPr>
          <w:trHeight w:val="375"/>
        </w:trPr>
        <w:tc>
          <w:tcPr>
            <w:tcW w:w="906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2134" w:rsidRPr="00872134" w:rsidRDefault="00872134" w:rsidP="00C62C8E">
            <w:pPr>
              <w:jc w:val="both"/>
              <w:rPr>
                <w:rFonts w:cs="Arial"/>
                <w:b/>
                <w:bCs/>
                <w:color w:val="000000"/>
                <w:sz w:val="18"/>
                <w:lang w:val="en-CA" w:eastAsia="en-GB"/>
              </w:rPr>
            </w:pPr>
            <w:r w:rsidRPr="00872134">
              <w:rPr>
                <w:rFonts w:cs="Arial"/>
                <w:b/>
                <w:bCs/>
                <w:color w:val="000000"/>
                <w:szCs w:val="22"/>
                <w:lang w:val="en-CA" w:eastAsia="en-GB"/>
              </w:rPr>
              <w:t>Costs taken from the product over a year</w:t>
            </w:r>
          </w:p>
        </w:tc>
      </w:tr>
      <w:tr w:rsidR="00872134" w:rsidRPr="00872134" w:rsidTr="00C62C8E">
        <w:trPr>
          <w:trHeight w:val="923"/>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Recurring costs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0,80%</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This is taken from your investment each year to cover the costs of managing and operating the product. The figure shown is based on actual costs for the year ending xx/xx/xx.</w:t>
            </w:r>
          </w:p>
        </w:tc>
      </w:tr>
      <w:tr w:rsidR="00872134" w:rsidRPr="00872134" w:rsidTr="00C62C8E">
        <w:trPr>
          <w:trHeight w:val="837"/>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Insurance costs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This is taken from your investment each year to cover the cost of your insurance cover. The figure shown is based on actual costs for the year ending xx/xx/xx.</w:t>
            </w:r>
          </w:p>
        </w:tc>
      </w:tr>
      <w:tr w:rsidR="00872134" w:rsidRPr="00872134" w:rsidTr="00C62C8E">
        <w:trPr>
          <w:trHeight w:val="1119"/>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Transaction costs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0,50%</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This is incurred each time the fund's underlying investments are bought and sold. The figure shown is the yearly average for the last three years. These costs vary depending on the frequency of buying and selling and the nature of the investments involved.</w:t>
            </w:r>
          </w:p>
        </w:tc>
      </w:tr>
      <w:tr w:rsidR="00872134" w:rsidRPr="00872134" w:rsidTr="00C62C8E">
        <w:trPr>
          <w:trHeight w:val="375"/>
        </w:trPr>
        <w:tc>
          <w:tcPr>
            <w:tcW w:w="9062"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2134" w:rsidRPr="00872134" w:rsidRDefault="00872134" w:rsidP="00C62C8E">
            <w:pPr>
              <w:jc w:val="both"/>
              <w:rPr>
                <w:rFonts w:cs="Arial"/>
                <w:b/>
                <w:bCs/>
                <w:color w:val="000000"/>
                <w:sz w:val="18"/>
                <w:lang w:val="en-CA" w:eastAsia="en-GB"/>
              </w:rPr>
            </w:pPr>
            <w:r w:rsidRPr="00872134">
              <w:rPr>
                <w:rFonts w:cs="Arial"/>
                <w:b/>
                <w:bCs/>
                <w:color w:val="000000"/>
                <w:szCs w:val="22"/>
                <w:lang w:val="en-CA" w:eastAsia="en-GB"/>
              </w:rPr>
              <w:t>Costs taken from the product under certain specific conditions</w:t>
            </w:r>
          </w:p>
        </w:tc>
      </w:tr>
      <w:tr w:rsidR="00872134" w:rsidRPr="00872134" w:rsidTr="00C62C8E">
        <w:trPr>
          <w:trHeight w:val="1510"/>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Performance fees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1,00%</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We charge a performance fee of 20% of any outperformance only when the product outperforms its benchmark, the [name of benc</w:t>
            </w:r>
            <w:r w:rsidRPr="00872134">
              <w:rPr>
                <w:rFonts w:cs="Arial"/>
                <w:color w:val="000000"/>
                <w:szCs w:val="22"/>
                <w:lang w:val="en-CA" w:eastAsia="en-GB"/>
              </w:rPr>
              <w:t>h</w:t>
            </w:r>
            <w:r w:rsidRPr="00872134">
              <w:rPr>
                <w:rFonts w:cs="Arial"/>
                <w:color w:val="000000"/>
                <w:szCs w:val="22"/>
                <w:lang w:val="en-CA" w:eastAsia="en-GB"/>
              </w:rPr>
              <w:t>mark].  The figure shown is the yearly average for the last five years. The performance fee varies depending on the performance of both the product and the benchmark and may not arise at all.</w:t>
            </w:r>
          </w:p>
        </w:tc>
      </w:tr>
      <w:tr w:rsidR="00872134" w:rsidRPr="00872134" w:rsidTr="00C62C8E">
        <w:trPr>
          <w:trHeight w:val="795"/>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Carried inte</w:t>
            </w:r>
            <w:r w:rsidRPr="00872134">
              <w:rPr>
                <w:rFonts w:cs="Arial"/>
                <w:b/>
                <w:bCs/>
                <w:color w:val="000000"/>
                <w:szCs w:val="22"/>
                <w:lang w:eastAsia="en-GB"/>
              </w:rPr>
              <w:t>r</w:t>
            </w:r>
            <w:r w:rsidRPr="00872134">
              <w:rPr>
                <w:rFonts w:cs="Arial"/>
                <w:b/>
                <w:bCs/>
                <w:color w:val="000000"/>
                <w:szCs w:val="22"/>
                <w:lang w:eastAsia="en-GB"/>
              </w:rPr>
              <w:t>est</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 </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Our carried interest in the product is 20% of the profits generated each year. The figure shown is the yearly average for the last five years.</w:t>
            </w:r>
          </w:p>
        </w:tc>
      </w:tr>
      <w:tr w:rsidR="00872134" w:rsidRPr="00872134" w:rsidTr="00C62C8E">
        <w:trPr>
          <w:trHeight w:val="1022"/>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lastRenderedPageBreak/>
              <w:t>Exit pena</w:t>
            </w:r>
            <w:r w:rsidRPr="00872134">
              <w:rPr>
                <w:rFonts w:cs="Arial"/>
                <w:b/>
                <w:bCs/>
                <w:color w:val="000000"/>
                <w:szCs w:val="22"/>
                <w:lang w:eastAsia="en-GB"/>
              </w:rPr>
              <w:t>l</w:t>
            </w:r>
            <w:r w:rsidRPr="00872134">
              <w:rPr>
                <w:rFonts w:cs="Arial"/>
                <w:b/>
                <w:bCs/>
                <w:color w:val="000000"/>
                <w:szCs w:val="22"/>
                <w:lang w:eastAsia="en-GB"/>
              </w:rPr>
              <w:t>ty/Exit cost</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 </w:t>
            </w:r>
          </w:p>
        </w:tc>
        <w:tc>
          <w:tcPr>
            <w:tcW w:w="6409"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An exit penalty will apply if you leave early. The figure shown is the maximum which applies if you leave in the first year. The exit penalty does not apply if you hold the product for at least five years. (N.B. The intention is to cover any penalties/costs that are not included in the one-off “exit costs”)</w:t>
            </w:r>
          </w:p>
        </w:tc>
      </w:tr>
    </w:tbl>
    <w:permEnd w:id="2023387383"/>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72134" w:rsidRDefault="00872134" w:rsidP="00F82D57">
      <w:permStart w:id="706219786" w:edGrp="everyone"/>
      <w:r>
        <w:t>See Question 26</w:t>
      </w:r>
    </w:p>
    <w:permEnd w:id="706219786"/>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5465D" w:rsidRPr="00556C99" w:rsidRDefault="0045465D" w:rsidP="0045465D">
      <w:pPr>
        <w:jc w:val="both"/>
        <w:rPr>
          <w:rFonts w:cs="Arial"/>
          <w:szCs w:val="22"/>
          <w:lang w:val="en-CA"/>
        </w:rPr>
      </w:pPr>
      <w:permStart w:id="1220678805" w:edGrp="everyone"/>
      <w:r w:rsidRPr="0045465D">
        <w:rPr>
          <w:rFonts w:cs="Arial"/>
          <w:szCs w:val="22"/>
          <w:lang w:val="en-CA"/>
        </w:rPr>
        <w:t>From the feedback received, there is still need for further clarifications</w:t>
      </w:r>
      <w:r>
        <w:rPr>
          <w:rFonts w:cs="Arial"/>
          <w:szCs w:val="22"/>
          <w:lang w:val="en-CA"/>
        </w:rPr>
        <w:t xml:space="preserve">. </w:t>
      </w:r>
      <w:proofErr w:type="gramStart"/>
      <w:r>
        <w:rPr>
          <w:rFonts w:cs="Arial"/>
          <w:szCs w:val="22"/>
          <w:lang w:val="en-CA"/>
        </w:rPr>
        <w:t>According to Art.</w:t>
      </w:r>
      <w:proofErr w:type="gramEnd"/>
      <w:r>
        <w:rPr>
          <w:rFonts w:cs="Arial"/>
          <w:szCs w:val="22"/>
          <w:lang w:val="en-CA"/>
        </w:rPr>
        <w:t xml:space="preserve"> </w:t>
      </w:r>
      <w:proofErr w:type="gramStart"/>
      <w:r>
        <w:rPr>
          <w:rFonts w:cs="Arial"/>
          <w:szCs w:val="22"/>
          <w:lang w:val="en-CA"/>
        </w:rPr>
        <w:t>6 p</w:t>
      </w:r>
      <w:r w:rsidRPr="0045465D">
        <w:rPr>
          <w:rFonts w:cs="Arial"/>
          <w:szCs w:val="22"/>
          <w:lang w:val="en-CA"/>
        </w:rPr>
        <w:t>ara.</w:t>
      </w:r>
      <w:proofErr w:type="gramEnd"/>
      <w:r w:rsidRPr="0045465D">
        <w:rPr>
          <w:rFonts w:cs="Arial"/>
          <w:szCs w:val="22"/>
          <w:lang w:val="en-CA"/>
        </w:rPr>
        <w:t xml:space="preserve"> 7 of the draft RTS (on page 25 of the Consultation Paper), the ESAs will also legally be required to establish furt</w:t>
      </w:r>
      <w:r>
        <w:rPr>
          <w:rFonts w:cs="Arial"/>
          <w:szCs w:val="22"/>
          <w:lang w:val="en-CA"/>
        </w:rPr>
        <w:t>her G</w:t>
      </w:r>
      <w:r w:rsidRPr="0045465D">
        <w:rPr>
          <w:rFonts w:cs="Arial"/>
          <w:szCs w:val="22"/>
          <w:lang w:val="en-CA"/>
        </w:rPr>
        <w:t>uidelines. As a result, it will be very difficult, and probably impossible, for many product manufa</w:t>
      </w:r>
      <w:r w:rsidRPr="0045465D">
        <w:rPr>
          <w:rFonts w:cs="Arial"/>
          <w:szCs w:val="22"/>
          <w:lang w:val="en-CA"/>
        </w:rPr>
        <w:t>c</w:t>
      </w:r>
      <w:r w:rsidRPr="0045465D">
        <w:rPr>
          <w:rFonts w:cs="Arial"/>
          <w:szCs w:val="22"/>
          <w:lang w:val="en-CA"/>
        </w:rPr>
        <w:t>turers to make available a PRIIP KIDs as from January 2017</w:t>
      </w:r>
      <w:r w:rsidRPr="00556C99">
        <w:rPr>
          <w:rFonts w:cs="Arial"/>
          <w:szCs w:val="22"/>
          <w:lang w:val="en-CA"/>
        </w:rPr>
        <w:t>. A delay in implementation is therefore essential.</w:t>
      </w:r>
    </w:p>
    <w:p w:rsidR="0045465D" w:rsidRPr="0045465D" w:rsidRDefault="0045465D" w:rsidP="0045465D">
      <w:pPr>
        <w:jc w:val="both"/>
        <w:rPr>
          <w:rFonts w:cs="Arial"/>
          <w:szCs w:val="22"/>
          <w:lang w:val="en-CA"/>
        </w:rPr>
      </w:pPr>
      <w:r w:rsidRPr="0045465D">
        <w:rPr>
          <w:rFonts w:cs="Arial"/>
          <w:szCs w:val="22"/>
          <w:lang w:val="en-CA"/>
        </w:rPr>
        <w:t>The exemption granted by Article 32 of the PRIIP KID Regulation for UCITS and the many other nationally regulated retail funds that produce the UCITS KIID should not be undermined by conflicting rules applic</w:t>
      </w:r>
      <w:r w:rsidRPr="0045465D">
        <w:rPr>
          <w:rFonts w:cs="Arial"/>
          <w:szCs w:val="22"/>
          <w:lang w:val="en-CA"/>
        </w:rPr>
        <w:t>a</w:t>
      </w:r>
      <w:r w:rsidRPr="0045465D">
        <w:rPr>
          <w:rFonts w:cs="Arial"/>
          <w:szCs w:val="22"/>
          <w:lang w:val="en-CA"/>
        </w:rPr>
        <w:t xml:space="preserve">ble to other PRIIP providers. The unsatisfactory situation presented on page 123 of the Consultation Paper (first bullet point under the section </w:t>
      </w:r>
      <w:r w:rsidRPr="0045465D">
        <w:rPr>
          <w:rFonts w:cs="Arial"/>
          <w:i/>
          <w:szCs w:val="22"/>
          <w:lang w:val="en-CA"/>
        </w:rPr>
        <w:t>MOPs Costs</w:t>
      </w:r>
      <w:r w:rsidRPr="0045465D">
        <w:rPr>
          <w:rFonts w:cs="Arial"/>
          <w:szCs w:val="22"/>
          <w:lang w:val="en-CA"/>
        </w:rPr>
        <w:t xml:space="preserve">) should be taken into account with high priority by the legislator before the new rules are finalised. As drafted, the MOP rules would require a very large number of investment funds to produce both a UCITS KIID and information for a PRIIP KID, at least until 31 December 2019. This would also undermine the review by the Commission pursuant to Article 33 of </w:t>
      </w:r>
      <w:r w:rsidRPr="0045465D">
        <w:rPr>
          <w:rFonts w:cs="Arial"/>
          <w:szCs w:val="22"/>
          <w:lang w:val="en-CA"/>
        </w:rPr>
        <w:lastRenderedPageBreak/>
        <w:t>the PRIIP KID Regulation.  Moreover, and very importantly, it would result in confusing information for investors, with the core features of risk, performance and costs presented differently in the two doc</w:t>
      </w:r>
      <w:r w:rsidRPr="0045465D">
        <w:rPr>
          <w:rFonts w:cs="Arial"/>
          <w:szCs w:val="22"/>
          <w:lang w:val="en-CA"/>
        </w:rPr>
        <w:t>u</w:t>
      </w:r>
      <w:r w:rsidRPr="0045465D">
        <w:rPr>
          <w:rFonts w:cs="Arial"/>
          <w:szCs w:val="22"/>
          <w:lang w:val="en-CA"/>
        </w:rPr>
        <w:t>ments.</w:t>
      </w:r>
    </w:p>
    <w:p w:rsidR="0045465D" w:rsidRPr="0045465D" w:rsidRDefault="0045465D" w:rsidP="0045465D">
      <w:pPr>
        <w:jc w:val="both"/>
        <w:rPr>
          <w:rFonts w:cs="Arial"/>
          <w:szCs w:val="22"/>
          <w:lang w:val="en-CA"/>
        </w:rPr>
      </w:pPr>
      <w:r w:rsidRPr="0045465D">
        <w:rPr>
          <w:rFonts w:cs="Arial"/>
          <w:szCs w:val="22"/>
          <w:lang w:val="en-CA"/>
        </w:rPr>
        <w:t xml:space="preserve">We deem it questionable whether such outcome was envisaged by the EU legislators or even is covered by the Level 1 text. Article 6(3) of the PRIIP KID Regulation stipulates that in the case of MOPs “the key information document shall provide at least a generic description of the underlying investment options </w:t>
      </w:r>
      <w:r w:rsidRPr="0045465D">
        <w:rPr>
          <w:rFonts w:cs="Arial"/>
          <w:szCs w:val="22"/>
          <w:u w:val="single"/>
          <w:lang w:val="en-CA"/>
        </w:rPr>
        <w:t>and state where and how more detailed pre-contractual information documentation relating to the investment products backing the underlying investment options can be found</w:t>
      </w:r>
      <w:r w:rsidRPr="0045465D">
        <w:rPr>
          <w:rFonts w:cs="Arial"/>
          <w:szCs w:val="22"/>
          <w:lang w:val="en-CA"/>
        </w:rPr>
        <w:t>.” In our view, this wording does not imply provision of a PRIIP KID for each of the underlying investment option. On the contrary, when co</w:t>
      </w:r>
      <w:r w:rsidRPr="0045465D">
        <w:rPr>
          <w:rFonts w:cs="Arial"/>
          <w:szCs w:val="22"/>
          <w:lang w:val="en-CA"/>
        </w:rPr>
        <w:t>m</w:t>
      </w:r>
      <w:r w:rsidRPr="0045465D">
        <w:rPr>
          <w:rFonts w:cs="Arial"/>
          <w:szCs w:val="22"/>
          <w:lang w:val="en-CA"/>
        </w:rPr>
        <w:t xml:space="preserve">bined with Article 32 it should be read as allowing the provision of the UCITS KIID as pre-contractual information on any UCITS or AIF benefitting from the exemption under Article 32. </w:t>
      </w:r>
    </w:p>
    <w:p w:rsidR="0045465D" w:rsidRPr="0045465D" w:rsidRDefault="0045465D" w:rsidP="0045465D">
      <w:pPr>
        <w:jc w:val="both"/>
        <w:rPr>
          <w:rFonts w:cs="Arial"/>
          <w:szCs w:val="22"/>
          <w:u w:val="single"/>
          <w:lang w:val="en-CA"/>
        </w:rPr>
      </w:pPr>
      <w:r w:rsidRPr="0045465D">
        <w:rPr>
          <w:rFonts w:cs="Arial"/>
          <w:szCs w:val="22"/>
          <w:u w:val="single"/>
          <w:lang w:val="en-CA"/>
        </w:rPr>
        <w:t>Against this background, we urge the ESAs to reconsider whether the approach proposed under Article 12(1) of the draft RTS can be justified having regard to the wording of Article 6(3) of the PRIIP KID Reg</w:t>
      </w:r>
      <w:r w:rsidRPr="0045465D">
        <w:rPr>
          <w:rFonts w:cs="Arial"/>
          <w:szCs w:val="22"/>
          <w:u w:val="single"/>
          <w:lang w:val="en-CA"/>
        </w:rPr>
        <w:t>u</w:t>
      </w:r>
      <w:r w:rsidRPr="0045465D">
        <w:rPr>
          <w:rFonts w:cs="Arial"/>
          <w:szCs w:val="22"/>
          <w:u w:val="single"/>
          <w:lang w:val="en-CA"/>
        </w:rPr>
        <w:t xml:space="preserve">lation and the EU legislator’s deliberate choice to spare investment funds providing a UCITS-like KIID from the duty to implement new information standards by end 2016. </w:t>
      </w:r>
    </w:p>
    <w:p w:rsidR="0045465D" w:rsidRPr="00556C99" w:rsidRDefault="0045465D" w:rsidP="0045465D">
      <w:pPr>
        <w:jc w:val="both"/>
        <w:rPr>
          <w:rFonts w:cs="Arial"/>
          <w:szCs w:val="22"/>
          <w:lang w:val="en-CA"/>
        </w:rPr>
      </w:pPr>
      <w:r w:rsidRPr="0045465D">
        <w:rPr>
          <w:rFonts w:cs="Arial"/>
          <w:szCs w:val="22"/>
          <w:lang w:val="en-CA"/>
        </w:rPr>
        <w:t>Overall, however, we expect that the impact of the Level 2 measures on the fund industry in terms of both financial resources and operational efforts will then be much higher than expected by the EU legislator. Many fund management companies will be effectively compelled to set up internal projects in order to provide their business partners from the insurance sector with PRIIPs-compliant SRI, performance scena</w:t>
      </w:r>
      <w:r w:rsidRPr="0045465D">
        <w:rPr>
          <w:rFonts w:cs="Arial"/>
          <w:szCs w:val="22"/>
          <w:lang w:val="en-CA"/>
        </w:rPr>
        <w:t>r</w:t>
      </w:r>
      <w:r w:rsidRPr="0045465D">
        <w:rPr>
          <w:rFonts w:cs="Arial"/>
          <w:szCs w:val="22"/>
          <w:lang w:val="en-CA"/>
        </w:rPr>
        <w:t>ios and cost figures. Such elements should in principle be delivered well ahead of the entry into force of the PRIIP KID Regulation in order to enable insurance companies to produce PRIIPs KIDs on unit-linked insurance products on time. Since the specific standards for MOPs were not discernible before publication of the draft RTS in November 2015 (and are still unclear today), most fund providers have not yet a</w:t>
      </w:r>
      <w:r w:rsidRPr="0045465D">
        <w:rPr>
          <w:rFonts w:cs="Arial"/>
          <w:szCs w:val="22"/>
          <w:lang w:val="en-CA"/>
        </w:rPr>
        <w:t>s</w:t>
      </w:r>
      <w:r w:rsidRPr="0045465D">
        <w:rPr>
          <w:rFonts w:cs="Arial"/>
          <w:szCs w:val="22"/>
          <w:lang w:val="en-CA"/>
        </w:rPr>
        <w:t xml:space="preserve">signed specific budgets or set up business projects for PRIIP KID implementation. If they had to be planned and implemented as a matter of urgency, such projects would probably entail disproportionately high </w:t>
      </w:r>
      <w:r w:rsidRPr="00556C99">
        <w:rPr>
          <w:rFonts w:cs="Arial"/>
          <w:szCs w:val="22"/>
          <w:lang w:val="en-CA"/>
        </w:rPr>
        <w:t xml:space="preserve">costs. </w:t>
      </w:r>
      <w:r w:rsidRPr="00556C99">
        <w:rPr>
          <w:rFonts w:cs="Arial"/>
          <w:b/>
          <w:szCs w:val="22"/>
          <w:lang w:val="en-CA"/>
        </w:rPr>
        <w:t>In any case, it seems inappropriate to assume that above all things fund providers must be ready for the PRIIP KID regime going live well ahead of its formal implementation date even though they manage the only sort of PRIIPs for which a temporary exemption from scope applies.</w:t>
      </w:r>
    </w:p>
    <w:p w:rsidR="0045465D" w:rsidRPr="00000DE7" w:rsidRDefault="0045465D" w:rsidP="0045465D">
      <w:pPr>
        <w:jc w:val="both"/>
        <w:rPr>
          <w:rFonts w:cs="Arial"/>
          <w:sz w:val="22"/>
          <w:szCs w:val="22"/>
          <w:lang w:val="en-CA"/>
        </w:rPr>
      </w:pPr>
      <w:r w:rsidRPr="00556C99">
        <w:rPr>
          <w:rFonts w:cs="Arial"/>
          <w:szCs w:val="22"/>
          <w:lang w:val="en-CA"/>
        </w:rPr>
        <w:t>Last but not least, we require further clarification with regards to Recital 20</w:t>
      </w:r>
      <w:r w:rsidRPr="00556C99">
        <w:rPr>
          <w:rStyle w:val="Funotenzeichen"/>
          <w:rFonts w:cs="Arial"/>
          <w:szCs w:val="22"/>
        </w:rPr>
        <w:footnoteReference w:id="18"/>
      </w:r>
      <w:r w:rsidRPr="00556C99">
        <w:rPr>
          <w:rFonts w:cs="Arial"/>
          <w:szCs w:val="22"/>
          <w:lang w:val="en-CA"/>
        </w:rPr>
        <w:t xml:space="preserve"> that a periodic review of the </w:t>
      </w:r>
      <w:r w:rsidRPr="0045465D">
        <w:rPr>
          <w:rFonts w:cs="Arial"/>
          <w:szCs w:val="22"/>
          <w:lang w:val="en-CA"/>
        </w:rPr>
        <w:t>KID is required only if the PRIIP manufacturer is actively supporting the distribution of a PRIIP on the secondary market. We are aware of instances</w:t>
      </w:r>
      <w:bookmarkStart w:id="3" w:name="_GoBack"/>
      <w:bookmarkEnd w:id="3"/>
      <w:r w:rsidRPr="0045465D">
        <w:rPr>
          <w:rFonts w:cs="Arial"/>
          <w:szCs w:val="22"/>
          <w:lang w:val="en-CA"/>
        </w:rPr>
        <w:t xml:space="preserve"> where funds have been sold on the secondary market without the knowledge of the PRIIP manufacturer. In such cases it should be the obligation of the distrib</w:t>
      </w:r>
      <w:r w:rsidRPr="0045465D">
        <w:rPr>
          <w:rFonts w:cs="Arial"/>
          <w:szCs w:val="22"/>
          <w:lang w:val="en-CA"/>
        </w:rPr>
        <w:t>u</w:t>
      </w:r>
      <w:r w:rsidRPr="0045465D">
        <w:rPr>
          <w:rFonts w:cs="Arial"/>
          <w:szCs w:val="22"/>
          <w:lang w:val="en-CA"/>
        </w:rPr>
        <w:t>tor (and not the manufacturer) to ensure that an up-to-date KID exists when an investor intends to pu</w:t>
      </w:r>
      <w:r w:rsidRPr="0045465D">
        <w:rPr>
          <w:rFonts w:cs="Arial"/>
          <w:szCs w:val="22"/>
          <w:lang w:val="en-CA"/>
        </w:rPr>
        <w:t>r</w:t>
      </w:r>
      <w:r w:rsidRPr="0045465D">
        <w:rPr>
          <w:rFonts w:cs="Arial"/>
          <w:szCs w:val="22"/>
          <w:lang w:val="en-CA"/>
        </w:rPr>
        <w:t>chase a PRIIP on the secondary market. In other words, it must be ensured that there is no obligation for the PRIIP manufacturer actively to scrutinise the secondary market simply to ensure that its products are not sold without an up-to-date KID even though this was not intended by the manufacturer</w:t>
      </w:r>
      <w:r w:rsidRPr="00000DE7">
        <w:rPr>
          <w:rFonts w:cs="Arial"/>
          <w:sz w:val="22"/>
          <w:szCs w:val="22"/>
          <w:lang w:val="en-CA"/>
        </w:rPr>
        <w:t>.</w:t>
      </w:r>
    </w:p>
    <w:permEnd w:id="1220678805"/>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8E" w:rsidRDefault="00C62C8E">
      <w:r>
        <w:separator/>
      </w:r>
    </w:p>
    <w:p w:rsidR="00C62C8E" w:rsidRDefault="00C62C8E"/>
  </w:endnote>
  <w:endnote w:type="continuationSeparator" w:id="0">
    <w:p w:rsidR="00C62C8E" w:rsidRDefault="00C62C8E">
      <w:r>
        <w:continuationSeparator/>
      </w:r>
    </w:p>
    <w:p w:rsidR="00C62C8E" w:rsidRDefault="00C62C8E"/>
  </w:endnote>
  <w:endnote w:type="continuationNotice" w:id="1">
    <w:p w:rsidR="00C62C8E" w:rsidRDefault="00C62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ill Sans MT">
    <w:altName w:val="Segoe UI"/>
    <w:charset w:val="00"/>
    <w:family w:val="swiss"/>
    <w:pitch w:val="variable"/>
    <w:sig w:usb0="00000001" w:usb1="00000000" w:usb2="00000000" w:usb3="00000000" w:csb0="00000003" w:csb1="00000000"/>
  </w:font>
  <w:font w:name="Sabon-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62C8E" w:rsidRPr="00616B9B" w:rsidTr="00315E96">
      <w:trPr>
        <w:trHeight w:val="284"/>
      </w:trPr>
      <w:tc>
        <w:tcPr>
          <w:tcW w:w="8460" w:type="dxa"/>
        </w:tcPr>
        <w:p w:rsidR="00C62C8E" w:rsidRPr="00315E96" w:rsidRDefault="00C62C8E" w:rsidP="00315E96">
          <w:pPr>
            <w:pStyle w:val="00Footer"/>
            <w:rPr>
              <w:lang w:val="fr-FR"/>
            </w:rPr>
          </w:pPr>
        </w:p>
      </w:tc>
      <w:tc>
        <w:tcPr>
          <w:tcW w:w="952" w:type="dxa"/>
        </w:tcPr>
        <w:p w:rsidR="00C62C8E" w:rsidRPr="00616B9B" w:rsidRDefault="00C62C8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56C99">
            <w:rPr>
              <w:rFonts w:cs="Arial"/>
              <w:noProof/>
              <w:sz w:val="22"/>
              <w:szCs w:val="22"/>
            </w:rPr>
            <w:t>29</w:t>
          </w:r>
          <w:r w:rsidRPr="00616B9B">
            <w:rPr>
              <w:rFonts w:cs="Arial"/>
              <w:noProof/>
              <w:sz w:val="22"/>
              <w:szCs w:val="22"/>
            </w:rPr>
            <w:fldChar w:fldCharType="end"/>
          </w:r>
        </w:p>
      </w:tc>
    </w:tr>
  </w:tbl>
  <w:p w:rsidR="00C62C8E" w:rsidRDefault="00C62C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8E" w:rsidRDefault="00C62C8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8E" w:rsidRDefault="00C62C8E">
      <w:r>
        <w:separator/>
      </w:r>
    </w:p>
    <w:p w:rsidR="00C62C8E" w:rsidRDefault="00C62C8E"/>
  </w:footnote>
  <w:footnote w:type="continuationSeparator" w:id="0">
    <w:p w:rsidR="00C62C8E" w:rsidRDefault="00C62C8E">
      <w:r>
        <w:continuationSeparator/>
      </w:r>
    </w:p>
    <w:p w:rsidR="00C62C8E" w:rsidRDefault="00C62C8E"/>
  </w:footnote>
  <w:footnote w:type="continuationNotice" w:id="1">
    <w:p w:rsidR="00C62C8E" w:rsidRDefault="00C62C8E"/>
  </w:footnote>
  <w:footnote w:id="2">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MiFID II Commission Delegated Directive; Article 9(9)-(12)</w:t>
      </w:r>
    </w:p>
  </w:footnote>
  <w:footnote w:id="3">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w:t>
      </w:r>
      <w:proofErr w:type="gramStart"/>
      <w:r w:rsidRPr="0046657D">
        <w:rPr>
          <w:rFonts w:asciiTheme="minorHAnsi" w:hAnsiTheme="minorHAnsi"/>
          <w:sz w:val="18"/>
          <w:szCs w:val="18"/>
          <w:lang w:val="en-CA"/>
        </w:rPr>
        <w:t>PRIIPs Regulation Art.</w:t>
      </w:r>
      <w:proofErr w:type="gramEnd"/>
      <w:r w:rsidRPr="0046657D">
        <w:rPr>
          <w:rFonts w:asciiTheme="minorHAnsi" w:hAnsiTheme="minorHAnsi"/>
          <w:sz w:val="18"/>
          <w:szCs w:val="18"/>
          <w:lang w:val="en-CA"/>
        </w:rPr>
        <w:t xml:space="preserve"> 6(3)</w:t>
      </w:r>
    </w:p>
  </w:footnote>
  <w:footnote w:id="4">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Page 123 on MOPs Costs: “[…] </w:t>
      </w:r>
      <w:r w:rsidRPr="0046657D">
        <w:rPr>
          <w:rFonts w:asciiTheme="minorHAnsi" w:hAnsiTheme="minorHAnsi"/>
          <w:i/>
          <w:sz w:val="18"/>
          <w:szCs w:val="18"/>
          <w:lang w:val="en-CA"/>
        </w:rPr>
        <w:t>In so far as the insurance undertaking requests that the UCITS to already prepare KID compliant information for the insurance undertaking – though this is not directly required under the PRIIP Regulation -- this would have the practical impact of undermining the temporary exemption in the Regulation and requiring UCITS to produce simultaneously a KII and KID-compliant information</w:t>
      </w:r>
      <w:r w:rsidRPr="0046657D">
        <w:rPr>
          <w:rFonts w:asciiTheme="minorHAnsi" w:hAnsiTheme="minorHAnsi"/>
          <w:sz w:val="18"/>
          <w:szCs w:val="18"/>
          <w:lang w:val="en-CA"/>
        </w:rPr>
        <w:t>.”</w:t>
      </w:r>
    </w:p>
    <w:p w:rsidR="00C62C8E" w:rsidRPr="0046657D" w:rsidRDefault="00C62C8E" w:rsidP="0045465D">
      <w:pPr>
        <w:pStyle w:val="Funotentext"/>
        <w:jc w:val="both"/>
        <w:rPr>
          <w:rFonts w:asciiTheme="minorHAnsi" w:hAnsiTheme="minorHAnsi"/>
          <w:sz w:val="18"/>
          <w:szCs w:val="18"/>
          <w:lang w:val="en-CA"/>
        </w:rPr>
      </w:pPr>
    </w:p>
  </w:footnote>
  <w:footnote w:id="5">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For the avoidance of doubt and given that there are two Articles 20 in the CP, we are referring to page 31.</w:t>
      </w:r>
    </w:p>
  </w:footnote>
  <w:footnote w:id="6">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Please note that the UCITS Directive is also wrongly referenced, as it currently refers to MiFID II.</w:t>
      </w:r>
    </w:p>
    <w:p w:rsidR="00C62C8E" w:rsidRPr="0046657D" w:rsidRDefault="00C62C8E" w:rsidP="0045465D">
      <w:pPr>
        <w:pStyle w:val="Funotentext"/>
        <w:jc w:val="both"/>
        <w:rPr>
          <w:rFonts w:asciiTheme="minorHAnsi" w:hAnsiTheme="minorHAnsi"/>
          <w:sz w:val="18"/>
          <w:szCs w:val="18"/>
          <w:lang w:val="en-CA"/>
        </w:rPr>
      </w:pPr>
    </w:p>
  </w:footnote>
  <w:footnote w:id="7">
    <w:p w:rsidR="00C62C8E" w:rsidRPr="000334FB" w:rsidRDefault="00C62C8E" w:rsidP="0045465D">
      <w:pPr>
        <w:pStyle w:val="Funotentext"/>
        <w:jc w:val="both"/>
        <w:rPr>
          <w:rFonts w:asciiTheme="minorHAnsi" w:hAnsiTheme="minorHAnsi"/>
          <w:sz w:val="18"/>
          <w:szCs w:val="18"/>
          <w:lang w:val="en-CA"/>
        </w:rPr>
      </w:pPr>
      <w:r w:rsidRPr="000334FB">
        <w:rPr>
          <w:rStyle w:val="Funotenzeichen"/>
          <w:rFonts w:asciiTheme="minorHAnsi" w:hAnsiTheme="minorHAnsi"/>
          <w:sz w:val="18"/>
          <w:szCs w:val="18"/>
        </w:rPr>
        <w:footnoteRef/>
      </w:r>
      <w:r w:rsidRPr="000334FB">
        <w:rPr>
          <w:rFonts w:asciiTheme="minorHAnsi" w:hAnsiTheme="minorHAnsi"/>
          <w:sz w:val="18"/>
          <w:szCs w:val="18"/>
          <w:lang w:val="en-CA"/>
        </w:rPr>
        <w:t xml:space="preserve"> “The MRM of Structured PRIIPs shall be assessed based on the methodology detailed in Paragraphs 30 to 48, provided that at least 500 historical </w:t>
      </w:r>
      <w:proofErr w:type="gramStart"/>
      <w:r w:rsidRPr="000334FB">
        <w:rPr>
          <w:rFonts w:asciiTheme="minorHAnsi" w:hAnsiTheme="minorHAnsi"/>
          <w:sz w:val="18"/>
          <w:szCs w:val="18"/>
          <w:lang w:val="en-CA"/>
        </w:rPr>
        <w:t xml:space="preserve">daily prices of such Structured PRIIPs’ </w:t>
      </w:r>
      <w:proofErr w:type="spellStart"/>
      <w:r w:rsidRPr="000334FB">
        <w:rPr>
          <w:rFonts w:asciiTheme="minorHAnsi" w:hAnsiTheme="minorHAnsi"/>
          <w:sz w:val="18"/>
          <w:szCs w:val="18"/>
          <w:lang w:val="en-CA"/>
        </w:rPr>
        <w:t>underlyings</w:t>
      </w:r>
      <w:proofErr w:type="spellEnd"/>
      <w:proofErr w:type="gramEnd"/>
      <w:r w:rsidRPr="000334FB">
        <w:rPr>
          <w:rFonts w:asciiTheme="minorHAnsi" w:hAnsiTheme="minorHAnsi"/>
          <w:sz w:val="18"/>
          <w:szCs w:val="18"/>
          <w:lang w:val="en-CA"/>
        </w:rPr>
        <w:t xml:space="preserve"> are available in relation to the last 5 years. Where such data is not available, the Structured PRIIP shall be assigned to Category V.”</w:t>
      </w:r>
    </w:p>
  </w:footnote>
  <w:footnote w:id="8">
    <w:p w:rsidR="00C62C8E" w:rsidRPr="0046657D" w:rsidRDefault="00C62C8E" w:rsidP="008F5AE3">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This disclosure has to be kept within the context of the DGS Directive (2014/49/EU) which ensure</w:t>
      </w:r>
      <w:r>
        <w:rPr>
          <w:rFonts w:asciiTheme="minorHAnsi" w:hAnsiTheme="minorHAnsi"/>
          <w:sz w:val="18"/>
          <w:szCs w:val="18"/>
          <w:lang w:val="en-CA"/>
        </w:rPr>
        <w:t>s</w:t>
      </w:r>
      <w:r w:rsidRPr="0046657D">
        <w:rPr>
          <w:rFonts w:asciiTheme="minorHAnsi" w:hAnsiTheme="minorHAnsi"/>
          <w:sz w:val="18"/>
          <w:szCs w:val="18"/>
          <w:lang w:val="en-CA"/>
        </w:rPr>
        <w:t xml:space="preserve"> that guarantee schemes shall not be used for advertisement purposes (Art. 16(5)).</w:t>
      </w:r>
    </w:p>
  </w:footnote>
  <w:footnote w:id="9">
    <w:p w:rsidR="00C62C8E" w:rsidRPr="0046657D" w:rsidRDefault="00C62C8E" w:rsidP="00BD516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For example, this option may be useful </w:t>
      </w:r>
      <w:proofErr w:type="gramStart"/>
      <w:r w:rsidRPr="0046657D">
        <w:rPr>
          <w:rFonts w:asciiTheme="minorHAnsi" w:hAnsiTheme="minorHAnsi"/>
          <w:sz w:val="18"/>
          <w:szCs w:val="18"/>
          <w:lang w:val="en-CA"/>
        </w:rPr>
        <w:t>for a number balanced funds</w:t>
      </w:r>
      <w:proofErr w:type="gramEnd"/>
      <w:r w:rsidRPr="0046657D">
        <w:rPr>
          <w:rFonts w:asciiTheme="minorHAnsi" w:hAnsiTheme="minorHAnsi"/>
          <w:sz w:val="18"/>
          <w:szCs w:val="18"/>
          <w:lang w:val="en-CA"/>
        </w:rPr>
        <w:t xml:space="preserve"> or CPPI funds whose risk exposure may be sensibly augmented compared to the recent past.</w:t>
      </w:r>
    </w:p>
  </w:footnote>
  <w:footnote w:id="10">
    <w:p w:rsidR="00C62C8E" w:rsidRPr="0046657D" w:rsidRDefault="00C62C8E" w:rsidP="00BD516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CESR’s guidelines on the methodology for the calculation of the synthetic risk and reward indicator in the Key Investor Info</w:t>
      </w:r>
      <w:r w:rsidRPr="0046657D">
        <w:rPr>
          <w:rFonts w:asciiTheme="minorHAnsi" w:hAnsiTheme="minorHAnsi"/>
          <w:sz w:val="18"/>
          <w:szCs w:val="18"/>
          <w:lang w:val="en-CA"/>
        </w:rPr>
        <w:t>r</w:t>
      </w:r>
      <w:r w:rsidRPr="0046657D">
        <w:rPr>
          <w:rFonts w:asciiTheme="minorHAnsi" w:hAnsiTheme="minorHAnsi"/>
          <w:sz w:val="18"/>
          <w:szCs w:val="18"/>
          <w:lang w:val="en-CA"/>
        </w:rPr>
        <w:t xml:space="preserve">mation Document; </w:t>
      </w:r>
    </w:p>
  </w:footnote>
  <w:footnote w:id="11">
    <w:p w:rsidR="00C62C8E" w:rsidRPr="0046657D" w:rsidRDefault="00C62C8E" w:rsidP="00266F32">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For example, if you apply a 5% inflation rate over a five-year period, the effect is that the value of a €1,000 investment (assuming no growth) in real terms is €783.53 which represents an effective loss of in excess of 20%.</w:t>
      </w:r>
    </w:p>
  </w:footnote>
  <w:footnote w:id="12">
    <w:p w:rsidR="00C62C8E" w:rsidRPr="0046657D" w:rsidRDefault="00C62C8E" w:rsidP="00BC6926">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Even while past performance may not be shown in the KID, it is imperative that UCITS Management Companies and AIFMs are allowed to continue its use in their funds’ fact sheets. This is essential, as at least one NCA has indicated that it sees the use of past performance graphs/data as contradicting the PRIIP KID. This is, of course, not the case, as the future performance scenar</w:t>
      </w:r>
      <w:r w:rsidRPr="0046657D">
        <w:rPr>
          <w:rFonts w:asciiTheme="minorHAnsi" w:hAnsiTheme="minorHAnsi"/>
          <w:sz w:val="18"/>
          <w:szCs w:val="18"/>
          <w:lang w:val="en-CA"/>
        </w:rPr>
        <w:t>i</w:t>
      </w:r>
      <w:r w:rsidRPr="0046657D">
        <w:rPr>
          <w:rFonts w:asciiTheme="minorHAnsi" w:hAnsiTheme="minorHAnsi"/>
          <w:sz w:val="18"/>
          <w:szCs w:val="18"/>
          <w:lang w:val="en-CA"/>
        </w:rPr>
        <w:t>os and cost calculations are based on this very data.</w:t>
      </w:r>
    </w:p>
  </w:footnote>
  <w:footnote w:id="13">
    <w:p w:rsidR="00C62C8E" w:rsidRPr="0046657D" w:rsidRDefault="00C62C8E" w:rsidP="00BC6926">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MiFID II Article 24(4</w:t>
      </w:r>
      <w:proofErr w:type="gramStart"/>
      <w:r w:rsidRPr="0046657D">
        <w:rPr>
          <w:rFonts w:asciiTheme="minorHAnsi" w:hAnsiTheme="minorHAnsi"/>
          <w:sz w:val="18"/>
          <w:szCs w:val="18"/>
          <w:lang w:val="en-CA"/>
        </w:rPr>
        <w:t>)(</w:t>
      </w:r>
      <w:proofErr w:type="gramEnd"/>
      <w:r w:rsidRPr="0046657D">
        <w:rPr>
          <w:rFonts w:asciiTheme="minorHAnsi" w:hAnsiTheme="minorHAnsi"/>
          <w:sz w:val="18"/>
          <w:szCs w:val="18"/>
          <w:lang w:val="en-CA"/>
        </w:rPr>
        <w:t xml:space="preserve">c): “[…]The information about all costs and charges, including costs and charges in connection with the investment service and the financial instrument, </w:t>
      </w:r>
      <w:r w:rsidRPr="0049700F">
        <w:rPr>
          <w:rFonts w:asciiTheme="minorHAnsi" w:hAnsiTheme="minorHAnsi"/>
          <w:sz w:val="18"/>
          <w:szCs w:val="18"/>
          <w:u w:val="single"/>
          <w:lang w:val="en-CA"/>
        </w:rPr>
        <w:t>which are not caused by the occurrence of underlying market risk</w:t>
      </w:r>
      <w:r w:rsidRPr="0046657D">
        <w:rPr>
          <w:rFonts w:asciiTheme="minorHAnsi" w:hAnsiTheme="minorHAnsi"/>
          <w:sz w:val="18"/>
          <w:szCs w:val="18"/>
          <w:lang w:val="en-CA"/>
        </w:rPr>
        <w:t>, shall be aggregated to allow the client to understand the overall cost as well as the cumulative effect on return of the investment, and where the client so requests, an itemised breakdown shall be provided. Where applicable, such information shall be provided to the client on a regular basis, at least annually, during the life of the investment.”</w:t>
      </w:r>
    </w:p>
  </w:footnote>
  <w:footnote w:id="14">
    <w:p w:rsidR="00C62C8E" w:rsidRPr="0046657D" w:rsidRDefault="00C62C8E" w:rsidP="00BC6926">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It is interesting to note that the ESAs are even contradicting themselves in their approach to transaction costs. On page 80 the ESAs are discussing transaction costs without market impact.</w:t>
      </w:r>
    </w:p>
  </w:footnote>
  <w:footnote w:id="15">
    <w:p w:rsidR="00C62C8E" w:rsidRPr="0046657D" w:rsidRDefault="00C62C8E" w:rsidP="00BC6926">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A few data vendors such as Bloomberg publish indicative quotes for fixed-income instruments which, however, do not repr</w:t>
      </w:r>
      <w:r w:rsidRPr="0046657D">
        <w:rPr>
          <w:rFonts w:asciiTheme="minorHAnsi" w:hAnsiTheme="minorHAnsi"/>
          <w:sz w:val="18"/>
          <w:szCs w:val="18"/>
          <w:lang w:val="en-CA"/>
        </w:rPr>
        <w:t>e</w:t>
      </w:r>
      <w:r w:rsidRPr="0046657D">
        <w:rPr>
          <w:rFonts w:asciiTheme="minorHAnsi" w:hAnsiTheme="minorHAnsi"/>
          <w:sz w:val="18"/>
          <w:szCs w:val="18"/>
          <w:lang w:val="en-CA"/>
        </w:rPr>
        <w:t>sent real trading quotes since brokers are under no obligation to keep the information up to date.</w:t>
      </w:r>
    </w:p>
  </w:footnote>
  <w:footnote w:id="16">
    <w:p w:rsidR="00C62C8E" w:rsidRPr="0046657D" w:rsidRDefault="00C62C8E" w:rsidP="00BC6926">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For the avoidance of doubt, this applies to non-equity transactions, while the fees charged for equity transactions are already captured by letter (j) in paragraph 6 of Annex VI.</w:t>
      </w:r>
    </w:p>
  </w:footnote>
  <w:footnote w:id="17">
    <w:p w:rsidR="00C62C8E" w:rsidRPr="0046657D" w:rsidRDefault="00C62C8E" w:rsidP="002D4C6F">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See Para. 21 of ESMA’s note on MiFID/MiFIR implementation: delays in the go-live date of certain MiFID provisions dated 02 October 2015 (</w:t>
      </w:r>
      <w:hyperlink r:id="rId1" w:history="1">
        <w:r w:rsidRPr="0046657D">
          <w:rPr>
            <w:rStyle w:val="Hyperlink"/>
            <w:rFonts w:asciiTheme="minorHAnsi" w:hAnsiTheme="minorHAnsi"/>
            <w:sz w:val="18"/>
            <w:szCs w:val="18"/>
            <w:lang w:val="en-CA"/>
          </w:rPr>
          <w:t>link</w:t>
        </w:r>
      </w:hyperlink>
      <w:r w:rsidRPr="0046657D">
        <w:rPr>
          <w:rFonts w:asciiTheme="minorHAnsi" w:hAnsiTheme="minorHAnsi"/>
          <w:sz w:val="18"/>
          <w:szCs w:val="18"/>
          <w:lang w:val="en-CA"/>
        </w:rPr>
        <w:t>)</w:t>
      </w:r>
    </w:p>
  </w:footnote>
  <w:footnote w:id="18">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Recital 20 states that “[…] </w:t>
      </w:r>
      <w:proofErr w:type="gramStart"/>
      <w:r w:rsidRPr="0046657D">
        <w:rPr>
          <w:rFonts w:asciiTheme="minorHAnsi" w:hAnsiTheme="minorHAnsi"/>
          <w:i/>
          <w:sz w:val="18"/>
          <w:szCs w:val="18"/>
          <w:lang w:val="en-CA"/>
        </w:rPr>
        <w:t>The</w:t>
      </w:r>
      <w:proofErr w:type="gramEnd"/>
      <w:r w:rsidRPr="0046657D">
        <w:rPr>
          <w:rFonts w:asciiTheme="minorHAnsi" w:hAnsiTheme="minorHAnsi"/>
          <w:i/>
          <w:sz w:val="18"/>
          <w:szCs w:val="18"/>
          <w:lang w:val="en-CA"/>
        </w:rPr>
        <w:t xml:space="preserve"> trading of a PRIIP on a secondary market however would not exempt the PRIIP manufacturer from the obligation to continue to review and revise the key information document for that PRIIP</w:t>
      </w:r>
      <w:r w:rsidRPr="0046657D">
        <w:rPr>
          <w:rFonts w:asciiTheme="minorHAnsi" w:hAnsiTheme="minorHAnsi"/>
          <w:sz w:val="18"/>
          <w:szCs w:val="18"/>
          <w:lang w:val="en-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8E" w:rsidRDefault="00C62C8E">
    <w:pPr>
      <w:pStyle w:val="Kopfzeile"/>
    </w:pPr>
    <w:r>
      <w:rPr>
        <w:noProof/>
        <w:lang w:val="de-AT" w:eastAsia="de-A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Pr>
        <w:noProof/>
        <w:lang w:val="de-AT" w:eastAsia="de-AT"/>
      </w:rPr>
      <mc:AlternateContent>
        <mc:Choice Requires="wps">
          <w:drawing>
            <wp:anchor distT="0" distB="0" distL="114294" distR="114294"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8E" w:rsidRDefault="00C62C8E" w:rsidP="00013CCE">
    <w:pPr>
      <w:pStyle w:val="Kopfzeile"/>
      <w:jc w:val="right"/>
    </w:pPr>
    <w:r>
      <w:rPr>
        <w:noProof/>
        <w:lang w:val="de-AT" w:eastAsia="de-A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de-AT" w:eastAsia="de-A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8E" w:rsidRDefault="00C62C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62C8E" w:rsidRPr="002F4496" w:rsidTr="000C06C9">
      <w:trPr>
        <w:trHeight w:val="284"/>
      </w:trPr>
      <w:tc>
        <w:tcPr>
          <w:tcW w:w="8460" w:type="dxa"/>
        </w:tcPr>
        <w:p w:rsidR="00C62C8E" w:rsidRPr="000C3B6D" w:rsidRDefault="00C62C8E" w:rsidP="000C06C9">
          <w:pPr>
            <w:pStyle w:val="00Footer"/>
            <w:rPr>
              <w:lang w:val="fr-FR"/>
            </w:rPr>
          </w:pPr>
        </w:p>
      </w:tc>
      <w:tc>
        <w:tcPr>
          <w:tcW w:w="952" w:type="dxa"/>
        </w:tcPr>
        <w:p w:rsidR="00C62C8E" w:rsidRPr="00146B34" w:rsidRDefault="00C62C8E" w:rsidP="000C06C9">
          <w:pPr>
            <w:pStyle w:val="00aPagenumber"/>
            <w:rPr>
              <w:lang w:val="fr-FR"/>
            </w:rPr>
          </w:pPr>
        </w:p>
      </w:tc>
    </w:tr>
  </w:tbl>
  <w:p w:rsidR="00C62C8E" w:rsidRPr="00DB46C3" w:rsidRDefault="00C62C8E">
    <w:pPr>
      <w:rPr>
        <w:lang w:val="fr-FR"/>
      </w:rPr>
    </w:pPr>
  </w:p>
  <w:p w:rsidR="00C62C8E" w:rsidRPr="002F4496" w:rsidRDefault="00C62C8E">
    <w:pPr>
      <w:pStyle w:val="Kopfzeile"/>
      <w:rPr>
        <w:lang w:val="fr-FR"/>
      </w:rPr>
    </w:pPr>
  </w:p>
  <w:p w:rsidR="00C62C8E" w:rsidRPr="002F4496" w:rsidRDefault="00C62C8E" w:rsidP="000C06C9">
    <w:pPr>
      <w:pStyle w:val="Kopfzeile"/>
      <w:tabs>
        <w:tab w:val="clear" w:pos="4536"/>
        <w:tab w:val="clear" w:pos="9072"/>
        <w:tab w:val="left" w:pos="8227"/>
      </w:tabs>
      <w:rPr>
        <w:lang w:val="fr-FR"/>
      </w:rPr>
    </w:pPr>
  </w:p>
  <w:p w:rsidR="00C62C8E" w:rsidRPr="002F4496" w:rsidRDefault="00C62C8E" w:rsidP="000C06C9">
    <w:pPr>
      <w:pStyle w:val="Kopfzeile"/>
      <w:tabs>
        <w:tab w:val="clear" w:pos="4536"/>
        <w:tab w:val="clear" w:pos="9072"/>
        <w:tab w:val="left" w:pos="8227"/>
      </w:tabs>
      <w:rPr>
        <w:lang w:val="fr-FR"/>
      </w:rPr>
    </w:pPr>
  </w:p>
  <w:p w:rsidR="00C62C8E" w:rsidRPr="002F4496" w:rsidRDefault="00C62C8E">
    <w:pPr>
      <w:pStyle w:val="Kopfzeile"/>
      <w:rPr>
        <w:lang w:val="fr-FR"/>
      </w:rPr>
    </w:pPr>
  </w:p>
  <w:p w:rsidR="00C62C8E" w:rsidRPr="002F4496" w:rsidRDefault="00C62C8E">
    <w:pPr>
      <w:pStyle w:val="Kopfzeile"/>
      <w:rPr>
        <w:lang w:val="fr-FR"/>
      </w:rPr>
    </w:pPr>
  </w:p>
  <w:p w:rsidR="00C62C8E" w:rsidRPr="002F4496" w:rsidRDefault="00C62C8E">
    <w:pPr>
      <w:pStyle w:val="Kopfzeile"/>
      <w:rPr>
        <w:lang w:val="fr-FR"/>
      </w:rPr>
    </w:pPr>
  </w:p>
  <w:p w:rsidR="00C62C8E" w:rsidRPr="002F4496" w:rsidRDefault="00C62C8E">
    <w:pPr>
      <w:pStyle w:val="Kopfzeile"/>
      <w:rPr>
        <w:lang w:val="fr-FR"/>
      </w:rPr>
    </w:pPr>
  </w:p>
  <w:p w:rsidR="00C62C8E" w:rsidRPr="002F4496" w:rsidRDefault="00C62C8E">
    <w:pPr>
      <w:pStyle w:val="Kopfzeile"/>
      <w:rPr>
        <w:highlight w:val="yellow"/>
        <w:lang w:val="fr-FR"/>
      </w:rPr>
    </w:pPr>
  </w:p>
  <w:p w:rsidR="00C62C8E" w:rsidRDefault="00C62C8E">
    <w:pPr>
      <w:pStyle w:val="Kopfzeile"/>
    </w:pPr>
    <w:r>
      <w:rPr>
        <w:noProof/>
        <w:lang w:val="de-AT" w:eastAsia="de-AT"/>
      </w:rPr>
      <mc:AlternateContent>
        <mc:Choice Requires="wps">
          <w:drawing>
            <wp:anchor distT="0" distB="0" distL="114298" distR="114298"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4752D7"/>
    <w:multiLevelType w:val="hybridMultilevel"/>
    <w:tmpl w:val="BB900574"/>
    <w:lvl w:ilvl="0" w:tplc="976ECEF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7F06409"/>
    <w:multiLevelType w:val="hybridMultilevel"/>
    <w:tmpl w:val="BE568EDE"/>
    <w:lvl w:ilvl="0" w:tplc="8832519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0185434"/>
    <w:multiLevelType w:val="hybridMultilevel"/>
    <w:tmpl w:val="CD6C4F12"/>
    <w:lvl w:ilvl="0" w:tplc="F97EF770">
      <w:start w:val="1"/>
      <w:numFmt w:val="decimal"/>
      <w:pStyle w:val="IntensivesZita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0E42EDF"/>
    <w:multiLevelType w:val="hybridMultilevel"/>
    <w:tmpl w:val="27AC499A"/>
    <w:lvl w:ilvl="0" w:tplc="5DBA4638">
      <w:numFmt w:val="bullet"/>
      <w:lvlText w:val="-"/>
      <w:lvlJc w:val="left"/>
      <w:pPr>
        <w:ind w:left="720" w:hanging="360"/>
      </w:pPr>
      <w:rPr>
        <w:rFonts w:ascii="Gill Sans MT" w:eastAsia="Times New Roman" w:hAnsi="Gill Sans MT" w:cs="Sabon-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B157D0A"/>
    <w:multiLevelType w:val="hybridMultilevel"/>
    <w:tmpl w:val="89E46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8">
    <w:nsid w:val="64A0233A"/>
    <w:multiLevelType w:val="hybridMultilevel"/>
    <w:tmpl w:val="439648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6C833780"/>
    <w:multiLevelType w:val="multilevel"/>
    <w:tmpl w:val="EE42E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28"/>
  </w:num>
  <w:num w:numId="5">
    <w:abstractNumId w:val="30"/>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6"/>
  </w:num>
  <w:num w:numId="14">
    <w:abstractNumId w:val="27"/>
  </w:num>
  <w:num w:numId="15">
    <w:abstractNumId w:val="12"/>
  </w:num>
  <w:num w:numId="16">
    <w:abstractNumId w:val="1"/>
  </w:num>
  <w:num w:numId="17">
    <w:abstractNumId w:val="17"/>
  </w:num>
  <w:num w:numId="18">
    <w:abstractNumId w:val="18"/>
  </w:num>
  <w:num w:numId="19">
    <w:abstractNumId w:val="20"/>
  </w:num>
  <w:num w:numId="20">
    <w:abstractNumId w:val="31"/>
  </w:num>
  <w:num w:numId="21">
    <w:abstractNumId w:val="43"/>
  </w:num>
  <w:num w:numId="22">
    <w:abstractNumId w:val="29"/>
  </w:num>
  <w:num w:numId="23">
    <w:abstractNumId w:val="11"/>
  </w:num>
  <w:num w:numId="24">
    <w:abstractNumId w:val="35"/>
  </w:num>
  <w:num w:numId="25">
    <w:abstractNumId w:val="34"/>
  </w:num>
  <w:num w:numId="26">
    <w:abstractNumId w:val="23"/>
  </w:num>
  <w:num w:numId="27">
    <w:abstractNumId w:val="39"/>
  </w:num>
  <w:num w:numId="28">
    <w:abstractNumId w:val="45"/>
  </w:num>
  <w:num w:numId="29">
    <w:abstractNumId w:val="8"/>
  </w:num>
  <w:num w:numId="30">
    <w:abstractNumId w:val="3"/>
  </w:num>
  <w:num w:numId="31">
    <w:abstractNumId w:val="26"/>
  </w:num>
  <w:num w:numId="32">
    <w:abstractNumId w:val="2"/>
  </w:num>
  <w:num w:numId="33">
    <w:abstractNumId w:val="7"/>
  </w:num>
  <w:num w:numId="34">
    <w:abstractNumId w:val="24"/>
  </w:num>
  <w:num w:numId="35">
    <w:abstractNumId w:val="42"/>
  </w:num>
  <w:num w:numId="36">
    <w:abstractNumId w:val="41"/>
  </w:num>
  <w:num w:numId="37">
    <w:abstractNumId w:val="15"/>
  </w:num>
  <w:num w:numId="38">
    <w:abstractNumId w:val="25"/>
  </w:num>
  <w:num w:numId="39">
    <w:abstractNumId w:val="10"/>
  </w:num>
  <w:num w:numId="40">
    <w:abstractNumId w:val="33"/>
  </w:num>
  <w:num w:numId="41">
    <w:abstractNumId w:val="21"/>
  </w:num>
  <w:num w:numId="42">
    <w:abstractNumId w:val="13"/>
  </w:num>
  <w:num w:numId="43">
    <w:abstractNumId w:val="4"/>
  </w:num>
  <w:num w:numId="44">
    <w:abstractNumId w:val="38"/>
  </w:num>
  <w:num w:numId="45">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1BD9"/>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6878"/>
    <w:rsid w:val="0001774B"/>
    <w:rsid w:val="00020D0F"/>
    <w:rsid w:val="000215EB"/>
    <w:rsid w:val="0002183C"/>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47BFE"/>
    <w:rsid w:val="000502FE"/>
    <w:rsid w:val="0005126D"/>
    <w:rsid w:val="00051992"/>
    <w:rsid w:val="00051E9A"/>
    <w:rsid w:val="000521A7"/>
    <w:rsid w:val="00052F47"/>
    <w:rsid w:val="0005399B"/>
    <w:rsid w:val="00054DE6"/>
    <w:rsid w:val="000569D7"/>
    <w:rsid w:val="000576D7"/>
    <w:rsid w:val="00060F72"/>
    <w:rsid w:val="00062592"/>
    <w:rsid w:val="00062C2D"/>
    <w:rsid w:val="000636A1"/>
    <w:rsid w:val="000649D9"/>
    <w:rsid w:val="000652BE"/>
    <w:rsid w:val="00066479"/>
    <w:rsid w:val="0006723C"/>
    <w:rsid w:val="00070376"/>
    <w:rsid w:val="00070974"/>
    <w:rsid w:val="00071EAD"/>
    <w:rsid w:val="00071F4E"/>
    <w:rsid w:val="00072271"/>
    <w:rsid w:val="00072A55"/>
    <w:rsid w:val="00072B54"/>
    <w:rsid w:val="0007463D"/>
    <w:rsid w:val="000749F0"/>
    <w:rsid w:val="0007609D"/>
    <w:rsid w:val="00077C67"/>
    <w:rsid w:val="00077FDA"/>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C7DE3"/>
    <w:rsid w:val="000D17AA"/>
    <w:rsid w:val="000D2D0B"/>
    <w:rsid w:val="000D335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61B"/>
    <w:rsid w:val="001459E3"/>
    <w:rsid w:val="00146A0B"/>
    <w:rsid w:val="00147470"/>
    <w:rsid w:val="0014761E"/>
    <w:rsid w:val="00151907"/>
    <w:rsid w:val="00152CCF"/>
    <w:rsid w:val="001542B1"/>
    <w:rsid w:val="001544C8"/>
    <w:rsid w:val="00155EBE"/>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D7348"/>
    <w:rsid w:val="001E04FC"/>
    <w:rsid w:val="001E407D"/>
    <w:rsid w:val="001E40FB"/>
    <w:rsid w:val="001E66EC"/>
    <w:rsid w:val="001E68C5"/>
    <w:rsid w:val="001F0F63"/>
    <w:rsid w:val="001F33E4"/>
    <w:rsid w:val="001F3996"/>
    <w:rsid w:val="001F44A4"/>
    <w:rsid w:val="001F579D"/>
    <w:rsid w:val="001F65EF"/>
    <w:rsid w:val="001F697B"/>
    <w:rsid w:val="002005A6"/>
    <w:rsid w:val="00204CBC"/>
    <w:rsid w:val="002051F1"/>
    <w:rsid w:val="002067BA"/>
    <w:rsid w:val="0021058D"/>
    <w:rsid w:val="00211E2F"/>
    <w:rsid w:val="00211E9E"/>
    <w:rsid w:val="002128ED"/>
    <w:rsid w:val="00214FB4"/>
    <w:rsid w:val="00215940"/>
    <w:rsid w:val="00217C23"/>
    <w:rsid w:val="00220561"/>
    <w:rsid w:val="00220CE4"/>
    <w:rsid w:val="00222D9B"/>
    <w:rsid w:val="00223788"/>
    <w:rsid w:val="00223D11"/>
    <w:rsid w:val="002242D3"/>
    <w:rsid w:val="002301E6"/>
    <w:rsid w:val="00232453"/>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66F32"/>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C6F"/>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3937"/>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082B"/>
    <w:rsid w:val="003926C1"/>
    <w:rsid w:val="00392900"/>
    <w:rsid w:val="00393357"/>
    <w:rsid w:val="0039337E"/>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5604"/>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9DB"/>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F02"/>
    <w:rsid w:val="0043173B"/>
    <w:rsid w:val="00432A91"/>
    <w:rsid w:val="004332A4"/>
    <w:rsid w:val="0043453F"/>
    <w:rsid w:val="00434A74"/>
    <w:rsid w:val="00437929"/>
    <w:rsid w:val="00437A4A"/>
    <w:rsid w:val="00440541"/>
    <w:rsid w:val="0044162D"/>
    <w:rsid w:val="0044277A"/>
    <w:rsid w:val="00443680"/>
    <w:rsid w:val="004456DC"/>
    <w:rsid w:val="00447FBE"/>
    <w:rsid w:val="0045035E"/>
    <w:rsid w:val="00450F1B"/>
    <w:rsid w:val="0045175A"/>
    <w:rsid w:val="00451ED9"/>
    <w:rsid w:val="00452180"/>
    <w:rsid w:val="00452C6E"/>
    <w:rsid w:val="00453072"/>
    <w:rsid w:val="004539F8"/>
    <w:rsid w:val="00453F26"/>
    <w:rsid w:val="0045465D"/>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5F8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5AA5"/>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3E09"/>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27C"/>
    <w:rsid w:val="0053723A"/>
    <w:rsid w:val="00537636"/>
    <w:rsid w:val="00537B1D"/>
    <w:rsid w:val="00540191"/>
    <w:rsid w:val="00540A2A"/>
    <w:rsid w:val="00540B5C"/>
    <w:rsid w:val="00541F27"/>
    <w:rsid w:val="00542297"/>
    <w:rsid w:val="005424BC"/>
    <w:rsid w:val="00542A28"/>
    <w:rsid w:val="005441D4"/>
    <w:rsid w:val="0054672D"/>
    <w:rsid w:val="00550F4E"/>
    <w:rsid w:val="005532B5"/>
    <w:rsid w:val="00554A05"/>
    <w:rsid w:val="00555849"/>
    <w:rsid w:val="005559A8"/>
    <w:rsid w:val="00556C99"/>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328"/>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4F27"/>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90C"/>
    <w:rsid w:val="00630FF7"/>
    <w:rsid w:val="00633433"/>
    <w:rsid w:val="006341B5"/>
    <w:rsid w:val="006346C9"/>
    <w:rsid w:val="00634727"/>
    <w:rsid w:val="00634B64"/>
    <w:rsid w:val="0063578C"/>
    <w:rsid w:val="0063642C"/>
    <w:rsid w:val="0063681E"/>
    <w:rsid w:val="00636FF9"/>
    <w:rsid w:val="00640DCD"/>
    <w:rsid w:val="00641DC3"/>
    <w:rsid w:val="00642972"/>
    <w:rsid w:val="00644290"/>
    <w:rsid w:val="00644F4D"/>
    <w:rsid w:val="006469B1"/>
    <w:rsid w:val="00646C0D"/>
    <w:rsid w:val="006476F7"/>
    <w:rsid w:val="0064779E"/>
    <w:rsid w:val="006501FA"/>
    <w:rsid w:val="006509B0"/>
    <w:rsid w:val="006516C2"/>
    <w:rsid w:val="006521F3"/>
    <w:rsid w:val="006524D5"/>
    <w:rsid w:val="0065297D"/>
    <w:rsid w:val="00652BBD"/>
    <w:rsid w:val="00653633"/>
    <w:rsid w:val="00653F69"/>
    <w:rsid w:val="00654936"/>
    <w:rsid w:val="00655485"/>
    <w:rsid w:val="006558B3"/>
    <w:rsid w:val="00657F6C"/>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E8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65D"/>
    <w:rsid w:val="00713788"/>
    <w:rsid w:val="00713940"/>
    <w:rsid w:val="007151A2"/>
    <w:rsid w:val="00716774"/>
    <w:rsid w:val="007209DD"/>
    <w:rsid w:val="00720DE4"/>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070"/>
    <w:rsid w:val="00775937"/>
    <w:rsid w:val="00777046"/>
    <w:rsid w:val="007770DA"/>
    <w:rsid w:val="007805B9"/>
    <w:rsid w:val="00780C3A"/>
    <w:rsid w:val="00780D46"/>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2C2E"/>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8B6"/>
    <w:rsid w:val="007E3514"/>
    <w:rsid w:val="007E4AAA"/>
    <w:rsid w:val="007E4BD2"/>
    <w:rsid w:val="007E4C29"/>
    <w:rsid w:val="007E5E44"/>
    <w:rsid w:val="007E7E15"/>
    <w:rsid w:val="007F0DDA"/>
    <w:rsid w:val="007F1939"/>
    <w:rsid w:val="007F2CE1"/>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2134"/>
    <w:rsid w:val="00873FCB"/>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46BF"/>
    <w:rsid w:val="00895818"/>
    <w:rsid w:val="00895D5D"/>
    <w:rsid w:val="00896A15"/>
    <w:rsid w:val="008A2585"/>
    <w:rsid w:val="008A2718"/>
    <w:rsid w:val="008A4CF6"/>
    <w:rsid w:val="008A4E42"/>
    <w:rsid w:val="008A51AA"/>
    <w:rsid w:val="008A5CE7"/>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5AE3"/>
    <w:rsid w:val="008F6851"/>
    <w:rsid w:val="008F7BC4"/>
    <w:rsid w:val="00900E7A"/>
    <w:rsid w:val="00903E11"/>
    <w:rsid w:val="00903EBE"/>
    <w:rsid w:val="009041DE"/>
    <w:rsid w:val="00905D59"/>
    <w:rsid w:val="009062CA"/>
    <w:rsid w:val="00907631"/>
    <w:rsid w:val="00907776"/>
    <w:rsid w:val="00913401"/>
    <w:rsid w:val="00913567"/>
    <w:rsid w:val="009137B6"/>
    <w:rsid w:val="009153B1"/>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36D"/>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1A5"/>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8793F"/>
    <w:rsid w:val="00A90381"/>
    <w:rsid w:val="00A91682"/>
    <w:rsid w:val="00A92E4A"/>
    <w:rsid w:val="00A958CA"/>
    <w:rsid w:val="00A966B6"/>
    <w:rsid w:val="00A96B46"/>
    <w:rsid w:val="00AA003B"/>
    <w:rsid w:val="00AA016B"/>
    <w:rsid w:val="00AA15DD"/>
    <w:rsid w:val="00AA1C09"/>
    <w:rsid w:val="00AA2F67"/>
    <w:rsid w:val="00AA314D"/>
    <w:rsid w:val="00AA3569"/>
    <w:rsid w:val="00AA5A80"/>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1759"/>
    <w:rsid w:val="00BC3C06"/>
    <w:rsid w:val="00BC4E8B"/>
    <w:rsid w:val="00BC5622"/>
    <w:rsid w:val="00BC6060"/>
    <w:rsid w:val="00BC6926"/>
    <w:rsid w:val="00BC7897"/>
    <w:rsid w:val="00BD0F35"/>
    <w:rsid w:val="00BD45A4"/>
    <w:rsid w:val="00BD4A5F"/>
    <w:rsid w:val="00BD516D"/>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5EC"/>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5D87"/>
    <w:rsid w:val="00C56438"/>
    <w:rsid w:val="00C570B3"/>
    <w:rsid w:val="00C6009F"/>
    <w:rsid w:val="00C60417"/>
    <w:rsid w:val="00C6046F"/>
    <w:rsid w:val="00C62C8E"/>
    <w:rsid w:val="00C638C2"/>
    <w:rsid w:val="00C651D4"/>
    <w:rsid w:val="00C6669E"/>
    <w:rsid w:val="00C672B0"/>
    <w:rsid w:val="00C729C7"/>
    <w:rsid w:val="00C754A3"/>
    <w:rsid w:val="00C777AD"/>
    <w:rsid w:val="00C80A20"/>
    <w:rsid w:val="00C80C53"/>
    <w:rsid w:val="00C81195"/>
    <w:rsid w:val="00C85387"/>
    <w:rsid w:val="00C85E52"/>
    <w:rsid w:val="00C86471"/>
    <w:rsid w:val="00C8677B"/>
    <w:rsid w:val="00C86F96"/>
    <w:rsid w:val="00C909C6"/>
    <w:rsid w:val="00C923B7"/>
    <w:rsid w:val="00C92EBE"/>
    <w:rsid w:val="00C94D4C"/>
    <w:rsid w:val="00C95702"/>
    <w:rsid w:val="00CA012C"/>
    <w:rsid w:val="00CA0AA6"/>
    <w:rsid w:val="00CA2897"/>
    <w:rsid w:val="00CA44F3"/>
    <w:rsid w:val="00CA582C"/>
    <w:rsid w:val="00CA6077"/>
    <w:rsid w:val="00CA715B"/>
    <w:rsid w:val="00CA7988"/>
    <w:rsid w:val="00CA7BA2"/>
    <w:rsid w:val="00CB0A2F"/>
    <w:rsid w:val="00CB0B78"/>
    <w:rsid w:val="00CB12A5"/>
    <w:rsid w:val="00CB17FA"/>
    <w:rsid w:val="00CB23D8"/>
    <w:rsid w:val="00CB2ED9"/>
    <w:rsid w:val="00CB36A5"/>
    <w:rsid w:val="00CB56B4"/>
    <w:rsid w:val="00CB7286"/>
    <w:rsid w:val="00CB7947"/>
    <w:rsid w:val="00CC1783"/>
    <w:rsid w:val="00CC3B46"/>
    <w:rsid w:val="00CC3D8B"/>
    <w:rsid w:val="00CC4367"/>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18D9"/>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CBA"/>
    <w:rsid w:val="00D56AC0"/>
    <w:rsid w:val="00D6081B"/>
    <w:rsid w:val="00D6240A"/>
    <w:rsid w:val="00D63093"/>
    <w:rsid w:val="00D63599"/>
    <w:rsid w:val="00D63EBD"/>
    <w:rsid w:val="00D645AC"/>
    <w:rsid w:val="00D67101"/>
    <w:rsid w:val="00D71B45"/>
    <w:rsid w:val="00D71F8A"/>
    <w:rsid w:val="00D75603"/>
    <w:rsid w:val="00D75FEE"/>
    <w:rsid w:val="00D76933"/>
    <w:rsid w:val="00D76D88"/>
    <w:rsid w:val="00D77CC9"/>
    <w:rsid w:val="00D81582"/>
    <w:rsid w:val="00D83D4B"/>
    <w:rsid w:val="00D871C6"/>
    <w:rsid w:val="00D871C8"/>
    <w:rsid w:val="00D91010"/>
    <w:rsid w:val="00DA04B2"/>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5978"/>
    <w:rsid w:val="00E063F8"/>
    <w:rsid w:val="00E114D6"/>
    <w:rsid w:val="00E1166E"/>
    <w:rsid w:val="00E11DBD"/>
    <w:rsid w:val="00E13211"/>
    <w:rsid w:val="00E16FB5"/>
    <w:rsid w:val="00E179D6"/>
    <w:rsid w:val="00E21407"/>
    <w:rsid w:val="00E22668"/>
    <w:rsid w:val="00E227D3"/>
    <w:rsid w:val="00E22BFF"/>
    <w:rsid w:val="00E22CB0"/>
    <w:rsid w:val="00E23798"/>
    <w:rsid w:val="00E24F41"/>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37B"/>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46D"/>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1C8E"/>
    <w:rsid w:val="00F02C04"/>
    <w:rsid w:val="00F03AF1"/>
    <w:rsid w:val="00F04BCD"/>
    <w:rsid w:val="00F05A8C"/>
    <w:rsid w:val="00F05FBD"/>
    <w:rsid w:val="00F06211"/>
    <w:rsid w:val="00F10A54"/>
    <w:rsid w:val="00F118A9"/>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D57"/>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 w:type="paragraph" w:styleId="IntensivesZitat">
    <w:name w:val="Intense Quote"/>
    <w:next w:val="Standard"/>
    <w:link w:val="IntensivesZitatZchn"/>
    <w:uiPriority w:val="30"/>
    <w:qFormat/>
    <w:rsid w:val="0045465D"/>
    <w:pPr>
      <w:numPr>
        <w:numId w:val="42"/>
      </w:numPr>
      <w:pBdr>
        <w:top w:val="single" w:sz="4" w:space="1" w:color="auto"/>
        <w:left w:val="single" w:sz="4" w:space="4" w:color="auto"/>
        <w:bottom w:val="single" w:sz="4" w:space="1" w:color="auto"/>
        <w:right w:val="single" w:sz="4" w:space="4" w:color="auto"/>
      </w:pBdr>
      <w:tabs>
        <w:tab w:val="left" w:pos="426"/>
      </w:tabs>
      <w:spacing w:line="276" w:lineRule="auto"/>
      <w:contextualSpacing/>
      <w:jc w:val="both"/>
    </w:pPr>
    <w:rPr>
      <w:rFonts w:asciiTheme="minorHAnsi" w:eastAsiaTheme="minorHAnsi" w:hAnsiTheme="minorHAnsi" w:cstheme="minorBidi"/>
      <w:b/>
      <w:i/>
      <w:sz w:val="22"/>
      <w:szCs w:val="22"/>
      <w:lang w:eastAsia="en-US"/>
    </w:rPr>
  </w:style>
  <w:style w:type="character" w:customStyle="1" w:styleId="IntensivesZitatZchn">
    <w:name w:val="Intensives Zitat Zchn"/>
    <w:basedOn w:val="Absatz-Standardschriftart"/>
    <w:link w:val="IntensivesZitat"/>
    <w:uiPriority w:val="30"/>
    <w:rsid w:val="0045465D"/>
    <w:rPr>
      <w:rFonts w:asciiTheme="minorHAnsi" w:eastAsiaTheme="minorHAnsi" w:hAnsiTheme="minorHAnsi" w:cstheme="minorBidi"/>
      <w:b/>
      <w: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 w:type="paragraph" w:styleId="IntensivesZitat">
    <w:name w:val="Intense Quote"/>
    <w:next w:val="Standard"/>
    <w:link w:val="IntensivesZitatZchn"/>
    <w:uiPriority w:val="30"/>
    <w:qFormat/>
    <w:rsid w:val="0045465D"/>
    <w:pPr>
      <w:numPr>
        <w:numId w:val="42"/>
      </w:numPr>
      <w:pBdr>
        <w:top w:val="single" w:sz="4" w:space="1" w:color="auto"/>
        <w:left w:val="single" w:sz="4" w:space="4" w:color="auto"/>
        <w:bottom w:val="single" w:sz="4" w:space="1" w:color="auto"/>
        <w:right w:val="single" w:sz="4" w:space="4" w:color="auto"/>
      </w:pBdr>
      <w:tabs>
        <w:tab w:val="left" w:pos="426"/>
      </w:tabs>
      <w:spacing w:line="276" w:lineRule="auto"/>
      <w:contextualSpacing/>
      <w:jc w:val="both"/>
    </w:pPr>
    <w:rPr>
      <w:rFonts w:asciiTheme="minorHAnsi" w:eastAsiaTheme="minorHAnsi" w:hAnsiTheme="minorHAnsi" w:cstheme="minorBidi"/>
      <w:b/>
      <w:i/>
      <w:sz w:val="22"/>
      <w:szCs w:val="22"/>
      <w:lang w:eastAsia="en-US"/>
    </w:rPr>
  </w:style>
  <w:style w:type="character" w:customStyle="1" w:styleId="IntensivesZitatZchn">
    <w:name w:val="Intensives Zitat Zchn"/>
    <w:basedOn w:val="Absatz-Standardschriftart"/>
    <w:link w:val="IntensivesZitat"/>
    <w:uiPriority w:val="30"/>
    <w:rsid w:val="0045465D"/>
    <w:rPr>
      <w:rFonts w:asciiTheme="minorHAnsi" w:eastAsiaTheme="minorHAnsi" w:hAnsiTheme="minorHAnsi" w:cstheme="minorBidi"/>
      <w:b/>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70956192">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2015-1514_note_on_mifid-mifir_implementation_delay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2EC8-15FF-4243-A8FC-F168CB50E9E3}">
  <ds:schemaRefs>
    <ds:schemaRef ds:uri="http://schemas.openxmlformats.org/officeDocument/2006/bibliography"/>
  </ds:schemaRefs>
</ds:datastoreItem>
</file>

<file path=customXml/itemProps2.xml><?xml version="1.0" encoding="utf-8"?>
<ds:datastoreItem xmlns:ds="http://schemas.openxmlformats.org/officeDocument/2006/customXml" ds:itemID="{DB2BF322-6B54-41AF-9E7F-5FE7EB50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15935</Words>
  <Characters>84073</Characters>
  <Application>Microsoft Office Word</Application>
  <DocSecurity>8</DocSecurity>
  <Lines>700</Lines>
  <Paragraphs>199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99809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Horvath Philipp, LL.M., WKÖ BSBV</cp:lastModifiedBy>
  <cp:revision>9</cp:revision>
  <cp:lastPrinted>2016-01-15T08:38:00Z</cp:lastPrinted>
  <dcterms:created xsi:type="dcterms:W3CDTF">2016-01-18T08:11:00Z</dcterms:created>
  <dcterms:modified xsi:type="dcterms:W3CDTF">2016-01-21T15:05:00Z</dcterms:modified>
</cp:coreProperties>
</file>