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3A5DAC" w:rsidP="00EF0769">
            <w:pPr>
              <w:pStyle w:val="00bDBInfo"/>
              <w:rPr>
                <w:rFonts w:cs="Arial"/>
              </w:rPr>
            </w:pPr>
            <w:r>
              <w:rPr>
                <w:rFonts w:cs="Arial"/>
              </w:rPr>
              <w:t>1</w:t>
            </w:r>
            <w:r w:rsidR="00847BB0">
              <w:rPr>
                <w:rFonts w:cs="Arial"/>
              </w:rPr>
              <w:t>0 November</w:t>
            </w:r>
            <w:r w:rsidR="00ED351E" w:rsidRPr="004E49B0">
              <w:rPr>
                <w:rFonts w:cs="Arial"/>
              </w:rPr>
              <w:t xml:space="preserve"> </w:t>
            </w:r>
            <w:r w:rsidR="006F4B04" w:rsidRPr="004E49B0">
              <w:rPr>
                <w:rFonts w:cs="Arial"/>
              </w:rPr>
              <w:t>20</w:t>
            </w:r>
            <w:r>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6646DF" w:rsidP="00C000A5">
            <w:pPr>
              <w:pStyle w:val="01aDBTitle"/>
              <w:rPr>
                <w:rFonts w:cs="Arial"/>
              </w:rPr>
            </w:pPr>
            <w:r>
              <w:rPr>
                <w:rFonts w:cs="Arial"/>
              </w:rPr>
              <w:t xml:space="preserve">Consultation Paper on </w:t>
            </w:r>
            <w:r>
              <w:t xml:space="preserve"> </w:t>
            </w:r>
            <w:r w:rsidRPr="006646DF">
              <w:rPr>
                <w:rFonts w:cs="Arial"/>
              </w:rPr>
              <w:t>PRIIPs Key Information Documents</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EF0769">
            <w:pPr>
              <w:pStyle w:val="02Date"/>
              <w:rPr>
                <w:rFonts w:cs="Arial"/>
              </w:rPr>
            </w:pPr>
            <w:r w:rsidRPr="004E49B0">
              <w:rPr>
                <w:rFonts w:cs="Arial"/>
              </w:rPr>
              <w:lastRenderedPageBreak/>
              <w:t xml:space="preserve">Date: </w:t>
            </w:r>
            <w:r w:rsidR="004E49B0" w:rsidRPr="004E49B0">
              <w:rPr>
                <w:rFonts w:cs="Arial"/>
              </w:rPr>
              <w:t>1</w:t>
            </w:r>
            <w:r w:rsidR="00847BB0">
              <w:rPr>
                <w:rFonts w:cs="Arial"/>
              </w:rPr>
              <w:t>0</w:t>
            </w:r>
            <w:r w:rsidR="004E49B0" w:rsidRPr="004E49B0">
              <w:rPr>
                <w:rFonts w:cs="Arial"/>
              </w:rPr>
              <w:t xml:space="preserve"> </w:t>
            </w:r>
            <w:r w:rsidR="00847BB0">
              <w:t xml:space="preserve"> </w:t>
            </w:r>
            <w:r w:rsidR="00847BB0" w:rsidRPr="00847BB0">
              <w:rPr>
                <w:rFonts w:cs="Arial"/>
              </w:rPr>
              <w:t xml:space="preserve">November </w:t>
            </w:r>
            <w:r w:rsidR="004E49B0" w:rsidRPr="004E49B0">
              <w:rPr>
                <w:rFonts w:cs="Arial"/>
              </w:rPr>
              <w:t>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6646DF" w:rsidRPr="006646DF">
        <w:rPr>
          <w:rFonts w:cs="Arial"/>
        </w:rPr>
        <w:t>PRIIPs Key Information Documents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C95702">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QUESTION_</w:t>
      </w:r>
      <w:r w:rsidR="006646DF">
        <w:rPr>
          <w:rFonts w:cs="Arial"/>
        </w:rPr>
        <w:t>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6646DF" w:rsidRPr="00EF0769">
        <w:rPr>
          <w:rFonts w:cs="Arial"/>
        </w:rPr>
        <w:t xml:space="preserve"> </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6646DF">
        <w:rPr>
          <w:rFonts w:cs="Arial"/>
        </w:rPr>
        <w:t>XXXX</w:t>
      </w:r>
      <w:r w:rsidRPr="00EF0769">
        <w:rPr>
          <w:rFonts w:cs="Arial"/>
        </w:rPr>
        <w:t xml:space="preserve">,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332304">
        <w:rPr>
          <w:rFonts w:cs="Arial"/>
        </w:rPr>
        <w:t>_</w:t>
      </w:r>
      <w:r w:rsidR="006646DF">
        <w:rPr>
          <w:rFonts w:cs="Arial"/>
        </w:rPr>
        <w:t>XXXX</w:t>
      </w:r>
      <w:r w:rsidRPr="00EF0769">
        <w:rPr>
          <w:rFonts w:cs="Arial"/>
        </w:rPr>
        <w:t xml:space="preserve">_REPLYFORM or </w:t>
      </w:r>
    </w:p>
    <w:p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PRIIPS_XXXX</w:t>
      </w:r>
      <w:r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A90381" w:rsidRPr="00A90381">
        <w:rPr>
          <w:rFonts w:cs="Arial"/>
          <w:b/>
        </w:rPr>
        <w:t>29 January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D34282" w:rsidRPr="000E35CB" w:rsidRDefault="00332304" w:rsidP="000E35CB">
      <w:pPr>
        <w:rPr>
          <w:rFonts w:cs="Arial"/>
          <w:b/>
          <w:bCs/>
          <w:kern w:val="32"/>
          <w:sz w:val="24"/>
          <w:szCs w:val="32"/>
        </w:rPr>
      </w:pPr>
      <w:r>
        <w:br w:type="page"/>
      </w: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C33ACE" w:rsidRPr="00C33ACE" w:rsidRDefault="00C33ACE" w:rsidP="00C33ACE"/>
    <w:p w:rsidR="00D34282" w:rsidRDefault="00D34282" w:rsidP="00D34282">
      <w:pPr>
        <w:rPr>
          <w:rStyle w:val="IntenseEmphasis"/>
        </w:rPr>
      </w:pPr>
      <w:r w:rsidRPr="001D47A5">
        <w:rPr>
          <w:rStyle w:val="IntenseEmphasis"/>
        </w:rPr>
        <w:t>Please make your introductory comments below, if any:</w:t>
      </w:r>
    </w:p>
    <w:p w:rsidR="002E2BC1" w:rsidRPr="001D47A5" w:rsidRDefault="002E2BC1" w:rsidP="00D34282">
      <w:pPr>
        <w:rPr>
          <w:rStyle w:val="IntenseEmphasis"/>
        </w:rPr>
      </w:pPr>
    </w:p>
    <w:p w:rsidR="00D34282" w:rsidRPr="00C25863" w:rsidRDefault="00D34282" w:rsidP="00D34282">
      <w:r w:rsidRPr="00C25863">
        <w:t>&lt;</w:t>
      </w:r>
      <w:r>
        <w:t>ESMA_COMMENT</w:t>
      </w:r>
      <w:r w:rsidRPr="00C25863">
        <w:t>_</w:t>
      </w:r>
      <w:r w:rsidR="000E35CB">
        <w:rPr>
          <w:rFonts w:cs="Arial"/>
        </w:rPr>
        <w:t>PRIIPS</w:t>
      </w:r>
      <w:r w:rsidRPr="00C25863">
        <w:t>_1&gt;</w:t>
      </w:r>
    </w:p>
    <w:p w:rsidR="00D34282" w:rsidRDefault="0076639F" w:rsidP="00D34282">
      <w:permStart w:id="284105616" w:edGrp="everyone"/>
      <w:r>
        <w:t>ISDA has submitted this response to JC 2015 073 on the behalf of the Joint Associations Committee (JAC).  ISDA and the ICMA both endorse this response.</w:t>
      </w:r>
    </w:p>
    <w:permEnd w:id="284105616"/>
    <w:p w:rsidR="00D34282" w:rsidRPr="00C25863" w:rsidRDefault="00D34282" w:rsidP="00D34282">
      <w:r w:rsidRPr="00C25863">
        <w:t>&lt;</w:t>
      </w:r>
      <w:r>
        <w:t>ESMA_COMMENT</w:t>
      </w:r>
      <w:r w:rsidRPr="00C25863">
        <w:t>_</w:t>
      </w:r>
      <w:r w:rsidR="000E35CB" w:rsidRPr="000E35CB">
        <w:rPr>
          <w:rFonts w:cs="Arial"/>
        </w:rPr>
        <w:t xml:space="preserve"> </w:t>
      </w:r>
      <w:r w:rsidR="000E35CB">
        <w:rPr>
          <w:rFonts w:cs="Arial"/>
        </w:rPr>
        <w:t>PRIIPS</w:t>
      </w:r>
      <w:r w:rsidRPr="00C25863">
        <w:t>_1&gt;</w:t>
      </w:r>
    </w:p>
    <w:p w:rsidR="00580880" w:rsidRDefault="00F32462" w:rsidP="00580880">
      <w:pPr>
        <w:pStyle w:val="QUESTIONSESMA"/>
      </w:pPr>
      <w:r>
        <w:rPr>
          <w:rFonts w:cs="Arial"/>
        </w:rPr>
        <w:br w:type="page"/>
      </w:r>
    </w:p>
    <w:p w:rsidR="00580880" w:rsidRPr="005A512B" w:rsidRDefault="00580880" w:rsidP="00580880">
      <w:pPr>
        <w:pBdr>
          <w:top w:val="single" w:sz="4" w:space="1" w:color="auto"/>
          <w:left w:val="single" w:sz="4" w:space="4" w:color="auto"/>
          <w:bottom w:val="single" w:sz="4" w:space="2" w:color="auto"/>
          <w:right w:val="single" w:sz="4" w:space="4" w:color="auto"/>
        </w:pBdr>
        <w:jc w:val="both"/>
        <w:rPr>
          <w:b/>
          <w:i/>
          <w:iCs/>
        </w:rPr>
      </w:pPr>
      <w:r w:rsidRPr="005A512B">
        <w:rPr>
          <w:b/>
          <w:i/>
          <w:iCs/>
        </w:rPr>
        <w:lastRenderedPageBreak/>
        <w:t>Question 1</w:t>
      </w:r>
    </w:p>
    <w:p w:rsidR="00580880" w:rsidRPr="005A512B" w:rsidRDefault="00580880" w:rsidP="00580880">
      <w:pPr>
        <w:pBdr>
          <w:top w:val="single" w:sz="4" w:space="1" w:color="auto"/>
          <w:left w:val="single" w:sz="4" w:space="4" w:color="auto"/>
          <w:bottom w:val="single" w:sz="4" w:space="2" w:color="auto"/>
          <w:right w:val="single" w:sz="4" w:space="4" w:color="auto"/>
        </w:pBdr>
        <w:jc w:val="both"/>
      </w:pPr>
      <w:r w:rsidRPr="005A512B">
        <w:rPr>
          <w:i/>
          <w:iCs/>
        </w:rPr>
        <w:t>Would you see merit in the ESAs clarifying further the criteria set out in Recital 18 mentioned above by way of guidelines?</w:t>
      </w:r>
    </w:p>
    <w:p w:rsidR="00580880" w:rsidRDefault="00580880" w:rsidP="00750796"/>
    <w:p w:rsidR="00750796" w:rsidRDefault="00750796" w:rsidP="00750796">
      <w:r>
        <w:t>&lt;ESMA_QUESTION_</w:t>
      </w:r>
      <w:r w:rsidR="003E4B00">
        <w:t>PRIIPS</w:t>
      </w:r>
      <w:r>
        <w:t>_1&gt;</w:t>
      </w:r>
    </w:p>
    <w:p w:rsidR="00312D88" w:rsidRDefault="00312D88" w:rsidP="00312D88">
      <w:pPr>
        <w:pStyle w:val="BodyText1"/>
        <w:rPr>
          <w:rFonts w:cs="Times New Roman"/>
          <w:iCs/>
          <w:color w:val="auto"/>
        </w:rPr>
      </w:pPr>
      <w:permStart w:id="1228432599" w:edGrp="everyone"/>
      <w:r w:rsidRPr="00020C40">
        <w:rPr>
          <w:rFonts w:cs="Times New Roman"/>
          <w:iCs/>
          <w:color w:val="auto"/>
        </w:rPr>
        <w:t xml:space="preserve">We are of the view that the </w:t>
      </w:r>
      <w:r>
        <w:rPr>
          <w:rFonts w:cs="Times New Roman"/>
          <w:iCs/>
          <w:color w:val="auto"/>
        </w:rPr>
        <w:t xml:space="preserve">ESAs should issue guidelines to clarify the </w:t>
      </w:r>
      <w:r w:rsidRPr="00020C40">
        <w:rPr>
          <w:rFonts w:cs="Times New Roman"/>
          <w:iCs/>
          <w:color w:val="auto"/>
        </w:rPr>
        <w:t xml:space="preserve">criteria in Recital 18 </w:t>
      </w:r>
      <w:r>
        <w:rPr>
          <w:rFonts w:cs="Times New Roman"/>
          <w:iCs/>
          <w:color w:val="auto"/>
        </w:rPr>
        <w:t>for assessing whether or not the KID should</w:t>
      </w:r>
      <w:r w:rsidRPr="00020C40">
        <w:rPr>
          <w:rFonts w:cs="Times New Roman"/>
          <w:iCs/>
          <w:color w:val="auto"/>
        </w:rPr>
        <w:t xml:space="preserve"> </w:t>
      </w:r>
      <w:r>
        <w:rPr>
          <w:rFonts w:cs="Times New Roman"/>
          <w:iCs/>
          <w:color w:val="auto"/>
        </w:rPr>
        <w:t>include the comprehension alert.</w:t>
      </w:r>
    </w:p>
    <w:p w:rsidR="00312D88" w:rsidRDefault="00312D88" w:rsidP="00312D88">
      <w:pPr>
        <w:pStyle w:val="BodyText1"/>
        <w:rPr>
          <w:rFonts w:cs="Times New Roman"/>
          <w:iCs/>
          <w:color w:val="auto"/>
        </w:rPr>
      </w:pPr>
      <w:r>
        <w:rPr>
          <w:rFonts w:cs="Times New Roman"/>
          <w:iCs/>
          <w:color w:val="auto"/>
        </w:rPr>
        <w:t>Recital 18 states that a product should be regarded as not being simple and as being diff</w:t>
      </w:r>
      <w:r>
        <w:rPr>
          <w:rFonts w:cs="Times New Roman"/>
          <w:iCs/>
          <w:color w:val="auto"/>
        </w:rPr>
        <w:t>i</w:t>
      </w:r>
      <w:r>
        <w:rPr>
          <w:rFonts w:cs="Times New Roman"/>
          <w:iCs/>
          <w:color w:val="auto"/>
        </w:rPr>
        <w:t>cult to understand if:</w:t>
      </w:r>
    </w:p>
    <w:p w:rsidR="00312D88" w:rsidRDefault="00312D88" w:rsidP="00312D88">
      <w:pPr>
        <w:pStyle w:val="BodyText1"/>
        <w:numPr>
          <w:ilvl w:val="0"/>
          <w:numId w:val="52"/>
        </w:numPr>
        <w:rPr>
          <w:rFonts w:cs="Times New Roman"/>
          <w:iCs/>
          <w:color w:val="auto"/>
        </w:rPr>
      </w:pPr>
      <w:r>
        <w:rPr>
          <w:rFonts w:cs="Times New Roman"/>
          <w:iCs/>
          <w:color w:val="auto"/>
        </w:rPr>
        <w:t>it invests in underlying assets in which retail investors do not commonly invest;</w:t>
      </w:r>
    </w:p>
    <w:p w:rsidR="00312D88" w:rsidRDefault="00312D88" w:rsidP="00312D88">
      <w:pPr>
        <w:pStyle w:val="BodyText1"/>
        <w:numPr>
          <w:ilvl w:val="0"/>
          <w:numId w:val="52"/>
        </w:numPr>
        <w:rPr>
          <w:rFonts w:cs="Times New Roman"/>
          <w:iCs/>
          <w:color w:val="auto"/>
        </w:rPr>
      </w:pPr>
      <w:r>
        <w:rPr>
          <w:rFonts w:cs="Times New Roman"/>
          <w:iCs/>
          <w:color w:val="auto"/>
        </w:rPr>
        <w:t>it uses a number of different mechanisms to calculate the final return of the i</w:t>
      </w:r>
      <w:r>
        <w:rPr>
          <w:rFonts w:cs="Times New Roman"/>
          <w:iCs/>
          <w:color w:val="auto"/>
        </w:rPr>
        <w:t>n</w:t>
      </w:r>
      <w:r>
        <w:rPr>
          <w:rFonts w:cs="Times New Roman"/>
          <w:iCs/>
          <w:color w:val="auto"/>
        </w:rPr>
        <w:t>vestment creating a greater risk of misunderstanding on the part of the retail i</w:t>
      </w:r>
      <w:r>
        <w:rPr>
          <w:rFonts w:cs="Times New Roman"/>
          <w:iCs/>
          <w:color w:val="auto"/>
        </w:rPr>
        <w:t>n</w:t>
      </w:r>
      <w:r>
        <w:rPr>
          <w:rFonts w:cs="Times New Roman"/>
          <w:iCs/>
          <w:color w:val="auto"/>
        </w:rPr>
        <w:t>vestor; or</w:t>
      </w:r>
    </w:p>
    <w:p w:rsidR="00312D88" w:rsidRPr="00020C40" w:rsidRDefault="00312D88" w:rsidP="00312D88">
      <w:pPr>
        <w:pStyle w:val="BodyText1"/>
        <w:numPr>
          <w:ilvl w:val="0"/>
          <w:numId w:val="52"/>
        </w:numPr>
        <w:rPr>
          <w:rFonts w:cs="Times New Roman"/>
          <w:iCs/>
          <w:color w:val="auto"/>
        </w:rPr>
      </w:pPr>
      <w:r>
        <w:rPr>
          <w:rFonts w:cs="Times New Roman"/>
          <w:iCs/>
          <w:color w:val="auto"/>
        </w:rPr>
        <w:t>if the investment's pay off takes advantage of retail investor's behavioural biases, such as a teaser rate followed by a much higher floating conditional rate, or an i</w:t>
      </w:r>
      <w:r>
        <w:rPr>
          <w:rFonts w:cs="Times New Roman"/>
          <w:iCs/>
          <w:color w:val="auto"/>
        </w:rPr>
        <w:t>t</w:t>
      </w:r>
      <w:r>
        <w:rPr>
          <w:rFonts w:cs="Times New Roman"/>
          <w:iCs/>
          <w:color w:val="auto"/>
        </w:rPr>
        <w:t>erative formula.</w:t>
      </w:r>
    </w:p>
    <w:p w:rsidR="00312D88" w:rsidRPr="00020C40" w:rsidRDefault="00312D88" w:rsidP="00312D88">
      <w:pPr>
        <w:pStyle w:val="BodyText1"/>
        <w:rPr>
          <w:rFonts w:cs="Times New Roman"/>
          <w:iCs/>
          <w:color w:val="auto"/>
        </w:rPr>
      </w:pPr>
      <w:r>
        <w:rPr>
          <w:rFonts w:cs="Times New Roman"/>
          <w:iCs/>
          <w:color w:val="auto"/>
        </w:rPr>
        <w:t>We think that t</w:t>
      </w:r>
      <w:r w:rsidRPr="00020C40">
        <w:rPr>
          <w:rFonts w:cs="Times New Roman"/>
          <w:iCs/>
          <w:color w:val="auto"/>
        </w:rPr>
        <w:t xml:space="preserve">he criteria are vague and difficult to interpret/apply. For example, how should a manufacturer determine whether the underlying assets in which a product invests are assets in which an investor commonly invests? </w:t>
      </w:r>
      <w:r>
        <w:rPr>
          <w:rFonts w:cs="Times New Roman"/>
          <w:iCs/>
          <w:color w:val="auto"/>
        </w:rPr>
        <w:t xml:space="preserve"> We think that there will be consider</w:t>
      </w:r>
      <w:r>
        <w:rPr>
          <w:rFonts w:cs="Times New Roman"/>
          <w:iCs/>
          <w:color w:val="auto"/>
        </w:rPr>
        <w:t>a</w:t>
      </w:r>
      <w:r>
        <w:rPr>
          <w:rFonts w:cs="Times New Roman"/>
          <w:iCs/>
          <w:color w:val="auto"/>
        </w:rPr>
        <w:t xml:space="preserve">ble divergences in the application of these criteria in </w:t>
      </w:r>
      <w:r w:rsidRPr="00020C40">
        <w:rPr>
          <w:rFonts w:cs="Times New Roman"/>
          <w:iCs/>
          <w:color w:val="auto"/>
        </w:rPr>
        <w:t>different jurisdictions. In the absence of further guidance</w:t>
      </w:r>
      <w:r>
        <w:rPr>
          <w:rFonts w:cs="Times New Roman"/>
          <w:iCs/>
          <w:color w:val="auto"/>
        </w:rPr>
        <w:t>,</w:t>
      </w:r>
      <w:r w:rsidRPr="00020C40">
        <w:rPr>
          <w:rFonts w:cs="Times New Roman"/>
          <w:iCs/>
          <w:color w:val="auto"/>
        </w:rPr>
        <w:t xml:space="preserve"> manufacturers may be forced to take a conservative view and include the comprehe</w:t>
      </w:r>
      <w:r>
        <w:rPr>
          <w:rFonts w:cs="Times New Roman"/>
          <w:iCs/>
          <w:color w:val="auto"/>
        </w:rPr>
        <w:t>nsion alert in all cases which will</w:t>
      </w:r>
      <w:r w:rsidRPr="00020C40">
        <w:rPr>
          <w:rFonts w:cs="Times New Roman"/>
          <w:iCs/>
          <w:color w:val="auto"/>
        </w:rPr>
        <w:t xml:space="preserve"> negate its effect.</w:t>
      </w:r>
    </w:p>
    <w:p w:rsidR="00312D88" w:rsidRDefault="00312D88" w:rsidP="00312D88">
      <w:pPr>
        <w:pStyle w:val="BodyText1"/>
        <w:rPr>
          <w:rFonts w:cs="Times New Roman"/>
          <w:iCs/>
          <w:color w:val="auto"/>
        </w:rPr>
      </w:pPr>
      <w:r>
        <w:rPr>
          <w:rFonts w:cs="Times New Roman"/>
          <w:iCs/>
          <w:color w:val="auto"/>
        </w:rPr>
        <w:t xml:space="preserve">Detailed </w:t>
      </w:r>
      <w:r w:rsidRPr="00020C40">
        <w:rPr>
          <w:rFonts w:cs="Times New Roman"/>
          <w:iCs/>
          <w:color w:val="auto"/>
        </w:rPr>
        <w:t xml:space="preserve">guidance is </w:t>
      </w:r>
      <w:r>
        <w:rPr>
          <w:rFonts w:cs="Times New Roman"/>
          <w:iCs/>
          <w:color w:val="auto"/>
        </w:rPr>
        <w:t xml:space="preserve">therefore </w:t>
      </w:r>
      <w:r w:rsidRPr="00020C40">
        <w:rPr>
          <w:rFonts w:cs="Times New Roman"/>
          <w:iCs/>
          <w:color w:val="auto"/>
        </w:rPr>
        <w:t>required as to which products would and would not fall within th</w:t>
      </w:r>
      <w:r>
        <w:rPr>
          <w:rFonts w:cs="Times New Roman"/>
          <w:iCs/>
          <w:color w:val="auto"/>
        </w:rPr>
        <w:t xml:space="preserve">e category of PRIIPs </w:t>
      </w:r>
      <w:r w:rsidRPr="00020C40">
        <w:rPr>
          <w:rFonts w:cs="Times New Roman"/>
          <w:iCs/>
          <w:color w:val="auto"/>
        </w:rPr>
        <w:t>that require a comprehension alert.</w:t>
      </w:r>
      <w:r>
        <w:rPr>
          <w:rFonts w:cs="Times New Roman"/>
          <w:iCs/>
          <w:color w:val="auto"/>
        </w:rPr>
        <w:t xml:space="preserve"> </w:t>
      </w:r>
      <w:r w:rsidRPr="00020C40">
        <w:rPr>
          <w:rFonts w:cs="Times New Roman"/>
          <w:iCs/>
          <w:color w:val="auto"/>
        </w:rPr>
        <w:t>As noted in our r</w:t>
      </w:r>
      <w:r w:rsidRPr="00020C40">
        <w:rPr>
          <w:rFonts w:cs="Times New Roman"/>
          <w:iCs/>
          <w:color w:val="auto"/>
        </w:rPr>
        <w:t>e</w:t>
      </w:r>
      <w:r w:rsidRPr="00020C40">
        <w:rPr>
          <w:rFonts w:cs="Times New Roman"/>
          <w:iCs/>
          <w:color w:val="auto"/>
        </w:rPr>
        <w:t>sponse to JC/DP/2014/02, the</w:t>
      </w:r>
      <w:r>
        <w:rPr>
          <w:rFonts w:cs="Times New Roman"/>
          <w:iCs/>
          <w:color w:val="auto"/>
        </w:rPr>
        <w:t xml:space="preserve"> ESAs</w:t>
      </w:r>
      <w:r w:rsidRPr="00020C40">
        <w:rPr>
          <w:rFonts w:cs="Times New Roman"/>
          <w:iCs/>
          <w:color w:val="auto"/>
        </w:rPr>
        <w:t xml:space="preserve"> guidance should be sufficiently specific so as to e</w:t>
      </w:r>
      <w:r w:rsidRPr="00020C40">
        <w:rPr>
          <w:rFonts w:cs="Times New Roman"/>
          <w:iCs/>
          <w:color w:val="auto"/>
        </w:rPr>
        <w:t>n</w:t>
      </w:r>
      <w:r w:rsidRPr="00020C40">
        <w:rPr>
          <w:rFonts w:cs="Times New Roman"/>
          <w:iCs/>
          <w:color w:val="auto"/>
        </w:rPr>
        <w:t>sure a reasonably consistent approach by manufacturers and competent authorities. We a</w:t>
      </w:r>
      <w:r w:rsidRPr="00020C40">
        <w:rPr>
          <w:rFonts w:cs="Times New Roman"/>
          <w:iCs/>
          <w:color w:val="auto"/>
        </w:rPr>
        <w:t>l</w:t>
      </w:r>
      <w:r w:rsidRPr="00020C40">
        <w:rPr>
          <w:rFonts w:cs="Times New Roman"/>
          <w:iCs/>
          <w:color w:val="auto"/>
        </w:rPr>
        <w:t>so reiterate our previous comment that the list of permitted investments in Article 50 of the UCITS Directive (2009/65/EC) is a sensible starting point for compiling a list of a</w:t>
      </w:r>
      <w:r w:rsidRPr="00020C40">
        <w:rPr>
          <w:rFonts w:cs="Times New Roman"/>
          <w:iCs/>
          <w:color w:val="auto"/>
        </w:rPr>
        <w:t>s</w:t>
      </w:r>
      <w:r w:rsidRPr="00020C40">
        <w:rPr>
          <w:rFonts w:cs="Times New Roman"/>
          <w:iCs/>
          <w:color w:val="auto"/>
        </w:rPr>
        <w:t>sets which are commonly invested in by r</w:t>
      </w:r>
      <w:r>
        <w:rPr>
          <w:rFonts w:cs="Times New Roman"/>
          <w:iCs/>
          <w:color w:val="auto"/>
        </w:rPr>
        <w:t xml:space="preserve">etail investors, although </w:t>
      </w:r>
      <w:r w:rsidRPr="00020C40">
        <w:rPr>
          <w:rFonts w:cs="Times New Roman"/>
          <w:iCs/>
          <w:color w:val="auto"/>
        </w:rPr>
        <w:t xml:space="preserve">the list would need to be adapted to reflect its application to a broader range of products. </w:t>
      </w:r>
    </w:p>
    <w:p w:rsidR="00312D88" w:rsidRPr="00755310" w:rsidRDefault="00312D88" w:rsidP="00312D88">
      <w:pPr>
        <w:pStyle w:val="BodyText1"/>
        <w:rPr>
          <w:rFonts w:cs="Times New Roman"/>
          <w:iCs/>
          <w:color w:val="auto"/>
        </w:rPr>
      </w:pPr>
      <w:r>
        <w:rPr>
          <w:rFonts w:cs="Times New Roman"/>
          <w:iCs/>
          <w:color w:val="auto"/>
        </w:rPr>
        <w:t>We note that ESMA has developed guidelines (2015/1783) on the assessment of comple</w:t>
      </w:r>
      <w:r>
        <w:rPr>
          <w:rFonts w:cs="Times New Roman"/>
          <w:iCs/>
          <w:color w:val="auto"/>
        </w:rPr>
        <w:t>x</w:t>
      </w:r>
      <w:r>
        <w:rPr>
          <w:rFonts w:cs="Times New Roman"/>
          <w:iCs/>
          <w:color w:val="auto"/>
        </w:rPr>
        <w:t>ity for debt instruments and structured deposits in order to assist firms that wish to pr</w:t>
      </w:r>
      <w:r>
        <w:rPr>
          <w:rFonts w:cs="Times New Roman"/>
          <w:iCs/>
          <w:color w:val="auto"/>
        </w:rPr>
        <w:t>o</w:t>
      </w:r>
      <w:r>
        <w:rPr>
          <w:rFonts w:cs="Times New Roman"/>
          <w:iCs/>
          <w:color w:val="auto"/>
        </w:rPr>
        <w:t>vide execution only services for products which are non-complex under MiFID 2. We think that a similar approach should be taken for PRIIPs.</w:t>
      </w:r>
    </w:p>
    <w:p w:rsidR="00312D88" w:rsidRPr="00A11AE4" w:rsidRDefault="00312D88" w:rsidP="00312D88">
      <w:pPr>
        <w:pStyle w:val="BodyText1"/>
        <w:rPr>
          <w:rFonts w:cs="Times New Roman"/>
          <w:iCs/>
          <w:color w:val="auto"/>
        </w:rPr>
      </w:pPr>
      <w:r w:rsidRPr="00F435B7">
        <w:rPr>
          <w:rFonts w:cs="Times New Roman"/>
          <w:iCs/>
          <w:color w:val="auto"/>
        </w:rPr>
        <w:t>Our understanding of Recital 18 is that KIDs for non-formula based UCITS would not r</w:t>
      </w:r>
      <w:r w:rsidRPr="00F435B7">
        <w:rPr>
          <w:rFonts w:cs="Times New Roman"/>
          <w:iCs/>
          <w:color w:val="auto"/>
        </w:rPr>
        <w:t>e</w:t>
      </w:r>
      <w:r w:rsidRPr="00F435B7">
        <w:rPr>
          <w:rFonts w:cs="Times New Roman"/>
          <w:iCs/>
          <w:color w:val="auto"/>
        </w:rPr>
        <w:t>quire a comprehension alert. It does not seem appropriate as active management (for i</w:t>
      </w:r>
      <w:r w:rsidRPr="00F435B7">
        <w:rPr>
          <w:rFonts w:cs="Times New Roman"/>
          <w:iCs/>
          <w:color w:val="auto"/>
        </w:rPr>
        <w:t>n</w:t>
      </w:r>
      <w:r w:rsidRPr="00F435B7">
        <w:rPr>
          <w:rFonts w:cs="Times New Roman"/>
          <w:iCs/>
          <w:color w:val="auto"/>
        </w:rPr>
        <w:t xml:space="preserve">stance hedge-fund type of strategies wrapped in UCITS funds) can be as (if not more) complex as formula based PRIIPS. This creates an unlevel playing field between PRIIPS which are UCITS and PRIIPS which are structured products or unit-linked insurance. Our view is that only simple index-tracking UCITS should be considered not to be caught by </w:t>
      </w:r>
      <w:r w:rsidRPr="00F435B7">
        <w:rPr>
          <w:rFonts w:cs="Times New Roman"/>
          <w:iCs/>
          <w:color w:val="auto"/>
        </w:rPr>
        <w:lastRenderedPageBreak/>
        <w:t>the comprehension alert, while all other PRIIPs (complex actively managed UCITs, d</w:t>
      </w:r>
      <w:r w:rsidRPr="00F435B7">
        <w:rPr>
          <w:rFonts w:cs="Times New Roman"/>
          <w:iCs/>
          <w:color w:val="auto"/>
        </w:rPr>
        <w:t>e</w:t>
      </w:r>
      <w:r w:rsidRPr="00F435B7">
        <w:rPr>
          <w:rFonts w:cs="Times New Roman"/>
          <w:iCs/>
          <w:color w:val="auto"/>
        </w:rPr>
        <w:t>rivatives, structured products) would need the comprehension alert).</w:t>
      </w:r>
    </w:p>
    <w:permEnd w:id="1228432599"/>
    <w:p w:rsidR="00750796" w:rsidRDefault="00750796" w:rsidP="00750796">
      <w:r>
        <w:t>&lt;ESMA_QUESTION_</w:t>
      </w:r>
      <w:r w:rsidR="003E4B00">
        <w:t>PRIIPS</w:t>
      </w:r>
      <w:r>
        <w:t>_1&gt;</w:t>
      </w:r>
    </w:p>
    <w:p w:rsidR="00580880" w:rsidRDefault="00580880" w:rsidP="00750796"/>
    <w:p w:rsidR="00580880" w:rsidRDefault="00580880" w:rsidP="00750796">
      <w:pPr>
        <w:rPr>
          <w:rFonts w:cstheme="minorBidi"/>
          <w:b/>
          <w:szCs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2</w:t>
      </w:r>
    </w:p>
    <w:p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i/>
          <w:sz w:val="22"/>
          <w:lang w:eastAsia="en-US"/>
        </w:rPr>
      </w:pPr>
      <w:r w:rsidRPr="00580880">
        <w:rPr>
          <w:rFonts w:ascii="Calibri" w:hAnsi="Calibri"/>
          <w:i/>
          <w:sz w:val="22"/>
          <w:lang w:eastAsia="en-US"/>
        </w:rPr>
        <w:t>Would you agree with the assumptions used for the proposed default amounts? Are you of the opinion that these prescribed amounts should be amended? If yes, how and why?</w:t>
      </w:r>
    </w:p>
    <w:p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sz w:val="22"/>
          <w:lang w:eastAsia="en-US"/>
        </w:rPr>
      </w:pPr>
      <w:r w:rsidRPr="00580880">
        <w:rPr>
          <w:rFonts w:ascii="Calibri" w:hAnsi="Calibri"/>
          <w:i/>
          <w:sz w:val="22"/>
          <w:lang w:eastAsia="en-US"/>
        </w:rPr>
        <w:t>Would you favour an approach in which the prescribed standardised amount is the default o</w:t>
      </w:r>
      <w:r w:rsidRPr="00580880">
        <w:rPr>
          <w:rFonts w:ascii="Calibri" w:hAnsi="Calibri"/>
          <w:i/>
          <w:sz w:val="22"/>
          <w:lang w:eastAsia="en-US"/>
        </w:rPr>
        <w:t>p</w:t>
      </w:r>
      <w:r w:rsidRPr="00580880">
        <w:rPr>
          <w:rFonts w:ascii="Calibri" w:hAnsi="Calibri"/>
          <w:i/>
          <w:sz w:val="22"/>
          <w:lang w:eastAsia="en-US"/>
        </w:rPr>
        <w:t>tion, unless the PRIIP has a known required investment amount and price which can be used i</w:t>
      </w:r>
      <w:r w:rsidRPr="00580880">
        <w:rPr>
          <w:rFonts w:ascii="Calibri" w:hAnsi="Calibri"/>
          <w:i/>
          <w:sz w:val="22"/>
          <w:lang w:eastAsia="en-US"/>
        </w:rPr>
        <w:t>n</w:t>
      </w:r>
      <w:r w:rsidRPr="00580880">
        <w:rPr>
          <w:rFonts w:ascii="Calibri" w:hAnsi="Calibri"/>
          <w:i/>
          <w:sz w:val="22"/>
          <w:lang w:eastAsia="en-US"/>
        </w:rPr>
        <w:t>stead?</w:t>
      </w:r>
    </w:p>
    <w:p w:rsidR="00580880" w:rsidRDefault="00580880" w:rsidP="00750796">
      <w:pPr>
        <w:rPr>
          <w:rFonts w:cstheme="minorBidi"/>
          <w:b/>
          <w:szCs w:val="22"/>
          <w:lang w:eastAsia="en-US"/>
        </w:rPr>
      </w:pPr>
    </w:p>
    <w:p w:rsidR="00750796" w:rsidRDefault="00750796" w:rsidP="00750796">
      <w:r>
        <w:t>&lt;ESMA_QUESTION_</w:t>
      </w:r>
      <w:r w:rsidR="003E4B00">
        <w:t>PRIIPS</w:t>
      </w:r>
      <w:r>
        <w:t>_2&gt;</w:t>
      </w:r>
    </w:p>
    <w:p w:rsidR="006113E2" w:rsidRPr="00A11AE4" w:rsidRDefault="006113E2" w:rsidP="006113E2">
      <w:pPr>
        <w:pStyle w:val="BodyText1"/>
        <w:ind w:left="1440" w:hanging="720"/>
        <w:rPr>
          <w:rFonts w:cs="Times New Roman"/>
          <w:iCs/>
          <w:color w:val="auto"/>
        </w:rPr>
      </w:pPr>
      <w:permStart w:id="933109492" w:edGrp="everyone"/>
      <w:r w:rsidRPr="00451C7E">
        <w:rPr>
          <w:rFonts w:cs="Times New Roman"/>
          <w:i/>
          <w:iCs/>
        </w:rPr>
        <w:t>(i)</w:t>
      </w:r>
      <w:r w:rsidRPr="00451C7E">
        <w:rPr>
          <w:rFonts w:cs="Times New Roman"/>
          <w:i/>
          <w:iCs/>
        </w:rPr>
        <w:tab/>
      </w:r>
      <w:r>
        <w:rPr>
          <w:rFonts w:cs="Times New Roman"/>
          <w:iCs/>
          <w:color w:val="auto"/>
        </w:rPr>
        <w:t>We are of the view that p</w:t>
      </w:r>
      <w:r w:rsidRPr="00A11AE4">
        <w:rPr>
          <w:rFonts w:cs="Times New Roman"/>
          <w:iCs/>
          <w:color w:val="auto"/>
        </w:rPr>
        <w:t xml:space="preserve">roviding percentage figures </w:t>
      </w:r>
      <w:r>
        <w:rPr>
          <w:rFonts w:cs="Times New Roman"/>
          <w:iCs/>
          <w:color w:val="auto"/>
        </w:rPr>
        <w:t>is preferable since</w:t>
      </w:r>
      <w:r w:rsidRPr="00A11AE4">
        <w:rPr>
          <w:rFonts w:cs="Times New Roman"/>
          <w:iCs/>
          <w:color w:val="auto"/>
        </w:rPr>
        <w:t xml:space="preserve"> denomin</w:t>
      </w:r>
      <w:r w:rsidRPr="00A11AE4">
        <w:rPr>
          <w:rFonts w:cs="Times New Roman"/>
          <w:iCs/>
          <w:color w:val="auto"/>
        </w:rPr>
        <w:t>a</w:t>
      </w:r>
      <w:r w:rsidRPr="00A11AE4">
        <w:rPr>
          <w:rFonts w:cs="Times New Roman"/>
          <w:iCs/>
          <w:color w:val="auto"/>
        </w:rPr>
        <w:t>tions vary between products and the proposed default amounts could lead to inve</w:t>
      </w:r>
      <w:r w:rsidRPr="00A11AE4">
        <w:rPr>
          <w:rFonts w:cs="Times New Roman"/>
          <w:iCs/>
          <w:color w:val="auto"/>
        </w:rPr>
        <w:t>s</w:t>
      </w:r>
      <w:r w:rsidRPr="00A11AE4">
        <w:rPr>
          <w:rFonts w:cs="Times New Roman"/>
          <w:iCs/>
          <w:color w:val="auto"/>
        </w:rPr>
        <w:t>tor confusion in relating the default amounts to their actual investment.</w:t>
      </w:r>
    </w:p>
    <w:p w:rsidR="006113E2" w:rsidRPr="00A11AE4" w:rsidRDefault="006113E2" w:rsidP="006113E2">
      <w:pPr>
        <w:pStyle w:val="BodyText1"/>
        <w:ind w:left="1440"/>
        <w:rPr>
          <w:rFonts w:cs="Times New Roman"/>
          <w:iCs/>
          <w:color w:val="auto"/>
        </w:rPr>
      </w:pPr>
      <w:r w:rsidRPr="00F435B7">
        <w:rPr>
          <w:rFonts w:cs="Times New Roman"/>
          <w:iCs/>
          <w:color w:val="auto"/>
        </w:rPr>
        <w:t>To ensure comparability across all products, we think that the default amount should be the same for all types of PRIIPs, for example EUR 1,000. We therefore disagree with the EUR 15,000 default amount for insurance products.</w:t>
      </w:r>
    </w:p>
    <w:p w:rsidR="006113E2" w:rsidRPr="00A11AE4" w:rsidRDefault="006113E2" w:rsidP="006113E2">
      <w:pPr>
        <w:pStyle w:val="BodyText1"/>
        <w:ind w:left="1440" w:hanging="720"/>
        <w:rPr>
          <w:rFonts w:cs="Times New Roman"/>
          <w:iCs/>
          <w:color w:val="auto"/>
        </w:rPr>
      </w:pPr>
      <w:r w:rsidRPr="00451C7E">
        <w:rPr>
          <w:rFonts w:cs="Times New Roman"/>
          <w:i/>
          <w:iCs/>
        </w:rPr>
        <w:t>(ii)</w:t>
      </w:r>
      <w:r w:rsidRPr="00451C7E">
        <w:rPr>
          <w:rFonts w:cs="Times New Roman"/>
          <w:i/>
          <w:iCs/>
        </w:rPr>
        <w:tab/>
      </w:r>
      <w:r>
        <w:rPr>
          <w:rFonts w:cs="Times New Roman"/>
          <w:iCs/>
          <w:color w:val="auto"/>
        </w:rPr>
        <w:t>We would favour an approach whereby, in the absence of a specified minimum investment amount</w:t>
      </w:r>
      <w:r w:rsidRPr="00A11AE4">
        <w:rPr>
          <w:rFonts w:cs="Times New Roman"/>
          <w:iCs/>
          <w:color w:val="auto"/>
        </w:rPr>
        <w:t xml:space="preserve"> </w:t>
      </w:r>
      <w:r>
        <w:rPr>
          <w:rFonts w:cs="Times New Roman"/>
          <w:iCs/>
          <w:color w:val="auto"/>
        </w:rPr>
        <w:t>and price, the prescribed standardised amount is the default o</w:t>
      </w:r>
      <w:r>
        <w:rPr>
          <w:rFonts w:cs="Times New Roman"/>
          <w:iCs/>
          <w:color w:val="auto"/>
        </w:rPr>
        <w:t>p</w:t>
      </w:r>
      <w:r>
        <w:rPr>
          <w:rFonts w:cs="Times New Roman"/>
          <w:iCs/>
          <w:color w:val="auto"/>
        </w:rPr>
        <w:t>tion.</w:t>
      </w:r>
    </w:p>
    <w:p w:rsidR="006113E2" w:rsidRPr="00A11AE4" w:rsidRDefault="006113E2" w:rsidP="006113E2">
      <w:pPr>
        <w:pStyle w:val="BodyText1"/>
        <w:ind w:left="1440"/>
        <w:rPr>
          <w:rFonts w:cs="Times New Roman"/>
          <w:iCs/>
          <w:color w:val="auto"/>
        </w:rPr>
      </w:pPr>
      <w:r w:rsidRPr="00A11AE4">
        <w:rPr>
          <w:rFonts w:cs="Times New Roman"/>
          <w:iCs/>
          <w:color w:val="auto"/>
        </w:rPr>
        <w:t>For comparability, using percentage figures for default amounts is more helpful in allowing the investor to make comparisons with other products (which is the key purpose of the KID).</w:t>
      </w:r>
      <w:r>
        <w:rPr>
          <w:rFonts w:cs="Times New Roman"/>
          <w:iCs/>
          <w:color w:val="auto"/>
        </w:rPr>
        <w:t xml:space="preserve"> </w:t>
      </w:r>
      <w:r w:rsidRPr="00A11AE4">
        <w:rPr>
          <w:rFonts w:cs="Times New Roman"/>
          <w:iCs/>
          <w:color w:val="auto"/>
        </w:rPr>
        <w:t>For the reason set out in our response to question 2(i), we would favour using percentage figures.</w:t>
      </w:r>
    </w:p>
    <w:permEnd w:id="933109492"/>
    <w:p w:rsidR="00750796" w:rsidRPr="00580880" w:rsidRDefault="00750796" w:rsidP="00750796">
      <w:pPr>
        <w:rPr>
          <w:lang w:val="fr-FR"/>
        </w:rPr>
      </w:pPr>
      <w:r w:rsidRPr="00580880">
        <w:rPr>
          <w:lang w:val="fr-FR"/>
        </w:rPr>
        <w:t>&lt;ESMA_QUESTION_</w:t>
      </w:r>
      <w:r w:rsidR="003E4B00">
        <w:rPr>
          <w:lang w:val="fr-FR"/>
        </w:rPr>
        <w:t>PRIIPS</w:t>
      </w:r>
      <w:r w:rsidRPr="00580880">
        <w:rPr>
          <w:lang w:val="fr-FR"/>
        </w:rPr>
        <w:t>_2&gt;</w:t>
      </w:r>
    </w:p>
    <w:p w:rsidR="00855D9F" w:rsidRDefault="00855D9F" w:rsidP="00750796">
      <w:pPr>
        <w:rPr>
          <w:lang w:val="fr-FR"/>
        </w:rPr>
      </w:pPr>
    </w:p>
    <w:p w:rsidR="00580880" w:rsidRPr="00580880" w:rsidRDefault="00580880" w:rsidP="00750796">
      <w:pPr>
        <w:rPr>
          <w:lang w:val="fr-FR"/>
        </w:rPr>
      </w:pP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b/>
          <w:i/>
          <w:lang w:val="fr-FR"/>
        </w:rPr>
      </w:pPr>
      <w:r w:rsidRPr="00580880">
        <w:rPr>
          <w:b/>
          <w:i/>
          <w:lang w:val="fr-FR"/>
        </w:rPr>
        <w:t>Question 3</w:t>
      </w:r>
    </w:p>
    <w:p w:rsidR="00580880" w:rsidRPr="00EF0F1C" w:rsidRDefault="00580880" w:rsidP="00580880">
      <w:pPr>
        <w:keepNext/>
        <w:keepLines/>
        <w:pBdr>
          <w:top w:val="single" w:sz="4" w:space="1" w:color="auto"/>
          <w:left w:val="single" w:sz="4" w:space="4" w:color="auto"/>
          <w:bottom w:val="single" w:sz="4" w:space="1" w:color="auto"/>
          <w:right w:val="single" w:sz="4" w:space="4" w:color="auto"/>
        </w:pBdr>
      </w:pPr>
      <w:r w:rsidRPr="00EF0F1C">
        <w:rPr>
          <w:i/>
        </w:rPr>
        <w:t xml:space="preserve">For PRIIPs that fall into category II and for which the Cornish Fisher expansion is used as a methodology to compute the VaR equivalent Volatility do you think a bootstrapping approach should be used instead? Please explain the reasons for your opinion? </w:t>
      </w:r>
    </w:p>
    <w:p w:rsidR="00580880" w:rsidRDefault="00580880" w:rsidP="00750796"/>
    <w:p w:rsidR="00750796" w:rsidRDefault="00750796" w:rsidP="00750796">
      <w:r>
        <w:t>&lt;ESMA_QUESTION_</w:t>
      </w:r>
      <w:r w:rsidR="003E4B00">
        <w:t>PRIIPS</w:t>
      </w:r>
      <w:r>
        <w:t>_3&gt;</w:t>
      </w:r>
    </w:p>
    <w:p w:rsidR="001B43A0" w:rsidRDefault="001B43A0" w:rsidP="001B43A0">
      <w:pPr>
        <w:pStyle w:val="BodyText1"/>
        <w:rPr>
          <w:rFonts w:cs="Times New Roman"/>
          <w:iCs/>
          <w:color w:val="auto"/>
        </w:rPr>
      </w:pPr>
      <w:permStart w:id="1008623566" w:edGrp="everyone"/>
      <w:r>
        <w:rPr>
          <w:rFonts w:cs="Times New Roman"/>
          <w:iCs/>
          <w:color w:val="auto"/>
        </w:rPr>
        <w:t>We think that the</w:t>
      </w:r>
      <w:r w:rsidRPr="00A11AE4">
        <w:rPr>
          <w:rFonts w:cs="Times New Roman"/>
          <w:iCs/>
          <w:color w:val="auto"/>
        </w:rPr>
        <w:t xml:space="preserve"> same methodology </w:t>
      </w:r>
      <w:r>
        <w:rPr>
          <w:rFonts w:cs="Times New Roman"/>
          <w:iCs/>
          <w:color w:val="auto"/>
        </w:rPr>
        <w:t xml:space="preserve">should be used for all PRIIPs for which a VaR equivalent volatility needs to be calculated </w:t>
      </w:r>
      <w:r w:rsidRPr="00A11AE4">
        <w:rPr>
          <w:rFonts w:cs="Times New Roman"/>
          <w:iCs/>
          <w:color w:val="auto"/>
        </w:rPr>
        <w:t xml:space="preserve">rather than having the option </w:t>
      </w:r>
      <w:r>
        <w:rPr>
          <w:rFonts w:cs="Times New Roman"/>
          <w:iCs/>
          <w:color w:val="auto"/>
        </w:rPr>
        <w:t xml:space="preserve">of </w:t>
      </w:r>
      <w:r w:rsidRPr="00A11AE4">
        <w:rPr>
          <w:rFonts w:cs="Times New Roman"/>
          <w:iCs/>
          <w:color w:val="auto"/>
        </w:rPr>
        <w:t>either</w:t>
      </w:r>
      <w:r>
        <w:rPr>
          <w:rFonts w:cs="Times New Roman"/>
          <w:iCs/>
          <w:color w:val="auto"/>
        </w:rPr>
        <w:t xml:space="preserve"> the Co</w:t>
      </w:r>
      <w:r>
        <w:rPr>
          <w:rFonts w:cs="Times New Roman"/>
          <w:iCs/>
          <w:color w:val="auto"/>
        </w:rPr>
        <w:t>r</w:t>
      </w:r>
      <w:r>
        <w:rPr>
          <w:rFonts w:cs="Times New Roman"/>
          <w:iCs/>
          <w:color w:val="auto"/>
        </w:rPr>
        <w:t>nish Fisher expansion or a bootstrapping approach</w:t>
      </w:r>
      <w:r w:rsidRPr="00A11AE4">
        <w:rPr>
          <w:rFonts w:cs="Times New Roman"/>
          <w:iCs/>
          <w:color w:val="auto"/>
        </w:rPr>
        <w:t xml:space="preserve">. </w:t>
      </w:r>
    </w:p>
    <w:p w:rsidR="001B43A0" w:rsidRDefault="001B43A0" w:rsidP="001B43A0">
      <w:pPr>
        <w:pStyle w:val="BodyText1"/>
        <w:rPr>
          <w:rFonts w:cs="Times New Roman"/>
          <w:iCs/>
          <w:color w:val="auto"/>
        </w:rPr>
      </w:pPr>
      <w:r w:rsidRPr="00A11AE4">
        <w:rPr>
          <w:rFonts w:cs="Times New Roman"/>
          <w:iCs/>
          <w:color w:val="auto"/>
        </w:rPr>
        <w:t>Despite Cornish Fisher being a good method, bootstrapping historical simulation VaR is t</w:t>
      </w:r>
      <w:r>
        <w:rPr>
          <w:rFonts w:cs="Times New Roman"/>
          <w:iCs/>
          <w:color w:val="auto"/>
        </w:rPr>
        <w:t>he preferable approach as it maintains</w:t>
      </w:r>
      <w:r w:rsidRPr="00A11AE4">
        <w:rPr>
          <w:rFonts w:cs="Times New Roman"/>
          <w:iCs/>
          <w:color w:val="auto"/>
        </w:rPr>
        <w:t xml:space="preserve"> the true distributional properties along with tac</w:t>
      </w:r>
      <w:r w:rsidRPr="00A11AE4">
        <w:rPr>
          <w:rFonts w:cs="Times New Roman"/>
          <w:iCs/>
          <w:color w:val="auto"/>
        </w:rPr>
        <w:t>k</w:t>
      </w:r>
      <w:r w:rsidRPr="00A11AE4">
        <w:rPr>
          <w:rFonts w:cs="Times New Roman"/>
          <w:iCs/>
          <w:color w:val="auto"/>
        </w:rPr>
        <w:t>ling the scarcity of adequate data since boots</w:t>
      </w:r>
      <w:r>
        <w:rPr>
          <w:rFonts w:cs="Times New Roman"/>
          <w:iCs/>
          <w:color w:val="auto"/>
        </w:rPr>
        <w:t>t</w:t>
      </w:r>
      <w:r w:rsidRPr="00A11AE4">
        <w:rPr>
          <w:rFonts w:cs="Times New Roman"/>
          <w:iCs/>
          <w:color w:val="auto"/>
        </w:rPr>
        <w:t>rapping utilizes historic data (rather than implied data) which would lead to more consistent results since historical data can be more readily sourced.</w:t>
      </w:r>
    </w:p>
    <w:p w:rsidR="001B43A0" w:rsidRPr="00A11AE4" w:rsidRDefault="001B43A0" w:rsidP="001B43A0">
      <w:pPr>
        <w:pStyle w:val="BodyText1"/>
        <w:rPr>
          <w:rFonts w:cs="Times New Roman"/>
          <w:iCs/>
          <w:color w:val="auto"/>
        </w:rPr>
      </w:pPr>
      <w:r>
        <w:rPr>
          <w:rFonts w:cs="Times New Roman"/>
          <w:iCs/>
          <w:color w:val="auto"/>
        </w:rPr>
        <w:lastRenderedPageBreak/>
        <w:t>However, for certain products (for example linear products within category II), we are aware that bootstrapping is regarded as a complex methodology which may not be well understood by market participants.</w:t>
      </w:r>
    </w:p>
    <w:permEnd w:id="1008623566"/>
    <w:p w:rsidR="00750796" w:rsidRDefault="00750796" w:rsidP="00750796">
      <w:pPr>
        <w:rPr>
          <w:lang w:val="fr-FR"/>
        </w:rPr>
      </w:pPr>
      <w:r w:rsidRPr="00580880">
        <w:rPr>
          <w:lang w:val="fr-FR"/>
        </w:rPr>
        <w:t>&lt;ESMA_QUESTION_</w:t>
      </w:r>
      <w:r w:rsidR="003E4B00">
        <w:rPr>
          <w:lang w:val="fr-FR"/>
        </w:rPr>
        <w:t>PRIIPS</w:t>
      </w:r>
      <w:r w:rsidRPr="00580880">
        <w:rPr>
          <w:lang w:val="fr-FR"/>
        </w:rPr>
        <w:t>_3&gt;</w:t>
      </w:r>
    </w:p>
    <w:p w:rsidR="00580880" w:rsidRDefault="00580880" w:rsidP="00750796">
      <w:pPr>
        <w:rPr>
          <w:lang w:val="fr-FR"/>
        </w:rPr>
      </w:pPr>
    </w:p>
    <w:p w:rsidR="00580880" w:rsidRPr="00580880" w:rsidRDefault="00580880" w:rsidP="00750796">
      <w:pPr>
        <w:rPr>
          <w:lang w:val="fr-FR"/>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4</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Would you favour a different confidence interval to compute the VaR? If so, please explain which conf</w:t>
      </w:r>
      <w:r w:rsidRPr="00580880">
        <w:rPr>
          <w:rFonts w:ascii="Calibri" w:hAnsi="Calibri"/>
          <w:i/>
          <w:sz w:val="22"/>
          <w:lang w:eastAsia="en-US"/>
        </w:rPr>
        <w:t>i</w:t>
      </w:r>
      <w:r w:rsidRPr="00580880">
        <w:rPr>
          <w:rFonts w:ascii="Calibri" w:hAnsi="Calibri"/>
          <w:i/>
          <w:sz w:val="22"/>
          <w:lang w:eastAsia="en-US"/>
        </w:rPr>
        <w:t xml:space="preserve">dence interval you would use and state your reasons why. </w:t>
      </w:r>
    </w:p>
    <w:p w:rsidR="00580880" w:rsidRDefault="00580880" w:rsidP="00750796">
      <w:pPr>
        <w:rPr>
          <w:rFonts w:cstheme="minorBidi"/>
          <w:b/>
          <w:szCs w:val="22"/>
          <w:lang w:eastAsia="en-US"/>
        </w:rPr>
      </w:pPr>
    </w:p>
    <w:p w:rsidR="00750796" w:rsidRDefault="00750796" w:rsidP="00750796">
      <w:r>
        <w:t>&lt;ESMA_QUESTION_</w:t>
      </w:r>
      <w:r w:rsidR="003E4B00">
        <w:t>PRIIPS</w:t>
      </w:r>
      <w:r>
        <w:t>_4&gt;</w:t>
      </w:r>
    </w:p>
    <w:p w:rsidR="005267AA" w:rsidRPr="00F435B7" w:rsidRDefault="005267AA" w:rsidP="005267AA">
      <w:pPr>
        <w:pStyle w:val="BodyText1"/>
        <w:rPr>
          <w:rFonts w:cs="Times New Roman"/>
          <w:iCs/>
          <w:color w:val="auto"/>
        </w:rPr>
      </w:pPr>
      <w:permStart w:id="605821794" w:edGrp="everyone"/>
      <w:r w:rsidRPr="00F435B7">
        <w:rPr>
          <w:rFonts w:cs="Times New Roman"/>
          <w:iCs/>
          <w:color w:val="auto"/>
        </w:rPr>
        <w:t xml:space="preserve">As noted in the Consultation Paper, every specific confidence interval will have certain advantages and disadvantages. Since the proposed confidence interval of 2.5%   is the most commonly used confidence interval, we agree with this approach. However, we would draw your attention to the potential issue of comparability of products which have different holding periods or different barrier levels which would need to be addressed. </w:t>
      </w:r>
    </w:p>
    <w:permEnd w:id="605821794"/>
    <w:p w:rsidR="00750796" w:rsidRDefault="00750796" w:rsidP="00750796">
      <w:r>
        <w:t>&lt;ESMA_QUESTION_</w:t>
      </w:r>
      <w:r w:rsidR="003E4B00">
        <w:t>PRIIPS</w:t>
      </w:r>
      <w:r>
        <w:t>_4&gt;</w:t>
      </w:r>
    </w:p>
    <w:p w:rsidR="00580880" w:rsidRDefault="00580880" w:rsidP="00750796">
      <w:pPr>
        <w:rPr>
          <w:rFonts w:cstheme="minorBidi"/>
          <w:b/>
          <w:szCs w:val="22"/>
          <w:lang w:eastAsia="en-US"/>
        </w:rPr>
      </w:pPr>
    </w:p>
    <w:p w:rsidR="00580880" w:rsidRDefault="00580880" w:rsidP="00750796">
      <w:pPr>
        <w:rPr>
          <w:rFonts w:cstheme="minorBidi"/>
          <w:b/>
          <w:szCs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5</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sz w:val="22"/>
          <w:lang w:eastAsia="en-US"/>
        </w:rPr>
      </w:pPr>
      <w:r w:rsidRPr="00580880">
        <w:rPr>
          <w:rFonts w:ascii="Calibri" w:hAnsi="Calibri"/>
          <w:i/>
          <w:sz w:val="22"/>
          <w:lang w:eastAsia="en-US"/>
        </w:rPr>
        <w:t>Are you of the view that the existence of a compensation or guarantee scheme should be taken into account in the credit risk assessment of a PRIIP? And if you agree, how would you propose to do so?</w:t>
      </w:r>
    </w:p>
    <w:p w:rsidR="00580880" w:rsidRDefault="00580880" w:rsidP="00750796">
      <w:pPr>
        <w:rPr>
          <w:rFonts w:cstheme="minorBidi"/>
          <w:b/>
          <w:szCs w:val="22"/>
          <w:lang w:eastAsia="en-US"/>
        </w:rPr>
      </w:pPr>
    </w:p>
    <w:p w:rsidR="00750796" w:rsidRDefault="00750796" w:rsidP="00750796">
      <w:r>
        <w:t>&lt;ESMA_QUESTION_</w:t>
      </w:r>
      <w:r w:rsidR="003E4B00">
        <w:t>PRIIPS</w:t>
      </w:r>
      <w:r>
        <w:t>_5&gt;</w:t>
      </w:r>
    </w:p>
    <w:p w:rsidR="00201FDA" w:rsidRPr="00A11AE4" w:rsidRDefault="00201FDA" w:rsidP="00201FDA">
      <w:pPr>
        <w:pStyle w:val="BodyText1"/>
        <w:rPr>
          <w:rFonts w:cs="Times New Roman"/>
          <w:iCs/>
          <w:color w:val="auto"/>
        </w:rPr>
      </w:pPr>
      <w:permStart w:id="1001093449" w:edGrp="everyone"/>
      <w:r w:rsidRPr="00A11AE4">
        <w:rPr>
          <w:rFonts w:cs="Times New Roman"/>
          <w:iCs/>
          <w:color w:val="auto"/>
        </w:rPr>
        <w:t>The availability of protection schemes is not properly an aspect of the credit exposure of the investor, but an external factor which only arises on the default of the counterparty. More importantly, an investor may still suffer loss if the protection scheme covers return of principal but not investment returns. Finally, protection scheme cover is generally li</w:t>
      </w:r>
      <w:r w:rsidRPr="00A11AE4">
        <w:rPr>
          <w:rFonts w:cs="Times New Roman"/>
          <w:iCs/>
          <w:color w:val="auto"/>
        </w:rPr>
        <w:t>m</w:t>
      </w:r>
      <w:r w:rsidRPr="00A11AE4">
        <w:rPr>
          <w:rFonts w:cs="Times New Roman"/>
          <w:iCs/>
          <w:color w:val="auto"/>
        </w:rPr>
        <w:t>ited in scope to a particular monetary value. All of these factors make it extremely diff</w:t>
      </w:r>
      <w:r w:rsidRPr="00A11AE4">
        <w:rPr>
          <w:rFonts w:cs="Times New Roman"/>
          <w:iCs/>
          <w:color w:val="auto"/>
        </w:rPr>
        <w:t>i</w:t>
      </w:r>
      <w:r w:rsidRPr="00A11AE4">
        <w:rPr>
          <w:rFonts w:cs="Times New Roman"/>
          <w:iCs/>
          <w:color w:val="auto"/>
        </w:rPr>
        <w:t>cult to incorporate compensation scheme cover into this credit risk assessment. Cons</w:t>
      </w:r>
      <w:r w:rsidRPr="00A11AE4">
        <w:rPr>
          <w:rFonts w:cs="Times New Roman"/>
          <w:iCs/>
          <w:color w:val="auto"/>
        </w:rPr>
        <w:t>e</w:t>
      </w:r>
      <w:r w:rsidRPr="00A11AE4">
        <w:rPr>
          <w:rFonts w:cs="Times New Roman"/>
          <w:iCs/>
          <w:color w:val="auto"/>
        </w:rPr>
        <w:t xml:space="preserve">quently we are of the view that the nature of available protection is likely to have to be specifically disclosed rather than wrapped up in the credit risk assessment. </w:t>
      </w:r>
    </w:p>
    <w:permEnd w:id="1001093449"/>
    <w:p w:rsidR="00750796" w:rsidRPr="00580880" w:rsidRDefault="00750796" w:rsidP="00750796">
      <w:pPr>
        <w:rPr>
          <w:lang w:val="fr-FR"/>
        </w:rPr>
      </w:pPr>
      <w:r w:rsidRPr="00580880">
        <w:rPr>
          <w:lang w:val="fr-FR"/>
        </w:rPr>
        <w:t>&lt;ESMA_QUESTION_</w:t>
      </w:r>
      <w:r w:rsidR="003E4B00">
        <w:rPr>
          <w:lang w:val="fr-FR"/>
        </w:rPr>
        <w:t>PRIIPS</w:t>
      </w:r>
      <w:r w:rsidRPr="00580880">
        <w:rPr>
          <w:lang w:val="fr-FR"/>
        </w:rPr>
        <w:t>_5&gt;</w:t>
      </w:r>
    </w:p>
    <w:p w:rsidR="00855D9F" w:rsidRDefault="00855D9F" w:rsidP="00750796">
      <w:pPr>
        <w:rPr>
          <w:lang w:val="fr-FR"/>
        </w:rPr>
      </w:pPr>
    </w:p>
    <w:p w:rsidR="00847BB0" w:rsidRPr="00580880" w:rsidRDefault="00847BB0" w:rsidP="00750796">
      <w:pPr>
        <w:rPr>
          <w:lang w:val="fr-FR"/>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6</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Would you favour PRIIP manufacturers having the option to voluntarily increase the disclosed SRI? In which circumstances? Would such an approach entail unintended consequences?</w:t>
      </w:r>
    </w:p>
    <w:p w:rsidR="00580880" w:rsidRDefault="00580880" w:rsidP="00580880">
      <w:pPr>
        <w:rPr>
          <w:rFonts w:ascii="Calibri" w:hAnsi="Calibri"/>
          <w:b/>
          <w:sz w:val="22"/>
          <w:lang w:eastAsia="en-US"/>
        </w:rPr>
      </w:pPr>
    </w:p>
    <w:p w:rsidR="003E4B00" w:rsidRDefault="003E4B00" w:rsidP="003E4B00">
      <w:r>
        <w:t>&lt;ESMA_QUESTION_PRIIPS_6&gt;</w:t>
      </w:r>
    </w:p>
    <w:p w:rsidR="001E7C81" w:rsidRDefault="001E7C81" w:rsidP="001E7C81">
      <w:pPr>
        <w:pStyle w:val="BodyText1"/>
        <w:rPr>
          <w:rFonts w:cs="Times New Roman"/>
          <w:iCs/>
          <w:color w:val="auto"/>
        </w:rPr>
      </w:pPr>
      <w:permStart w:id="1154371207" w:edGrp="everyone"/>
      <w:r w:rsidRPr="00A11AE4">
        <w:rPr>
          <w:rFonts w:cs="Times New Roman"/>
          <w:iCs/>
          <w:color w:val="auto"/>
        </w:rPr>
        <w:t>We would not favour PRIIP manufacturers having the option to voluntarily increase the disclosed SRI. The concern is that this creates a potential liability issue for the manufa</w:t>
      </w:r>
      <w:r w:rsidRPr="00A11AE4">
        <w:rPr>
          <w:rFonts w:cs="Times New Roman"/>
          <w:iCs/>
          <w:color w:val="auto"/>
        </w:rPr>
        <w:t>c</w:t>
      </w:r>
      <w:r w:rsidRPr="00A11AE4">
        <w:rPr>
          <w:rFonts w:cs="Times New Roman"/>
          <w:iCs/>
          <w:color w:val="auto"/>
        </w:rPr>
        <w:t>turer. That is to say that if the Level 2 measures prescribe the risk class that must be a</w:t>
      </w:r>
      <w:r w:rsidRPr="00A11AE4">
        <w:rPr>
          <w:rFonts w:cs="Times New Roman"/>
          <w:iCs/>
          <w:color w:val="auto"/>
        </w:rPr>
        <w:t>s</w:t>
      </w:r>
      <w:r w:rsidRPr="00A11AE4">
        <w:rPr>
          <w:rFonts w:cs="Times New Roman"/>
          <w:iCs/>
          <w:color w:val="auto"/>
        </w:rPr>
        <w:t>signed to a PRIIP, insofar as the manufacturer has applied the methodology correctly the manufacturers cannot incur any further liability. If the RTS is amended to say that man</w:t>
      </w:r>
      <w:r w:rsidRPr="00A11AE4">
        <w:rPr>
          <w:rFonts w:cs="Times New Roman"/>
          <w:iCs/>
          <w:color w:val="auto"/>
        </w:rPr>
        <w:t>u</w:t>
      </w:r>
      <w:r w:rsidRPr="00A11AE4">
        <w:rPr>
          <w:rFonts w:cs="Times New Roman"/>
          <w:iCs/>
          <w:color w:val="auto"/>
        </w:rPr>
        <w:t xml:space="preserve">facturers may assign a higher risk class to their PRIIP, this exposes all manufacturers to potential liability where they have not adjusted upwards since they are permitted to do so. </w:t>
      </w:r>
      <w:r w:rsidRPr="00A11AE4">
        <w:rPr>
          <w:rFonts w:cs="Times New Roman"/>
          <w:iCs/>
          <w:color w:val="auto"/>
        </w:rPr>
        <w:lastRenderedPageBreak/>
        <w:t xml:space="preserve">This will result in manufacturers having a further review after the initial assessment is completed, a process which will add complexity and cost but will not have any significant benefit. The unintended consequence of </w:t>
      </w:r>
      <w:r>
        <w:rPr>
          <w:rFonts w:cs="Times New Roman"/>
          <w:iCs/>
          <w:color w:val="auto"/>
        </w:rPr>
        <w:t xml:space="preserve">such a development could </w:t>
      </w:r>
      <w:r w:rsidRPr="00A11AE4">
        <w:rPr>
          <w:rFonts w:cs="Times New Roman"/>
          <w:iCs/>
          <w:color w:val="auto"/>
        </w:rPr>
        <w:t>be that manufacturers may, if uncertain, unnecessarily adjust upwards to r</w:t>
      </w:r>
      <w:r>
        <w:rPr>
          <w:rFonts w:cs="Times New Roman"/>
          <w:iCs/>
          <w:color w:val="auto"/>
        </w:rPr>
        <w:t xml:space="preserve">educe their potential liability which in turn may impact on comparability. </w:t>
      </w:r>
    </w:p>
    <w:permEnd w:id="1154371207"/>
    <w:p w:rsidR="003E4B00" w:rsidRPr="00580880" w:rsidRDefault="003E4B00" w:rsidP="003E4B00">
      <w:pPr>
        <w:rPr>
          <w:lang w:val="fr-FR"/>
        </w:rPr>
      </w:pPr>
      <w:r w:rsidRPr="00580880">
        <w:rPr>
          <w:lang w:val="fr-FR"/>
        </w:rPr>
        <w:t>&lt;ESMA_QUESTION_</w:t>
      </w:r>
      <w:r>
        <w:rPr>
          <w:lang w:val="fr-FR"/>
        </w:rPr>
        <w:t>PRIIPS_6</w:t>
      </w:r>
      <w:r w:rsidRPr="00580880">
        <w:rPr>
          <w:lang w:val="fr-FR"/>
        </w:rPr>
        <w:t>&gt;</w:t>
      </w:r>
    </w:p>
    <w:p w:rsidR="003E4B00" w:rsidRDefault="003E4B00" w:rsidP="00580880">
      <w:pPr>
        <w:rPr>
          <w:rFonts w:ascii="Calibri" w:hAnsi="Calibri"/>
          <w:b/>
          <w:sz w:val="22"/>
          <w:lang w:eastAsia="en-US"/>
        </w:rPr>
      </w:pPr>
    </w:p>
    <w:p w:rsidR="003E4B00" w:rsidRPr="00580880" w:rsidRDefault="003E4B00" w:rsidP="00580880">
      <w:pPr>
        <w:rPr>
          <w:rFonts w:ascii="Calibri" w:hAnsi="Calibri"/>
          <w:b/>
          <w:sz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7</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Do you agree with an adjustment of the credit risk for the tenor, and how would you propose to make such an adjustment?</w:t>
      </w:r>
    </w:p>
    <w:p w:rsidR="003E4B00" w:rsidRDefault="003E4B00" w:rsidP="003E4B00"/>
    <w:p w:rsidR="003E4B00" w:rsidRDefault="003E4B00" w:rsidP="003E4B00">
      <w:r>
        <w:t>&lt;ESMA_QUESTION_PRIIPS_7&gt;</w:t>
      </w:r>
    </w:p>
    <w:p w:rsidR="004A544B" w:rsidRPr="00951270" w:rsidRDefault="004A544B" w:rsidP="004A544B">
      <w:pPr>
        <w:pStyle w:val="BodyText1"/>
        <w:rPr>
          <w:rFonts w:cs="Times New Roman"/>
          <w:iCs/>
          <w:color w:val="auto"/>
        </w:rPr>
      </w:pPr>
      <w:permStart w:id="1145070610" w:edGrp="everyone"/>
      <w:r w:rsidRPr="00951270">
        <w:rPr>
          <w:rFonts w:cs="Times New Roman"/>
          <w:iCs/>
          <w:color w:val="auto"/>
        </w:rPr>
        <w:t>Tenor should be disregarded from the credit risk calculation and credit rating (where available) should be the most significant factor in determining credit risk as it is the standard means of evaluation credit risk for debt securities. Adding tenor further compl</w:t>
      </w:r>
      <w:r w:rsidRPr="00951270">
        <w:rPr>
          <w:rFonts w:cs="Times New Roman"/>
          <w:iCs/>
          <w:color w:val="auto"/>
        </w:rPr>
        <w:t>i</w:t>
      </w:r>
      <w:r w:rsidRPr="00951270">
        <w:rPr>
          <w:rFonts w:cs="Times New Roman"/>
          <w:iCs/>
          <w:color w:val="auto"/>
        </w:rPr>
        <w:t>cates matters and will mean that longer term products will inevitably be assigned a neg</w:t>
      </w:r>
      <w:r w:rsidRPr="00951270">
        <w:rPr>
          <w:rFonts w:cs="Times New Roman"/>
          <w:iCs/>
          <w:color w:val="auto"/>
        </w:rPr>
        <w:t>a</w:t>
      </w:r>
      <w:r w:rsidRPr="00951270">
        <w:rPr>
          <w:rFonts w:cs="Times New Roman"/>
          <w:iCs/>
          <w:color w:val="auto"/>
        </w:rPr>
        <w:t>tive bias. Credit risk can be properly reflected by using a Credit Default Swap for the re</w:t>
      </w:r>
      <w:r w:rsidRPr="00951270">
        <w:rPr>
          <w:rFonts w:cs="Times New Roman"/>
          <w:iCs/>
          <w:color w:val="auto"/>
        </w:rPr>
        <w:t>l</w:t>
      </w:r>
      <w:r w:rsidRPr="00951270">
        <w:rPr>
          <w:rFonts w:cs="Times New Roman"/>
          <w:iCs/>
          <w:color w:val="auto"/>
        </w:rPr>
        <w:t>evant maturity as the best proxy to measure Credit Risk. For changes during the tenor, it is expected that this will get adjusted on an ad hoc basis  should there be a change and on an annual basis by default.</w:t>
      </w:r>
    </w:p>
    <w:permEnd w:id="1145070610"/>
    <w:p w:rsidR="003E4B00" w:rsidRPr="00580880" w:rsidRDefault="003E4B00" w:rsidP="003E4B00">
      <w:pPr>
        <w:rPr>
          <w:lang w:val="fr-FR"/>
        </w:rPr>
      </w:pPr>
      <w:r w:rsidRPr="00580880">
        <w:rPr>
          <w:lang w:val="fr-FR"/>
        </w:rPr>
        <w:t>&lt;ESMA_QUESTION_</w:t>
      </w:r>
      <w:r>
        <w:rPr>
          <w:lang w:val="fr-FR"/>
        </w:rPr>
        <w:t>PRIIPS_7</w:t>
      </w:r>
      <w:r w:rsidRPr="00580880">
        <w:rPr>
          <w:lang w:val="fr-FR"/>
        </w:rPr>
        <w:t>&gt;</w:t>
      </w:r>
    </w:p>
    <w:p w:rsidR="00F32462" w:rsidRDefault="00F32462" w:rsidP="00750796">
      <w:pPr>
        <w:pStyle w:val="CPQuestions"/>
        <w:numPr>
          <w:ilvl w:val="0"/>
          <w:numId w:val="0"/>
        </w:numPr>
        <w:rPr>
          <w:rFonts w:cs="Arial"/>
          <w:b w:val="0"/>
          <w:szCs w:val="22"/>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8</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sz w:val="22"/>
          <w:lang w:eastAsia="en-US"/>
        </w:rPr>
      </w:pPr>
      <w:r w:rsidRPr="00580880">
        <w:rPr>
          <w:rFonts w:ascii="Calibri" w:hAnsi="Calibri"/>
          <w:i/>
          <w:sz w:val="22"/>
          <w:lang w:eastAsia="en-US"/>
        </w:rPr>
        <w:t xml:space="preserve">Do you agree with the scales of the classes MRM, CRM and SRI? If not, please specify your alternative proposal and include your reasoning. </w:t>
      </w:r>
    </w:p>
    <w:p w:rsidR="003E4B00" w:rsidRDefault="003E4B00" w:rsidP="003E4B00"/>
    <w:p w:rsidR="003E4B00" w:rsidRDefault="003E4B00" w:rsidP="003E4B00">
      <w:r>
        <w:t>&lt;ESMA_QUESTION_PRIIPS_8&gt;</w:t>
      </w:r>
    </w:p>
    <w:p w:rsidR="00645FE9" w:rsidRPr="00951270" w:rsidRDefault="00645FE9" w:rsidP="00645FE9">
      <w:pPr>
        <w:pStyle w:val="BodyText1"/>
        <w:rPr>
          <w:rFonts w:cs="Times New Roman"/>
          <w:iCs/>
          <w:color w:val="auto"/>
        </w:rPr>
      </w:pPr>
      <w:permStart w:id="536745755" w:edGrp="everyone"/>
      <w:r w:rsidRPr="00951270">
        <w:rPr>
          <w:rFonts w:cs="Times New Roman"/>
          <w:iCs/>
          <w:color w:val="auto"/>
        </w:rPr>
        <w:t>The preference would be to have a broader potential range of SRI ratings for structured products from 1-7 rather than a very limited part of the scale. There should however be consistency within the</w:t>
      </w:r>
      <w:r>
        <w:rPr>
          <w:rFonts w:cs="Times New Roman"/>
          <w:iCs/>
          <w:color w:val="auto"/>
        </w:rPr>
        <w:t xml:space="preserve"> scale such that, for example,</w:t>
      </w:r>
      <w:r w:rsidRPr="00951270">
        <w:rPr>
          <w:rFonts w:cs="Times New Roman"/>
          <w:iCs/>
          <w:color w:val="auto"/>
        </w:rPr>
        <w:t xml:space="preserve"> a structured product with principal protection link</w:t>
      </w:r>
      <w:r>
        <w:rPr>
          <w:rFonts w:cs="Times New Roman"/>
          <w:iCs/>
          <w:color w:val="auto"/>
        </w:rPr>
        <w:t>ed to a specific underlying may</w:t>
      </w:r>
      <w:r w:rsidRPr="00951270">
        <w:rPr>
          <w:rFonts w:cs="Times New Roman"/>
          <w:iCs/>
          <w:color w:val="auto"/>
        </w:rPr>
        <w:t xml:space="preserve"> be </w:t>
      </w:r>
      <w:r>
        <w:rPr>
          <w:rFonts w:cs="Times New Roman"/>
          <w:iCs/>
          <w:color w:val="auto"/>
        </w:rPr>
        <w:t xml:space="preserve">given a better rating </w:t>
      </w:r>
      <w:r w:rsidRPr="00951270">
        <w:rPr>
          <w:rFonts w:cs="Times New Roman"/>
          <w:iCs/>
          <w:color w:val="auto"/>
        </w:rPr>
        <w:t>than the underlying itself.</w:t>
      </w:r>
    </w:p>
    <w:permEnd w:id="536745755"/>
    <w:p w:rsidR="003E4B00" w:rsidRPr="00580880" w:rsidRDefault="003E4B00" w:rsidP="003E4B00">
      <w:pPr>
        <w:rPr>
          <w:lang w:val="fr-FR"/>
        </w:rPr>
      </w:pPr>
      <w:r w:rsidRPr="00580880">
        <w:rPr>
          <w:lang w:val="fr-FR"/>
        </w:rPr>
        <w:t>&lt;ESMA_QUESTION_</w:t>
      </w:r>
      <w:r>
        <w:rPr>
          <w:lang w:val="fr-FR"/>
        </w:rPr>
        <w:t>PRIIPS_8</w:t>
      </w:r>
      <w:r w:rsidRPr="00580880">
        <w:rPr>
          <w:lang w:val="fr-FR"/>
        </w:rPr>
        <w:t>&gt;</w:t>
      </w:r>
    </w:p>
    <w:p w:rsidR="00580880" w:rsidRDefault="00580880" w:rsidP="00750796">
      <w:pPr>
        <w:pStyle w:val="CPQuestions"/>
        <w:numPr>
          <w:ilvl w:val="0"/>
          <w:numId w:val="0"/>
        </w:numPr>
        <w:rPr>
          <w:rFonts w:cs="Arial"/>
          <w:b w:val="0"/>
          <w:szCs w:val="22"/>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9</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of the opinion that for PRIIPs that offer a capital protection during their whole lifespan and can be redeemed against their initial investment at any time over the life of the PRIIP a qualitatively asses</w:t>
      </w:r>
      <w:r w:rsidRPr="00580880">
        <w:rPr>
          <w:rFonts w:ascii="Calibri" w:hAnsi="Calibri"/>
          <w:i/>
          <w:sz w:val="22"/>
          <w:lang w:eastAsia="en-US"/>
        </w:rPr>
        <w:t>s</w:t>
      </w:r>
      <w:r w:rsidRPr="00580880">
        <w:rPr>
          <w:rFonts w:ascii="Calibri" w:hAnsi="Calibri"/>
          <w:i/>
          <w:sz w:val="22"/>
          <w:lang w:eastAsia="en-US"/>
        </w:rPr>
        <w:t xml:space="preserve">ment and automatic allocation to MRM class 1 should be permitted? </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of the opinion that the criteria of the 5 year tenor is relevant, irrespective of the redemption characteristics?</w:t>
      </w:r>
    </w:p>
    <w:p w:rsidR="003E4B00" w:rsidRDefault="003E4B00" w:rsidP="003E4B00"/>
    <w:p w:rsidR="003E4B00" w:rsidRDefault="003E4B00" w:rsidP="003E4B00">
      <w:r>
        <w:t>&lt;ESMA_QUESTION_PRIIPS_9&gt;</w:t>
      </w:r>
    </w:p>
    <w:p w:rsidR="00645FE9" w:rsidRPr="00951270" w:rsidRDefault="00645FE9" w:rsidP="00645FE9">
      <w:pPr>
        <w:pStyle w:val="BodyText1"/>
        <w:rPr>
          <w:rFonts w:cs="Times New Roman"/>
          <w:iCs/>
          <w:color w:val="auto"/>
        </w:rPr>
      </w:pPr>
      <w:permStart w:id="1253904813" w:edGrp="everyone"/>
      <w:r w:rsidRPr="00951270">
        <w:rPr>
          <w:rFonts w:cs="Times New Roman"/>
          <w:iCs/>
          <w:color w:val="auto"/>
        </w:rPr>
        <w:lastRenderedPageBreak/>
        <w:t>We think that the wording "</w:t>
      </w:r>
      <w:r w:rsidRPr="00951270">
        <w:rPr>
          <w:rFonts w:cs="Times New Roman"/>
          <w:iCs/>
          <w:color w:val="auto"/>
          <w:u w:val="single"/>
        </w:rPr>
        <w:t>and can be redeemed against their initial investment</w:t>
      </w:r>
      <w:r w:rsidRPr="00951270">
        <w:rPr>
          <w:rFonts w:cs="Times New Roman"/>
          <w:iCs/>
          <w:color w:val="auto"/>
        </w:rPr>
        <w:t>" is mi</w:t>
      </w:r>
      <w:r w:rsidRPr="00951270">
        <w:rPr>
          <w:rFonts w:cs="Times New Roman"/>
          <w:iCs/>
          <w:color w:val="auto"/>
        </w:rPr>
        <w:t>s</w:t>
      </w:r>
      <w:r w:rsidRPr="00951270">
        <w:rPr>
          <w:rFonts w:cs="Times New Roman"/>
          <w:iCs/>
          <w:color w:val="auto"/>
        </w:rPr>
        <w:t>leading.</w:t>
      </w:r>
    </w:p>
    <w:p w:rsidR="00645FE9" w:rsidRPr="00951270" w:rsidRDefault="00645FE9" w:rsidP="00645FE9">
      <w:pPr>
        <w:pStyle w:val="BodyText1"/>
        <w:rPr>
          <w:rFonts w:cs="Times New Roman"/>
          <w:iCs/>
          <w:color w:val="auto"/>
        </w:rPr>
      </w:pPr>
      <w:r w:rsidRPr="00951270">
        <w:rPr>
          <w:rFonts w:cs="Times New Roman"/>
          <w:iCs/>
          <w:color w:val="auto"/>
        </w:rPr>
        <w:t>The vast majority of bonds technically do offer capital protection but cannot be redeemed against the initial investment since they are sold in the market at a discount. This creates an advantage for structured deposits compared to structured notes. Any product that offers capital protection during the entire lifespan of the product should be allocated to MRM class 1 whether or not it can be redeemed against its initial investment. In particular, d</w:t>
      </w:r>
      <w:r w:rsidRPr="00951270">
        <w:rPr>
          <w:rFonts w:cs="Times New Roman"/>
          <w:iCs/>
          <w:color w:val="auto"/>
        </w:rPr>
        <w:t>e</w:t>
      </w:r>
      <w:r w:rsidRPr="00951270">
        <w:rPr>
          <w:rFonts w:cs="Times New Roman"/>
          <w:iCs/>
          <w:color w:val="auto"/>
        </w:rPr>
        <w:t>posit-type products with open redemption frequently provide that early redemption results in a loss of some or all of the investment return. This means that such products are signif</w:t>
      </w:r>
      <w:r w:rsidRPr="00951270">
        <w:rPr>
          <w:rFonts w:cs="Times New Roman"/>
          <w:iCs/>
          <w:color w:val="auto"/>
        </w:rPr>
        <w:t>i</w:t>
      </w:r>
      <w:r w:rsidRPr="00951270">
        <w:rPr>
          <w:rFonts w:cs="Times New Roman"/>
          <w:iCs/>
          <w:color w:val="auto"/>
        </w:rPr>
        <w:t>cantly higher-risk than equivalent notes, where sale shortly prior to maturity would not r</w:t>
      </w:r>
      <w:r w:rsidRPr="00951270">
        <w:rPr>
          <w:rFonts w:cs="Times New Roman"/>
          <w:iCs/>
          <w:color w:val="auto"/>
        </w:rPr>
        <w:t>e</w:t>
      </w:r>
      <w:r w:rsidRPr="00951270">
        <w:rPr>
          <w:rFonts w:cs="Times New Roman"/>
          <w:iCs/>
          <w:color w:val="auto"/>
        </w:rPr>
        <w:t>sult in such a loss. This means that it would be actively misleading to assign a deposit with these terms to a lower risk class than</w:t>
      </w:r>
      <w:r>
        <w:rPr>
          <w:rFonts w:cs="Times New Roman"/>
          <w:iCs/>
          <w:color w:val="auto"/>
        </w:rPr>
        <w:t xml:space="preserve"> an</w:t>
      </w:r>
      <w:r w:rsidRPr="00951270">
        <w:rPr>
          <w:rFonts w:cs="Times New Roman"/>
          <w:iCs/>
          <w:color w:val="auto"/>
        </w:rPr>
        <w:t xml:space="preserve"> equivalent note. </w:t>
      </w:r>
    </w:p>
    <w:p w:rsidR="00645FE9" w:rsidRPr="00951270" w:rsidRDefault="00645FE9" w:rsidP="00645FE9">
      <w:pPr>
        <w:pStyle w:val="BodyText1"/>
        <w:rPr>
          <w:rFonts w:cs="Times New Roman"/>
          <w:iCs/>
          <w:color w:val="auto"/>
        </w:rPr>
      </w:pPr>
      <w:r w:rsidRPr="00951270">
        <w:rPr>
          <w:rFonts w:cs="Times New Roman"/>
          <w:iCs/>
          <w:color w:val="auto"/>
        </w:rPr>
        <w:t xml:space="preserve">There is also an issue as to whether this criterion would be satisfied if such redemption were to be intermittent (for example, redemption windows at the end of each calendar month), or provided through repurchase arrangements similar </w:t>
      </w:r>
      <w:r>
        <w:rPr>
          <w:rFonts w:cs="Times New Roman"/>
          <w:iCs/>
          <w:color w:val="auto"/>
        </w:rPr>
        <w:t>to those envisaged in Art 1(2)(b</w:t>
      </w:r>
      <w:r w:rsidRPr="00951270">
        <w:rPr>
          <w:rFonts w:cs="Times New Roman"/>
          <w:iCs/>
          <w:color w:val="auto"/>
        </w:rPr>
        <w:t xml:space="preserve">) of the UCITS directive. </w:t>
      </w:r>
    </w:p>
    <w:p w:rsidR="00645FE9" w:rsidRPr="00951270" w:rsidRDefault="00645FE9" w:rsidP="00645FE9">
      <w:pPr>
        <w:pStyle w:val="BodyText1"/>
        <w:rPr>
          <w:rFonts w:cs="Times New Roman"/>
          <w:iCs/>
          <w:color w:val="auto"/>
        </w:rPr>
      </w:pPr>
      <w:r w:rsidRPr="00951270">
        <w:rPr>
          <w:rFonts w:cs="Times New Roman"/>
          <w:iCs/>
          <w:color w:val="auto"/>
        </w:rPr>
        <w:t xml:space="preserve">Clarification is also required for derivatives that offer capital protection and carry a right to be </w:t>
      </w:r>
      <w:r>
        <w:rPr>
          <w:rFonts w:cs="Times New Roman"/>
          <w:iCs/>
          <w:color w:val="auto"/>
        </w:rPr>
        <w:t xml:space="preserve">sold, liquidated or </w:t>
      </w:r>
      <w:r w:rsidRPr="00951270">
        <w:rPr>
          <w:rFonts w:cs="Times New Roman"/>
          <w:iCs/>
          <w:color w:val="auto"/>
        </w:rPr>
        <w:t xml:space="preserve">closed out at </w:t>
      </w:r>
      <w:r>
        <w:rPr>
          <w:rFonts w:cs="Times New Roman"/>
          <w:iCs/>
          <w:color w:val="auto"/>
        </w:rPr>
        <w:t>any time at their fair value</w:t>
      </w:r>
      <w:r w:rsidRPr="00951270">
        <w:rPr>
          <w:rFonts w:cs="Times New Roman"/>
          <w:iCs/>
          <w:color w:val="auto"/>
        </w:rPr>
        <w:t xml:space="preserve">. </w:t>
      </w:r>
    </w:p>
    <w:p w:rsidR="00645FE9" w:rsidRPr="00951270" w:rsidRDefault="00645FE9" w:rsidP="00645FE9">
      <w:pPr>
        <w:pStyle w:val="BodyText1"/>
        <w:rPr>
          <w:rFonts w:cs="Times New Roman"/>
          <w:iCs/>
          <w:color w:val="auto"/>
        </w:rPr>
      </w:pPr>
      <w:r w:rsidRPr="00951270">
        <w:rPr>
          <w:rFonts w:cs="Times New Roman"/>
          <w:iCs/>
          <w:color w:val="auto"/>
        </w:rPr>
        <w:t>Annex II paragraph 9(c) states that derivatives should be qualitatively assessed to MRM class 7. This needs, at a minimum, clarification as to whether derivatives which satisfy the criteria of full capital protection and, if included, redeemability, should be classified as class 1 or class 7.</w:t>
      </w:r>
    </w:p>
    <w:p w:rsidR="00645FE9" w:rsidRPr="00951270" w:rsidRDefault="00645FE9" w:rsidP="00645FE9">
      <w:pPr>
        <w:pStyle w:val="BodyText1"/>
        <w:rPr>
          <w:rFonts w:cs="Times New Roman"/>
          <w:iCs/>
          <w:color w:val="auto"/>
        </w:rPr>
      </w:pPr>
      <w:r w:rsidRPr="00951270">
        <w:rPr>
          <w:rFonts w:cs="Times New Roman"/>
          <w:iCs/>
          <w:color w:val="auto"/>
        </w:rPr>
        <w:t xml:space="preserve">On this basis, the risks associated with the buying of an option, where </w:t>
      </w:r>
      <w:r>
        <w:rPr>
          <w:rFonts w:cs="Times New Roman"/>
          <w:iCs/>
          <w:color w:val="auto"/>
        </w:rPr>
        <w:t xml:space="preserve">there </w:t>
      </w:r>
      <w:r w:rsidRPr="00951270">
        <w:rPr>
          <w:rFonts w:cs="Times New Roman"/>
          <w:iCs/>
          <w:color w:val="auto"/>
        </w:rPr>
        <w:t>is no risk/loss just the payment of a premium, would be assessed in the same way as the writing of an option where it is possible to lose more than you put in. We think that this needs to be clarified.</w:t>
      </w:r>
    </w:p>
    <w:p w:rsidR="00645FE9" w:rsidRPr="00951270" w:rsidRDefault="00645FE9" w:rsidP="00645FE9">
      <w:pPr>
        <w:pStyle w:val="BodyText1"/>
        <w:rPr>
          <w:rFonts w:cs="Times New Roman"/>
          <w:iCs/>
          <w:color w:val="auto"/>
        </w:rPr>
      </w:pPr>
      <w:r>
        <w:rPr>
          <w:rFonts w:cs="Times New Roman"/>
          <w:iCs/>
          <w:color w:val="auto"/>
        </w:rPr>
        <w:t>It is questionable why there is an automatic default option of MRM 1 for category 1 PRIIPs. Where a product has a significant level of protection embedded in it, it seems u</w:t>
      </w:r>
      <w:r>
        <w:rPr>
          <w:rFonts w:cs="Times New Roman"/>
          <w:iCs/>
          <w:color w:val="auto"/>
        </w:rPr>
        <w:t>n</w:t>
      </w:r>
      <w:r>
        <w:rPr>
          <w:rFonts w:cs="Times New Roman"/>
          <w:iCs/>
          <w:color w:val="auto"/>
        </w:rPr>
        <w:t>balanced that complete capital protection will be assigned to MRM 1 whereas a compar</w:t>
      </w:r>
      <w:r>
        <w:rPr>
          <w:rFonts w:cs="Times New Roman"/>
          <w:iCs/>
          <w:color w:val="auto"/>
        </w:rPr>
        <w:t>a</w:t>
      </w:r>
      <w:r>
        <w:rPr>
          <w:rFonts w:cs="Times New Roman"/>
          <w:iCs/>
          <w:color w:val="auto"/>
        </w:rPr>
        <w:t>ble product with a significant but not absolute level of protection may be allocated an MRM of 4 or 5.</w:t>
      </w:r>
    </w:p>
    <w:p w:rsidR="00645FE9" w:rsidRDefault="00645FE9" w:rsidP="00645FE9">
      <w:pPr>
        <w:pStyle w:val="BodyText1"/>
        <w:rPr>
          <w:rFonts w:cs="Times New Roman"/>
          <w:iCs/>
          <w:color w:val="auto"/>
        </w:rPr>
      </w:pPr>
      <w:r w:rsidRPr="00B174B1">
        <w:rPr>
          <w:rFonts w:cs="Times New Roman"/>
          <w:iCs/>
          <w:color w:val="auto"/>
        </w:rPr>
        <w:t>Setting the maximum tenor at 5 years may lead to bias for insurance products. Many life insurance products are principal protected but need to be held for more than 5 years, for example in France, the contrac</w:t>
      </w:r>
      <w:r>
        <w:rPr>
          <w:rFonts w:cs="Times New Roman"/>
          <w:iCs/>
          <w:color w:val="auto"/>
        </w:rPr>
        <w:t>tual holding period is 8 years.</w:t>
      </w:r>
    </w:p>
    <w:p w:rsidR="00645FE9" w:rsidRPr="00951270" w:rsidRDefault="00645FE9" w:rsidP="00645FE9">
      <w:pPr>
        <w:pStyle w:val="BodyText1"/>
        <w:rPr>
          <w:rFonts w:cs="Times New Roman"/>
          <w:iCs/>
          <w:color w:val="auto"/>
        </w:rPr>
      </w:pPr>
      <w:r>
        <w:rPr>
          <w:rFonts w:cs="Times New Roman"/>
          <w:iCs/>
          <w:color w:val="auto"/>
        </w:rPr>
        <w:t>The availability of risk management products for retail investors is also likely to be signi</w:t>
      </w:r>
      <w:r>
        <w:rPr>
          <w:rFonts w:cs="Times New Roman"/>
          <w:iCs/>
          <w:color w:val="auto"/>
        </w:rPr>
        <w:t>f</w:t>
      </w:r>
      <w:r>
        <w:rPr>
          <w:rFonts w:cs="Times New Roman"/>
          <w:iCs/>
          <w:color w:val="auto"/>
        </w:rPr>
        <w:t>icantly damaged if all derivatives are allocated an MRM of 7 regardless of their actual level of risk.</w:t>
      </w:r>
    </w:p>
    <w:permEnd w:id="1253904813"/>
    <w:p w:rsidR="003E4B00" w:rsidRPr="00580880" w:rsidRDefault="003E4B00" w:rsidP="003E4B00">
      <w:pPr>
        <w:rPr>
          <w:lang w:val="fr-FR"/>
        </w:rPr>
      </w:pPr>
      <w:r w:rsidRPr="00580880">
        <w:rPr>
          <w:lang w:val="fr-FR"/>
        </w:rPr>
        <w:t>&lt;ESMA_QUESTION_</w:t>
      </w:r>
      <w:r>
        <w:rPr>
          <w:lang w:val="fr-FR"/>
        </w:rPr>
        <w:t>PRIIPS_9</w:t>
      </w:r>
      <w:r w:rsidRPr="00580880">
        <w:rPr>
          <w:lang w:val="fr-FR"/>
        </w:rPr>
        <w:t>&gt;</w:t>
      </w:r>
    </w:p>
    <w:p w:rsidR="00580880" w:rsidRDefault="00580880" w:rsidP="00750796">
      <w:pPr>
        <w:pStyle w:val="CPQuestions"/>
        <w:numPr>
          <w:ilvl w:val="0"/>
          <w:numId w:val="0"/>
        </w:numPr>
        <w:rPr>
          <w:rFonts w:cs="Arial"/>
          <w:b w:val="0"/>
          <w:szCs w:val="22"/>
        </w:rPr>
      </w:pP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lastRenderedPageBreak/>
        <w:t>Question 10</w:t>
      </w: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aware of other circumstances in which the credit risk assessment should be assumed to be mit</w:t>
      </w:r>
      <w:r w:rsidRPr="00580880">
        <w:rPr>
          <w:rFonts w:ascii="Calibri" w:hAnsi="Calibri"/>
          <w:i/>
          <w:sz w:val="22"/>
          <w:lang w:eastAsia="en-US"/>
        </w:rPr>
        <w:t>i</w:t>
      </w:r>
      <w:r w:rsidRPr="00580880">
        <w:rPr>
          <w:rFonts w:ascii="Calibri" w:hAnsi="Calibri"/>
          <w:i/>
          <w:sz w:val="22"/>
          <w:lang w:eastAsia="en-US"/>
        </w:rPr>
        <w:t xml:space="preserve">gated? If so, please explain why and to what degree it should be assumed to be mitigated? </w:t>
      </w:r>
    </w:p>
    <w:p w:rsidR="003E4B00" w:rsidRDefault="003E4B00" w:rsidP="003E4B00"/>
    <w:p w:rsidR="003E4B00" w:rsidRDefault="003E4B00" w:rsidP="003E4B00">
      <w:r>
        <w:t>&lt;ESMA_QUESTION_PRIIPS_10&gt;</w:t>
      </w:r>
    </w:p>
    <w:p w:rsidR="00C74053" w:rsidRPr="00DD6419" w:rsidRDefault="00C74053" w:rsidP="00C74053">
      <w:pPr>
        <w:pStyle w:val="BodyText1"/>
        <w:rPr>
          <w:iCs/>
          <w:lang w:val="en-GB"/>
        </w:rPr>
      </w:pPr>
      <w:permStart w:id="2017985628" w:edGrp="everyone"/>
      <w:r w:rsidRPr="0097744B">
        <w:rPr>
          <w:rFonts w:cs="Times New Roman"/>
          <w:iCs/>
          <w:color w:val="auto"/>
        </w:rPr>
        <w:t xml:space="preserve">We note that under Annex II paragraph 65a, </w:t>
      </w:r>
      <w:r w:rsidRPr="0097744B">
        <w:rPr>
          <w:iCs/>
          <w:color w:val="auto"/>
          <w:lang w:val="en-GB"/>
        </w:rPr>
        <w:t>for a credit risk exposure to be deemed i</w:t>
      </w:r>
      <w:r w:rsidRPr="0097744B">
        <w:rPr>
          <w:iCs/>
          <w:color w:val="auto"/>
          <w:lang w:val="en-GB"/>
        </w:rPr>
        <w:t>m</w:t>
      </w:r>
      <w:r w:rsidRPr="0097744B">
        <w:rPr>
          <w:iCs/>
          <w:color w:val="auto"/>
          <w:lang w:val="en-GB"/>
        </w:rPr>
        <w:t>material, it must be appropriately collateralised</w:t>
      </w:r>
      <w:r w:rsidRPr="00CD550A">
        <w:rPr>
          <w:iCs/>
          <w:lang w:val="en-GB"/>
        </w:rPr>
        <w:t xml:space="preserve"> meaning that the collateral assets are held with a third party in a segregated account in compliance with the equivalent requirements under AIFMD or UCITS, there are no preferred creditors over the PRIIPs investors in r</w:t>
      </w:r>
      <w:r w:rsidRPr="00CD550A">
        <w:rPr>
          <w:iCs/>
          <w:lang w:val="en-GB"/>
        </w:rPr>
        <w:t>e</w:t>
      </w:r>
      <w:r w:rsidRPr="00CD550A">
        <w:rPr>
          <w:iCs/>
          <w:lang w:val="en-GB"/>
        </w:rPr>
        <w:t xml:space="preserve">lation to the collateral assets held in the segregated account.  There is also a requirement that the value held in the account is equal to the amount that is to be paid out at maturity (presumably without recognising time value). </w:t>
      </w:r>
    </w:p>
    <w:p w:rsidR="00C74053" w:rsidRPr="00CD550A" w:rsidRDefault="00C74053" w:rsidP="00C74053">
      <w:pPr>
        <w:pStyle w:val="BodyText1"/>
        <w:rPr>
          <w:iCs/>
          <w:lang w:val="en-GB"/>
        </w:rPr>
      </w:pPr>
      <w:r w:rsidRPr="00951270">
        <w:rPr>
          <w:rFonts w:cs="Times New Roman"/>
          <w:iCs/>
          <w:color w:val="auto"/>
        </w:rPr>
        <w:t>We are uncertain why Annex II paragraph 65(a) cross refers to AIFMD/UCITS. This seems quite restrictive, since the conditions provided for the custody of UCITS and AIFMD assets are extremely onerous and will not be available to other types of entity</w:t>
      </w:r>
      <w:r>
        <w:rPr>
          <w:rFonts w:cs="Times New Roman"/>
          <w:iCs/>
          <w:color w:val="auto"/>
        </w:rPr>
        <w:t xml:space="preserve"> since the conditions include the depositary accepting liability.</w:t>
      </w:r>
      <w:r w:rsidRPr="00951270">
        <w:rPr>
          <w:rFonts w:cs="Times New Roman"/>
          <w:iCs/>
          <w:color w:val="auto"/>
        </w:rPr>
        <w:t xml:space="preserve"> </w:t>
      </w:r>
      <w:r>
        <w:rPr>
          <w:iCs/>
          <w:lang w:val="en-GB"/>
        </w:rPr>
        <w:t xml:space="preserve">Further, paragraph 65a </w:t>
      </w:r>
      <w:r w:rsidRPr="00CD550A">
        <w:rPr>
          <w:iCs/>
          <w:lang w:val="en-GB"/>
        </w:rPr>
        <w:t>seems to suggest that credit risk mitigation techniques recognised under the Capital R</w:t>
      </w:r>
      <w:r w:rsidRPr="00CD550A">
        <w:rPr>
          <w:iCs/>
          <w:lang w:val="en-GB"/>
        </w:rPr>
        <w:t>e</w:t>
      </w:r>
      <w:r w:rsidRPr="00CD550A">
        <w:rPr>
          <w:iCs/>
          <w:lang w:val="en-GB"/>
        </w:rPr>
        <w:t>quirements Regulation (CRR) would not be recognised under the PRIIPs regime.</w:t>
      </w:r>
    </w:p>
    <w:p w:rsidR="00C74053" w:rsidRPr="00951270" w:rsidRDefault="00C74053" w:rsidP="00C74053">
      <w:pPr>
        <w:pStyle w:val="BodyText1"/>
        <w:rPr>
          <w:rFonts w:cs="Times New Roman"/>
          <w:iCs/>
          <w:color w:val="auto"/>
        </w:rPr>
      </w:pPr>
      <w:r w:rsidRPr="00951270">
        <w:rPr>
          <w:rFonts w:cs="Times New Roman"/>
          <w:iCs/>
          <w:color w:val="auto"/>
        </w:rPr>
        <w:t xml:space="preserve">The logical cross-reference in this context would seem to be to the credit risk mitigation conditions of Chapter 4 of Title 2 of the Capital Requirements Regulation EU 648/2012 (CRR). This would be more appropriate, since the credit risk quality steps methodology is a CRR methodology.  If CRR is the basis then why not use the CRR rules on credit risk mitigation? </w:t>
      </w:r>
    </w:p>
    <w:p w:rsidR="00C74053" w:rsidRPr="00951270" w:rsidRDefault="00C74053" w:rsidP="00C74053">
      <w:pPr>
        <w:pStyle w:val="BodyText1"/>
        <w:rPr>
          <w:rFonts w:cs="Times New Roman"/>
          <w:iCs/>
          <w:color w:val="auto"/>
        </w:rPr>
      </w:pPr>
      <w:r>
        <w:rPr>
          <w:rFonts w:cs="Times New Roman"/>
          <w:iCs/>
          <w:color w:val="auto"/>
        </w:rPr>
        <w:t>In addition to the above, other circumstances in which the credit risk assessment should be assumed to be mitigated include overcollateralization. I</w:t>
      </w:r>
      <w:r w:rsidRPr="00951270">
        <w:rPr>
          <w:rFonts w:cs="Times New Roman"/>
          <w:iCs/>
          <w:color w:val="auto"/>
        </w:rPr>
        <w:t>t is also the case that the prim</w:t>
      </w:r>
      <w:r w:rsidRPr="00951270">
        <w:rPr>
          <w:rFonts w:cs="Times New Roman"/>
          <w:iCs/>
          <w:color w:val="auto"/>
        </w:rPr>
        <w:t>a</w:t>
      </w:r>
      <w:r w:rsidRPr="00951270">
        <w:rPr>
          <w:rFonts w:cs="Times New Roman"/>
          <w:iCs/>
          <w:color w:val="auto"/>
        </w:rPr>
        <w:t>ry form of credit enhancement encountered as regards PRIPS is likely to be parental gua</w:t>
      </w:r>
      <w:r w:rsidRPr="00951270">
        <w:rPr>
          <w:rFonts w:cs="Times New Roman"/>
          <w:iCs/>
          <w:color w:val="auto"/>
        </w:rPr>
        <w:t>r</w:t>
      </w:r>
      <w:r w:rsidRPr="00951270">
        <w:rPr>
          <w:rFonts w:cs="Times New Roman"/>
          <w:iCs/>
          <w:color w:val="auto"/>
        </w:rPr>
        <w:t xml:space="preserve">antees given to an issuing vehicle. If such guarantees are not recognized for this purpose, then a wholly misleading picture of the credit risk inherent in the PRIIP will be given. </w:t>
      </w:r>
    </w:p>
    <w:permEnd w:id="2017985628"/>
    <w:p w:rsidR="003E4B00" w:rsidRPr="00580880" w:rsidRDefault="003E4B00" w:rsidP="003E4B00">
      <w:pPr>
        <w:rPr>
          <w:lang w:val="fr-FR"/>
        </w:rPr>
      </w:pPr>
      <w:r w:rsidRPr="00580880">
        <w:rPr>
          <w:lang w:val="fr-FR"/>
        </w:rPr>
        <w:t>&lt;ESMA_QUESTION_</w:t>
      </w:r>
      <w:r>
        <w:rPr>
          <w:lang w:val="fr-FR"/>
        </w:rPr>
        <w:t>PRIIPS_10</w:t>
      </w:r>
      <w:r w:rsidRPr="00580880">
        <w:rPr>
          <w:lang w:val="fr-FR"/>
        </w:rPr>
        <w:t>&gt;</w:t>
      </w:r>
    </w:p>
    <w:p w:rsidR="00580880" w:rsidRDefault="00580880" w:rsidP="00750796">
      <w:pPr>
        <w:pStyle w:val="CPQuestions"/>
        <w:numPr>
          <w:ilvl w:val="0"/>
          <w:numId w:val="0"/>
        </w:numPr>
        <w:rPr>
          <w:rFonts w:cs="Arial"/>
          <w:b w:val="0"/>
          <w:szCs w:val="22"/>
        </w:rPr>
      </w:pP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11</w:t>
      </w: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Do you think that the look through approach to the assessment of credit risk for a PRIIP packaged into another PRIIP is appropriate? </w:t>
      </w:r>
    </w:p>
    <w:p w:rsidR="003E4B00" w:rsidRDefault="003E4B00" w:rsidP="003E4B00"/>
    <w:p w:rsidR="003E4B00" w:rsidRDefault="003E4B00" w:rsidP="003E4B00">
      <w:r>
        <w:t>&lt;ESMA_QUESTION_PRIIPS_11&gt;</w:t>
      </w:r>
    </w:p>
    <w:p w:rsidR="00C74053" w:rsidRPr="00713A39" w:rsidRDefault="00C74053" w:rsidP="00C74053">
      <w:pPr>
        <w:pStyle w:val="BodyText1"/>
        <w:rPr>
          <w:rFonts w:cs="Times New Roman"/>
          <w:iCs/>
          <w:color w:val="auto"/>
        </w:rPr>
      </w:pPr>
      <w:permStart w:id="1190994507" w:edGrp="everyone"/>
      <w:r w:rsidRPr="00713A39">
        <w:rPr>
          <w:rFonts w:cs="Times New Roman"/>
          <w:iCs/>
          <w:color w:val="auto"/>
        </w:rPr>
        <w:t>We think that this question is unclear.</w:t>
      </w:r>
      <w:r>
        <w:rPr>
          <w:rFonts w:cs="Times New Roman"/>
          <w:iCs/>
          <w:color w:val="auto"/>
        </w:rPr>
        <w:t xml:space="preserve"> We think that the question is asking whether for PRIIPs with a number of underlyings, whether the credit risk of each underlying should be assessed.</w:t>
      </w:r>
    </w:p>
    <w:p w:rsidR="00C74053" w:rsidRDefault="00C74053" w:rsidP="00C74053">
      <w:pPr>
        <w:pStyle w:val="BodyText1"/>
        <w:rPr>
          <w:rFonts w:cs="Times New Roman"/>
          <w:iCs/>
          <w:color w:val="auto"/>
        </w:rPr>
      </w:pPr>
      <w:r w:rsidRPr="00951270">
        <w:rPr>
          <w:rFonts w:cs="Times New Roman"/>
          <w:iCs/>
          <w:color w:val="auto"/>
        </w:rPr>
        <w:t>If the objective is to accurately capture credit risk, a look through approach is appropriate. However, a better approach might be to use the CRR double default risk methodology. It is not clear how credit risk should be assessed in relation to a credit linked note, partic</w:t>
      </w:r>
      <w:r w:rsidRPr="00951270">
        <w:rPr>
          <w:rFonts w:cs="Times New Roman"/>
          <w:iCs/>
          <w:color w:val="auto"/>
        </w:rPr>
        <w:t>u</w:t>
      </w:r>
      <w:r w:rsidRPr="00951270">
        <w:rPr>
          <w:rFonts w:cs="Times New Roman"/>
          <w:iCs/>
          <w:color w:val="auto"/>
        </w:rPr>
        <w:t xml:space="preserve">larly where the note is linked to a basket of </w:t>
      </w:r>
      <w:r w:rsidRPr="00DD6419">
        <w:rPr>
          <w:rFonts w:cs="Times New Roman"/>
          <w:iCs/>
          <w:color w:val="auto"/>
        </w:rPr>
        <w:t>underlying names. In</w:t>
      </w:r>
      <w:r w:rsidRPr="00951270">
        <w:rPr>
          <w:rFonts w:cs="Times New Roman"/>
          <w:iCs/>
          <w:color w:val="auto"/>
        </w:rPr>
        <w:t xml:space="preserve"> such an example, would </w:t>
      </w:r>
      <w:r w:rsidRPr="00951270">
        <w:rPr>
          <w:rFonts w:cs="Times New Roman"/>
          <w:iCs/>
          <w:color w:val="auto"/>
        </w:rPr>
        <w:lastRenderedPageBreak/>
        <w:t xml:space="preserve">it be necessary to look through to the credit worthiness of the </w:t>
      </w:r>
      <w:r w:rsidRPr="00DD6419">
        <w:rPr>
          <w:rFonts w:cs="Times New Roman"/>
          <w:iCs/>
          <w:color w:val="auto"/>
        </w:rPr>
        <w:t>underlying names?</w:t>
      </w:r>
      <w:r w:rsidRPr="00951270">
        <w:rPr>
          <w:rFonts w:cs="Times New Roman"/>
          <w:iCs/>
          <w:color w:val="auto"/>
        </w:rPr>
        <w:t xml:space="preserve"> If so, how would the credit worthiness of the basket be calculated (e.g. should an average be taken across all constituents of the basket).</w:t>
      </w:r>
    </w:p>
    <w:p w:rsidR="00C74053" w:rsidRPr="00951270" w:rsidRDefault="00C74053" w:rsidP="00C74053">
      <w:pPr>
        <w:pStyle w:val="BodyText1"/>
        <w:rPr>
          <w:rFonts w:cs="Times New Roman"/>
          <w:iCs/>
          <w:color w:val="auto"/>
        </w:rPr>
      </w:pPr>
      <w:r>
        <w:rPr>
          <w:rFonts w:cs="Times New Roman"/>
          <w:iCs/>
          <w:color w:val="auto"/>
        </w:rPr>
        <w:t>Also where a UCITS is repackaged through a PRIIP, the position as regards the disclosure requirements is unclear.</w:t>
      </w:r>
    </w:p>
    <w:permEnd w:id="1190994507"/>
    <w:p w:rsidR="003E4B00" w:rsidRPr="00580880" w:rsidRDefault="003E4B00" w:rsidP="003E4B00">
      <w:pPr>
        <w:rPr>
          <w:lang w:val="fr-FR"/>
        </w:rPr>
      </w:pPr>
      <w:r w:rsidRPr="00580880">
        <w:rPr>
          <w:lang w:val="fr-FR"/>
        </w:rPr>
        <w:t>&lt;ESMA_QUESTION_</w:t>
      </w:r>
      <w:r>
        <w:rPr>
          <w:lang w:val="fr-FR"/>
        </w:rPr>
        <w:t>PRIIPS_11</w:t>
      </w:r>
      <w:r w:rsidRPr="00580880">
        <w:rPr>
          <w:lang w:val="fr-FR"/>
        </w:rPr>
        <w:t>&gt;</w:t>
      </w:r>
    </w:p>
    <w:p w:rsidR="00580880" w:rsidRDefault="00580880" w:rsidP="00750796">
      <w:pPr>
        <w:pStyle w:val="CPQuestions"/>
        <w:numPr>
          <w:ilvl w:val="0"/>
          <w:numId w:val="0"/>
        </w:numPr>
        <w:rPr>
          <w:rFonts w:cs="Arial"/>
          <w:b w:val="0"/>
          <w:szCs w:val="22"/>
        </w:rPr>
      </w:pPr>
    </w:p>
    <w:p w:rsidR="00A2049D" w:rsidRPr="005A512B" w:rsidRDefault="00A2049D" w:rsidP="00A2049D">
      <w:pPr>
        <w:pBdr>
          <w:top w:val="single" w:sz="4" w:space="1" w:color="auto"/>
          <w:left w:val="single" w:sz="4" w:space="4" w:color="auto"/>
          <w:bottom w:val="single" w:sz="4" w:space="1" w:color="auto"/>
          <w:right w:val="single" w:sz="4" w:space="4" w:color="auto"/>
        </w:pBdr>
        <w:rPr>
          <w:b/>
          <w:i/>
        </w:rPr>
      </w:pPr>
      <w:r w:rsidRPr="005A512B">
        <w:rPr>
          <w:b/>
          <w:i/>
        </w:rPr>
        <w:t>Question 1</w:t>
      </w:r>
      <w:r>
        <w:rPr>
          <w:b/>
          <w:i/>
        </w:rPr>
        <w:t>2</w:t>
      </w:r>
    </w:p>
    <w:p w:rsidR="00A2049D" w:rsidRPr="005A512B" w:rsidRDefault="00A2049D" w:rsidP="00A2049D">
      <w:pPr>
        <w:pBdr>
          <w:top w:val="single" w:sz="4" w:space="1" w:color="auto"/>
          <w:left w:val="single" w:sz="4" w:space="4" w:color="auto"/>
          <w:bottom w:val="single" w:sz="4" w:space="1" w:color="auto"/>
          <w:right w:val="single" w:sz="4" w:space="4" w:color="auto"/>
        </w:pBdr>
        <w:rPr>
          <w:i/>
        </w:rPr>
      </w:pPr>
      <w:r w:rsidRPr="005A512B">
        <w:rPr>
          <w:i/>
        </w:rPr>
        <w:t>Do you think the risk indicator should take into account currency risk when there is a difference between the currency of the PRIIP and the national currency of the investor targeted by the PRIIP manufacturer, even though this risk is not intrinsic to the PRIIP itself, but relates to the typical situation of the targeted investor?</w:t>
      </w:r>
    </w:p>
    <w:p w:rsidR="003E4B00" w:rsidRDefault="003E4B00" w:rsidP="003E4B00"/>
    <w:p w:rsidR="003E4B00" w:rsidRDefault="003E4B00" w:rsidP="003E4B00">
      <w:r>
        <w:t>&lt;ESMA_QUESTION_PRIIPS_12&gt;</w:t>
      </w:r>
    </w:p>
    <w:p w:rsidR="00C74053" w:rsidRDefault="00C74053" w:rsidP="00C74053">
      <w:pPr>
        <w:pStyle w:val="BodyText1"/>
        <w:rPr>
          <w:rFonts w:cs="Times New Roman"/>
          <w:iCs/>
          <w:color w:val="auto"/>
        </w:rPr>
      </w:pPr>
      <w:permStart w:id="1568606543" w:edGrp="everyone"/>
      <w:r w:rsidRPr="00172436">
        <w:rPr>
          <w:rFonts w:cs="Times New Roman"/>
          <w:iCs/>
          <w:color w:val="auto"/>
        </w:rPr>
        <w:t>The risk indicator is, by definition, an attempt to present a complex set of pieces of info</w:t>
      </w:r>
      <w:r w:rsidRPr="00172436">
        <w:rPr>
          <w:rFonts w:cs="Times New Roman"/>
          <w:iCs/>
          <w:color w:val="auto"/>
        </w:rPr>
        <w:t>r</w:t>
      </w:r>
      <w:r w:rsidRPr="00172436">
        <w:rPr>
          <w:rFonts w:cs="Times New Roman"/>
          <w:iCs/>
          <w:color w:val="auto"/>
        </w:rPr>
        <w:t>mation in a single simplified form. The decision to include credit risk in this indicator means that the risk indicators for different products will not be comparable, and will arg</w:t>
      </w:r>
      <w:r w:rsidRPr="00172436">
        <w:rPr>
          <w:rFonts w:cs="Times New Roman"/>
          <w:iCs/>
          <w:color w:val="auto"/>
        </w:rPr>
        <w:t>u</w:t>
      </w:r>
      <w:r w:rsidRPr="00172436">
        <w:rPr>
          <w:rFonts w:cs="Times New Roman"/>
          <w:iCs/>
          <w:color w:val="auto"/>
        </w:rPr>
        <w:t>ably be misleading to the extent that they appear to be presented as guides to investment risk and return. To include further risk elements such as foreign exchange volatility, vari</w:t>
      </w:r>
      <w:r w:rsidRPr="00172436">
        <w:rPr>
          <w:rFonts w:cs="Times New Roman"/>
          <w:iCs/>
          <w:color w:val="auto"/>
        </w:rPr>
        <w:t>a</w:t>
      </w:r>
      <w:r w:rsidRPr="00172436">
        <w:rPr>
          <w:rFonts w:cs="Times New Roman"/>
          <w:iCs/>
          <w:color w:val="auto"/>
        </w:rPr>
        <w:t>tion in risk over the life of the product, or other factors, will make the indicator harder to understand and less comparable across products - for example it is far from clear that an investor seeking a USD denominated product with a risk rating of 3 compared with a si</w:t>
      </w:r>
      <w:r w:rsidRPr="00172436">
        <w:rPr>
          <w:rFonts w:cs="Times New Roman"/>
          <w:iCs/>
          <w:color w:val="auto"/>
        </w:rPr>
        <w:t>m</w:t>
      </w:r>
      <w:r w:rsidRPr="00172436">
        <w:rPr>
          <w:rFonts w:cs="Times New Roman"/>
          <w:iCs/>
          <w:color w:val="auto"/>
        </w:rPr>
        <w:t>ilar EUR denominated product with a risk rating of 2 will automatically know that the di</w:t>
      </w:r>
      <w:r w:rsidRPr="00172436">
        <w:rPr>
          <w:rFonts w:cs="Times New Roman"/>
          <w:iCs/>
          <w:color w:val="auto"/>
        </w:rPr>
        <w:t>f</w:t>
      </w:r>
      <w:r w:rsidRPr="00172436">
        <w:rPr>
          <w:rFonts w:cs="Times New Roman"/>
          <w:iCs/>
          <w:color w:val="auto"/>
        </w:rPr>
        <w:t>ference should be ascribed to the different currency denominations and not some other factor. This could have the effect of causing an investor seeking a higher-performance product to invest in a lower-performance product. In our view the risk indicator is already too complex and potentially misleading, and it would be a mistake to complicate it further by the inclusion of further risk elements. The currency risks should be disclosed in text form, where there is a greater chance of their being understood.</w:t>
      </w:r>
    </w:p>
    <w:p w:rsidR="00C74053" w:rsidRDefault="00C74053" w:rsidP="00C74053">
      <w:pPr>
        <w:pStyle w:val="BodyText1"/>
        <w:rPr>
          <w:rFonts w:cs="Times New Roman"/>
          <w:iCs/>
          <w:color w:val="auto"/>
        </w:rPr>
      </w:pPr>
      <w:r>
        <w:rPr>
          <w:rFonts w:cs="Times New Roman"/>
          <w:iCs/>
          <w:color w:val="auto"/>
        </w:rPr>
        <w:t>Also, when applying PRIIPs to currency hedging derivatives, the point of the derivative is to negate currency risk. It would therefore be highly misleading if such a transaction were required to be described as increasing currency risk</w:t>
      </w:r>
    </w:p>
    <w:permEnd w:id="1568606543"/>
    <w:p w:rsidR="003E4B00" w:rsidRPr="00580880" w:rsidRDefault="003E4B00" w:rsidP="003E4B00">
      <w:pPr>
        <w:rPr>
          <w:lang w:val="fr-FR"/>
        </w:rPr>
      </w:pPr>
      <w:r w:rsidRPr="00580880">
        <w:rPr>
          <w:lang w:val="fr-FR"/>
        </w:rPr>
        <w:t>&lt;ESMA_QUESTION_</w:t>
      </w:r>
      <w:r>
        <w:rPr>
          <w:lang w:val="fr-FR"/>
        </w:rPr>
        <w:t>PRIIPS_12</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13</w:t>
      </w: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Are you of the opinion that the current Consultation Paper sufficiently addresses this issue? Do you it is made sufficiently clear that the value of a PRIIP could be significantly less compared to the guaranteed value during the life of the PRIIP? Several alternatives are analysed in the Impact Assessment under policy option 5: do you see any additional analysis for these assessment? </w:t>
      </w:r>
    </w:p>
    <w:p w:rsidR="00A2049D" w:rsidRPr="00A2049D" w:rsidRDefault="00A2049D" w:rsidP="00A2049D">
      <w:pPr>
        <w:rPr>
          <w:rFonts w:ascii="Calibri" w:hAnsi="Calibri"/>
          <w:color w:val="1F497D"/>
          <w:sz w:val="22"/>
          <w:lang w:eastAsia="en-US"/>
        </w:rPr>
      </w:pPr>
    </w:p>
    <w:p w:rsidR="003E4B00" w:rsidRDefault="003E4B00" w:rsidP="003E4B00">
      <w:r>
        <w:t>&lt;ESMA_QUESTION_PRIIPS_13&gt;</w:t>
      </w:r>
    </w:p>
    <w:p w:rsidR="00E019B0" w:rsidRPr="00E6136B" w:rsidRDefault="00563714" w:rsidP="00E6136B">
      <w:pPr>
        <w:spacing w:before="3"/>
        <w:ind w:left="720"/>
        <w:rPr>
          <w:rFonts w:ascii="Times New Roman" w:hAnsi="Times New Roman"/>
          <w:sz w:val="24"/>
        </w:rPr>
      </w:pPr>
      <w:bookmarkStart w:id="3" w:name="_GoBack"/>
      <w:bookmarkEnd w:id="3"/>
      <w:permStart w:id="310777200" w:edGrp="everyone"/>
      <w:r>
        <w:rPr>
          <w:rFonts w:ascii="Times New Roman" w:hAnsi="Times New Roman"/>
          <w:sz w:val="24"/>
        </w:rPr>
        <w:lastRenderedPageBreak/>
        <w:t>W</w:t>
      </w:r>
      <w:r w:rsidR="00E019B0" w:rsidRPr="00E019B0">
        <w:rPr>
          <w:rFonts w:ascii="Times New Roman" w:hAnsi="Times New Roman"/>
          <w:sz w:val="24"/>
        </w:rPr>
        <w:t>e consider that this is already sufficiently a</w:t>
      </w:r>
      <w:r w:rsidR="00E019B0" w:rsidRPr="00E019B0">
        <w:rPr>
          <w:rFonts w:ascii="Times New Roman" w:hAnsi="Times New Roman"/>
          <w:sz w:val="24"/>
        </w:rPr>
        <w:t>d</w:t>
      </w:r>
      <w:r w:rsidR="00E019B0" w:rsidRPr="00E019B0">
        <w:rPr>
          <w:rFonts w:ascii="Times New Roman" w:hAnsi="Times New Roman"/>
          <w:sz w:val="24"/>
        </w:rPr>
        <w:t>dressed in Article 9 of the draft RTS. With respect to structured products, the expectation of investors and the basis on which these are typically sold is on the assumption and understanding that these are buy to hold pro</w:t>
      </w:r>
      <w:r w:rsidR="00E019B0" w:rsidRPr="00E019B0">
        <w:rPr>
          <w:rFonts w:ascii="Times New Roman" w:hAnsi="Times New Roman"/>
          <w:sz w:val="24"/>
        </w:rPr>
        <w:t>d</w:t>
      </w:r>
      <w:r w:rsidR="00E019B0" w:rsidRPr="00E019B0">
        <w:rPr>
          <w:rFonts w:ascii="Times New Roman" w:hAnsi="Times New Roman"/>
          <w:sz w:val="24"/>
        </w:rPr>
        <w:t>ucts and standard risk disclosure is absolutely consistent on this, as is disclosure around an investors ability to potentially sell back the product or the extent to which there will be any secondary market with respect to the product should they want to sell back the pro</w:t>
      </w:r>
      <w:r w:rsidR="00E019B0" w:rsidRPr="00E019B0">
        <w:rPr>
          <w:rFonts w:ascii="Times New Roman" w:hAnsi="Times New Roman"/>
          <w:sz w:val="24"/>
        </w:rPr>
        <w:t>d</w:t>
      </w:r>
      <w:r w:rsidR="00E019B0" w:rsidRPr="00E019B0">
        <w:rPr>
          <w:rFonts w:ascii="Times New Roman" w:hAnsi="Times New Roman"/>
          <w:sz w:val="24"/>
        </w:rPr>
        <w:t>uct prior to maturity. We consider that this should be made clear in the PRIIP along the lines of a simple and clear risk disclosure such that you could suffer loss should you sell your product early</w:t>
      </w:r>
      <w:r w:rsidR="00E019B0" w:rsidRPr="00E019B0">
        <w:rPr>
          <w:rFonts w:ascii="Times New Roman" w:eastAsia="Calibri" w:hAnsi="Times New Roman"/>
          <w:sz w:val="24"/>
        </w:rPr>
        <w:t>.</w:t>
      </w:r>
    </w:p>
    <w:permEnd w:id="310777200"/>
    <w:p w:rsidR="003E4B00" w:rsidRPr="00580880" w:rsidRDefault="003E4B00" w:rsidP="003E4B00">
      <w:pPr>
        <w:rPr>
          <w:lang w:val="fr-FR"/>
        </w:rPr>
      </w:pPr>
      <w:r w:rsidRPr="00580880">
        <w:rPr>
          <w:lang w:val="fr-FR"/>
        </w:rPr>
        <w:t>&lt;ESMA_QUESTION_</w:t>
      </w:r>
      <w:r>
        <w:rPr>
          <w:lang w:val="fr-FR"/>
        </w:rPr>
        <w:t>PRIIPS_13</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b/>
          <w:i/>
          <w:sz w:val="22"/>
          <w:lang w:eastAsia="en-US"/>
        </w:rPr>
      </w:pPr>
      <w:r w:rsidRPr="00A2049D">
        <w:rPr>
          <w:rFonts w:ascii="Calibri" w:hAnsi="Calibri"/>
          <w:b/>
          <w:i/>
          <w:sz w:val="22"/>
          <w:lang w:eastAsia="en-US"/>
        </w:rPr>
        <w:t>Question 14</w:t>
      </w:r>
    </w:p>
    <w:p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i/>
          <w:sz w:val="22"/>
          <w:lang w:eastAsia="en-US"/>
        </w:rPr>
      </w:pPr>
      <w:r w:rsidRPr="00A2049D">
        <w:rPr>
          <w:rFonts w:ascii="Calibri" w:hAnsi="Calibri"/>
          <w:i/>
          <w:sz w:val="22"/>
          <w:lang w:eastAsia="en-US"/>
        </w:rPr>
        <w:t>Do you agree to use the performance fee, as prescribed in the cost section, as a basis for the calculations in the performance section (i.e. calculate the return of the benchmark for the moderate scenario in such a way that the return generates the performance fee as prescribed in the cost section)?  Do you agree the same benchmark return should be used for calculating performance fees for the unfavourable and f</w:t>
      </w:r>
      <w:r w:rsidRPr="00A2049D">
        <w:rPr>
          <w:rFonts w:ascii="Calibri" w:hAnsi="Calibri"/>
          <w:i/>
          <w:sz w:val="22"/>
          <w:lang w:eastAsia="en-US"/>
        </w:rPr>
        <w:t>a</w:t>
      </w:r>
      <w:r w:rsidRPr="00A2049D">
        <w:rPr>
          <w:rFonts w:ascii="Calibri" w:hAnsi="Calibri"/>
          <w:i/>
          <w:sz w:val="22"/>
          <w:lang w:eastAsia="en-US"/>
        </w:rPr>
        <w:t>vourable scenarios, or would you propose another approach, for instance automatically setting the pe</w:t>
      </w:r>
      <w:r w:rsidRPr="00A2049D">
        <w:rPr>
          <w:rFonts w:ascii="Calibri" w:hAnsi="Calibri"/>
          <w:i/>
          <w:sz w:val="22"/>
          <w:lang w:eastAsia="en-US"/>
        </w:rPr>
        <w:t>r</w:t>
      </w:r>
      <w:r w:rsidRPr="00A2049D">
        <w:rPr>
          <w:rFonts w:ascii="Calibri" w:hAnsi="Calibri"/>
          <w:i/>
          <w:sz w:val="22"/>
          <w:lang w:eastAsia="en-US"/>
        </w:rPr>
        <w:t>formance fees to zero for the unfavourable scenario? Please justify your proposal.</w:t>
      </w:r>
    </w:p>
    <w:p w:rsidR="003E4B00" w:rsidRDefault="003E4B00" w:rsidP="003E4B00"/>
    <w:p w:rsidR="003E4B00" w:rsidRDefault="003E4B00" w:rsidP="003E4B00">
      <w:r>
        <w:t>&lt;ESMA_QUESTION_PRIIPS_14&gt;</w:t>
      </w:r>
    </w:p>
    <w:p w:rsidR="00E019B0" w:rsidRDefault="00E019B0" w:rsidP="00E019B0">
      <w:pPr>
        <w:pStyle w:val="BodyText1"/>
        <w:rPr>
          <w:rFonts w:cs="Times New Roman"/>
          <w:iCs/>
          <w:color w:val="auto"/>
        </w:rPr>
      </w:pPr>
      <w:permStart w:id="507206298" w:edGrp="everyone"/>
      <w:r>
        <w:rPr>
          <w:rFonts w:cs="Times New Roman"/>
          <w:iCs/>
          <w:color w:val="auto"/>
        </w:rPr>
        <w:t>P</w:t>
      </w:r>
      <w:r w:rsidRPr="00922655">
        <w:rPr>
          <w:rFonts w:cs="Times New Roman"/>
          <w:iCs/>
          <w:color w:val="auto"/>
        </w:rPr>
        <w:t>erformance scenarios should be presented net of all implicit costs to avoid any misu</w:t>
      </w:r>
      <w:r w:rsidRPr="00922655">
        <w:rPr>
          <w:rFonts w:cs="Times New Roman"/>
          <w:iCs/>
          <w:color w:val="auto"/>
        </w:rPr>
        <w:t>n</w:t>
      </w:r>
      <w:r w:rsidRPr="00922655">
        <w:rPr>
          <w:rFonts w:cs="Times New Roman"/>
          <w:iCs/>
          <w:color w:val="auto"/>
        </w:rPr>
        <w:t>derstanding by the investor, implicit costs being defined as the sum of costs upon which the manufacturer has control</w:t>
      </w:r>
      <w:r>
        <w:rPr>
          <w:rFonts w:cs="Times New Roman"/>
          <w:iCs/>
          <w:color w:val="auto"/>
        </w:rPr>
        <w:t xml:space="preserve"> including the performance fee.</w:t>
      </w:r>
    </w:p>
    <w:p w:rsidR="00E019B0" w:rsidRPr="00922655" w:rsidRDefault="00E019B0" w:rsidP="00E019B0">
      <w:pPr>
        <w:pStyle w:val="BodyText1"/>
        <w:rPr>
          <w:rFonts w:cs="Times New Roman"/>
          <w:iCs/>
          <w:color w:val="auto"/>
        </w:rPr>
      </w:pPr>
      <w:r>
        <w:rPr>
          <w:rFonts w:cs="Times New Roman"/>
          <w:iCs/>
          <w:color w:val="auto"/>
        </w:rPr>
        <w:t>It</w:t>
      </w:r>
      <w:r w:rsidRPr="00922655">
        <w:rPr>
          <w:rFonts w:cs="Times New Roman"/>
          <w:iCs/>
          <w:color w:val="auto"/>
        </w:rPr>
        <w:t xml:space="preserve"> should</w:t>
      </w:r>
      <w:r>
        <w:rPr>
          <w:rFonts w:cs="Times New Roman"/>
          <w:iCs/>
          <w:color w:val="auto"/>
        </w:rPr>
        <w:t xml:space="preserve"> be</w:t>
      </w:r>
      <w:r w:rsidRPr="00922655">
        <w:rPr>
          <w:rFonts w:cs="Times New Roman"/>
          <w:iCs/>
          <w:color w:val="auto"/>
        </w:rPr>
        <w:t xml:space="preserve"> note</w:t>
      </w:r>
      <w:r>
        <w:rPr>
          <w:rFonts w:cs="Times New Roman"/>
          <w:iCs/>
          <w:color w:val="auto"/>
        </w:rPr>
        <w:t>d</w:t>
      </w:r>
      <w:r w:rsidRPr="00922655">
        <w:rPr>
          <w:rFonts w:cs="Times New Roman"/>
          <w:iCs/>
          <w:color w:val="auto"/>
        </w:rPr>
        <w:t xml:space="preserve"> that where the quantum of the fee depends upon the performance of the underlying it is very difficult to accurately estimate what the level of the accrued fees will be on a single future date for either a moderate or favourable scenario. This because the level of fees will inherently depend upon the performance or path of the underlying during the time period being analysed. Hence, providing such a figure would have to be heavily disclaimed and/or rely on a number of basic assumptions e.g. assume there is a 5% p.a. fee paid on the underlying NAV (accrued daily) and in one years' time the underlying is 20% higher than on the start date. The level of the fee would not equate to a straight fo</w:t>
      </w:r>
      <w:r w:rsidRPr="00922655">
        <w:rPr>
          <w:rFonts w:cs="Times New Roman"/>
          <w:iCs/>
          <w:color w:val="auto"/>
        </w:rPr>
        <w:t>r</w:t>
      </w:r>
      <w:r w:rsidRPr="00922655">
        <w:rPr>
          <w:rFonts w:cs="Times New Roman"/>
          <w:iCs/>
          <w:color w:val="auto"/>
        </w:rPr>
        <w:t xml:space="preserve">ward calculation of 5% x 1.2 but would instead depend upon how the underlying had evolved during the year. </w:t>
      </w:r>
    </w:p>
    <w:permEnd w:id="507206298"/>
    <w:p w:rsidR="00A2049D" w:rsidRPr="003E4B00" w:rsidRDefault="003E4B00" w:rsidP="003E4B00">
      <w:pPr>
        <w:rPr>
          <w:lang w:val="fr-FR"/>
        </w:rPr>
      </w:pPr>
      <w:r w:rsidRPr="00580880">
        <w:rPr>
          <w:lang w:val="fr-FR"/>
        </w:rPr>
        <w:t>&lt;ESMA_QUESTION_</w:t>
      </w:r>
      <w:r>
        <w:rPr>
          <w:lang w:val="fr-FR"/>
        </w:rPr>
        <w:t>PRIIPS_14</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15</w:t>
      </w: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Given the number of tables displayed in the KID and the to a degree mixed consumer testing results on whether presentation of performance scenarios as a table or a graph would be most effective, do you think a presentation of the performance scenarios in the form of a graph should be preferred, or both a table and a graph? </w:t>
      </w:r>
    </w:p>
    <w:p w:rsidR="003E4B00" w:rsidRDefault="003E4B00" w:rsidP="003E4B00"/>
    <w:p w:rsidR="003E4B00" w:rsidRDefault="003E4B00" w:rsidP="003E4B00">
      <w:r>
        <w:t>&lt;ESMA_QUESTION_PRIIPS_15&gt;</w:t>
      </w:r>
    </w:p>
    <w:p w:rsidR="00CB60A5" w:rsidRPr="00172436" w:rsidRDefault="00CB60A5" w:rsidP="00CB60A5">
      <w:pPr>
        <w:pStyle w:val="BodyText1"/>
        <w:rPr>
          <w:rFonts w:cs="Times New Roman"/>
          <w:b/>
          <w:iCs/>
          <w:color w:val="FF0000"/>
        </w:rPr>
      </w:pPr>
      <w:permStart w:id="1115387025" w:edGrp="everyone"/>
      <w:r>
        <w:rPr>
          <w:rFonts w:cs="Times New Roman"/>
          <w:iCs/>
          <w:color w:val="auto"/>
        </w:rPr>
        <w:lastRenderedPageBreak/>
        <w:t xml:space="preserve">Our preference is for tabular presentation only. We think that the </w:t>
      </w:r>
      <w:r w:rsidRPr="00172436">
        <w:rPr>
          <w:rFonts w:cs="Times New Roman"/>
          <w:iCs/>
          <w:color w:val="auto"/>
        </w:rPr>
        <w:t>scenario analysis should focus on a table with the numeric results</w:t>
      </w:r>
      <w:r>
        <w:rPr>
          <w:rFonts w:cs="Times New Roman"/>
          <w:iCs/>
          <w:color w:val="auto"/>
        </w:rPr>
        <w:t xml:space="preserve"> as it is simpler, clearer and therefore easier to comprehend.</w:t>
      </w:r>
    </w:p>
    <w:permEnd w:id="1115387025"/>
    <w:p w:rsidR="003E4B00" w:rsidRPr="003E4B00" w:rsidRDefault="003E4B00" w:rsidP="003E4B00">
      <w:pPr>
        <w:rPr>
          <w:lang w:val="fr-FR"/>
        </w:rPr>
      </w:pPr>
      <w:r w:rsidRPr="00580880">
        <w:rPr>
          <w:lang w:val="fr-FR"/>
        </w:rPr>
        <w:t>&lt;ESMA_QUESTION_</w:t>
      </w:r>
      <w:r>
        <w:rPr>
          <w:lang w:val="fr-FR"/>
        </w:rPr>
        <w:t>PRIIPS_15</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16</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scope of the assets mentioned in paragraph 25 of Annex VI on transaction costs for which this methodology is prescribed? If not, what alternative scope would you recommend?</w:t>
      </w:r>
    </w:p>
    <w:p w:rsidR="00A2049D" w:rsidRDefault="00A2049D" w:rsidP="00A2049D">
      <w:pPr>
        <w:rPr>
          <w:rFonts w:ascii="Times New Roman" w:hAnsi="Times New Roman"/>
          <w:i/>
          <w:sz w:val="22"/>
          <w:szCs w:val="22"/>
          <w:lang w:eastAsia="en-US"/>
        </w:rPr>
      </w:pPr>
    </w:p>
    <w:p w:rsidR="003E4B00" w:rsidRDefault="003E4B00" w:rsidP="003E4B00">
      <w:r>
        <w:t>&lt;ESMA_QUESTION_PRIIPS_16&gt;</w:t>
      </w:r>
    </w:p>
    <w:p w:rsidR="00CB60A5" w:rsidRDefault="00CB60A5" w:rsidP="00CB60A5">
      <w:pPr>
        <w:pStyle w:val="BodyText1"/>
        <w:rPr>
          <w:rFonts w:cs="Times New Roman"/>
          <w:iCs/>
          <w:color w:val="auto"/>
          <w:lang w:val="en-GB"/>
        </w:rPr>
      </w:pPr>
      <w:permStart w:id="1445800807" w:edGrp="everyone"/>
      <w:r>
        <w:rPr>
          <w:rFonts w:cs="Times New Roman"/>
          <w:iCs/>
          <w:color w:val="auto"/>
          <w:lang w:val="en-GB"/>
        </w:rPr>
        <w:t>The asset classes set out in paragraph 25 of Annex VI for the computation of transaction costs apply to investment funds and not structured products.</w:t>
      </w:r>
    </w:p>
    <w:p w:rsidR="00CB60A5" w:rsidRPr="00922655" w:rsidRDefault="00CB60A5" w:rsidP="00CB60A5">
      <w:pPr>
        <w:pStyle w:val="BodyText1"/>
        <w:rPr>
          <w:rFonts w:cs="Times New Roman"/>
          <w:iCs/>
          <w:color w:val="auto"/>
          <w:lang w:val="en-GB"/>
        </w:rPr>
      </w:pPr>
      <w:r w:rsidRPr="00922655">
        <w:rPr>
          <w:rFonts w:cs="Times New Roman"/>
          <w:iCs/>
          <w:color w:val="auto"/>
          <w:lang w:val="en-GB"/>
        </w:rPr>
        <w:t>The approach to standardised costs is helpful for PRIIPs which pass through actual cash transactions in underlying securities, in that it would be impossible for many PRIIPs manufacturers to identify the actual costs of these transactions. However, for PRIIPS manufacturers who pass through the value of positions taken synthetically, these figures will not relate to any actual cost incurred by the manufacturer. As a result it should be made clear that these proxies for actual costs should only be used where the outcome of an actual transaction is a cash underlying that is passed through to the end investor.</w:t>
      </w:r>
    </w:p>
    <w:permEnd w:id="1445800807"/>
    <w:p w:rsidR="003E4B00" w:rsidRPr="003E4B00" w:rsidRDefault="003E4B00" w:rsidP="003E4B00">
      <w:pPr>
        <w:rPr>
          <w:lang w:val="fr-FR"/>
        </w:rPr>
      </w:pPr>
      <w:r w:rsidRPr="00580880">
        <w:rPr>
          <w:lang w:val="fr-FR"/>
        </w:rPr>
        <w:t>&lt;ESMA_QUESTION_</w:t>
      </w:r>
      <w:r>
        <w:rPr>
          <w:lang w:val="fr-FR"/>
        </w:rPr>
        <w:t>PRIIPS_16</w:t>
      </w:r>
      <w:r w:rsidRPr="00580880">
        <w:rPr>
          <w:lang w:val="fr-FR"/>
        </w:rPr>
        <w:t>&gt;</w:t>
      </w:r>
    </w:p>
    <w:p w:rsidR="00A2049D" w:rsidRDefault="00A2049D" w:rsidP="00A2049D">
      <w:pPr>
        <w:rPr>
          <w:rFonts w:ascii="Times New Roman" w:hAnsi="Times New Roman"/>
          <w:i/>
          <w:sz w:val="22"/>
          <w:szCs w:val="22"/>
          <w:lang w:eastAsia="en-US"/>
        </w:rPr>
      </w:pPr>
    </w:p>
    <w:p w:rsidR="00A2049D" w:rsidRPr="00A2049D" w:rsidRDefault="00A2049D" w:rsidP="00A2049D">
      <w:pPr>
        <w:rPr>
          <w:rFonts w:ascii="Times New Roman" w:hAnsi="Times New Roman"/>
          <w:i/>
          <w:sz w:val="22"/>
          <w:szCs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17</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values of the figures included in this table? If not, which values would you suggest? (please note that this table could as well be included in guidelines, to allow for more flexibility in the revision of the figures)</w:t>
      </w:r>
    </w:p>
    <w:p w:rsidR="003E4B00" w:rsidRDefault="003E4B00" w:rsidP="003E4B00"/>
    <w:p w:rsidR="003E4B00" w:rsidRDefault="003E4B00" w:rsidP="003E4B00">
      <w:r>
        <w:t>&lt;ESMA_QUESTION_PRIIPS_17&gt;</w:t>
      </w:r>
    </w:p>
    <w:p w:rsidR="00271386" w:rsidRDefault="00271386" w:rsidP="00271386">
      <w:pPr>
        <w:pStyle w:val="BodyText1"/>
        <w:rPr>
          <w:rFonts w:cs="Times New Roman"/>
          <w:iCs/>
          <w:color w:val="auto"/>
          <w:lang w:val="en-GB"/>
        </w:rPr>
      </w:pPr>
      <w:permStart w:id="667178367" w:edGrp="everyone"/>
      <w:r>
        <w:rPr>
          <w:rFonts w:cs="Times New Roman"/>
          <w:iCs/>
          <w:color w:val="auto"/>
        </w:rPr>
        <w:t xml:space="preserve">As stated in our response </w:t>
      </w:r>
      <w:r w:rsidRPr="009A38BE">
        <w:rPr>
          <w:rFonts w:cs="Times New Roman"/>
          <w:iCs/>
          <w:color w:val="auto"/>
        </w:rPr>
        <w:t>to question 16</w:t>
      </w:r>
      <w:r>
        <w:rPr>
          <w:rFonts w:cs="Times New Roman"/>
          <w:iCs/>
          <w:color w:val="auto"/>
        </w:rPr>
        <w:t>, t</w:t>
      </w:r>
      <w:r>
        <w:rPr>
          <w:rFonts w:cs="Times New Roman"/>
          <w:iCs/>
          <w:color w:val="auto"/>
          <w:lang w:val="en-GB"/>
        </w:rPr>
        <w:t>he asset classes set out in paragraph 25 of A</w:t>
      </w:r>
      <w:r>
        <w:rPr>
          <w:rFonts w:cs="Times New Roman"/>
          <w:iCs/>
          <w:color w:val="auto"/>
          <w:lang w:val="en-GB"/>
        </w:rPr>
        <w:t>n</w:t>
      </w:r>
      <w:r>
        <w:rPr>
          <w:rFonts w:cs="Times New Roman"/>
          <w:iCs/>
          <w:color w:val="auto"/>
          <w:lang w:val="en-GB"/>
        </w:rPr>
        <w:t>nex VI for the computation of transaction costs apply to investment funds and not stru</w:t>
      </w:r>
      <w:r>
        <w:rPr>
          <w:rFonts w:cs="Times New Roman"/>
          <w:iCs/>
          <w:color w:val="auto"/>
          <w:lang w:val="en-GB"/>
        </w:rPr>
        <w:t>c</w:t>
      </w:r>
      <w:r>
        <w:rPr>
          <w:rFonts w:cs="Times New Roman"/>
          <w:iCs/>
          <w:color w:val="auto"/>
          <w:lang w:val="en-GB"/>
        </w:rPr>
        <w:t>tured products.</w:t>
      </w:r>
    </w:p>
    <w:p w:rsidR="003E4B00" w:rsidRPr="00271386" w:rsidRDefault="00271386" w:rsidP="00271386">
      <w:pPr>
        <w:pStyle w:val="BodyText1"/>
        <w:rPr>
          <w:rFonts w:cs="Times New Roman"/>
          <w:iCs/>
          <w:color w:val="auto"/>
          <w:lang w:val="en-GB"/>
        </w:rPr>
      </w:pPr>
      <w:r w:rsidRPr="00922655">
        <w:rPr>
          <w:rFonts w:cs="Times New Roman"/>
          <w:iCs/>
          <w:color w:val="auto"/>
          <w:lang w:val="en-GB"/>
        </w:rPr>
        <w:t>The approach to standardised costs is helpful for PRIIPs which pass through actual cash transactions in underlying securities, in that it would be impossible for many PRIIPs manufacturers to identify the actual costs of these transactions. However, for PRIIPS manufacturers who pass through the value of positions taken synthetically, these figures will not relate to any actual cost incurred by the manufacturer. As a result it should be made clear that these proxies for actual costs should only be used where the outcome of an actual transaction is a cash underlying that is passed through to the end investor.</w:t>
      </w:r>
    </w:p>
    <w:permEnd w:id="667178367"/>
    <w:p w:rsidR="003E4B00" w:rsidRPr="003E4B00" w:rsidRDefault="003E4B00" w:rsidP="003E4B00">
      <w:pPr>
        <w:rPr>
          <w:lang w:val="fr-FR"/>
        </w:rPr>
      </w:pPr>
      <w:r w:rsidRPr="00580880">
        <w:rPr>
          <w:lang w:val="fr-FR"/>
        </w:rPr>
        <w:t>&lt;ESMA_QUESTION_</w:t>
      </w:r>
      <w:r>
        <w:rPr>
          <w:lang w:val="fr-FR"/>
        </w:rPr>
        <w:t>PRIIPS_17</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18</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lastRenderedPageBreak/>
        <w:t>Do you agree that the monetary values indicated in the first table are a sum of costs over the respective holding periods? Or should the values reflect annualized amounts? If you prefer annualized amounts, which method for annualisation should be used (e.g. arithmetic average or methods that consider di</w:t>
      </w:r>
      <w:r w:rsidRPr="00A2049D">
        <w:rPr>
          <w:rFonts w:ascii="Calibri" w:hAnsi="Calibri"/>
          <w:i/>
          <w:sz w:val="22"/>
          <w:lang w:eastAsia="en-US"/>
        </w:rPr>
        <w:t>s</w:t>
      </w:r>
      <w:r w:rsidRPr="00A2049D">
        <w:rPr>
          <w:rFonts w:ascii="Calibri" w:hAnsi="Calibri"/>
          <w:i/>
          <w:sz w:val="22"/>
          <w:lang w:eastAsia="en-US"/>
        </w:rPr>
        <w:t>counting effects)?</w:t>
      </w:r>
    </w:p>
    <w:p w:rsidR="003E4B00" w:rsidRDefault="003E4B00" w:rsidP="003E4B00"/>
    <w:p w:rsidR="003E4B00" w:rsidRDefault="003E4B00" w:rsidP="003E4B00">
      <w:r>
        <w:t>&lt;ESMA_QUESTION_PRIIPS_18&gt;</w:t>
      </w:r>
    </w:p>
    <w:p w:rsidR="00271386" w:rsidRPr="00922655" w:rsidRDefault="00271386" w:rsidP="00271386">
      <w:pPr>
        <w:pStyle w:val="BodyText1"/>
        <w:rPr>
          <w:rFonts w:cs="Times New Roman"/>
          <w:b/>
          <w:iCs/>
          <w:color w:val="auto"/>
        </w:rPr>
      </w:pPr>
      <w:permStart w:id="2137542657" w:edGrp="everyone"/>
      <w:r w:rsidRPr="00922655">
        <w:rPr>
          <w:rFonts w:cs="Times New Roman"/>
          <w:iCs/>
          <w:color w:val="auto"/>
          <w:lang w:val="en-GB"/>
        </w:rPr>
        <w:t>In almost all other forms of financial communication with investors (personal loans, mortgages, deposit accounts, fund management fees) investors are provided with annua</w:t>
      </w:r>
      <w:r w:rsidRPr="00922655">
        <w:rPr>
          <w:rFonts w:cs="Times New Roman"/>
          <w:iCs/>
          <w:color w:val="auto"/>
          <w:lang w:val="en-GB"/>
        </w:rPr>
        <w:t>l</w:t>
      </w:r>
      <w:r w:rsidRPr="00922655">
        <w:rPr>
          <w:rFonts w:cs="Times New Roman"/>
          <w:iCs/>
          <w:color w:val="auto"/>
          <w:lang w:val="en-GB"/>
        </w:rPr>
        <w:t>ised rather than total costs as the primary cost indicator. It seems odd to present this pa</w:t>
      </w:r>
      <w:r w:rsidRPr="00922655">
        <w:rPr>
          <w:rFonts w:cs="Times New Roman"/>
          <w:iCs/>
          <w:color w:val="auto"/>
          <w:lang w:val="en-GB"/>
        </w:rPr>
        <w:t>r</w:t>
      </w:r>
      <w:r w:rsidRPr="00922655">
        <w:rPr>
          <w:rFonts w:cs="Times New Roman"/>
          <w:iCs/>
          <w:color w:val="auto"/>
          <w:lang w:val="en-GB"/>
        </w:rPr>
        <w:t>ticular product type using a different format. In our view this will create a significant risk that investors will assume that the total cost is an annualised cost and be misled as a r</w:t>
      </w:r>
      <w:r w:rsidRPr="00922655">
        <w:rPr>
          <w:rFonts w:cs="Times New Roman"/>
          <w:iCs/>
          <w:color w:val="auto"/>
          <w:lang w:val="en-GB"/>
        </w:rPr>
        <w:t>e</w:t>
      </w:r>
      <w:r w:rsidRPr="00922655">
        <w:rPr>
          <w:rFonts w:cs="Times New Roman"/>
          <w:iCs/>
          <w:color w:val="auto"/>
          <w:lang w:val="en-GB"/>
        </w:rPr>
        <w:t>sult.</w:t>
      </w:r>
    </w:p>
    <w:p w:rsidR="00271386" w:rsidRPr="00922655" w:rsidRDefault="00271386" w:rsidP="00271386">
      <w:pPr>
        <w:pStyle w:val="BodyText1"/>
        <w:rPr>
          <w:rFonts w:cs="Times New Roman"/>
          <w:iCs/>
          <w:color w:val="auto"/>
          <w:lang w:val="en-GB"/>
        </w:rPr>
      </w:pPr>
      <w:r w:rsidRPr="00922655">
        <w:rPr>
          <w:rFonts w:cs="Times New Roman"/>
          <w:iCs/>
          <w:color w:val="auto"/>
          <w:lang w:val="en-GB"/>
        </w:rPr>
        <w:t>Annualised amounts is artificial for structured products with upfront/embedded costs and no annual/ongoing fees. Many structured products have typical one-off costs and for such products it may be difficult or confusing to present these as an annualised amount. For e</w:t>
      </w:r>
      <w:r w:rsidRPr="00922655">
        <w:rPr>
          <w:rFonts w:cs="Times New Roman"/>
          <w:iCs/>
          <w:color w:val="auto"/>
          <w:lang w:val="en-GB"/>
        </w:rPr>
        <w:t>x</w:t>
      </w:r>
      <w:r w:rsidRPr="00922655">
        <w:rPr>
          <w:rFonts w:cs="Times New Roman"/>
          <w:iCs/>
          <w:color w:val="auto"/>
          <w:lang w:val="en-GB"/>
        </w:rPr>
        <w:t>ample, some products may have a secondary market with a bid/offer spread of 1%, how would one describe the exit fees for such a product if it had, for example, a five year te</w:t>
      </w:r>
      <w:r w:rsidRPr="00922655">
        <w:rPr>
          <w:rFonts w:cs="Times New Roman"/>
          <w:iCs/>
          <w:color w:val="auto"/>
          <w:lang w:val="en-GB"/>
        </w:rPr>
        <w:t>n</w:t>
      </w:r>
      <w:r w:rsidRPr="00922655">
        <w:rPr>
          <w:rFonts w:cs="Times New Roman"/>
          <w:iCs/>
          <w:color w:val="auto"/>
          <w:lang w:val="en-GB"/>
        </w:rPr>
        <w:t>or</w:t>
      </w:r>
      <w:r>
        <w:rPr>
          <w:rFonts w:cs="Times New Roman"/>
          <w:iCs/>
          <w:color w:val="auto"/>
          <w:lang w:val="en-GB"/>
        </w:rPr>
        <w:t>? Thus we would propose that if</w:t>
      </w:r>
      <w:r w:rsidRPr="00922655">
        <w:rPr>
          <w:rFonts w:cs="Times New Roman"/>
          <w:iCs/>
          <w:color w:val="auto"/>
          <w:lang w:val="en-GB"/>
        </w:rPr>
        <w:t xml:space="preserve"> a fee is not paid or accrued annually it should not be presented as an annualised amount.</w:t>
      </w:r>
    </w:p>
    <w:permEnd w:id="2137542657"/>
    <w:p w:rsidR="003E4B00" w:rsidRPr="003E4B00" w:rsidRDefault="003E4B00" w:rsidP="003E4B00">
      <w:pPr>
        <w:rPr>
          <w:lang w:val="fr-FR"/>
        </w:rPr>
      </w:pPr>
      <w:r w:rsidRPr="00580880">
        <w:rPr>
          <w:lang w:val="fr-FR"/>
        </w:rPr>
        <w:t>&lt;ESMA_QUESTION_</w:t>
      </w:r>
      <w:r>
        <w:rPr>
          <w:lang w:val="fr-FR"/>
        </w:rPr>
        <w:t>PRIIPS_18</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19</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think that estimating the fair value of biometric risk premiums as stated in paragraph 55(b) of Annex VI would raise any technical or practical difficulties?</w:t>
      </w:r>
    </w:p>
    <w:p w:rsidR="00A2049D" w:rsidRDefault="00A2049D" w:rsidP="00A2049D">
      <w:pPr>
        <w:jc w:val="both"/>
        <w:rPr>
          <w:rFonts w:ascii="Times New Roman" w:hAnsi="Times New Roman"/>
          <w:sz w:val="22"/>
          <w:lang w:eastAsia="en-US"/>
        </w:rPr>
      </w:pPr>
    </w:p>
    <w:p w:rsidR="003E4B00" w:rsidRDefault="003E4B00" w:rsidP="003E4B00">
      <w:r>
        <w:t>&lt;ESMA_QUESTION_PRIIPS_1</w:t>
      </w:r>
      <w:r w:rsidR="00491E49">
        <w:t>9</w:t>
      </w:r>
      <w:r>
        <w:t>&gt;</w:t>
      </w:r>
    </w:p>
    <w:p w:rsidR="003E4B00" w:rsidRDefault="003E4B00" w:rsidP="003E4B00">
      <w:permStart w:id="1705837520" w:edGrp="everyone"/>
      <w:r>
        <w:t>TYPE YOUR TEXT HERE</w:t>
      </w:r>
    </w:p>
    <w:permEnd w:id="1705837520"/>
    <w:p w:rsidR="003E4B00" w:rsidRPr="003E4B00" w:rsidRDefault="003E4B00" w:rsidP="003E4B00">
      <w:pPr>
        <w:rPr>
          <w:lang w:val="fr-FR"/>
        </w:rPr>
      </w:pPr>
      <w:r w:rsidRPr="00580880">
        <w:rPr>
          <w:lang w:val="fr-FR"/>
        </w:rPr>
        <w:t>&lt;ESMA_QUESTION_</w:t>
      </w:r>
      <w:r>
        <w:rPr>
          <w:lang w:val="fr-FR"/>
        </w:rPr>
        <w:t>PRIIPS_1</w:t>
      </w:r>
      <w:r w:rsidR="00491E49">
        <w:rPr>
          <w:lang w:val="fr-FR"/>
        </w:rPr>
        <w:t>9</w:t>
      </w:r>
      <w:r w:rsidRPr="00580880">
        <w:rPr>
          <w:lang w:val="fr-FR"/>
        </w:rPr>
        <w:t>&gt;</w:t>
      </w:r>
    </w:p>
    <w:p w:rsidR="003E4B00" w:rsidRDefault="003E4B00" w:rsidP="00A2049D">
      <w:pPr>
        <w:jc w:val="both"/>
        <w:rPr>
          <w:rFonts w:ascii="Times New Roman" w:hAnsi="Times New Roman"/>
          <w:sz w:val="22"/>
          <w:lang w:eastAsia="en-US"/>
        </w:rPr>
      </w:pPr>
    </w:p>
    <w:p w:rsidR="003E4B00" w:rsidRDefault="003E4B00" w:rsidP="00A2049D">
      <w:pPr>
        <w:jc w:val="both"/>
        <w:rPr>
          <w:rFonts w:ascii="Times New Roman" w:hAnsi="Times New Roman"/>
          <w:sz w:val="22"/>
          <w:lang w:eastAsia="en-US"/>
        </w:rPr>
      </w:pPr>
    </w:p>
    <w:p w:rsidR="00491E49" w:rsidRPr="00A2049D" w:rsidRDefault="00491E49" w:rsidP="00A2049D">
      <w:pPr>
        <w:jc w:val="both"/>
        <w:rPr>
          <w:rFonts w:ascii="Times New Roman" w:hAnsi="Times New Roman"/>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20</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sz w:val="22"/>
          <w:lang w:eastAsia="en-US"/>
        </w:rPr>
      </w:pPr>
      <w:r w:rsidRPr="00A2049D">
        <w:rPr>
          <w:rFonts w:ascii="Calibri" w:hAnsi="Calibri"/>
          <w:i/>
          <w:sz w:val="22"/>
          <w:lang w:eastAsia="en-US"/>
        </w:rPr>
        <w:t>Knowing that the cost element of the biometric risk premium is included in the total costs calculation, how do you think the investor might be most efficiently informed about the other part of the biometric risk premium (i.e. the fair value), and/or the size of biometric risk premium overall? Do you consider it useful to include the fair value in a separate line in the first table, potentially below the RIY? Or should information on the fair value be disclosed in another part of the KID (for instance, the “What is this pro</w:t>
      </w:r>
      <w:r w:rsidRPr="00A2049D">
        <w:rPr>
          <w:rFonts w:ascii="Calibri" w:hAnsi="Calibri"/>
          <w:i/>
          <w:sz w:val="22"/>
          <w:lang w:eastAsia="en-US"/>
        </w:rPr>
        <w:t>d</w:t>
      </w:r>
      <w:r w:rsidRPr="00A2049D">
        <w:rPr>
          <w:rFonts w:ascii="Calibri" w:hAnsi="Calibri"/>
          <w:i/>
          <w:sz w:val="22"/>
          <w:lang w:eastAsia="en-US"/>
        </w:rPr>
        <w:t>uct?” section, where the draft RTS currently disclose biometric risk premiums in total, and/or in the pe</w:t>
      </w:r>
      <w:r w:rsidRPr="00A2049D">
        <w:rPr>
          <w:rFonts w:ascii="Calibri" w:hAnsi="Calibri"/>
          <w:i/>
          <w:sz w:val="22"/>
          <w:lang w:eastAsia="en-US"/>
        </w:rPr>
        <w:t>r</w:t>
      </w:r>
      <w:r w:rsidRPr="00A2049D">
        <w:rPr>
          <w:rFonts w:ascii="Calibri" w:hAnsi="Calibri"/>
          <w:i/>
          <w:sz w:val="22"/>
          <w:lang w:eastAsia="en-US"/>
        </w:rPr>
        <w:t xml:space="preserve">formance section)? What accompanying narrative text do you think is needed, and where should this be placed, including specifically narrative text in the cost section? </w:t>
      </w:r>
    </w:p>
    <w:p w:rsidR="00491E49" w:rsidRDefault="00491E49" w:rsidP="00491E49"/>
    <w:p w:rsidR="00491E49" w:rsidRDefault="00491E49" w:rsidP="00491E49">
      <w:r>
        <w:t>&lt;ESMA_QUESTION_PRIIPS_20&gt;</w:t>
      </w:r>
    </w:p>
    <w:p w:rsidR="00491E49" w:rsidRDefault="00491E49" w:rsidP="00491E49">
      <w:permStart w:id="1117222467" w:edGrp="everyone"/>
      <w:r>
        <w:t>TYPE YOUR TEXT HERE</w:t>
      </w:r>
    </w:p>
    <w:permEnd w:id="1117222467"/>
    <w:p w:rsidR="00491E49" w:rsidRPr="003E4B00" w:rsidRDefault="00491E49" w:rsidP="00491E49">
      <w:pPr>
        <w:rPr>
          <w:lang w:val="fr-FR"/>
        </w:rPr>
      </w:pPr>
      <w:r w:rsidRPr="00580880">
        <w:rPr>
          <w:lang w:val="fr-FR"/>
        </w:rPr>
        <w:t>&lt;ESMA_QUESTION_</w:t>
      </w:r>
      <w:r>
        <w:rPr>
          <w:lang w:val="fr-FR"/>
        </w:rPr>
        <w:t>PRIIPS_20</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lastRenderedPageBreak/>
        <w:t>Question 21</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Given evidence as to the difficulties consumers may have using percentage figures, would you prefer an alternative presentation of the second table, solely using monetary values instead? As with the first table, please also explain what difficulties you think might arise from calculating monetary values, and whether this should be on an annualized basis, and if so, how?</w:t>
      </w:r>
    </w:p>
    <w:p w:rsidR="00A2049D" w:rsidRDefault="00A2049D" w:rsidP="00A2049D">
      <w:pPr>
        <w:jc w:val="both"/>
        <w:rPr>
          <w:rFonts w:ascii="Calibri" w:hAnsi="Calibri"/>
          <w:b/>
          <w:sz w:val="22"/>
          <w:lang w:eastAsia="en-US"/>
        </w:rPr>
      </w:pPr>
    </w:p>
    <w:p w:rsidR="00491E49" w:rsidRDefault="00491E49" w:rsidP="00491E49">
      <w:r>
        <w:t>&lt;ESMA_QUESTION_PRIIPS_21&gt;</w:t>
      </w:r>
    </w:p>
    <w:p w:rsidR="00271386" w:rsidRPr="00172436" w:rsidRDefault="00271386" w:rsidP="00271386">
      <w:pPr>
        <w:pStyle w:val="BodyText1"/>
        <w:rPr>
          <w:rFonts w:cs="Times New Roman"/>
          <w:iCs/>
          <w:color w:val="auto"/>
          <w:lang w:val="en-GB"/>
        </w:rPr>
      </w:pPr>
      <w:permStart w:id="840981414" w:edGrp="everyone"/>
      <w:r>
        <w:rPr>
          <w:rFonts w:cs="Times New Roman"/>
          <w:iCs/>
          <w:color w:val="auto"/>
          <w:lang w:val="en-GB"/>
        </w:rPr>
        <w:t>I</w:t>
      </w:r>
      <w:r w:rsidRPr="00172436">
        <w:rPr>
          <w:rFonts w:cs="Times New Roman"/>
          <w:iCs/>
          <w:color w:val="auto"/>
          <w:lang w:val="en-GB"/>
        </w:rPr>
        <w:t xml:space="preserve">nvestors are usually presented with costs expressed as percentages. If that is departed from as regards this product but adhered to for other products, we perceive an increasing chance of consumers being misled. </w:t>
      </w:r>
    </w:p>
    <w:p w:rsidR="00271386" w:rsidRPr="00172436" w:rsidRDefault="00271386" w:rsidP="00271386">
      <w:pPr>
        <w:pStyle w:val="BodyText1"/>
        <w:rPr>
          <w:rFonts w:cs="Times New Roman"/>
          <w:iCs/>
          <w:color w:val="auto"/>
          <w:lang w:val="en-GB"/>
        </w:rPr>
      </w:pPr>
      <w:r w:rsidRPr="00172436">
        <w:rPr>
          <w:rFonts w:cs="Times New Roman"/>
          <w:iCs/>
          <w:color w:val="auto"/>
          <w:lang w:val="en-GB"/>
        </w:rPr>
        <w:t>Percentage amounts, rather than monetary values, are preferred for ease of comprehe</w:t>
      </w:r>
      <w:r w:rsidRPr="00172436">
        <w:rPr>
          <w:rFonts w:cs="Times New Roman"/>
          <w:iCs/>
          <w:color w:val="auto"/>
          <w:lang w:val="en-GB"/>
        </w:rPr>
        <w:t>n</w:t>
      </w:r>
      <w:r w:rsidRPr="00172436">
        <w:rPr>
          <w:rFonts w:cs="Times New Roman"/>
          <w:iCs/>
          <w:color w:val="auto"/>
          <w:lang w:val="en-GB"/>
        </w:rPr>
        <w:t>sion.</w:t>
      </w:r>
    </w:p>
    <w:permEnd w:id="840981414"/>
    <w:p w:rsidR="00491E49" w:rsidRPr="003E4B00" w:rsidRDefault="00491E49" w:rsidP="00491E49">
      <w:pPr>
        <w:rPr>
          <w:lang w:val="fr-FR"/>
        </w:rPr>
      </w:pPr>
      <w:r w:rsidRPr="00580880">
        <w:rPr>
          <w:lang w:val="fr-FR"/>
        </w:rPr>
        <w:t>&lt;ESMA_QUESTION_</w:t>
      </w:r>
      <w:r>
        <w:rPr>
          <w:lang w:val="fr-FR"/>
        </w:rPr>
        <w:t>PRIIPS_21</w:t>
      </w:r>
      <w:r w:rsidRPr="00580880">
        <w:rPr>
          <w:lang w:val="fr-FR"/>
        </w:rPr>
        <w:t>&gt;</w:t>
      </w:r>
    </w:p>
    <w:p w:rsidR="00491E49" w:rsidRDefault="00491E49" w:rsidP="00A2049D">
      <w:pPr>
        <w:jc w:val="both"/>
        <w:rPr>
          <w:rFonts w:ascii="Calibri" w:hAnsi="Calibri"/>
          <w:b/>
          <w:sz w:val="22"/>
          <w:lang w:eastAsia="en-US"/>
        </w:rPr>
      </w:pPr>
    </w:p>
    <w:p w:rsidR="00491E49" w:rsidRPr="00A2049D" w:rsidRDefault="00491E49" w:rsidP="00A2049D">
      <w:pPr>
        <w:jc w:val="both"/>
        <w:rPr>
          <w:rFonts w:ascii="Calibri" w:hAnsi="Calibri"/>
          <w:b/>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22</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Given the number of tables shown in the KID, do you think a more graphic presentation of the breakout table should be preferred?</w:t>
      </w:r>
    </w:p>
    <w:p w:rsidR="00491E49" w:rsidRDefault="00491E49" w:rsidP="00491E49"/>
    <w:p w:rsidR="00491E49" w:rsidRDefault="00491E49" w:rsidP="00491E49">
      <w:r>
        <w:t>&lt;ESMA_QUESTION_PRIIPS_22&gt;</w:t>
      </w:r>
    </w:p>
    <w:p w:rsidR="00271386" w:rsidRPr="00172436" w:rsidRDefault="00271386" w:rsidP="00271386">
      <w:pPr>
        <w:pStyle w:val="BodyText1"/>
        <w:rPr>
          <w:rFonts w:cs="Times New Roman"/>
          <w:iCs/>
          <w:color w:val="auto"/>
        </w:rPr>
      </w:pPr>
      <w:permStart w:id="379465140" w:edGrp="everyone"/>
      <w:r w:rsidRPr="00172436">
        <w:rPr>
          <w:rFonts w:cs="Times New Roman"/>
          <w:iCs/>
          <w:color w:val="auto"/>
        </w:rPr>
        <w:t>Whilst graphics can be informative, our view is that tabular form is preferable for simpli</w:t>
      </w:r>
      <w:r>
        <w:rPr>
          <w:rFonts w:cs="Times New Roman"/>
          <w:iCs/>
          <w:color w:val="auto"/>
        </w:rPr>
        <w:t>c</w:t>
      </w:r>
      <w:r>
        <w:rPr>
          <w:rFonts w:cs="Times New Roman"/>
          <w:iCs/>
          <w:color w:val="auto"/>
        </w:rPr>
        <w:t>ity, ease of interpretation and compliance with the mandated 3 page limit of the KID.</w:t>
      </w:r>
    </w:p>
    <w:permEnd w:id="379465140"/>
    <w:p w:rsidR="00491E49" w:rsidRPr="003E4B00" w:rsidRDefault="00491E49" w:rsidP="00491E49">
      <w:pPr>
        <w:rPr>
          <w:lang w:val="fr-FR"/>
        </w:rPr>
      </w:pPr>
      <w:r w:rsidRPr="00580880">
        <w:rPr>
          <w:lang w:val="fr-FR"/>
        </w:rPr>
        <w:t>&lt;ESMA_QUESTION_</w:t>
      </w:r>
      <w:r>
        <w:rPr>
          <w:lang w:val="fr-FR"/>
        </w:rPr>
        <w:t>PRIIPS_22</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23</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The example presented above includes a possible way of showing the variability of performance fees, by showing the level for all three performance scenarios in the KID, highlighting the ‘moderate‘ scenario, which would be used for the calculation of the total costs. Do you believe that this additional information should be included in the KID?</w:t>
      </w:r>
    </w:p>
    <w:p w:rsidR="00A2049D" w:rsidRDefault="00A2049D" w:rsidP="00A2049D">
      <w:pPr>
        <w:jc w:val="both"/>
        <w:rPr>
          <w:rFonts w:ascii="Times New Roman" w:hAnsi="Times New Roman"/>
          <w:sz w:val="22"/>
          <w:lang w:eastAsia="en-US"/>
        </w:rPr>
      </w:pPr>
    </w:p>
    <w:p w:rsidR="00491E49" w:rsidRDefault="00491E49" w:rsidP="00491E49">
      <w:r>
        <w:t>&lt;ESMA_QUESTION_PRIIPS_23&gt;</w:t>
      </w:r>
    </w:p>
    <w:p w:rsidR="00271386" w:rsidRPr="00172436" w:rsidRDefault="00271386" w:rsidP="00271386">
      <w:pPr>
        <w:pStyle w:val="BodyText1"/>
        <w:rPr>
          <w:rFonts w:cs="Times New Roman"/>
          <w:b/>
          <w:iCs/>
          <w:color w:val="FF0000"/>
        </w:rPr>
      </w:pPr>
      <w:permStart w:id="151417379" w:edGrp="everyone"/>
      <w:r w:rsidRPr="00172436">
        <w:rPr>
          <w:rFonts w:cs="Times New Roman"/>
          <w:iCs/>
          <w:color w:val="auto"/>
          <w:lang w:val="en-GB"/>
        </w:rPr>
        <w:t>The KID is already a complex document, and including further information will add fu</w:t>
      </w:r>
      <w:r w:rsidRPr="00172436">
        <w:rPr>
          <w:rFonts w:cs="Times New Roman"/>
          <w:iCs/>
          <w:color w:val="auto"/>
          <w:lang w:val="en-GB"/>
        </w:rPr>
        <w:t>r</w:t>
      </w:r>
      <w:r w:rsidRPr="00172436">
        <w:rPr>
          <w:rFonts w:cs="Times New Roman"/>
          <w:iCs/>
          <w:color w:val="auto"/>
          <w:lang w:val="en-GB"/>
        </w:rPr>
        <w:t>ther complexity. This is likely to be detrimental to the overall impact, no matter how us</w:t>
      </w:r>
      <w:r w:rsidRPr="00172436">
        <w:rPr>
          <w:rFonts w:cs="Times New Roman"/>
          <w:iCs/>
          <w:color w:val="auto"/>
          <w:lang w:val="en-GB"/>
        </w:rPr>
        <w:t>e</w:t>
      </w:r>
      <w:r w:rsidRPr="00172436">
        <w:rPr>
          <w:rFonts w:cs="Times New Roman"/>
          <w:iCs/>
          <w:color w:val="auto"/>
          <w:lang w:val="en-GB"/>
        </w:rPr>
        <w:t>ful the individual piece of information may be. There is also the risk that by highlighting the "moderate" scenario, investors may be induced to think that this represents a promise of that return. This would be a highly undesirable outcome for both investors and regul</w:t>
      </w:r>
      <w:r w:rsidRPr="00172436">
        <w:rPr>
          <w:rFonts w:cs="Times New Roman"/>
          <w:iCs/>
          <w:color w:val="auto"/>
          <w:lang w:val="en-GB"/>
        </w:rPr>
        <w:t>a</w:t>
      </w:r>
      <w:r w:rsidRPr="00172436">
        <w:rPr>
          <w:rFonts w:cs="Times New Roman"/>
          <w:iCs/>
          <w:color w:val="auto"/>
          <w:lang w:val="en-GB"/>
        </w:rPr>
        <w:t>tors. No outcome should be flagged by the document as the outcome which an investor should rely on unless that return is formally committed to by the PRIIP manufacturer.</w:t>
      </w:r>
    </w:p>
    <w:permEnd w:id="151417379"/>
    <w:p w:rsidR="00491E49" w:rsidRPr="003E4B00" w:rsidRDefault="00491E49" w:rsidP="00491E49">
      <w:pPr>
        <w:rPr>
          <w:lang w:val="fr-FR"/>
        </w:rPr>
      </w:pPr>
      <w:r w:rsidRPr="00580880">
        <w:rPr>
          <w:lang w:val="fr-FR"/>
        </w:rPr>
        <w:t>&lt;ESMA_QUESTION_</w:t>
      </w:r>
      <w:r>
        <w:rPr>
          <w:lang w:val="fr-FR"/>
        </w:rPr>
        <w:t>PRIIPS_23</w:t>
      </w:r>
      <w:r w:rsidRPr="00580880">
        <w:rPr>
          <w:lang w:val="fr-FR"/>
        </w:rPr>
        <w:t>&gt;</w:t>
      </w:r>
    </w:p>
    <w:p w:rsidR="00491E49" w:rsidRDefault="00491E49" w:rsidP="00A2049D">
      <w:pPr>
        <w:jc w:val="both"/>
        <w:rPr>
          <w:rFonts w:ascii="Times New Roman" w:hAnsi="Times New Roman"/>
          <w:sz w:val="22"/>
          <w:lang w:eastAsia="en-US"/>
        </w:rPr>
      </w:pPr>
    </w:p>
    <w:p w:rsidR="00491E49" w:rsidRDefault="00491E49" w:rsidP="00A2049D">
      <w:pPr>
        <w:jc w:val="both"/>
        <w:rPr>
          <w:rFonts w:ascii="Times New Roman" w:hAnsi="Times New Roman"/>
          <w:sz w:val="22"/>
          <w:lang w:eastAsia="en-US"/>
        </w:rPr>
      </w:pPr>
    </w:p>
    <w:p w:rsidR="00491E49" w:rsidRPr="00A2049D" w:rsidRDefault="00491E49" w:rsidP="00A2049D">
      <w:pPr>
        <w:jc w:val="both"/>
        <w:rPr>
          <w:rFonts w:ascii="Times New Roman" w:hAnsi="Times New Roman"/>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24</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lastRenderedPageBreak/>
        <w:t xml:space="preserve">To reduce the volume of information, should the first and the second table of Annex VII be combined in one table? Should this be supplemented with a breakdown of costs as suggested in the graphic above? </w:t>
      </w:r>
    </w:p>
    <w:p w:rsidR="00491E49" w:rsidRDefault="00491E49" w:rsidP="00491E49"/>
    <w:p w:rsidR="00491E49" w:rsidRDefault="00491E49" w:rsidP="00491E49">
      <w:r>
        <w:t>&lt;ESMA_QUESTION_PRIIPS_24&gt;</w:t>
      </w:r>
    </w:p>
    <w:p w:rsidR="00271386" w:rsidRPr="00172436" w:rsidRDefault="00271386" w:rsidP="00271386">
      <w:pPr>
        <w:pStyle w:val="BodyText1"/>
        <w:rPr>
          <w:rFonts w:cs="Times New Roman"/>
          <w:b/>
          <w:iCs/>
          <w:color w:val="auto"/>
        </w:rPr>
      </w:pPr>
      <w:permStart w:id="1368353600" w:edGrp="everyone"/>
      <w:r w:rsidRPr="00172436">
        <w:rPr>
          <w:rFonts w:cs="Times New Roman"/>
          <w:iCs/>
          <w:color w:val="auto"/>
        </w:rPr>
        <w:t>In light of the mandated length of the KID, we would prefer the tables to be combined i</w:t>
      </w:r>
      <w:r w:rsidRPr="00172436">
        <w:rPr>
          <w:rFonts w:cs="Times New Roman"/>
          <w:iCs/>
          <w:color w:val="auto"/>
        </w:rPr>
        <w:t>n</w:t>
      </w:r>
      <w:r w:rsidRPr="00172436">
        <w:rPr>
          <w:rFonts w:cs="Times New Roman"/>
          <w:iCs/>
          <w:color w:val="auto"/>
        </w:rPr>
        <w:t>to a single table without any graphics.</w:t>
      </w:r>
    </w:p>
    <w:permEnd w:id="1368353600"/>
    <w:p w:rsidR="00491E49" w:rsidRPr="003E4B00" w:rsidRDefault="00491E49" w:rsidP="00491E49">
      <w:pPr>
        <w:rPr>
          <w:lang w:val="fr-FR"/>
        </w:rPr>
      </w:pPr>
      <w:r w:rsidRPr="00580880">
        <w:rPr>
          <w:lang w:val="fr-FR"/>
        </w:rPr>
        <w:t>&lt;ESMA_QUESTION_</w:t>
      </w:r>
      <w:r>
        <w:rPr>
          <w:lang w:val="fr-FR"/>
        </w:rPr>
        <w:t>PRIIPS_24</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25</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In relation to paragraph 68 a) of Annex VI: Shall the RTS specify that for structured products calculations for the cost free scenario have always to be based on an adjustment of the payments by the investor?</w:t>
      </w:r>
    </w:p>
    <w:p w:rsidR="00491E49" w:rsidRDefault="00491E49" w:rsidP="00491E49"/>
    <w:p w:rsidR="00491E49" w:rsidRDefault="00491E49" w:rsidP="00491E49">
      <w:r>
        <w:t>&lt;ESMA_QUESTION_PRIIPS_25&gt;</w:t>
      </w:r>
    </w:p>
    <w:p w:rsidR="00B93D2D" w:rsidRDefault="00B93D2D" w:rsidP="00B93D2D">
      <w:pPr>
        <w:pStyle w:val="BodyText1"/>
        <w:rPr>
          <w:iCs/>
          <w:color w:val="auto"/>
        </w:rPr>
      </w:pPr>
      <w:permStart w:id="1086989458" w:edGrp="everyone"/>
      <w:r w:rsidRPr="00172436">
        <w:rPr>
          <w:iCs/>
          <w:color w:val="auto"/>
        </w:rPr>
        <w:t>Our understanding is that the RIY would be computed as a Total Cost being annualized, defined broadly as The Total cost divided by the tenor of the product. This would ensure numbers in the cost table add up, and comparability with UCITs funds.</w:t>
      </w:r>
    </w:p>
    <w:p w:rsidR="00B93D2D" w:rsidRPr="00172436" w:rsidRDefault="00B93D2D" w:rsidP="00B93D2D">
      <w:pPr>
        <w:pStyle w:val="BodyText1"/>
        <w:rPr>
          <w:iCs/>
          <w:color w:val="auto"/>
        </w:rPr>
      </w:pPr>
      <w:r>
        <w:rPr>
          <w:iCs/>
          <w:color w:val="auto"/>
        </w:rPr>
        <w:t>The RIY allows accounting for a cost structure that can be applied to a diverse variety of structures. In addition, RIY allows an accurate estimate of the Fair Value of the product and is understandable for retail investors considering both the timing of the cost dedu</w:t>
      </w:r>
      <w:r>
        <w:rPr>
          <w:iCs/>
          <w:color w:val="auto"/>
        </w:rPr>
        <w:t>c</w:t>
      </w:r>
      <w:r>
        <w:rPr>
          <w:iCs/>
          <w:color w:val="auto"/>
        </w:rPr>
        <w:t>tions and that it is not based on an average investment.</w:t>
      </w:r>
    </w:p>
    <w:p w:rsidR="00B93D2D" w:rsidRPr="0097744B" w:rsidRDefault="00B93D2D" w:rsidP="00B93D2D">
      <w:pPr>
        <w:pStyle w:val="BodyText1"/>
        <w:rPr>
          <w:iCs/>
          <w:color w:val="auto"/>
        </w:rPr>
      </w:pPr>
      <w:r w:rsidRPr="00172436">
        <w:rPr>
          <w:iCs/>
          <w:color w:val="auto"/>
        </w:rPr>
        <w:t>We believe the calculation of the RIY (described in paragraph 66 and 68 of the CP) should be reworded and that the ESA should provide practical RIY calculation examples for structured products.</w:t>
      </w:r>
    </w:p>
    <w:permEnd w:id="1086989458"/>
    <w:p w:rsidR="00A2049D" w:rsidRPr="00491E49" w:rsidRDefault="00491E49" w:rsidP="00491E49">
      <w:pPr>
        <w:rPr>
          <w:lang w:val="fr-FR"/>
        </w:rPr>
      </w:pPr>
      <w:r w:rsidRPr="00580880">
        <w:rPr>
          <w:lang w:val="fr-FR"/>
        </w:rPr>
        <w:t>&lt;ESMA_QUESTION_</w:t>
      </w:r>
      <w:r>
        <w:rPr>
          <w:lang w:val="fr-FR"/>
        </w:rPr>
        <w:t>PRIIPS_25</w:t>
      </w:r>
      <w:r w:rsidRPr="00580880">
        <w:rPr>
          <w:lang w:val="fr-FR"/>
        </w:rPr>
        <w:t>&gt;</w:t>
      </w:r>
    </w:p>
    <w:p w:rsidR="00A2049D" w:rsidRDefault="00A2049D" w:rsidP="00750796">
      <w:pPr>
        <w:pStyle w:val="CPQuestions"/>
        <w:numPr>
          <w:ilvl w:val="0"/>
          <w:numId w:val="0"/>
        </w:numPr>
        <w:rPr>
          <w:rFonts w:cs="Arial"/>
          <w:b w:val="0"/>
          <w:szCs w:val="22"/>
        </w:rPr>
      </w:pP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t>Question 26</w:t>
      </w: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847BB0">
        <w:rPr>
          <w:rFonts w:ascii="Calibri" w:hAnsi="Calibri"/>
          <w:i/>
          <w:iCs/>
          <w:sz w:val="22"/>
          <w:lang w:eastAsia="en-US"/>
        </w:rPr>
        <w:t>Regarding the first table of the cost section presented in Annex VII, would you favour a detailed present</w:t>
      </w:r>
      <w:r w:rsidRPr="00847BB0">
        <w:rPr>
          <w:rFonts w:ascii="Calibri" w:hAnsi="Calibri"/>
          <w:i/>
          <w:iCs/>
          <w:sz w:val="22"/>
          <w:lang w:eastAsia="en-US"/>
        </w:rPr>
        <w:t>a</w:t>
      </w:r>
      <w:r w:rsidRPr="00847BB0">
        <w:rPr>
          <w:rFonts w:ascii="Calibri" w:hAnsi="Calibri"/>
          <w:i/>
          <w:iCs/>
          <w:sz w:val="22"/>
          <w:lang w:eastAsia="en-US"/>
        </w:rPr>
        <w:t>tion of the different types of costs, as suggested in the Annex, including a split between one-off, recurring and incidental costs? Alternatively, would you favour a shorter presentation of costs showing only the total costs and the RIY?</w:t>
      </w:r>
    </w:p>
    <w:p w:rsidR="00847BB0" w:rsidRDefault="00847BB0" w:rsidP="00847BB0"/>
    <w:p w:rsidR="00847BB0" w:rsidRDefault="00847BB0" w:rsidP="00847BB0">
      <w:r>
        <w:t>&lt;ESMA_QUESTION_PRIIPS_26&gt;</w:t>
      </w:r>
    </w:p>
    <w:p w:rsidR="00B93D2D" w:rsidRPr="00172436" w:rsidRDefault="00B93D2D" w:rsidP="00B93D2D">
      <w:pPr>
        <w:pStyle w:val="BodyText1"/>
        <w:rPr>
          <w:rFonts w:cs="Times New Roman"/>
          <w:iCs/>
          <w:color w:val="auto"/>
        </w:rPr>
      </w:pPr>
      <w:permStart w:id="721500074" w:edGrp="everyone"/>
      <w:r w:rsidRPr="00172436">
        <w:rPr>
          <w:rFonts w:cs="Times New Roman"/>
          <w:iCs/>
          <w:color w:val="auto"/>
        </w:rPr>
        <w:t>As per ou</w:t>
      </w:r>
      <w:r>
        <w:rPr>
          <w:rFonts w:cs="Times New Roman"/>
          <w:iCs/>
          <w:color w:val="auto"/>
        </w:rPr>
        <w:t>r response to Question 18 above,</w:t>
      </w:r>
      <w:r w:rsidRPr="00172436">
        <w:rPr>
          <w:rFonts w:cs="Times New Roman"/>
          <w:iCs/>
          <w:color w:val="auto"/>
        </w:rPr>
        <w:t xml:space="preserve"> it is impossible to present some up-front and one-off costs in an annualized format (e.g. products may have a secondary market with a bid/offer spread of 1% - how would one describe the exit fees for such a product if it had, for example, a five year tenor?). We would propose that if a fee is not paid or accrued a</w:t>
      </w:r>
      <w:r w:rsidRPr="00172436">
        <w:rPr>
          <w:rFonts w:cs="Times New Roman"/>
          <w:iCs/>
          <w:color w:val="auto"/>
        </w:rPr>
        <w:t>n</w:t>
      </w:r>
      <w:r w:rsidRPr="00172436">
        <w:rPr>
          <w:rFonts w:cs="Times New Roman"/>
          <w:iCs/>
          <w:color w:val="auto"/>
        </w:rPr>
        <w:t>nually it should not be presented as an annualized amount.</w:t>
      </w:r>
    </w:p>
    <w:permEnd w:id="721500074"/>
    <w:p w:rsidR="00847BB0" w:rsidRPr="00847BB0" w:rsidRDefault="00847BB0" w:rsidP="00847BB0">
      <w:r w:rsidRPr="00847BB0">
        <w:t>&lt;ESMA_QUESTION_PRIIPS_26&gt;</w:t>
      </w:r>
    </w:p>
    <w:p w:rsidR="00847BB0" w:rsidRDefault="00847BB0" w:rsidP="00750796">
      <w:pPr>
        <w:pStyle w:val="CPQuestions"/>
        <w:numPr>
          <w:ilvl w:val="0"/>
          <w:numId w:val="0"/>
        </w:numPr>
        <w:rPr>
          <w:rFonts w:cs="Arial"/>
          <w:b w:val="0"/>
          <w:szCs w:val="22"/>
        </w:rPr>
      </w:pPr>
    </w:p>
    <w:p w:rsidR="00847BB0" w:rsidRPr="00847BB0" w:rsidRDefault="00847BB0" w:rsidP="00847BB0">
      <w:pPr>
        <w:keepNext/>
        <w:keepLines/>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lastRenderedPageBreak/>
        <w:t>Question 27</w:t>
      </w: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sz w:val="22"/>
          <w:lang w:eastAsia="en-US"/>
        </w:rPr>
      </w:pPr>
      <w:r w:rsidRPr="00847BB0">
        <w:rPr>
          <w:rFonts w:ascii="Calibri" w:hAnsi="Calibri"/>
          <w:i/>
          <w:iCs/>
          <w:sz w:val="22"/>
          <w:lang w:eastAsia="en-US"/>
        </w:rPr>
        <w:t>Regarding the second table of the cost section presented in Annex VII, would you favour a presentation of the different types of costs showing RIY figures, as suggested in the Annex, or would you favour a prese</w:t>
      </w:r>
      <w:r w:rsidRPr="00847BB0">
        <w:rPr>
          <w:rFonts w:ascii="Calibri" w:hAnsi="Calibri"/>
          <w:i/>
          <w:iCs/>
          <w:sz w:val="22"/>
          <w:lang w:eastAsia="en-US"/>
        </w:rPr>
        <w:t>n</w:t>
      </w:r>
      <w:r w:rsidRPr="00847BB0">
        <w:rPr>
          <w:rFonts w:ascii="Calibri" w:hAnsi="Calibri"/>
          <w:i/>
          <w:iCs/>
          <w:sz w:val="22"/>
          <w:lang w:eastAsia="en-US"/>
        </w:rPr>
        <w:t>tation of costs under which each type of costs line would be expressed differently, and not as a RIY figure -expressed as a percentage of the initial invested amount, NAV, etc.?</w:t>
      </w:r>
    </w:p>
    <w:p w:rsidR="00847BB0" w:rsidRDefault="00847BB0" w:rsidP="00847BB0"/>
    <w:p w:rsidR="00847BB0" w:rsidRDefault="00847BB0" w:rsidP="00847BB0">
      <w:r>
        <w:t>&lt;ESMA_QUESTION_PRIIPS_27&gt;</w:t>
      </w:r>
    </w:p>
    <w:p w:rsidR="00B93D2D" w:rsidRPr="005B79CC" w:rsidRDefault="00B93D2D" w:rsidP="00B93D2D">
      <w:pPr>
        <w:pStyle w:val="BodyText1"/>
        <w:rPr>
          <w:rFonts w:cs="Times New Roman"/>
          <w:b/>
          <w:iCs/>
          <w:color w:val="auto"/>
        </w:rPr>
      </w:pPr>
      <w:permStart w:id="96078935" w:edGrp="everyone"/>
      <w:r w:rsidRPr="00172436">
        <w:rPr>
          <w:rFonts w:cs="Times New Roman"/>
          <w:iCs/>
          <w:color w:val="auto"/>
        </w:rPr>
        <w:t>We would prefer one methodology to be used throughout the table for simplicity and ease of interpretation. We would recommend expressing costs as a percentage of the initial i</w:t>
      </w:r>
      <w:r w:rsidRPr="00172436">
        <w:rPr>
          <w:rFonts w:cs="Times New Roman"/>
          <w:iCs/>
          <w:color w:val="auto"/>
        </w:rPr>
        <w:t>n</w:t>
      </w:r>
      <w:r w:rsidRPr="00172436">
        <w:rPr>
          <w:rFonts w:cs="Times New Roman"/>
          <w:iCs/>
          <w:color w:val="auto"/>
        </w:rPr>
        <w:t>vestment amount and not the NAV.</w:t>
      </w:r>
    </w:p>
    <w:permEnd w:id="96078935"/>
    <w:p w:rsidR="00847BB0" w:rsidRPr="00847BB0" w:rsidRDefault="00847BB0" w:rsidP="00847BB0">
      <w:r w:rsidRPr="00847BB0">
        <w:t>&lt;ESMA_QUESTION_PRIIPS_2</w:t>
      </w:r>
      <w:r>
        <w:t>7</w:t>
      </w:r>
      <w:r w:rsidRPr="00847BB0">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28</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comments on the problem definition provided in the Impact Assessment?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Are the policy issues that have been highlighted, in your view, the correct ones? If not, what issues would you highlight?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identified benefits and costs associated with each policy option?</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Is there data or evidence on the highlighted impacts that you believe needs to be taken into account?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possible impacts for providers of underlying investments for multi-option products, and in particular indirect impacts for manufacturers of underlying investments used by these products, including where these manufacturers benefit from the arrangements foreseen until the end of 2019 under Article 32 of the PRIIPs Regulation?</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Are there significant impacts you are aware of that have not been addressed in the Impact Assessment? Please provide data on their scale and extent as far as possible.</w:t>
      </w:r>
    </w:p>
    <w:p w:rsidR="00491E49" w:rsidRDefault="00491E49" w:rsidP="00491E49"/>
    <w:p w:rsidR="00491E49" w:rsidRDefault="00491E49" w:rsidP="00491E49">
      <w:r>
        <w:t>&lt;ESMA_QUESTION_PRIIPS_28&gt;</w:t>
      </w:r>
    </w:p>
    <w:p w:rsidR="00491E49" w:rsidRDefault="00491E49" w:rsidP="00491E49">
      <w:permStart w:id="718365026" w:edGrp="everyone"/>
      <w:r>
        <w:t>TYPE YOUR TEXT HERE</w:t>
      </w:r>
    </w:p>
    <w:permEnd w:id="718365026"/>
    <w:p w:rsidR="00491E49" w:rsidRPr="00491E49" w:rsidRDefault="00491E49" w:rsidP="00491E49">
      <w:pPr>
        <w:rPr>
          <w:lang w:val="fr-FR"/>
        </w:rPr>
      </w:pPr>
      <w:r w:rsidRPr="00580880">
        <w:rPr>
          <w:lang w:val="fr-FR"/>
        </w:rPr>
        <w:t>&lt;ESMA_QUESTION_</w:t>
      </w:r>
      <w:r>
        <w:rPr>
          <w:lang w:val="fr-FR"/>
        </w:rPr>
        <w:t>PRIIPS_28</w:t>
      </w:r>
      <w:r w:rsidRPr="00580880">
        <w:rPr>
          <w:lang w:val="fr-FR"/>
        </w:rPr>
        <w:t>&gt;</w:t>
      </w: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sectPr w:rsidR="00A2049D"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258" w:rsidRDefault="00A77258">
      <w:r>
        <w:separator/>
      </w:r>
    </w:p>
    <w:p w:rsidR="00A77258" w:rsidRDefault="00A77258"/>
  </w:endnote>
  <w:endnote w:type="continuationSeparator" w:id="0">
    <w:p w:rsidR="00A77258" w:rsidRDefault="00A77258">
      <w:r>
        <w:continuationSeparator/>
      </w:r>
    </w:p>
    <w:p w:rsidR="00A77258" w:rsidRDefault="00A77258"/>
  </w:endnote>
  <w:endnote w:type="continuationNotice" w:id="1">
    <w:p w:rsidR="00A77258" w:rsidRDefault="00A77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63714">
            <w:rPr>
              <w:rFonts w:cs="Arial"/>
              <w:noProof/>
              <w:sz w:val="22"/>
              <w:szCs w:val="22"/>
            </w:rPr>
            <w:t>12</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258" w:rsidRDefault="00A77258">
      <w:r>
        <w:separator/>
      </w:r>
    </w:p>
    <w:p w:rsidR="00A77258" w:rsidRDefault="00A77258"/>
  </w:footnote>
  <w:footnote w:type="continuationSeparator" w:id="0">
    <w:p w:rsidR="00A77258" w:rsidRDefault="00A77258">
      <w:r>
        <w:continuationSeparator/>
      </w:r>
    </w:p>
    <w:p w:rsidR="00A77258" w:rsidRDefault="00A77258"/>
  </w:footnote>
  <w:footnote w:type="continuationNotice" w:id="1">
    <w:p w:rsidR="00A77258" w:rsidRDefault="00A772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val="en-US" w:eastAsia="en-US"/>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2232B"/>
    <w:multiLevelType w:val="hybridMultilevel"/>
    <w:tmpl w:val="FE8A8E64"/>
    <w:lvl w:ilvl="0" w:tplc="C4C8C0B2">
      <w:start w:val="1"/>
      <w:numFmt w:val="decimal"/>
      <w:pStyle w:val="QUESTIONSESMA"/>
      <w:lvlText w:val="Q%1"/>
      <w:lvlJc w:val="left"/>
      <w:pPr>
        <w:ind w:left="142" w:firstLine="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314E20"/>
    <w:multiLevelType w:val="hybridMultilevel"/>
    <w:tmpl w:val="F1363300"/>
    <w:lvl w:ilvl="0" w:tplc="E27AFA40">
      <w:start w:val="1"/>
      <w:numFmt w:val="lowerRoman"/>
      <w:lvlText w:val="(%1)"/>
      <w:lvlJc w:val="left"/>
      <w:pPr>
        <w:ind w:left="720" w:hanging="72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876F87"/>
    <w:multiLevelType w:val="hybridMultilevel"/>
    <w:tmpl w:val="982A1622"/>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4"/>
  </w:num>
  <w:num w:numId="5">
    <w:abstractNumId w:val="27"/>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0"/>
  </w:num>
  <w:num w:numId="16">
    <w:abstractNumId w:val="1"/>
  </w:num>
  <w:num w:numId="17">
    <w:abstractNumId w:val="14"/>
  </w:num>
  <w:num w:numId="18">
    <w:abstractNumId w:val="15"/>
  </w:num>
  <w:num w:numId="19">
    <w:abstractNumId w:val="17"/>
  </w:num>
  <w:num w:numId="20">
    <w:abstractNumId w:val="28"/>
  </w:num>
  <w:num w:numId="21">
    <w:abstractNumId w:val="37"/>
  </w:num>
  <w:num w:numId="22">
    <w:abstractNumId w:val="25"/>
  </w:num>
  <w:num w:numId="23">
    <w:abstractNumId w:val="9"/>
  </w:num>
  <w:num w:numId="24">
    <w:abstractNumId w:val="31"/>
  </w:num>
  <w:num w:numId="25">
    <w:abstractNumId w:val="30"/>
  </w:num>
  <w:num w:numId="26">
    <w:abstractNumId w:val="19"/>
  </w:num>
  <w:num w:numId="27">
    <w:abstractNumId w:val="34"/>
  </w:num>
  <w:num w:numId="28">
    <w:abstractNumId w:val="39"/>
  </w:num>
  <w:num w:numId="29">
    <w:abstractNumId w:val="7"/>
  </w:num>
  <w:num w:numId="30">
    <w:abstractNumId w:val="3"/>
  </w:num>
  <w:num w:numId="31">
    <w:abstractNumId w:val="22"/>
  </w:num>
  <w:num w:numId="32">
    <w:abstractNumId w:val="2"/>
  </w:num>
  <w:num w:numId="33">
    <w:abstractNumId w:val="6"/>
  </w:num>
  <w:num w:numId="34">
    <w:abstractNumId w:val="20"/>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12"/>
  </w:num>
  <w:num w:numId="51">
    <w:abstractNumId w:val="21"/>
  </w:num>
  <w:num w:numId="52">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uLUYmNbrz4JiE86QVmYXRrTxMUo=" w:salt="bwWIKoZBezExpOy3oq12Pg=="/>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6A"/>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5CB"/>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3A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7C81"/>
    <w:rsid w:val="001F0F63"/>
    <w:rsid w:val="001F3996"/>
    <w:rsid w:val="001F44A4"/>
    <w:rsid w:val="001F579D"/>
    <w:rsid w:val="001F65EF"/>
    <w:rsid w:val="001F697B"/>
    <w:rsid w:val="002005A6"/>
    <w:rsid w:val="00201FDA"/>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1386"/>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BC1"/>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2D88"/>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B00"/>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E49"/>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544B"/>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267AA"/>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3714"/>
    <w:rsid w:val="005648A8"/>
    <w:rsid w:val="00564DE3"/>
    <w:rsid w:val="00564E44"/>
    <w:rsid w:val="00566C6A"/>
    <w:rsid w:val="00566CE5"/>
    <w:rsid w:val="00566D36"/>
    <w:rsid w:val="00573569"/>
    <w:rsid w:val="00573871"/>
    <w:rsid w:val="0057389E"/>
    <w:rsid w:val="005765C0"/>
    <w:rsid w:val="005778DE"/>
    <w:rsid w:val="00580880"/>
    <w:rsid w:val="00580B3F"/>
    <w:rsid w:val="005825F2"/>
    <w:rsid w:val="005860AF"/>
    <w:rsid w:val="00587F1D"/>
    <w:rsid w:val="00590348"/>
    <w:rsid w:val="00591161"/>
    <w:rsid w:val="00592318"/>
    <w:rsid w:val="00593133"/>
    <w:rsid w:val="0059575D"/>
    <w:rsid w:val="00596825"/>
    <w:rsid w:val="005A150A"/>
    <w:rsid w:val="005A1F5C"/>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354"/>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13E2"/>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5FE9"/>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6D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796"/>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39F"/>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47BB0"/>
    <w:rsid w:val="008503DA"/>
    <w:rsid w:val="00850B68"/>
    <w:rsid w:val="00850E82"/>
    <w:rsid w:val="0085122D"/>
    <w:rsid w:val="008519E8"/>
    <w:rsid w:val="008525FF"/>
    <w:rsid w:val="00852C03"/>
    <w:rsid w:val="0085590C"/>
    <w:rsid w:val="00855D9F"/>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A15"/>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220"/>
    <w:rsid w:val="009D55CA"/>
    <w:rsid w:val="009D5EF0"/>
    <w:rsid w:val="009D6401"/>
    <w:rsid w:val="009D6574"/>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049D"/>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77258"/>
    <w:rsid w:val="00A824A7"/>
    <w:rsid w:val="00A83644"/>
    <w:rsid w:val="00A83C07"/>
    <w:rsid w:val="00A83F40"/>
    <w:rsid w:val="00A84945"/>
    <w:rsid w:val="00A85543"/>
    <w:rsid w:val="00A8728B"/>
    <w:rsid w:val="00A90381"/>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3D2D"/>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918"/>
    <w:rsid w:val="00C14F48"/>
    <w:rsid w:val="00C15296"/>
    <w:rsid w:val="00C17750"/>
    <w:rsid w:val="00C2094B"/>
    <w:rsid w:val="00C20DC5"/>
    <w:rsid w:val="00C2294E"/>
    <w:rsid w:val="00C22A5B"/>
    <w:rsid w:val="00C23412"/>
    <w:rsid w:val="00C264C7"/>
    <w:rsid w:val="00C271C4"/>
    <w:rsid w:val="00C274F3"/>
    <w:rsid w:val="00C27F40"/>
    <w:rsid w:val="00C30A54"/>
    <w:rsid w:val="00C316F7"/>
    <w:rsid w:val="00C31DF0"/>
    <w:rsid w:val="00C33916"/>
    <w:rsid w:val="00C33ACE"/>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4053"/>
    <w:rsid w:val="00C777AD"/>
    <w:rsid w:val="00C80C53"/>
    <w:rsid w:val="00C81195"/>
    <w:rsid w:val="00C85387"/>
    <w:rsid w:val="00C85E52"/>
    <w:rsid w:val="00C86471"/>
    <w:rsid w:val="00C8677B"/>
    <w:rsid w:val="00C86F96"/>
    <w:rsid w:val="00C909C6"/>
    <w:rsid w:val="00C923B7"/>
    <w:rsid w:val="00C94D4C"/>
    <w:rsid w:val="00C95702"/>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0A5"/>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1FD"/>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19B0"/>
    <w:rsid w:val="00E04548"/>
    <w:rsid w:val="00E0484E"/>
    <w:rsid w:val="00E063F8"/>
    <w:rsid w:val="00E114D6"/>
    <w:rsid w:val="00E115A4"/>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136B"/>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1A08"/>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ListParagraph"/>
    <w:link w:val="QUESTIONSESMAChar"/>
    <w:qFormat/>
    <w:rsid w:val="002E2BC1"/>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DefaultParagraphFont"/>
    <w:link w:val="QUESTIONSESMA"/>
    <w:rsid w:val="002E2BC1"/>
    <w:rPr>
      <w:rFonts w:ascii="Arial" w:hAnsi="Arial" w:cstheme="minorBidi"/>
      <w:b/>
      <w:szCs w:val="22"/>
      <w:lang w:eastAsia="en-US"/>
    </w:rPr>
  </w:style>
  <w:style w:type="paragraph" w:customStyle="1" w:styleId="BodyText1">
    <w:name w:val="Body Text 1"/>
    <w:rsid w:val="00312D88"/>
    <w:pPr>
      <w:pBdr>
        <w:top w:val="nil"/>
        <w:left w:val="nil"/>
        <w:bottom w:val="nil"/>
        <w:right w:val="nil"/>
        <w:between w:val="nil"/>
        <w:bar w:val="nil"/>
      </w:pBdr>
      <w:spacing w:after="240"/>
      <w:ind w:left="720"/>
      <w:jc w:val="both"/>
    </w:pPr>
    <w:rPr>
      <w:rFonts w:eastAsia="Arial Unicode MS" w:cs="Arial Unicode MS"/>
      <w:color w:val="000000"/>
      <w:sz w:val="24"/>
      <w:szCs w:val="24"/>
      <w:u w:color="000000"/>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ListParagraph"/>
    <w:link w:val="QUESTIONSESMAChar"/>
    <w:qFormat/>
    <w:rsid w:val="002E2BC1"/>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DefaultParagraphFont"/>
    <w:link w:val="QUESTIONSESMA"/>
    <w:rsid w:val="002E2BC1"/>
    <w:rPr>
      <w:rFonts w:ascii="Arial" w:hAnsi="Arial" w:cstheme="minorBidi"/>
      <w:b/>
      <w:szCs w:val="22"/>
      <w:lang w:eastAsia="en-US"/>
    </w:rPr>
  </w:style>
  <w:style w:type="paragraph" w:customStyle="1" w:styleId="BodyText1">
    <w:name w:val="Body Text 1"/>
    <w:rsid w:val="00312D88"/>
    <w:pPr>
      <w:pBdr>
        <w:top w:val="nil"/>
        <w:left w:val="nil"/>
        <w:bottom w:val="nil"/>
        <w:right w:val="nil"/>
        <w:between w:val="nil"/>
        <w:bar w:val="nil"/>
      </w:pBdr>
      <w:spacing w:after="240"/>
      <w:ind w:left="720"/>
      <w:jc w:val="both"/>
    </w:pPr>
    <w:rPr>
      <w:rFonts w:eastAsia="Arial Unicode MS"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4A888-34F1-457D-AB21-8106DB4F502E}">
  <ds:schemaRefs>
    <ds:schemaRef ds:uri="http://schemas.openxmlformats.org/officeDocument/2006/bibliography"/>
  </ds:schemaRefs>
</ds:datastoreItem>
</file>

<file path=customXml/itemProps2.xml><?xml version="1.0" encoding="utf-8"?>
<ds:datastoreItem xmlns:ds="http://schemas.openxmlformats.org/officeDocument/2006/customXml" ds:itemID="{4978B775-C135-4092-91E8-19EB9924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5327</Words>
  <Characters>30369</Characters>
  <Application>Microsoft Office Word</Application>
  <DocSecurity>8</DocSecurity>
  <Lines>253</Lines>
  <Paragraphs>71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35625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Anita Millar</cp:lastModifiedBy>
  <cp:revision>19</cp:revision>
  <cp:lastPrinted>2016-01-29T09:44:00Z</cp:lastPrinted>
  <dcterms:created xsi:type="dcterms:W3CDTF">2016-01-29T09:46:00Z</dcterms:created>
  <dcterms:modified xsi:type="dcterms:W3CDTF">2016-01-29T13:33:00Z</dcterms:modified>
</cp:coreProperties>
</file>