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bookmarkStart w:id="0" w:name="_GoBack"/>
            <w:bookmarkEnd w:id="0"/>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0E35CB">
        <w:rPr>
          <w:rFonts w:cs="Arial"/>
        </w:rPr>
        <w:t>PRIIPS</w:t>
      </w:r>
      <w:r w:rsidRPr="00C25863">
        <w:t>_1&gt;</w:t>
      </w:r>
    </w:p>
    <w:p w:rsidR="003A5534" w:rsidRDefault="00583CF7" w:rsidP="003A5534">
      <w:pPr>
        <w:jc w:val="both"/>
      </w:pPr>
      <w:permStart w:id="928448572" w:edGrp="everyone"/>
      <w:r>
        <w:rPr>
          <w:rFonts w:cs="Arial"/>
          <w:sz w:val="22"/>
          <w:szCs w:val="22"/>
        </w:rPr>
        <w:t>Irish Funds, as the representative body for the international investment fund industry in Ireland, welcome the opportunity to input and comment on the ESA consultation on the PRIIPs KID.  While we provide our answers to the specific questions as requested, the most important point we wish to make generally is to ensure there is clarity and confirmation of the final guidance and 31 December 2016 deadline to produce KIDs soon as possible. We believe that should a scenario arise where the deadline is maintained but the required guidance is not offered until much later than expected, significant time, effort and cost will be have been used unnecessarily by industry companies. In our opinion, the publication date should be linked to the guidance date, otherwise industry will be left with insufficient time to develop and produce the PRIIPs KIDs.  Related to this point, if there is to be any delay to the guidance and or publication date, this should be communicated to industry as clearly and as quickly as possible.</w:t>
      </w:r>
    </w:p>
    <w:permEnd w:id="928448572"/>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750796" w:rsidRDefault="003A5534" w:rsidP="00750796">
      <w:permStart w:id="32785141" w:edGrp="everyone"/>
      <w:r w:rsidRPr="0072454C">
        <w:t xml:space="preserve">We would see merit in the ESAs clarifying further the criteria set out in Recital 18 of the PRIIPs Regulation in the form of guidelines before the deadline for the Commission review. </w:t>
      </w:r>
      <w:r w:rsidRPr="0006165C">
        <w:t xml:space="preserve">We believe that the distinction </w:t>
      </w:r>
      <w:r>
        <w:t>between</w:t>
      </w:r>
      <w:r w:rsidRPr="0006165C">
        <w:t xml:space="preserve"> complex and non-complex products should be the same as the description provided in MiFID II</w:t>
      </w:r>
      <w:r>
        <w:t>. For anything not included in MiFID II, we would like</w:t>
      </w:r>
      <w:r w:rsidRPr="0006165C">
        <w:t xml:space="preserve"> further clarification </w:t>
      </w:r>
      <w:r>
        <w:t>to be provided</w:t>
      </w:r>
      <w:r w:rsidRPr="0006165C">
        <w:t>.</w:t>
      </w:r>
      <w:r w:rsidRPr="0072454C">
        <w:t xml:space="preserve"> We believe that divergence in national practice should be avoided as it would cause a lack of comparability. In our opinion</w:t>
      </w:r>
      <w:r w:rsidR="00583CF7">
        <w:t>,</w:t>
      </w:r>
      <w:r w:rsidRPr="0072454C">
        <w:t xml:space="preserve"> the first reflections presented by the ESAs in their Discussion Paper (JC/DP/2014/02, p. 74-76) should be taken as a starting point. </w:t>
      </w:r>
      <w:r>
        <w:t>W</w:t>
      </w:r>
      <w:r w:rsidRPr="0072454C">
        <w:t xml:space="preserve">e </w:t>
      </w:r>
      <w:r>
        <w:t xml:space="preserve">particularly </w:t>
      </w:r>
      <w:r w:rsidRPr="0072454C">
        <w:t>welcome reference to article 50 of the UCITS Directive as a basis for what could or could not be included in the comprehension alert</w:t>
      </w:r>
      <w:proofErr w:type="gramStart"/>
      <w:r>
        <w:t>.</w:t>
      </w:r>
      <w:permEnd w:id="32785141"/>
      <w:r w:rsidR="00750796">
        <w:t>&lt;</w:t>
      </w:r>
      <w:proofErr w:type="gramEnd"/>
      <w:r w:rsidR="00750796">
        <w:t>ESMA_QUESTION_</w:t>
      </w:r>
      <w:r w:rsidR="003E4B00">
        <w:t>PRIIPS</w:t>
      </w:r>
      <w:r w:rsidR="00750796">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option, unless the PRIIP has a known required investment amount and price which can be used instead?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50796" w:rsidRDefault="003A5534" w:rsidP="00750796">
      <w:permStart w:id="460856772" w:edGrp="everyone"/>
      <w:r>
        <w:t>We agree that default amounts should be used for all types of PRIIPs, including those denominated in non-euro currencies so as to aid comparability for retail investors. However, we do not maintain a preference as to whether this default amount should be €1,000 or €10,000, once it is the same default amount for all PRIIPs. However, we believe that it would be useful if the minimum investment level is disclosed as many products have a higher minimum investment level than the default amount and if so it would be useful to show both. U</w:t>
      </w:r>
      <w:r w:rsidRPr="00246CE8">
        <w:t>nless the PRIIP has a known required investment amount and</w:t>
      </w:r>
      <w:r>
        <w:t xml:space="preserve"> price which can be used, we favour the use of the standard default amount for the purposes of the performance scenarios and costs calculation for PRIIPS with a known required investment amount, as again this will ensure comparability between all types of investment products. We believe it is necessary to clearly disclose the prescribed/minimum investment amount in the KID so that investors will understand that only this (minimum) </w:t>
      </w:r>
      <w:r w:rsidRPr="000666CE">
        <w:t>amount</w:t>
      </w:r>
      <w:r>
        <w:t xml:space="preserve"> can be invested.</w:t>
      </w:r>
    </w:p>
    <w:permEnd w:id="46085677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3A5534" w:rsidRDefault="003A5534" w:rsidP="003A5534">
      <w:pPr>
        <w:jc w:val="both"/>
      </w:pPr>
      <w:permStart w:id="2027781815" w:edGrp="everyone"/>
      <w:r>
        <w:t xml:space="preserve">We find the categories to be unclear and thus it is difficult to be certain of which category UCITS and AIFs should be attributed to. For this reason, we suggest redrafting Annex II to clarify this point as it greatly impacts the Market Risk Measure (MRM) calculation. We believe discussions among the expert group as regards the formula should continue so as to remove all errors and offer a renewed assessment to investors. This is crucial in order to reach a final evaluation of methodology and comparison between categories particularly Category II and III PRIIPs. However, we do agree with the </w:t>
      </w:r>
      <w:r w:rsidRPr="007522E7">
        <w:t xml:space="preserve">Cornish Fisher </w:t>
      </w:r>
      <w:r>
        <w:t>e</w:t>
      </w:r>
      <w:r w:rsidRPr="007522E7">
        <w:t xml:space="preserve">xpansion </w:t>
      </w:r>
      <w:r>
        <w:t>as</w:t>
      </w:r>
      <w:r w:rsidRPr="007522E7">
        <w:t xml:space="preserve"> an appropriate methodology to be applied </w:t>
      </w:r>
      <w:r>
        <w:t>to all C</w:t>
      </w:r>
      <w:r w:rsidRPr="007522E7">
        <w:t>ategory II</w:t>
      </w:r>
      <w:r>
        <w:t xml:space="preserve"> PRIIPs</w:t>
      </w:r>
      <w:r w:rsidRPr="007522E7">
        <w:t>.</w:t>
      </w:r>
      <w:r w:rsidRPr="004725A0">
        <w:t xml:space="preserve"> </w:t>
      </w:r>
      <w:r>
        <w:t xml:space="preserve">Moreover, we believe that </w:t>
      </w:r>
      <w:proofErr w:type="spellStart"/>
      <w:r>
        <w:t>fundhouses</w:t>
      </w:r>
      <w:proofErr w:type="spellEnd"/>
      <w:r>
        <w:t xml:space="preserve"> with products in both category II and category III should be permitted to use the Cornish Fisher approach for both categories.</w:t>
      </w:r>
    </w:p>
    <w:p w:rsidR="004F4007" w:rsidRDefault="004F4007" w:rsidP="003A5534">
      <w:pPr>
        <w:jc w:val="both"/>
      </w:pPr>
    </w:p>
    <w:p w:rsidR="003A5534" w:rsidRDefault="003A5534" w:rsidP="003A5534">
      <w:pPr>
        <w:jc w:val="both"/>
      </w:pPr>
      <w:r>
        <w:t xml:space="preserve">Following on from our calculations where we used the revised Cornish Fisher expansion for Category II PRIIPs, we found that UCITS end up in the same 7-scale MRM risk bucket as the currently used 7-scale </w:t>
      </w:r>
      <w:r>
        <w:lastRenderedPageBreak/>
        <w:t>SRRI. Since this new risk methodology reaches the same market risk indicator, we are not convinced that there is justification for the cost of implementing a new methodology for UCITS and AIFs which currently use UCITS KIID.</w:t>
      </w:r>
    </w:p>
    <w:p w:rsidR="004F4007" w:rsidRDefault="004F4007" w:rsidP="003A5534">
      <w:pPr>
        <w:jc w:val="both"/>
      </w:pPr>
    </w:p>
    <w:p w:rsidR="003A5534" w:rsidRDefault="003A5534" w:rsidP="003A5534">
      <w:pPr>
        <w:jc w:val="both"/>
        <w:rPr>
          <w:b/>
        </w:rPr>
      </w:pPr>
      <w:r w:rsidRPr="000D3176">
        <w:t>We suggest the introduction of new Class-8 MRM exclusive for PRIIPs where the maximum loss can exceed the money which was initially invested.</w:t>
      </w:r>
      <w:r>
        <w:t xml:space="preserve"> The reason for this suggestion is as follows; it is important that a PRIIP’s MRM is at all times comparable to the risk level of other PRIIPs, which is not the situation at present. We disagree with combining PRIIPs into the same Class-7 MRM, where it is possible that the investor could lose more money than that which they invested (.</w:t>
      </w:r>
      <w:proofErr w:type="spellStart"/>
      <w:r>
        <w:t>ie</w:t>
      </w:r>
      <w:proofErr w:type="spellEnd"/>
      <w:r>
        <w:t xml:space="preserve"> creating extra payment liabilities) as well as high volatility PRIIPs. We believe this would give retail investors the perception that the risk of potentially losing a large proportion of their invested money is as risky as investing into a PRIIP that </w:t>
      </w:r>
      <w:r w:rsidRPr="008E0C62">
        <w:t>creat</w:t>
      </w:r>
      <w:r>
        <w:t>es</w:t>
      </w:r>
      <w:r w:rsidRPr="008E0C62">
        <w:t xml:space="preserve"> </w:t>
      </w:r>
      <w:r w:rsidRPr="000D3176">
        <w:t xml:space="preserve">additional </w:t>
      </w:r>
      <w:r w:rsidRPr="008E0C62">
        <w:t>payment liabilities</w:t>
      </w:r>
      <w:r>
        <w:t xml:space="preserve"> beyond the initially invested amount. </w:t>
      </w:r>
    </w:p>
    <w:p w:rsidR="004F4007" w:rsidRDefault="004F4007" w:rsidP="003A5534">
      <w:pPr>
        <w:jc w:val="both"/>
      </w:pPr>
    </w:p>
    <w:p w:rsidR="003A5534" w:rsidRDefault="003A5534" w:rsidP="003A5534">
      <w:pPr>
        <w:jc w:val="both"/>
      </w:pPr>
      <w:r>
        <w:t>We believe that where PRIIPs which invested in illiquid assets (</w:t>
      </w:r>
      <w:r w:rsidRPr="006421FB">
        <w:t>Category V</w:t>
      </w:r>
      <w:r>
        <w:t xml:space="preserve">) </w:t>
      </w:r>
      <w:r w:rsidRPr="006421FB">
        <w:t xml:space="preserve">have sufficient data </w:t>
      </w:r>
      <w:r>
        <w:t>t</w:t>
      </w:r>
      <w:r w:rsidRPr="006421FB">
        <w:t>o calculate their MRM</w:t>
      </w:r>
      <w:r>
        <w:t xml:space="preserve"> according to Category II</w:t>
      </w:r>
      <w:r w:rsidRPr="006421FB">
        <w:t xml:space="preserve">, they should be </w:t>
      </w:r>
      <w:r>
        <w:t>permitted</w:t>
      </w:r>
      <w:r w:rsidRPr="006421FB">
        <w:t xml:space="preserve"> to do so and </w:t>
      </w:r>
      <w:r>
        <w:t xml:space="preserve">only refer </w:t>
      </w:r>
      <w:r w:rsidRPr="006421FB">
        <w:t xml:space="preserve">to </w:t>
      </w:r>
      <w:r>
        <w:t xml:space="preserve">Annex II </w:t>
      </w:r>
      <w:r w:rsidRPr="006421FB">
        <w:t xml:space="preserve">para. </w:t>
      </w:r>
      <w:r>
        <w:t>14 where there is not enough data available to them to do the latter.</w:t>
      </w:r>
      <w:r w:rsidRPr="0075775F">
        <w:t xml:space="preserve"> </w:t>
      </w:r>
      <w:r>
        <w:t xml:space="preserve">Under the ESAs’ proposal </w:t>
      </w:r>
      <w:r w:rsidRPr="00462C27">
        <w:t xml:space="preserve">most equity funds </w:t>
      </w:r>
      <w:r>
        <w:t xml:space="preserve">arrive at </w:t>
      </w:r>
      <w:r w:rsidRPr="00462C27">
        <w:t>a</w:t>
      </w:r>
      <w:r>
        <w:t>n</w:t>
      </w:r>
      <w:r w:rsidRPr="00462C27">
        <w:t xml:space="preserve"> MRM of 6 to 7, </w:t>
      </w:r>
      <w:r>
        <w:t>whereas</w:t>
      </w:r>
      <w:r w:rsidRPr="00462C27">
        <w:t xml:space="preserve"> PRIIPs </w:t>
      </w:r>
      <w:r>
        <w:t xml:space="preserve">which are invested in </w:t>
      </w:r>
      <w:r w:rsidRPr="00462C27">
        <w:t>illiquid asset</w:t>
      </w:r>
      <w:r>
        <w:t>s</w:t>
      </w:r>
      <w:r w:rsidRPr="00462C27">
        <w:t xml:space="preserve"> will</w:t>
      </w:r>
      <w:r>
        <w:t xml:space="preserve"> be given an MRM of 5. </w:t>
      </w:r>
    </w:p>
    <w:p w:rsidR="004F4007" w:rsidRDefault="004F4007" w:rsidP="003A5534"/>
    <w:p w:rsidR="00750796" w:rsidRDefault="003A5534" w:rsidP="003A5534">
      <w:r>
        <w:t>We strongly disagree with using “bootstrapping” for C</w:t>
      </w:r>
      <w:r w:rsidRPr="007522E7">
        <w:t>ategory II</w:t>
      </w:r>
      <w:r>
        <w:t xml:space="preserve"> PRIIPs, as early calculations show that </w:t>
      </w:r>
      <w:r w:rsidRPr="00BA332A">
        <w:t>“Cornish Fisher”</w:t>
      </w:r>
      <w:r>
        <w:t xml:space="preserve"> calculations are comparable. Therefore, we believe there is no benefit as regards cost in doing this especially since the majority of funds will fall into only two numbers of the seven-</w:t>
      </w:r>
      <w:r w:rsidRPr="002D1386">
        <w:t xml:space="preserve">point scale.  Hence, we would prefer the use of </w:t>
      </w:r>
      <w:r w:rsidRPr="000D3176">
        <w:t>the Cornish Fisher expansion for all Category II PRIIPs.</w:t>
      </w:r>
      <w:r w:rsidR="00D54D95">
        <w:t xml:space="preserve"> </w:t>
      </w:r>
      <w:r>
        <w:t>Our final observation here is t</w:t>
      </w:r>
      <w:r w:rsidRPr="00005D74">
        <w:t xml:space="preserve">hat the </w:t>
      </w:r>
      <w:r>
        <w:t xml:space="preserve">proposed </w:t>
      </w:r>
      <w:r w:rsidRPr="00005D74">
        <w:t xml:space="preserve">methodology </w:t>
      </w:r>
      <w:r>
        <w:t>does not consider the</w:t>
      </w:r>
      <w:r w:rsidRPr="00005D74">
        <w:t xml:space="preserve"> position of multi-asset, absolute return, life-cycle PRIIPs, etc.</w:t>
      </w:r>
    </w:p>
    <w:permEnd w:id="2027781815"/>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Would you favour a different confidence interval to compute the VaR? If so, please explain which confidence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3A5534" w:rsidRDefault="003A5534" w:rsidP="003A5534">
      <w:pPr>
        <w:jc w:val="both"/>
      </w:pPr>
      <w:permStart w:id="1986333165" w:edGrp="everyone"/>
      <w:r>
        <w:t>We are in agreement with the ESAs’ proposal to adopt a confidence interval of 97.5%.</w:t>
      </w:r>
    </w:p>
    <w:permEnd w:id="1986333165"/>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3A5534" w:rsidRDefault="003A5534" w:rsidP="003A5534">
      <w:pPr>
        <w:jc w:val="both"/>
      </w:pPr>
      <w:permStart w:id="304893320" w:edGrp="everyone"/>
      <w:r>
        <w:t xml:space="preserve">We are of the opinion that </w:t>
      </w:r>
      <w:r w:rsidRPr="00F768CB">
        <w:t xml:space="preserve">the existence of a compensation or guarantee scheme </w:t>
      </w:r>
      <w:r>
        <w:t>should not alter the</w:t>
      </w:r>
      <w:r w:rsidRPr="00F768CB">
        <w:t xml:space="preserve"> credit risk assessment of an</w:t>
      </w:r>
      <w:r>
        <w:t xml:space="preserve"> individual</w:t>
      </w:r>
      <w:r w:rsidRPr="00F768CB">
        <w:t xml:space="preserve"> PRIIP</w:t>
      </w:r>
      <w:r>
        <w:t xml:space="preserve"> and its manufacturer.</w:t>
      </w:r>
    </w:p>
    <w:p w:rsidR="004F4007" w:rsidRDefault="004F4007" w:rsidP="003A5534">
      <w:pPr>
        <w:jc w:val="both"/>
      </w:pPr>
    </w:p>
    <w:p w:rsidR="003A5534" w:rsidRDefault="003A5534" w:rsidP="003A5534">
      <w:pPr>
        <w:jc w:val="both"/>
      </w:pPr>
      <w:r>
        <w:t xml:space="preserve">The KID highlights the potential risks and rewards of a PRIIP to retail investors. We feel it should be made clear to investors that these </w:t>
      </w:r>
      <w:r w:rsidRPr="00F768CB">
        <w:t>guarantee</w:t>
      </w:r>
      <w:r>
        <w:t>/compensation</w:t>
      </w:r>
      <w:r w:rsidRPr="00F768CB">
        <w:t xml:space="preserve"> schemes</w:t>
      </w:r>
      <w:r>
        <w:t xml:space="preserve"> are only to be used as a measure of last resort and not as an additional benefit that lower the PRIIP’s credit risk. Reducing the credit risk systematically for a </w:t>
      </w:r>
      <w:r w:rsidR="00CD1FA9">
        <w:t>PRIIP that</w:t>
      </w:r>
      <w:r>
        <w:t xml:space="preserve"> is connected to a national c</w:t>
      </w:r>
      <w:r w:rsidRPr="00F768CB">
        <w:t>ompensation or guarantee scheme</w:t>
      </w:r>
      <w:r>
        <w:t xml:space="preserve">, would create additional systemic risks because it would give PRIIPs with a high credit risk the benefit of a compensation scheme and as a result would be seen as being as risky as PRIIPs with a lower credit risk. The inclusion of the fact of such a scheme in the credit assessment of a PRIIP may have the effect of misleading investors into believing that investing a larger amount is equally protected. </w:t>
      </w:r>
    </w:p>
    <w:permEnd w:id="304893320"/>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lastRenderedPageBreak/>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A5534" w:rsidRDefault="003A5534" w:rsidP="003A5534">
      <w:pPr>
        <w:jc w:val="both"/>
      </w:pPr>
      <w:permStart w:id="300900338" w:edGrp="everyone"/>
      <w:r w:rsidRPr="00100FB2">
        <w:t xml:space="preserve">We believe that an increase of the SRI should be allowed in </w:t>
      </w:r>
      <w:r>
        <w:t>certain</w:t>
      </w:r>
      <w:r w:rsidRPr="00A67E58">
        <w:t xml:space="preserve"> circumstances, such as</w:t>
      </w:r>
      <w:r w:rsidRPr="008B549D">
        <w:t>, but not limited to,</w:t>
      </w:r>
      <w:r w:rsidRPr="00100FB2">
        <w:t xml:space="preserve"> (</w:t>
      </w:r>
      <w:r>
        <w:t>a</w:t>
      </w:r>
      <w:r w:rsidRPr="00100FB2">
        <w:t xml:space="preserve">) increasing the SRI by one </w:t>
      </w:r>
      <w:r>
        <w:t>bucket</w:t>
      </w:r>
      <w:r w:rsidRPr="00100FB2">
        <w:t xml:space="preserve"> in case the calculated SRI is oscillating between two risk buckets and </w:t>
      </w:r>
      <w:r>
        <w:t xml:space="preserve">(b) </w:t>
      </w:r>
      <w:r w:rsidRPr="00100FB2">
        <w:t>setting the SRI by default at 7</w:t>
      </w:r>
      <w:r>
        <w:t xml:space="preserve"> </w:t>
      </w:r>
      <w:proofErr w:type="spellStart"/>
      <w:r>
        <w:t>incase</w:t>
      </w:r>
      <w:proofErr w:type="spellEnd"/>
      <w:r>
        <w:t xml:space="preserve"> </w:t>
      </w:r>
      <w:r w:rsidRPr="00100FB2">
        <w:t>the m</w:t>
      </w:r>
      <w:r w:rsidRPr="00A67E58">
        <w:t>anufacturer considers the product to be of high risk in any circumstances.</w:t>
      </w:r>
    </w:p>
    <w:p w:rsidR="004F4007" w:rsidRDefault="004F4007" w:rsidP="003A5534">
      <w:pPr>
        <w:jc w:val="both"/>
      </w:pPr>
    </w:p>
    <w:p w:rsidR="003A5534" w:rsidRDefault="003A5534" w:rsidP="003A5534">
      <w:pPr>
        <w:jc w:val="both"/>
      </w:pPr>
      <w:r>
        <w:t>We think that where there is only a move of one risk bucket during the period, a twelve month period for revision of the SRI may be appropriate. However, in circumstances where the product moves more than one bucket, we think it should be necessary to then restate the SRI.</w:t>
      </w:r>
    </w:p>
    <w:permEnd w:id="300900338"/>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A5534" w:rsidRDefault="003A5534" w:rsidP="003A5534">
      <w:pPr>
        <w:jc w:val="both"/>
      </w:pPr>
      <w:permStart w:id="1203255768" w:edGrp="everyone"/>
      <w:r>
        <w:t xml:space="preserve">We are in agreement with </w:t>
      </w:r>
      <w:r w:rsidRPr="00F768CB">
        <w:t>an adjustment of the credit risk for the tenor</w:t>
      </w:r>
      <w:r>
        <w:t>, as the calculation for market risk is also reflecting the higher risk for longer holding periods for long term investments. It would give a false impression to retail investors that the credit risk of an obligor is the same, no matter what the holding period for the PRIIP is, if the tenor is not reflected in the credit risk it would give the false impression to retail investors that the credit risk of an obligor is the same, no matter the actual holding period of a PRIIP. We think</w:t>
      </w:r>
      <w:r w:rsidRPr="00BF4DE8">
        <w:t xml:space="preserve"> the credit risk</w:t>
      </w:r>
      <w:r>
        <w:t xml:space="preserve"> scale should coincide with the 7-scale Market Risk Measure by containing seven risk classes also, in order to facilitate less biased aggregation towards MRM as currently proposed.</w:t>
      </w:r>
    </w:p>
    <w:permEnd w:id="1203255768"/>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3A5534" w:rsidRDefault="003A5534" w:rsidP="003A5534">
      <w:pPr>
        <w:jc w:val="both"/>
      </w:pPr>
      <w:permStart w:id="431435942" w:edGrp="everyone"/>
      <w:r>
        <w:t>We strongly disagree with the aggregation of market risk and credit risk into a single risk indicator. We do not see any value or benefit in this for retail investors but rather believe this could have the effect of misleading or confusing investors.</w:t>
      </w:r>
    </w:p>
    <w:p w:rsidR="004F4007" w:rsidRDefault="004F4007" w:rsidP="003A5534">
      <w:pPr>
        <w:jc w:val="both"/>
      </w:pPr>
    </w:p>
    <w:p w:rsidR="003A5534" w:rsidRDefault="003A5534" w:rsidP="003A5534">
      <w:pPr>
        <w:jc w:val="both"/>
      </w:pPr>
      <w:r>
        <w:t>As mentioned earlier, we are sceptical towards the aggregation of PRIIPs that may lose the investor more than the money invested (i.e. creating additional payment liabilities) and other types of PRIIPs with high volatility into the same Class-7 MRM.  Hence, we would like to put forward a suggestion to introduce a new Class-8 MRM exclusively to PRIIPs where the maximum loss can exceed the money initially invested, as discussed above.</w:t>
      </w:r>
    </w:p>
    <w:p w:rsidR="004F4007" w:rsidRDefault="004F4007" w:rsidP="003A5534">
      <w:pPr>
        <w:jc w:val="both"/>
      </w:pPr>
    </w:p>
    <w:p w:rsidR="003A5534" w:rsidRPr="00F5136A" w:rsidRDefault="003A5534" w:rsidP="003A5534">
      <w:pPr>
        <w:jc w:val="both"/>
      </w:pPr>
      <w:r>
        <w:t xml:space="preserve">As detailed in earlier responses, we have a concern that the current scales do not allow for proper MRM comparability between all types of PRIIPs. Currently, most equity funds will be assigned an </w:t>
      </w:r>
      <w:r w:rsidRPr="00F5136A">
        <w:t>MRM of 6 to 7, while PRIIPs invested in illiquid assets will obtain an MRM of 5.</w:t>
      </w:r>
    </w:p>
    <w:p w:rsidR="004F4007" w:rsidRDefault="004F4007" w:rsidP="003A5534">
      <w:pPr>
        <w:jc w:val="both"/>
      </w:pPr>
    </w:p>
    <w:p w:rsidR="003A5534" w:rsidRPr="00F5136A" w:rsidRDefault="003A5534" w:rsidP="003A5534">
      <w:pPr>
        <w:jc w:val="both"/>
      </w:pPr>
      <w:r w:rsidRPr="00F5136A">
        <w:t xml:space="preserve">As a general comment, we believe that when combining market and credit risk into the summary risk indicator, credit risk is underrepresented and that these measures should in fact carry equal weightings. </w:t>
      </w:r>
      <w:r w:rsidRPr="000D3176">
        <w:t xml:space="preserve">For these reasons, we disagree with the proposed alternative to restrict the number of credit risk classes </w:t>
      </w:r>
      <w:r w:rsidRPr="000D3176">
        <w:lastRenderedPageBreak/>
        <w:t>to five, as this would cause more underweighting to credit risk and make for a more uneven playing field between different types of PRIIPs. This in turn would cause</w:t>
      </w:r>
      <w:r w:rsidRPr="00F5136A">
        <w:t xml:space="preserve"> more bias against market risk in favour of credit risk in the overall risk aggregation.</w:t>
      </w:r>
    </w:p>
    <w:permEnd w:id="431435942"/>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Are you of the opinion that for PRIIPs that offer a capital protection during their whole lifespan and can be redeemed against their initial investment at any time over the life of the PRIIP a qualitatively assessment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3A5534" w:rsidRDefault="003A5534" w:rsidP="003A5534">
      <w:pPr>
        <w:jc w:val="both"/>
      </w:pPr>
      <w:permStart w:id="1296838787" w:edGrp="everyone"/>
      <w:r w:rsidRPr="00394DA6">
        <w:t xml:space="preserve">We </w:t>
      </w:r>
      <w:r>
        <w:t>are in agreement</w:t>
      </w:r>
      <w:r w:rsidRPr="00394DA6">
        <w:t xml:space="preserve"> </w:t>
      </w:r>
      <w:r>
        <w:t>with the proposed</w:t>
      </w:r>
      <w:r w:rsidRPr="00394DA6">
        <w:t xml:space="preserve"> automatic allocation</w:t>
      </w:r>
      <w:r>
        <w:t xml:space="preserve"> of a PRIIP</w:t>
      </w:r>
      <w:r w:rsidRPr="00394DA6">
        <w:t xml:space="preserve"> to MRM class 1 whe</w:t>
      </w:r>
      <w:r>
        <w:t>re</w:t>
      </w:r>
      <w:r w:rsidRPr="00394DA6">
        <w:t xml:space="preserve"> the</w:t>
      </w:r>
      <w:r>
        <w:t>re is full (100%) capital protection</w:t>
      </w:r>
      <w:r w:rsidRPr="00394DA6">
        <w:t xml:space="preserve">. </w:t>
      </w:r>
      <w:r>
        <w:t>We would like more clarity to be provided regarding the definition of</w:t>
      </w:r>
      <w:r w:rsidRPr="00394DA6">
        <w:t xml:space="preserve"> “capital protection”</w:t>
      </w:r>
      <w:r>
        <w:t>. We also request</w:t>
      </w:r>
      <w:r w:rsidRPr="00394DA6">
        <w:t xml:space="preserve"> that it </w:t>
      </w:r>
      <w:r>
        <w:t xml:space="preserve">is made clear that it </w:t>
      </w:r>
      <w:r w:rsidRPr="00394DA6">
        <w:t>may not correspond to a legally enforceable commitment.</w:t>
      </w:r>
    </w:p>
    <w:p w:rsidR="004F4007" w:rsidRDefault="004F4007" w:rsidP="003A5534">
      <w:pPr>
        <w:jc w:val="both"/>
      </w:pPr>
    </w:p>
    <w:p w:rsidR="003A5534" w:rsidRDefault="003A5534" w:rsidP="003A5534">
      <w:pPr>
        <w:jc w:val="both"/>
        <w:rPr>
          <w:i/>
        </w:rPr>
      </w:pPr>
      <w:r>
        <w:t xml:space="preserve">We strongly disagree with the proposition to extend a </w:t>
      </w:r>
      <w:r w:rsidRPr="00926EF3">
        <w:t>PRIIP</w:t>
      </w:r>
      <w:r>
        <w:t>’s</w:t>
      </w:r>
      <w:r w:rsidRPr="00926EF3">
        <w:t xml:space="preserve"> automatic assessment </w:t>
      </w:r>
      <w:r>
        <w:t>to MRM class 1 beyond a five-</w:t>
      </w:r>
      <w:r w:rsidRPr="00926EF3">
        <w:t>year tenor</w:t>
      </w:r>
      <w:r>
        <w:t xml:space="preserve">. Retail investors should not be under the impression that receiving back the initial investment amount after a long investment period is the same as a risk-less investment. We believe that </w:t>
      </w:r>
      <w:r w:rsidRPr="00926EF3">
        <w:t xml:space="preserve">inflation and general market circumstances </w:t>
      </w:r>
      <w:r>
        <w:t>are</w:t>
      </w:r>
      <w:r w:rsidRPr="00926EF3">
        <w:t xml:space="preserve"> </w:t>
      </w:r>
      <w:r>
        <w:t>less</w:t>
      </w:r>
      <w:r w:rsidRPr="00926EF3">
        <w:t xml:space="preserve"> predictable the </w:t>
      </w:r>
      <w:r w:rsidRPr="00125D92">
        <w:t>longer the term. Hence, while the amount that is lost to inflation (when receiving back the initial investment amount) may not be that relevant in the first five years particularly in the current low-interest rate environment, this effect is exaggerated after a holding period of more than five</w:t>
      </w:r>
      <w:r w:rsidR="00CD1FA9">
        <w:t xml:space="preserve"> years. </w:t>
      </w:r>
      <w:r w:rsidRPr="00125D92">
        <w:t xml:space="preserve">Hence, we </w:t>
      </w:r>
      <w:r w:rsidRPr="000D3176">
        <w:t xml:space="preserve">are of the opinion </w:t>
      </w:r>
      <w:r w:rsidRPr="00125D92">
        <w:t>that the MRM should not reflect the inflation risk as referred to in this question.</w:t>
      </w:r>
    </w:p>
    <w:p w:rsidR="003E4B00" w:rsidRDefault="003E4B00" w:rsidP="003E4B00"/>
    <w:permEnd w:id="1296838787"/>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Are you aware of other circumstances in which the credit risk assessment should be assumed to be mitigated? If so, please explain why and to what degree it should be assumed to be mitigated? </w:t>
      </w:r>
    </w:p>
    <w:p w:rsidR="003E4B00" w:rsidRDefault="003E4B00" w:rsidP="003E4B00"/>
    <w:p w:rsidR="003E4B00" w:rsidRDefault="003E4B00" w:rsidP="003E4B00">
      <w:r>
        <w:t>&lt;ESMA_QUESTION_PRIIPS_10&gt;</w:t>
      </w:r>
    </w:p>
    <w:p w:rsidR="003A5534" w:rsidRDefault="003A5534" w:rsidP="003A5534">
      <w:pPr>
        <w:jc w:val="both"/>
      </w:pPr>
      <w:permStart w:id="1361785654" w:edGrp="everyone"/>
      <w:r>
        <w:t xml:space="preserve">We do not know of any </w:t>
      </w:r>
      <w:r w:rsidRPr="00C37E5E">
        <w:t>circumstances in which the credit risk assessment should be assumed to be mitigated</w:t>
      </w:r>
      <w:r>
        <w:t xml:space="preserve">. </w:t>
      </w:r>
    </w:p>
    <w:permEnd w:id="1361785654"/>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A5534" w:rsidRDefault="003A5534" w:rsidP="003A5534">
      <w:pPr>
        <w:jc w:val="both"/>
      </w:pPr>
      <w:permStart w:id="1933127342" w:edGrp="everyone"/>
      <w:r>
        <w:t xml:space="preserve">It may be necessary to adopt a </w:t>
      </w:r>
      <w:r w:rsidRPr="001F2B57">
        <w:t>look</w:t>
      </w:r>
      <w:r>
        <w:t>-</w:t>
      </w:r>
      <w:r w:rsidRPr="001F2B57">
        <w:t xml:space="preserve">through approach </w:t>
      </w:r>
      <w:r>
        <w:t xml:space="preserve">to the </w:t>
      </w:r>
      <w:r w:rsidRPr="001F2B57">
        <w:t xml:space="preserve">assessment of credit </w:t>
      </w:r>
      <w:r>
        <w:t>risk where packaging into another PRIIP is used to escape the assessment of credit risk of the effective underlying.</w:t>
      </w:r>
      <w:r w:rsidRPr="009C5B53">
        <w:t xml:space="preserve"> </w:t>
      </w:r>
      <w:r>
        <w:t>Having said that, we do not believe, the look through approach should be applied in general in</w:t>
      </w:r>
      <w:r w:rsidRPr="00D838C7">
        <w:t xml:space="preserve"> </w:t>
      </w:r>
      <w:r>
        <w:t xml:space="preserve">the </w:t>
      </w:r>
      <w:r w:rsidRPr="00D838C7">
        <w:t xml:space="preserve">case of PRIIPs investing in other PRIIPs or </w:t>
      </w:r>
      <w:r>
        <w:t xml:space="preserve">into </w:t>
      </w:r>
      <w:r w:rsidRPr="00D838C7">
        <w:t>other underlying instrument</w:t>
      </w:r>
      <w:r>
        <w:t>s as was alluded to in</w:t>
      </w:r>
      <w:r w:rsidRPr="00D838C7">
        <w:t xml:space="preserve"> Annex II. </w:t>
      </w:r>
      <w:r>
        <w:t xml:space="preserve">We are of the </w:t>
      </w:r>
      <w:r>
        <w:lastRenderedPageBreak/>
        <w:t>opinion that the</w:t>
      </w:r>
      <w:r w:rsidRPr="00D838C7">
        <w:t xml:space="preserve"> credit or counterparty risk involved with such investments should be considered part of the market risk as</w:t>
      </w:r>
      <w:r>
        <w:t xml:space="preserve"> with</w:t>
      </w:r>
      <w:r w:rsidRPr="00D838C7">
        <w:t xml:space="preserve"> other investments in underlying assets and will be captured by the historical volatility data or performance simulations relevant for establishing the MRM category.</w:t>
      </w:r>
    </w:p>
    <w:p w:rsidR="004F4007" w:rsidRDefault="004F4007" w:rsidP="003A5534">
      <w:pPr>
        <w:jc w:val="both"/>
      </w:pPr>
    </w:p>
    <w:p w:rsidR="003A5534" w:rsidRDefault="003A5534" w:rsidP="003A5534">
      <w:pPr>
        <w:jc w:val="both"/>
      </w:pPr>
      <w:r>
        <w:t>The link between this proposal and that for MOPs is important.  A large proportion of MOPs are insurance products whose underlying investment options are investment funds.  In general, funds do not bear CR whereas insurance products do.  Hence, we believe that the generic KID for the MOP should reflect the effect of the CR of the insurer. If this is not carried out, MOPs which are produced by insurers with different credit ratings will appear to carry the same overall risk for consumers.</w:t>
      </w:r>
    </w:p>
    <w:permEnd w:id="1933127342"/>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A5534" w:rsidRPr="007E0FED" w:rsidRDefault="003A5534" w:rsidP="003A5534">
      <w:pPr>
        <w:spacing w:before="240" w:after="240"/>
        <w:jc w:val="both"/>
      </w:pPr>
      <w:permStart w:id="2133076103" w:edGrp="everyone"/>
      <w:r>
        <w:t xml:space="preserve">The KID should describe the overall characteristics of a PRIIP without including aspects of the individual investor, including their </w:t>
      </w:r>
      <w:r w:rsidRPr="00F41956">
        <w:t>national currency</w:t>
      </w:r>
      <w:r>
        <w:t xml:space="preserve">. Hence currency risk should be displayed from the PRIIP’s perspective rather than the individual investor’s perspective. </w:t>
      </w:r>
      <w:r>
        <w:rPr>
          <w:lang w:val="en-US"/>
        </w:rPr>
        <w:t xml:space="preserve">As the distributor of a PRIIP, </w:t>
      </w:r>
      <w:r>
        <w:t>they must</w:t>
      </w:r>
      <w:r w:rsidRPr="007246B0">
        <w:t xml:space="preserve"> take currency risk into account, </w:t>
      </w:r>
      <w:r>
        <w:t xml:space="preserve">hence </w:t>
      </w:r>
      <w:r w:rsidRPr="007246B0">
        <w:t>manufacturers should not be</w:t>
      </w:r>
      <w:r>
        <w:t xml:space="preserve"> required</w:t>
      </w:r>
      <w:r w:rsidRPr="007246B0">
        <w:t xml:space="preserve"> to disclose </w:t>
      </w:r>
      <w:r>
        <w:t>currency risk.</w:t>
      </w:r>
      <w:r w:rsidRPr="007246B0">
        <w:t xml:space="preserve"> </w:t>
      </w:r>
      <w:r>
        <w:t>Should the PRIIP be disclosed from the individual investor’s perspective, a different KID will be required for each country in which the PRIIP is marketed. This will likely restrict cross-border distribution in Europe. Hence, we believe a general statement should be adopted to warn the investor of currency risk.</w:t>
      </w:r>
    </w:p>
    <w:permEnd w:id="2133076103"/>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3A5534" w:rsidRDefault="003A5534" w:rsidP="003A5534">
      <w:pPr>
        <w:jc w:val="both"/>
      </w:pPr>
      <w:permStart w:id="98854928" w:edGrp="everyone"/>
      <w:r>
        <w:t>We are of the opinion that this Consultation Paper sufficiently addresses this issue.</w:t>
      </w:r>
    </w:p>
    <w:p w:rsidR="003A5534" w:rsidRDefault="003A5534" w:rsidP="003A5534">
      <w:pPr>
        <w:jc w:val="both"/>
      </w:pPr>
      <w:r>
        <w:t>We believe that the SRI should clearly state</w:t>
      </w:r>
      <w:r w:rsidRPr="00563FD5">
        <w:t xml:space="preserve"> that it is computed </w:t>
      </w:r>
      <w:r>
        <w:t>on the assumption that</w:t>
      </w:r>
      <w:r w:rsidRPr="00563FD5">
        <w:t xml:space="preserve"> the investor keeps </w:t>
      </w:r>
      <w:r>
        <w:t>the PRIIP</w:t>
      </w:r>
      <w:r w:rsidRPr="00563FD5">
        <w:t xml:space="preserve"> until maturity</w:t>
      </w:r>
      <w:r>
        <w:t>,</w:t>
      </w:r>
      <w:r w:rsidRPr="00563FD5">
        <w:t xml:space="preserve"> and</w:t>
      </w:r>
      <w:r>
        <w:t xml:space="preserve"> as such it</w:t>
      </w:r>
      <w:r w:rsidRPr="00563FD5">
        <w:t xml:space="preserve"> does not cover risk associated </w:t>
      </w:r>
      <w:r>
        <w:t>with</w:t>
      </w:r>
      <w:r w:rsidRPr="00563FD5">
        <w:t xml:space="preserve"> early redemptions</w:t>
      </w:r>
      <w:r>
        <w:t xml:space="preserve"> by investors </w:t>
      </w:r>
      <w:r w:rsidRPr="00563FD5">
        <w:t>or secondary market transa</w:t>
      </w:r>
      <w:r>
        <w:t>c</w:t>
      </w:r>
      <w:r w:rsidRPr="00563FD5">
        <w:t xml:space="preserve">tions. </w:t>
      </w:r>
      <w:r>
        <w:t xml:space="preserve">We think a </w:t>
      </w:r>
      <w:r w:rsidRPr="00563FD5">
        <w:t xml:space="preserve"> warning should be required for capital guaranteed PRIIP</w:t>
      </w:r>
      <w:r>
        <w:t>s,</w:t>
      </w:r>
      <w:r w:rsidRPr="00563FD5">
        <w:t xml:space="preserve"> </w:t>
      </w:r>
      <w:r>
        <w:t>making it clear</w:t>
      </w:r>
      <w:r w:rsidRPr="00563FD5">
        <w:t xml:space="preserve"> that </w:t>
      </w:r>
      <w:r>
        <w:t>the PRIIP’s value</w:t>
      </w:r>
      <w:r w:rsidRPr="00563FD5">
        <w:t xml:space="preserve"> could be significantly lower than the guaranteed value during the life of the PRIIP </w:t>
      </w:r>
      <w:r>
        <w:t xml:space="preserve">as a result of </w:t>
      </w:r>
      <w:r w:rsidRPr="00563FD5">
        <w:t>market and liquidity risk and fluctuations of market prices</w:t>
      </w:r>
      <w:r>
        <w:t>.</w:t>
      </w:r>
    </w:p>
    <w:permEnd w:id="98854928"/>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 xml:space="preserve">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w:t>
      </w:r>
      <w:r w:rsidRPr="00A2049D">
        <w:rPr>
          <w:rFonts w:ascii="Calibri" w:hAnsi="Calibri"/>
          <w:i/>
          <w:sz w:val="22"/>
          <w:lang w:eastAsia="en-US"/>
        </w:rPr>
        <w:lastRenderedPageBreak/>
        <w:t>same benchmark return should be used for calculating performance fees for the unfavourable and favourable scenarios, or would you propose another approach, for instance automatically setting the performance fees to zero for the unfavourable scenario? Please justify your proposal.</w:t>
      </w:r>
    </w:p>
    <w:p w:rsidR="003E4B00" w:rsidRDefault="003E4B00" w:rsidP="003E4B00"/>
    <w:p w:rsidR="003E4B00" w:rsidRDefault="003E4B00" w:rsidP="003E4B00">
      <w:r>
        <w:t>&lt;ESMA_QUESTION_PRIIPS_14&gt;</w:t>
      </w:r>
    </w:p>
    <w:p w:rsidR="003A5534" w:rsidRPr="007246B0" w:rsidRDefault="003A5534" w:rsidP="003A5534">
      <w:pPr>
        <w:rPr>
          <w:i/>
          <w:highlight w:val="yellow"/>
        </w:rPr>
      </w:pPr>
      <w:permStart w:id="755185564" w:edGrp="everyone"/>
      <w:r>
        <w:t>We strongly disagree with the fact the PRIIP KID will not permit</w:t>
      </w:r>
      <w:r w:rsidRPr="008A1FA3">
        <w:t xml:space="preserve"> past performance </w:t>
      </w:r>
      <w:r>
        <w:t>to</w:t>
      </w:r>
      <w:r w:rsidRPr="008A1FA3">
        <w:t xml:space="preserve"> be </w:t>
      </w:r>
      <w:r>
        <w:t xml:space="preserve">displayed as we believe investors like to be shown </w:t>
      </w:r>
      <w:r w:rsidRPr="008A1FA3">
        <w:t xml:space="preserve">the product’s history of returns </w:t>
      </w:r>
      <w:r>
        <w:t>where possible</w:t>
      </w:r>
      <w:r w:rsidRPr="008A1FA3">
        <w:t xml:space="preserve">. </w:t>
      </w:r>
      <w:r>
        <w:t>We suggest that a PRIIPs pe</w:t>
      </w:r>
      <w:r w:rsidRPr="008A1FA3">
        <w:t xml:space="preserve">rformance history and possible future performance scenarios be shown in the graphical </w:t>
      </w:r>
      <w:r w:rsidRPr="00F7124C">
        <w:t xml:space="preserve">presentation. We feel this would be positive as they are factual based and past performance can often be a good indication of future performance. </w:t>
      </w:r>
      <w:r w:rsidRPr="000D3176">
        <w:t>We believe showing performance fee based on past performance as used in the UCITS KIID is the most sensible way of providing meaningful information to the investor.</w:t>
      </w:r>
    </w:p>
    <w:p w:rsidR="003A5534" w:rsidRPr="007246B0" w:rsidRDefault="003A5534" w:rsidP="003A5534">
      <w:pPr>
        <w:rPr>
          <w:i/>
          <w:highlight w:val="yellow"/>
        </w:rPr>
      </w:pPr>
      <w:r w:rsidRPr="000A012E">
        <w:t xml:space="preserve">However, in general, we do agree to use the performance fee, as put forward in the cost section, as a basis for the calculations in the performance section. While we </w:t>
      </w:r>
      <w:r w:rsidRPr="000D3176">
        <w:t xml:space="preserve">think the same benchmark return should be employed for calculating performance fees for both the unfavourable and favourable scenarios. The unfavourable scenario and often the moderate scenario, may naturally lead to no performance fee. However, we would prefer if the methodology is consistent for the three scenarios. </w:t>
      </w:r>
      <w:r>
        <w:t>Moreover</w:t>
      </w:r>
      <w:r w:rsidRPr="000D3176">
        <w:t xml:space="preserve">, we </w:t>
      </w:r>
      <w:r w:rsidRPr="000A012E">
        <w:t xml:space="preserve">believe </w:t>
      </w:r>
      <w:r>
        <w:t xml:space="preserve">that it should be made clear that </w:t>
      </w:r>
      <w:r w:rsidRPr="00E96ADF">
        <w:t xml:space="preserve">a performance fee </w:t>
      </w:r>
      <w:r>
        <w:t xml:space="preserve">only </w:t>
      </w:r>
      <w:r w:rsidRPr="00E96ADF">
        <w:t xml:space="preserve">applies </w:t>
      </w:r>
      <w:r>
        <w:t xml:space="preserve">when good performance is displayed and so this should be made clear that it only actually applies </w:t>
      </w:r>
      <w:r w:rsidRPr="00E96ADF">
        <w:t xml:space="preserve">in the favourable scenario. </w:t>
      </w:r>
      <w:r>
        <w:t>In t</w:t>
      </w:r>
      <w:r w:rsidRPr="00E96ADF">
        <w:t>he moderate scenario</w:t>
      </w:r>
      <w:r>
        <w:t xml:space="preserve">, target performance is achieved rather than going </w:t>
      </w:r>
      <w:r w:rsidRPr="00DB186C">
        <w:t>beyond the minimum required standard. Finally, underperformance of the target triggers the unfavourable scenario.</w:t>
      </w:r>
      <w:r w:rsidRPr="000D3176">
        <w:t xml:space="preserve"> However, g</w:t>
      </w:r>
      <w:r>
        <w:t>i</w:t>
      </w:r>
      <w:r w:rsidRPr="000D3176">
        <w:t>ven that the fee calculation will be based on the fund / share class relative out-performance of a benchmark, and will typically be coupled with ‘high water’ marks or other methodologies, we believe it will be difficult to reasonably predict an actual monetary or percentage figure.</w:t>
      </w:r>
    </w:p>
    <w:p w:rsidR="004F4007" w:rsidRDefault="004F4007" w:rsidP="003A5534">
      <w:pPr>
        <w:jc w:val="both"/>
      </w:pPr>
    </w:p>
    <w:p w:rsidR="003A5534" w:rsidRPr="007246B0" w:rsidRDefault="003A5534" w:rsidP="003A5534">
      <w:pPr>
        <w:jc w:val="both"/>
        <w:rPr>
          <w:i/>
        </w:rPr>
      </w:pPr>
      <w:r>
        <w:t xml:space="preserve">As regards the proposed use of the past five years’ performance as the benchmark for the moderate scenario, we are of the opinion that, the product provider should be permitted to decide whether the previous performance results, which created the performance fee are presented as a moderate or a favourable scenario depending on the amount of the over-performance and the underlying development of the markets. Otherwise, there may be wrongful assumptions reached about the performances in the moderate and favourable scenarios. We believe past performance of the last five years’ cannot be considered as moderate performance in all situations. Furthermore, we are of the opinion that fund providers should be given the discretion to assume different benchmark returns for different scenarios so as to avoid overly optimistic performance presentation where there has been </w:t>
      </w:r>
      <w:r w:rsidRPr="00A775F9">
        <w:t>extremely good market performance in the preceding years.</w:t>
      </w:r>
      <w:r w:rsidRPr="000D3176">
        <w:t xml:space="preserve"> Hence, we would like to request that additional guidelines be given as regards the moderate scenario. We suggest that a list of indicative benchmarks and their performance scenarios be given by the ESAs to give adequate guidelines to the various actors in order to allow comparability between products with similar holding periods.</w:t>
      </w:r>
    </w:p>
    <w:p w:rsidR="004F4007" w:rsidRDefault="004F4007" w:rsidP="003A5534">
      <w:pPr>
        <w:jc w:val="both"/>
      </w:pPr>
    </w:p>
    <w:p w:rsidR="003A5534" w:rsidRDefault="003A5534" w:rsidP="003A5534">
      <w:pPr>
        <w:jc w:val="both"/>
      </w:pPr>
      <w:r>
        <w:t>Regardless using an approach that presumes that the benchmark return will remain stable for all scenarios should be limited to events where a benchmark is being used as a determinant for performance fee calculation. Employing this type of assumption suggests that a fund is able to generate performance that is not affected by relevant market developments which is not always the case.</w:t>
      </w:r>
    </w:p>
    <w:p w:rsidR="003A5534" w:rsidRDefault="003A5534" w:rsidP="003A5534">
      <w:pPr>
        <w:jc w:val="both"/>
      </w:pPr>
      <w:r>
        <w:t xml:space="preserve">Finally, we disagree with the proposition that information on the interim periods is not required for products that are considered to be illiquid. In our opinion, there </w:t>
      </w:r>
      <w:r w:rsidR="004F4007">
        <w:t xml:space="preserve">should only be a concession for </w:t>
      </w:r>
      <w:r>
        <w:t>PRIIPs to only provide one performance scenario for the recommended holding period (RHP), where a PRIIPs has no disinvestment possibility before the RHP. We believe this is a significant point as some illiquid PRIIPs do offer disinvestment opportunity before the RHP, but at additional costs and/or losses, which may not be as apparent to the retail investor if not consistently disclosed in the relevant KID sections. Hence for these types of investment, it is crucial to show interim holding periods also.</w:t>
      </w:r>
    </w:p>
    <w:permEnd w:id="755185564"/>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w:t>
      </w:r>
      <w:r w:rsidRPr="00A2049D">
        <w:rPr>
          <w:rFonts w:ascii="Calibri" w:hAnsi="Calibri"/>
          <w:i/>
          <w:sz w:val="22"/>
          <w:lang w:eastAsia="en-US"/>
        </w:rPr>
        <w:lastRenderedPageBreak/>
        <w:t xml:space="preserve">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3A5534" w:rsidRDefault="003A5534" w:rsidP="003A5534">
      <w:pPr>
        <w:jc w:val="both"/>
      </w:pPr>
      <w:permStart w:id="846271596" w:edGrp="everyone"/>
      <w:r>
        <w:t>Firstly, it is not clear to us how the unfavourable, moderate and favourable scenarios would be defined. In reality, investors tend to optimistically assume that they will achieve the most favourable scenario. Hence, we would welcome clarification/guidance on the methodology to determine the favourable, unfavourable and moderate scenarios, as promised in the Consultation Paper.</w:t>
      </w:r>
    </w:p>
    <w:p w:rsidR="004F4007" w:rsidRDefault="004F4007" w:rsidP="003A5534">
      <w:pPr>
        <w:jc w:val="both"/>
      </w:pPr>
    </w:p>
    <w:p w:rsidR="003A5534" w:rsidRDefault="003A5534" w:rsidP="003A5534">
      <w:pPr>
        <w:jc w:val="both"/>
      </w:pPr>
      <w:r>
        <w:t xml:space="preserve">We would prefer a graphical representation. However, we do have a concern that, as presented, investors may interpret the plotted lines between the varying holding period points as an indication of potential performance over intermediate periods. </w:t>
      </w:r>
    </w:p>
    <w:p w:rsidR="004F4007" w:rsidRDefault="004F4007" w:rsidP="003A5534">
      <w:pPr>
        <w:jc w:val="both"/>
      </w:pPr>
    </w:p>
    <w:p w:rsidR="003A5534" w:rsidRDefault="003A5534" w:rsidP="003A5534">
      <w:pPr>
        <w:jc w:val="both"/>
      </w:pPr>
      <w:r>
        <w:t>We would rather</w:t>
      </w:r>
      <w:r w:rsidRPr="007868F5">
        <w:t xml:space="preserve"> </w:t>
      </w:r>
      <w:r>
        <w:t>that the performance scenarios be presented in graph form so as to facilitate easier comparability for retail investors. As shown in the consumer testing graphical representation in the form of line graphs, worked just as well as a table with a single holding period. This shows that a graphical presentation aids retail investors to assess different holding periods while keeping the performance scenarios simple yet</w:t>
      </w:r>
      <w:r w:rsidRPr="00BF7F19">
        <w:t xml:space="preserve"> </w:t>
      </w:r>
      <w:r>
        <w:t xml:space="preserve">comprehensive at the same time. It is our considered opinion that graphical presentation would be more </w:t>
      </w:r>
      <w:r w:rsidRPr="00BF7F19">
        <w:t>intuitive</w:t>
      </w:r>
      <w:r>
        <w:t xml:space="preserve"> and easier to understand </w:t>
      </w:r>
      <w:r w:rsidRPr="00BF7F19">
        <w:t xml:space="preserve">for </w:t>
      </w:r>
      <w:r>
        <w:t>investors,</w:t>
      </w:r>
      <w:r w:rsidRPr="00BF7F19">
        <w:t xml:space="preserve"> </w:t>
      </w:r>
      <w:r>
        <w:t xml:space="preserve">than </w:t>
      </w:r>
      <w:r w:rsidRPr="00BF7F19">
        <w:t>if numbers</w:t>
      </w:r>
      <w:r>
        <w:t xml:space="preserve"> and percentages</w:t>
      </w:r>
      <w:r w:rsidRPr="00BF7F19">
        <w:t xml:space="preserve"> </w:t>
      </w:r>
      <w:r>
        <w:t>were disclosed.</w:t>
      </w:r>
    </w:p>
    <w:p w:rsidR="004F4007" w:rsidRDefault="004F4007" w:rsidP="003A5534"/>
    <w:p w:rsidR="003E4B00" w:rsidRDefault="003A5534" w:rsidP="003A5534">
      <w:r w:rsidRPr="000D3176">
        <w:t>Finally, the use of</w:t>
      </w:r>
      <w:r w:rsidRPr="00813A16">
        <w:t xml:space="preserve"> percentage </w:t>
      </w:r>
      <w:r w:rsidRPr="000D3176">
        <w:t xml:space="preserve">figures instead of absolute </w:t>
      </w:r>
      <w:r w:rsidRPr="00813A16">
        <w:t>or monetary amounts would be in line with the existing UCITS standard.</w:t>
      </w:r>
      <w:r>
        <w:t xml:space="preserve"> However, we do note that consumers have communicated difficulties with understanding percentage figures.</w:t>
      </w:r>
    </w:p>
    <w:permEnd w:id="846271596"/>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3A5534" w:rsidRDefault="003A5534" w:rsidP="003A5534">
      <w:pPr>
        <w:jc w:val="both"/>
      </w:pPr>
      <w:permStart w:id="384196401" w:edGrp="everyone"/>
      <w:r>
        <w:t>We categorically disagree with</w:t>
      </w:r>
      <w:r w:rsidRPr="00BB068F">
        <w:t xml:space="preserve"> the </w:t>
      </w:r>
      <w:r>
        <w:t>approach</w:t>
      </w:r>
      <w:r w:rsidRPr="00BB068F">
        <w:t xml:space="preserve"> prescribed by the ESAs to calculate potential transaction costs for </w:t>
      </w:r>
      <w:r>
        <w:t xml:space="preserve">many </w:t>
      </w:r>
      <w:r w:rsidRPr="00BB068F">
        <w:t>reasons.</w:t>
      </w:r>
    </w:p>
    <w:p w:rsidR="004F4007" w:rsidRDefault="004F4007" w:rsidP="003A5534">
      <w:pPr>
        <w:rPr>
          <w:rFonts w:cs="Arial"/>
        </w:rPr>
      </w:pPr>
    </w:p>
    <w:p w:rsidR="003A5534" w:rsidRPr="000D3176" w:rsidRDefault="003A5534" w:rsidP="003A5534">
      <w:pPr>
        <w:rPr>
          <w:rFonts w:cs="Arial"/>
        </w:rPr>
      </w:pPr>
      <w:r w:rsidRPr="000D3176">
        <w:rPr>
          <w:rFonts w:cs="Arial"/>
        </w:rPr>
        <w:t xml:space="preserve">We believe that more disclosure requirements are imposed on investment funds than on other PRIIPs in the costs section. We </w:t>
      </w:r>
      <w:r>
        <w:rPr>
          <w:rFonts w:cs="Arial"/>
        </w:rPr>
        <w:t>think</w:t>
      </w:r>
      <w:r w:rsidRPr="000D3176">
        <w:rPr>
          <w:rFonts w:cs="Arial"/>
        </w:rPr>
        <w:t xml:space="preserve"> it is crucial to ensure a level playing field and comparability among all types of PRIIPs. </w:t>
      </w:r>
    </w:p>
    <w:p w:rsidR="004F4007" w:rsidRDefault="004F4007" w:rsidP="003A5534">
      <w:pPr>
        <w:jc w:val="both"/>
      </w:pPr>
    </w:p>
    <w:p w:rsidR="003A5534" w:rsidRDefault="003A5534" w:rsidP="003A5534">
      <w:pPr>
        <w:jc w:val="both"/>
      </w:pPr>
      <w:r>
        <w:t>Firstly, we believe that the proposed Transaction Costs does not provide a cost-benefit balance as it is very burdensome to provide future estimates based on the past three years’ of historic data, and as such cannot be fully accurate, thus this cost-benefit trade-off is necessary in coming up with a suitable calculation methodology.</w:t>
      </w:r>
    </w:p>
    <w:p w:rsidR="004F4007" w:rsidRDefault="004F4007" w:rsidP="003A5534">
      <w:pPr>
        <w:jc w:val="both"/>
      </w:pPr>
    </w:p>
    <w:p w:rsidR="003A5534" w:rsidRDefault="003A5534" w:rsidP="003A5534">
      <w:pPr>
        <w:jc w:val="both"/>
      </w:pPr>
      <w:r>
        <w:t>T</w:t>
      </w:r>
      <w:r w:rsidRPr="00BB068F">
        <w:t>h</w:t>
      </w:r>
      <w:r>
        <w:t>is</w:t>
      </w:r>
      <w:r w:rsidRPr="00BB068F">
        <w:t xml:space="preserve"> proposed methodology is </w:t>
      </w:r>
      <w:r>
        <w:t>not the same as any of the</w:t>
      </w:r>
      <w:r w:rsidRPr="00BB068F">
        <w:t xml:space="preserve"> options consulted upon in the ESAs’ Technical Discussion </w:t>
      </w:r>
      <w:r w:rsidRPr="007246B0">
        <w:t>Paper in the summer. This newly proposed model for calculating transaction costs introduces the concept of an “arrival price”. We believe that this model is not suitable</w:t>
      </w:r>
      <w:r>
        <w:t xml:space="preserve"> </w:t>
      </w:r>
      <w:r w:rsidRPr="007246B0">
        <w:t>to calculate transaction costs.</w:t>
      </w:r>
      <w:r>
        <w:t xml:space="preserve"> </w:t>
      </w:r>
    </w:p>
    <w:p w:rsidR="003A5534" w:rsidRDefault="003A5534" w:rsidP="003A5534">
      <w:pPr>
        <w:rPr>
          <w:rFonts w:cs="Arial"/>
        </w:rPr>
      </w:pPr>
      <w:r w:rsidRPr="007246B0">
        <w:rPr>
          <w:rFonts w:cs="Arial"/>
        </w:rPr>
        <w:t xml:space="preserve">It seems to us that there are more disclosure requirements imposed on investment funds compared to other PRIIPs. However, we believe there should be a level playing field and comparability among all types of PRIIPs. </w:t>
      </w:r>
    </w:p>
    <w:p w:rsidR="004F4007" w:rsidRDefault="004F4007" w:rsidP="003A5534">
      <w:pPr>
        <w:jc w:val="both"/>
      </w:pPr>
    </w:p>
    <w:p w:rsidR="003A5534" w:rsidRPr="00BB068F" w:rsidRDefault="003A5534" w:rsidP="003A5534">
      <w:pPr>
        <w:jc w:val="both"/>
      </w:pPr>
      <w:r>
        <w:t>An alternative is to use the standardised table for the first three years until there is a trading pattern for fund/product. We believe there should be blanket permission to use table until general review is carried out. Furthermore, in our opinion, the use of the standardised table should be a choice rather than mandatory, i.e. can use the standardised table for the three years or can use real costs. The p</w:t>
      </w:r>
      <w:r w:rsidRPr="00896602">
        <w:t xml:space="preserve">resentation of </w:t>
      </w:r>
      <w:r w:rsidRPr="00896602">
        <w:lastRenderedPageBreak/>
        <w:t>performance scenarios</w:t>
      </w:r>
      <w:r>
        <w:t xml:space="preserve"> should be future-proof to permit enough flexibility to allow the usage of technology such as websites, to better display varying performance scenarios than is possible in paper form. </w:t>
      </w:r>
    </w:p>
    <w:p w:rsidR="003A5534" w:rsidRPr="00BB068F" w:rsidRDefault="003A5534" w:rsidP="003A5534">
      <w:pPr>
        <w:jc w:val="both"/>
      </w:pPr>
      <w:r>
        <w:rPr>
          <w:b/>
        </w:rPr>
        <w:t xml:space="preserve"> </w:t>
      </w:r>
      <w:r>
        <w:t>The</w:t>
      </w:r>
      <w:r w:rsidRPr="00BB068F">
        <w:t xml:space="preserve"> reasons</w:t>
      </w:r>
      <w:r>
        <w:t xml:space="preserve"> outlined below highlight that a different approach for fixed income and other non-equities is needed.</w:t>
      </w:r>
    </w:p>
    <w:p w:rsidR="003A5534" w:rsidRPr="00BB068F" w:rsidRDefault="003A5534" w:rsidP="003A5534">
      <w:pPr>
        <w:jc w:val="both"/>
        <w:rPr>
          <w:i/>
          <w:u w:val="single"/>
        </w:rPr>
      </w:pPr>
      <w:r w:rsidRPr="00BB068F">
        <w:rPr>
          <w:i/>
          <w:u w:val="single"/>
        </w:rPr>
        <w:t>Costs of equity transactions</w:t>
      </w:r>
    </w:p>
    <w:p w:rsidR="003A5534" w:rsidRPr="00BB068F" w:rsidRDefault="003A5534" w:rsidP="003A5534">
      <w:pPr>
        <w:jc w:val="both"/>
      </w:pPr>
      <w:r>
        <w:t>E</w:t>
      </w:r>
      <w:r w:rsidRPr="00BB068F">
        <w:t xml:space="preserve">quity transactions </w:t>
      </w:r>
      <w:r>
        <w:t xml:space="preserve">fees </w:t>
      </w:r>
      <w:r w:rsidRPr="00BB068F">
        <w:t>are already captured by letter (j) in paragraph 6 of Annex VI</w:t>
      </w:r>
      <w:r>
        <w:t>, which include</w:t>
      </w:r>
      <w:r w:rsidRPr="00BB068F">
        <w:t xml:space="preserve"> broker fees, depositary fees, taxes and potential fees charged by specialised custodians, which already represent the total costs of equity transactions.</w:t>
      </w:r>
    </w:p>
    <w:p w:rsidR="003A5534" w:rsidRPr="00BB068F" w:rsidRDefault="003A5534" w:rsidP="003A5534">
      <w:pPr>
        <w:jc w:val="both"/>
        <w:rPr>
          <w:i/>
          <w:u w:val="single"/>
        </w:rPr>
      </w:pPr>
      <w:r w:rsidRPr="00BB068F">
        <w:rPr>
          <w:i/>
          <w:u w:val="single"/>
        </w:rPr>
        <w:t>Inclusion of market impact at odds with MiFID II</w:t>
      </w:r>
    </w:p>
    <w:p w:rsidR="003A5534" w:rsidRPr="00600BE7" w:rsidRDefault="003A5534" w:rsidP="003A5534">
      <w:pPr>
        <w:jc w:val="both"/>
        <w:rPr>
          <w:rFonts w:cstheme="minorHAnsi"/>
        </w:rPr>
      </w:pPr>
      <w:r w:rsidRPr="00BB068F">
        <w:rPr>
          <w:lang w:val="en-US"/>
        </w:rPr>
        <w:t>MiFID II clearly excludes market impact from its definition of costs</w:t>
      </w:r>
      <w:r>
        <w:rPr>
          <w:lang w:val="en-US"/>
        </w:rPr>
        <w:t>.</w:t>
      </w:r>
      <w:r w:rsidRPr="00BB068F">
        <w:rPr>
          <w:lang w:val="en-US"/>
        </w:rPr>
        <w:t xml:space="preserve"> The re-inclusion </w:t>
      </w:r>
      <w:r>
        <w:rPr>
          <w:lang w:val="en-US"/>
        </w:rPr>
        <w:t>of this in the new PRIIPs methodology</w:t>
      </w:r>
      <w:r w:rsidRPr="0005180F">
        <w:rPr>
          <w:lang w:val="en-US"/>
        </w:rPr>
        <w:t xml:space="preserve"> is legally wrong and also </w:t>
      </w:r>
      <w:r>
        <w:rPr>
          <w:lang w:val="en-US"/>
        </w:rPr>
        <w:t xml:space="preserve">allows </w:t>
      </w:r>
      <w:r w:rsidRPr="0005180F">
        <w:rPr>
          <w:lang w:val="en-US"/>
        </w:rPr>
        <w:t>for incorrect assumptions in calculating transaction costs.</w:t>
      </w:r>
      <w:r>
        <w:rPr>
          <w:lang w:val="en-US"/>
        </w:rPr>
        <w:t xml:space="preserve"> </w:t>
      </w:r>
      <w:r w:rsidRPr="008B549D">
        <w:rPr>
          <w:rFonts w:cstheme="minorHAnsi"/>
          <w:lang w:val="en-US"/>
        </w:rPr>
        <w:t>Market</w:t>
      </w:r>
      <w:r w:rsidRPr="008B549D">
        <w:rPr>
          <w:rFonts w:cstheme="minorHAnsi"/>
        </w:rPr>
        <w:t xml:space="preserve"> impact </w:t>
      </w:r>
      <w:r>
        <w:rPr>
          <w:rFonts w:cstheme="minorHAnsi"/>
        </w:rPr>
        <w:t xml:space="preserve">is </w:t>
      </w:r>
      <w:r w:rsidRPr="008B549D">
        <w:rPr>
          <w:rFonts w:cstheme="minorHAnsi"/>
        </w:rPr>
        <w:t>part of market risk</w:t>
      </w:r>
      <w:r>
        <w:rPr>
          <w:rFonts w:cstheme="minorHAnsi"/>
        </w:rPr>
        <w:t xml:space="preserve"> rather than a cost as is suggested here</w:t>
      </w:r>
      <w:r w:rsidRPr="008B549D">
        <w:rPr>
          <w:rFonts w:cstheme="minorHAnsi"/>
        </w:rPr>
        <w:t xml:space="preserve">. </w:t>
      </w:r>
      <w:r>
        <w:rPr>
          <w:rFonts w:cstheme="minorHAnsi"/>
        </w:rPr>
        <w:t xml:space="preserve">In the proposed model, </w:t>
      </w:r>
      <w:r w:rsidRPr="008B549D">
        <w:rPr>
          <w:rFonts w:cstheme="minorHAnsi"/>
        </w:rPr>
        <w:t>transaction costs</w:t>
      </w:r>
      <w:r>
        <w:rPr>
          <w:rFonts w:cstheme="minorHAnsi"/>
        </w:rPr>
        <w:t xml:space="preserve"> a</w:t>
      </w:r>
      <w:r w:rsidRPr="008B549D">
        <w:rPr>
          <w:rFonts w:cstheme="minorHAnsi"/>
        </w:rPr>
        <w:t xml:space="preserve">re equal to the exercise price at closing minus the mid-market price at the time the portfolio manager </w:t>
      </w:r>
      <w:r>
        <w:rPr>
          <w:rFonts w:cstheme="minorHAnsi"/>
        </w:rPr>
        <w:t>placed</w:t>
      </w:r>
      <w:r w:rsidRPr="008B549D">
        <w:rPr>
          <w:rFonts w:cstheme="minorHAnsi"/>
        </w:rPr>
        <w:t xml:space="preserve"> the order.</w:t>
      </w:r>
      <w:r>
        <w:rPr>
          <w:rFonts w:cstheme="minorHAnsi"/>
        </w:rPr>
        <w:t xml:space="preserve"> </w:t>
      </w:r>
      <w:r w:rsidRPr="008B549D">
        <w:rPr>
          <w:rFonts w:cstheme="minorHAnsi"/>
        </w:rPr>
        <w:t xml:space="preserve">The </w:t>
      </w:r>
      <w:r>
        <w:rPr>
          <w:rFonts w:cstheme="minorHAnsi"/>
        </w:rPr>
        <w:t>combining</w:t>
      </w:r>
      <w:r w:rsidRPr="008B549D">
        <w:rPr>
          <w:rFonts w:cstheme="minorHAnsi"/>
        </w:rPr>
        <w:t xml:space="preserve"> with performance is then so great and the added value is so limited, that its desirability</w:t>
      </w:r>
      <w:r>
        <w:rPr>
          <w:rFonts w:cstheme="minorHAnsi"/>
        </w:rPr>
        <w:t xml:space="preserve"> is unclear.</w:t>
      </w:r>
      <w:r w:rsidRPr="008B549D">
        <w:rPr>
          <w:rFonts w:cstheme="minorHAnsi"/>
        </w:rPr>
        <w:t xml:space="preserve"> </w:t>
      </w:r>
      <w:r>
        <w:rPr>
          <w:rFonts w:cstheme="minorHAnsi"/>
        </w:rPr>
        <w:t xml:space="preserve">Using the </w:t>
      </w:r>
      <w:r w:rsidRPr="00924452">
        <w:rPr>
          <w:lang w:val="en-US"/>
        </w:rPr>
        <w:t>proposed methodology</w:t>
      </w:r>
      <w:r>
        <w:rPr>
          <w:lang w:val="en-US"/>
        </w:rPr>
        <w:t xml:space="preserve">, </w:t>
      </w:r>
      <w:r w:rsidRPr="00924452">
        <w:rPr>
          <w:lang w:val="en-US"/>
        </w:rPr>
        <w:t>a trade could incur negative transaction</w:t>
      </w:r>
      <w:r w:rsidRPr="0005180F">
        <w:rPr>
          <w:lang w:val="en-US"/>
        </w:rPr>
        <w:t xml:space="preserve"> costs, if the market price at execution is lower than at the time of the order</w:t>
      </w:r>
      <w:r>
        <w:rPr>
          <w:lang w:val="en-US"/>
        </w:rPr>
        <w:t xml:space="preserve"> as</w:t>
      </w:r>
      <w:r w:rsidRPr="0005180F">
        <w:rPr>
          <w:lang w:val="en-US"/>
        </w:rPr>
        <w:t xml:space="preserve"> the price of an instrument may go down</w:t>
      </w:r>
      <w:r w:rsidRPr="0005180F" w:rsidDel="00A668FC">
        <w:rPr>
          <w:lang w:val="en-US"/>
        </w:rPr>
        <w:t xml:space="preserve"> </w:t>
      </w:r>
      <w:r w:rsidRPr="0005180F">
        <w:rPr>
          <w:lang w:val="en-US"/>
        </w:rPr>
        <w:t xml:space="preserve">after the order is sent. </w:t>
      </w:r>
      <w:r>
        <w:rPr>
          <w:lang w:val="en-US"/>
        </w:rPr>
        <w:t>Hence, this depicts how</w:t>
      </w:r>
      <w:r w:rsidRPr="0005180F">
        <w:rPr>
          <w:lang w:val="en-US"/>
        </w:rPr>
        <w:t xml:space="preserve"> the costs would largely </w:t>
      </w:r>
      <w:r w:rsidRPr="00BB068F">
        <w:rPr>
          <w:lang w:val="en-US"/>
        </w:rPr>
        <w:t xml:space="preserve">depend on the trading model used and </w:t>
      </w:r>
      <w:r>
        <w:rPr>
          <w:lang w:val="en-US"/>
        </w:rPr>
        <w:t xml:space="preserve">as a result is likely to impede </w:t>
      </w:r>
      <w:r w:rsidRPr="00BB068F">
        <w:rPr>
          <w:lang w:val="en-US"/>
        </w:rPr>
        <w:t>comparability or predictability of costs for the retail investor. </w:t>
      </w:r>
    </w:p>
    <w:p w:rsidR="003A5534" w:rsidRPr="00BB068F" w:rsidRDefault="003A5534" w:rsidP="003A5534">
      <w:pPr>
        <w:jc w:val="both"/>
        <w:rPr>
          <w:lang w:val="en-US"/>
        </w:rPr>
      </w:pPr>
      <w:r>
        <w:rPr>
          <w:lang w:val="en-US"/>
        </w:rPr>
        <w:t>This model could encourage</w:t>
      </w:r>
      <w:r w:rsidRPr="00BB068F">
        <w:rPr>
          <w:lang w:val="en-US"/>
        </w:rPr>
        <w:t xml:space="preserve"> managers </w:t>
      </w:r>
      <w:r>
        <w:rPr>
          <w:lang w:val="en-US"/>
        </w:rPr>
        <w:t>to</w:t>
      </w:r>
      <w:r w:rsidRPr="00BB068F">
        <w:rPr>
          <w:lang w:val="en-US"/>
        </w:rPr>
        <w:t xml:space="preserve"> </w:t>
      </w:r>
      <w:r>
        <w:rPr>
          <w:lang w:val="en-US"/>
        </w:rPr>
        <w:t>alter</w:t>
      </w:r>
      <w:r w:rsidRPr="00BB068F">
        <w:rPr>
          <w:lang w:val="en-US"/>
        </w:rPr>
        <w:t xml:space="preserve"> their transactions by trying to time the market, or by </w:t>
      </w:r>
      <w:r>
        <w:rPr>
          <w:lang w:val="en-US"/>
        </w:rPr>
        <w:t>dividing</w:t>
      </w:r>
      <w:r w:rsidRPr="00BB068F">
        <w:rPr>
          <w:lang w:val="en-US"/>
        </w:rPr>
        <w:t xml:space="preserve"> orders into smaller parts</w:t>
      </w:r>
      <w:r>
        <w:rPr>
          <w:lang w:val="en-US"/>
        </w:rPr>
        <w:t xml:space="preserve">, or may </w:t>
      </w:r>
      <w:r w:rsidRPr="00655B5D">
        <w:t>aim to time the sending of the order instructions</w:t>
      </w:r>
      <w:r>
        <w:t xml:space="preserve"> nearer</w:t>
      </w:r>
      <w:r w:rsidRPr="00655B5D">
        <w:t xml:space="preserve"> to the execution time </w:t>
      </w:r>
      <w:r>
        <w:t>in order</w:t>
      </w:r>
      <w:r w:rsidRPr="00655B5D">
        <w:t xml:space="preserve"> to </w:t>
      </w:r>
      <w:r>
        <w:t>lower costs to be reported</w:t>
      </w:r>
      <w:r w:rsidRPr="00BB068F">
        <w:rPr>
          <w:lang w:val="en-US"/>
        </w:rPr>
        <w:t>. This is</w:t>
      </w:r>
      <w:r>
        <w:rPr>
          <w:lang w:val="en-US"/>
        </w:rPr>
        <w:t xml:space="preserve"> unlikely to be mo</w:t>
      </w:r>
      <w:r w:rsidRPr="00BB068F">
        <w:rPr>
          <w:lang w:val="en-US"/>
        </w:rPr>
        <w:t>re cost-effective for the investor</w:t>
      </w:r>
      <w:r>
        <w:rPr>
          <w:lang w:val="en-US"/>
        </w:rPr>
        <w:t xml:space="preserve"> but may be more costly yet</w:t>
      </w:r>
      <w:r w:rsidRPr="00BB068F">
        <w:rPr>
          <w:lang w:val="en-US"/>
        </w:rPr>
        <w:t xml:space="preserve"> because the proposed calculation method</w:t>
      </w:r>
      <w:r>
        <w:rPr>
          <w:lang w:val="en-US"/>
        </w:rPr>
        <w:t>ology</w:t>
      </w:r>
      <w:r w:rsidRPr="00BB068F">
        <w:rPr>
          <w:lang w:val="en-US"/>
        </w:rPr>
        <w:t xml:space="preserve"> </w:t>
      </w:r>
      <w:r>
        <w:rPr>
          <w:lang w:val="en-US"/>
        </w:rPr>
        <w:t>creates an illusion that it is</w:t>
      </w:r>
      <w:r w:rsidRPr="00BB068F">
        <w:rPr>
          <w:lang w:val="en-US"/>
        </w:rPr>
        <w:t xml:space="preserve"> more cost-effective</w:t>
      </w:r>
      <w:r>
        <w:rPr>
          <w:lang w:val="en-US"/>
        </w:rPr>
        <w:t>.</w:t>
      </w:r>
    </w:p>
    <w:p w:rsidR="003A5534" w:rsidRPr="00BB068F" w:rsidRDefault="003A5534" w:rsidP="003A5534">
      <w:pPr>
        <w:jc w:val="both"/>
        <w:rPr>
          <w:i/>
          <w:u w:val="single"/>
        </w:rPr>
      </w:pPr>
      <w:r w:rsidRPr="00BB068F">
        <w:rPr>
          <w:i/>
          <w:u w:val="single"/>
        </w:rPr>
        <w:t>Costs of non-equity transactions</w:t>
      </w:r>
    </w:p>
    <w:p w:rsidR="003A5534" w:rsidRPr="000D3176" w:rsidRDefault="003A5534" w:rsidP="003A5534">
      <w:pPr>
        <w:jc w:val="both"/>
      </w:pPr>
      <w:r>
        <w:t xml:space="preserve">We do not believe that it is </w:t>
      </w:r>
      <w:r w:rsidRPr="00BB068F">
        <w:t xml:space="preserve">feasible to calculate transaction costs for fixed-income trades on the basis of the proposed method </w:t>
      </w:r>
      <w:r>
        <w:t>because of</w:t>
      </w:r>
      <w:r w:rsidRPr="00BB068F">
        <w:t xml:space="preserve"> the lack of reference data for establishing the relevant arrival prices.</w:t>
      </w:r>
      <w:r>
        <w:t xml:space="preserve"> The </w:t>
      </w:r>
      <w:r w:rsidRPr="00BB068F">
        <w:t>calculation of the arrival price necessarily implies availability of the relevant data on market prices</w:t>
      </w:r>
      <w:r>
        <w:t xml:space="preserve"> as</w:t>
      </w:r>
      <w:r w:rsidRPr="00BB068F">
        <w:t xml:space="preserve"> the arrival price reflect</w:t>
      </w:r>
      <w:r>
        <w:t>s</w:t>
      </w:r>
      <w:r w:rsidRPr="00BB068F">
        <w:t xml:space="preserve"> the mid-market price at the time the ord</w:t>
      </w:r>
      <w:r>
        <w:t>er to transact is initiated. However, i</w:t>
      </w:r>
      <w:r w:rsidRPr="00BB068F">
        <w:t xml:space="preserve">n the fixed-income market, market prices are not yet transparent enough to assume this required data set. </w:t>
      </w:r>
      <w:r>
        <w:t>Hence</w:t>
      </w:r>
      <w:r w:rsidRPr="008E5A14">
        <w:t xml:space="preserve">, it is </w:t>
      </w:r>
      <w:r w:rsidRPr="000D3176">
        <w:t>crucial that calculations on the basis of such indicative prices are not capable of establishing real transaction costs for fixed-income trades.</w:t>
      </w:r>
    </w:p>
    <w:p w:rsidR="004F4007" w:rsidRDefault="004F4007" w:rsidP="003A5534">
      <w:pPr>
        <w:jc w:val="both"/>
      </w:pPr>
    </w:p>
    <w:p w:rsidR="003A5534" w:rsidRPr="00BB068F" w:rsidRDefault="003A5534" w:rsidP="003A5534">
      <w:pPr>
        <w:jc w:val="both"/>
      </w:pPr>
      <w:r>
        <w:t>T</w:t>
      </w:r>
      <w:r w:rsidRPr="00BB068F">
        <w:t xml:space="preserve">he </w:t>
      </w:r>
      <w:r>
        <w:t xml:space="preserve">proposed </w:t>
      </w:r>
      <w:r w:rsidRPr="00BB068F">
        <w:t xml:space="preserve">approach to determining the relevant arrival price creates quite significant arbitrage opportunities for calculating transaction costs, thus increasing its susceptibility to errors. </w:t>
      </w:r>
      <w:r>
        <w:t>It is important that ESAs note that</w:t>
      </w:r>
      <w:r w:rsidRPr="00BB068F">
        <w:t xml:space="preserve"> even indicative quotes for some fixed-income products are </w:t>
      </w:r>
      <w:r>
        <w:t>regularly</w:t>
      </w:r>
      <w:r w:rsidRPr="00BB068F">
        <w:t xml:space="preserve"> not updated for several hours, or even days, due to the low level of trading activities in certain fixed-income products.</w:t>
      </w:r>
    </w:p>
    <w:p w:rsidR="003A5534" w:rsidRPr="00756256" w:rsidRDefault="003A5534" w:rsidP="003A5534">
      <w:pPr>
        <w:jc w:val="both"/>
      </w:pPr>
      <w:r>
        <w:t xml:space="preserve">The required price transparency may not be available to perform this calculation </w:t>
      </w:r>
      <w:r w:rsidRPr="00BB068F">
        <w:t xml:space="preserve">at the time of the application of the PRIIP KID Regulation. </w:t>
      </w:r>
      <w:r>
        <w:t>As t</w:t>
      </w:r>
      <w:r w:rsidRPr="00BB068F">
        <w:t>he ESAs’ draft RTS require its calculation on the basis of transactions incurred over the previous three years</w:t>
      </w:r>
      <w:r>
        <w:t>,</w:t>
      </w:r>
      <w:r w:rsidRPr="00BB068F">
        <w:t xml:space="preserve"> a full set of historical data </w:t>
      </w:r>
      <w:r>
        <w:t xml:space="preserve">would be </w:t>
      </w:r>
      <w:r w:rsidRPr="00BB068F">
        <w:t xml:space="preserve">needed to perform the calculation </w:t>
      </w:r>
      <w:r>
        <w:t>and this</w:t>
      </w:r>
      <w:r w:rsidRPr="00BB068F">
        <w:t xml:space="preserve"> will not be possible </w:t>
      </w:r>
      <w:r>
        <w:t>until three years after MiFID II/</w:t>
      </w:r>
      <w:proofErr w:type="spellStart"/>
      <w:r>
        <w:t>MiFIR</w:t>
      </w:r>
      <w:proofErr w:type="spellEnd"/>
      <w:r>
        <w:t xml:space="preserve"> is introduced. We believe the decision on this methodology should be delayed by at least a year so as </w:t>
      </w:r>
      <w:r w:rsidRPr="00BB068F">
        <w:t>to</w:t>
      </w:r>
      <w:r>
        <w:t xml:space="preserve"> </w:t>
      </w:r>
      <w:r w:rsidRPr="00BB068F">
        <w:t>coincide with the review of the PRIIP KID Regulation</w:t>
      </w:r>
      <w:r>
        <w:t xml:space="preserve"> which will facilitate the appraisal of the feasibility</w:t>
      </w:r>
      <w:r w:rsidRPr="00BB068F">
        <w:t xml:space="preserve"> of the proposed </w:t>
      </w:r>
      <w:r>
        <w:t xml:space="preserve">methodology </w:t>
      </w:r>
      <w:r w:rsidRPr="00BB068F">
        <w:t xml:space="preserve">in light of the availability of data for the fixed-income markets </w:t>
      </w:r>
      <w:r>
        <w:t>following the early</w:t>
      </w:r>
      <w:r w:rsidRPr="00BB068F">
        <w:t xml:space="preserve"> experiences with the MiFID II transparency regime. </w:t>
      </w:r>
      <w:r>
        <w:t xml:space="preserve">This would aid </w:t>
      </w:r>
      <w:r w:rsidRPr="00BB068F">
        <w:t xml:space="preserve">the regulators </w:t>
      </w:r>
      <w:r>
        <w:t>in making</w:t>
      </w:r>
      <w:r w:rsidRPr="00BB068F">
        <w:t xml:space="preserve"> evidence-based decision</w:t>
      </w:r>
      <w:r>
        <w:t xml:space="preserve"> rather than formulating</w:t>
      </w:r>
      <w:r w:rsidRPr="00BB068F">
        <w:t xml:space="preserve"> new standards </w:t>
      </w:r>
      <w:r>
        <w:t xml:space="preserve">in the absence of a </w:t>
      </w:r>
      <w:r w:rsidRPr="00BB068F">
        <w:t>market data</w:t>
      </w:r>
      <w:r>
        <w:t xml:space="preserve"> base.</w:t>
      </w:r>
      <w:r w:rsidRPr="00BB068F">
        <w:t xml:space="preserve"> </w:t>
      </w:r>
      <w:r>
        <w:t xml:space="preserve">We recommend that ESAs revive </w:t>
      </w:r>
      <w:r w:rsidRPr="00BB068F">
        <w:t>the hybrid approach</w:t>
      </w:r>
      <w:r>
        <w:t xml:space="preserve"> for the transaction costs calculation in the meantime, as this </w:t>
      </w:r>
      <w:r w:rsidRPr="00BB068F">
        <w:t xml:space="preserve">was </w:t>
      </w:r>
      <w:r>
        <w:t xml:space="preserve">the preferred option </w:t>
      </w:r>
      <w:r w:rsidRPr="00BB068F">
        <w:t xml:space="preserve">in the previous round of consultation. </w:t>
      </w:r>
      <w:r>
        <w:t>Hence,</w:t>
      </w:r>
      <w:r>
        <w:rPr>
          <w:b/>
        </w:rPr>
        <w:t xml:space="preserve"> </w:t>
      </w:r>
      <w:r w:rsidRPr="000D3176">
        <w:t>PRIIPs manufacturers should base their spread calculations on the table in para. 25 until this required data is available to market participants. We think changes to the draft RTS should be made accordingly.</w:t>
      </w:r>
      <w:r w:rsidRPr="00756256">
        <w:t xml:space="preserve"> </w:t>
      </w:r>
    </w:p>
    <w:p w:rsidR="004F4007" w:rsidRDefault="004F4007" w:rsidP="003A5534">
      <w:pPr>
        <w:jc w:val="both"/>
      </w:pPr>
    </w:p>
    <w:p w:rsidR="004F4007" w:rsidRDefault="003A5534" w:rsidP="003A5534">
      <w:pPr>
        <w:jc w:val="both"/>
      </w:pPr>
      <w:r>
        <w:t>We would like to highlight that the above discussion clearly depicts</w:t>
      </w:r>
      <w:r w:rsidRPr="00BB068F">
        <w:t xml:space="preserve"> th</w:t>
      </w:r>
      <w:r>
        <w:t>e</w:t>
      </w:r>
      <w:r w:rsidRPr="00BB068F">
        <w:t xml:space="preserve"> </w:t>
      </w:r>
      <w:r>
        <w:t xml:space="preserve">interconnections </w:t>
      </w:r>
      <w:r w:rsidRPr="00BB068F">
        <w:t xml:space="preserve">between the </w:t>
      </w:r>
    </w:p>
    <w:p w:rsidR="003A5534" w:rsidRDefault="003A5534" w:rsidP="003A5534">
      <w:pPr>
        <w:jc w:val="both"/>
      </w:pPr>
      <w:r w:rsidRPr="00BB068F">
        <w:t>PRIIP KID and MiFID II/</w:t>
      </w:r>
      <w:proofErr w:type="spellStart"/>
      <w:r w:rsidRPr="00BB068F">
        <w:t>MiFIR</w:t>
      </w:r>
      <w:proofErr w:type="spellEnd"/>
      <w:r w:rsidRPr="00BB068F">
        <w:t xml:space="preserve"> </w:t>
      </w:r>
      <w:r>
        <w:t xml:space="preserve">as we are of the opinion that this will cause more complications when </w:t>
      </w:r>
      <w:r w:rsidRPr="00BB068F">
        <w:t>the former comes into force on 31 December 2016.</w:t>
      </w:r>
      <w:r w:rsidRPr="00BB068F" w:rsidDel="00100FB2">
        <w:t xml:space="preserve"> </w:t>
      </w:r>
    </w:p>
    <w:permEnd w:id="384196401"/>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lastRenderedPageBreak/>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4F4007" w:rsidRDefault="003A5534" w:rsidP="003A5534">
      <w:pPr>
        <w:spacing w:before="160"/>
        <w:jc w:val="both"/>
      </w:pPr>
      <w:permStart w:id="1363745788" w:edGrp="everyone"/>
      <w:r>
        <w:t>We are of the considered opinion that</w:t>
      </w:r>
      <w:r w:rsidRPr="00BB068F">
        <w:t xml:space="preserve"> the </w:t>
      </w:r>
      <w:r>
        <w:t>cost</w:t>
      </w:r>
      <w:r w:rsidRPr="00BB068F">
        <w:t xml:space="preserve"> table as suggested in para. 25 should be part of Level-3 guidelines rather than Level-2 RTS</w:t>
      </w:r>
      <w:r>
        <w:t xml:space="preserve"> because the</w:t>
      </w:r>
      <w:r w:rsidRPr="00BB068F">
        <w:t xml:space="preserve"> market spreads are a reflection of market volatility and do not remain constant for a period of three years. </w:t>
      </w:r>
      <w:r>
        <w:t>Hence, i</w:t>
      </w:r>
      <w:r w:rsidRPr="00BB068F">
        <w:t xml:space="preserve">t is </w:t>
      </w:r>
      <w:r>
        <w:t>important</w:t>
      </w:r>
      <w:r w:rsidRPr="00BB068F">
        <w:t xml:space="preserve"> that this table is maintained and updated on a </w:t>
      </w:r>
      <w:r>
        <w:t>regular</w:t>
      </w:r>
      <w:r w:rsidRPr="00BB068F">
        <w:t xml:space="preserve"> basis by the ESAs to provide a </w:t>
      </w:r>
      <w:r>
        <w:t xml:space="preserve">somewhat </w:t>
      </w:r>
      <w:r w:rsidRPr="00BB068F">
        <w:t>accurate description of current market spreads</w:t>
      </w:r>
      <w:r>
        <w:t xml:space="preserve">. Hence, we do not agree with the proposed three-year interval </w:t>
      </w:r>
      <w:r w:rsidRPr="00090944">
        <w:t>of reviewing the table</w:t>
      </w:r>
      <w:r>
        <w:t xml:space="preserve"> as it needs to keep up with ever-changing market circumstances. We feel it is important that </w:t>
      </w:r>
      <w:r w:rsidRPr="00BB068F">
        <w:t>the ESAs regularly back test the proposed values against actual transaction costs in existing fund portfolios to validate the levels proposed and make updates when necessary.</w:t>
      </w:r>
    </w:p>
    <w:p w:rsidR="004F4007" w:rsidRDefault="003A5534" w:rsidP="003A5534">
      <w:pPr>
        <w:spacing w:before="160"/>
        <w:jc w:val="both"/>
      </w:pPr>
      <w:r w:rsidRPr="00BB068F">
        <w:t>W</w:t>
      </w:r>
      <w:r>
        <w:t xml:space="preserve">e prefer </w:t>
      </w:r>
      <w:r w:rsidRPr="00BB068F">
        <w:t xml:space="preserve">using a standardised </w:t>
      </w:r>
      <w:r>
        <w:t>cost</w:t>
      </w:r>
      <w:r w:rsidRPr="00BB068F">
        <w:t xml:space="preserve"> table to calculate implicit transaction cost, which will </w:t>
      </w:r>
      <w:r>
        <w:t>facilitate</w:t>
      </w:r>
      <w:r w:rsidRPr="00BB068F">
        <w:t xml:space="preserve"> uniform calculation of transaction costs among all PRIIP manufacturers. Th</w:t>
      </w:r>
      <w:r>
        <w:t xml:space="preserve">e </w:t>
      </w:r>
      <w:r w:rsidRPr="00BB068F">
        <w:t xml:space="preserve">reliance on a standardised spread table </w:t>
      </w:r>
      <w:r>
        <w:t xml:space="preserve">is important as it </w:t>
      </w:r>
      <w:r w:rsidRPr="00BB068F">
        <w:t xml:space="preserve">will allow smaller PRIIP manufacturers to perform their transaction costs calculation without </w:t>
      </w:r>
      <w:r>
        <w:t xml:space="preserve">disproportionate </w:t>
      </w:r>
      <w:r w:rsidRPr="00BB068F">
        <w:t>cost, which could put them at a competitive disadvanta</w:t>
      </w:r>
      <w:r>
        <w:t>ge.</w:t>
      </w:r>
    </w:p>
    <w:p w:rsidR="003A5534" w:rsidRDefault="003A5534" w:rsidP="003A5534">
      <w:pPr>
        <w:spacing w:before="160"/>
        <w:jc w:val="both"/>
      </w:pPr>
      <w:r>
        <w:t>We suggest the use of a</w:t>
      </w:r>
      <w:r w:rsidRPr="00FB56B0">
        <w:t xml:space="preserve"> table based on reasonable estimations of relevant transaction costs like the one proposed in para. 25</w:t>
      </w:r>
      <w:r>
        <w:t xml:space="preserve"> as a short term solution. </w:t>
      </w:r>
      <w:r w:rsidRPr="00BB068F">
        <w:t>Th</w:t>
      </w:r>
      <w:r>
        <w:t>is</w:t>
      </w:r>
      <w:r w:rsidRPr="00BB068F">
        <w:t xml:space="preserve"> </w:t>
      </w:r>
      <w:r>
        <w:t xml:space="preserve">table is even more important in light of </w:t>
      </w:r>
      <w:r w:rsidRPr="00BB068F">
        <w:t xml:space="preserve">the fact that market data, </w:t>
      </w:r>
      <w:r>
        <w:t>especially</w:t>
      </w:r>
      <w:r w:rsidRPr="00BB068F">
        <w:t xml:space="preserve"> for non-equities, will not be available for a number of years</w:t>
      </w:r>
      <w:r>
        <w:t xml:space="preserve"> and as such </w:t>
      </w:r>
      <w:r w:rsidRPr="00BB068F">
        <w:t xml:space="preserve">PRIIP manufacturers will be forced to use this </w:t>
      </w:r>
      <w:r>
        <w:t>standardised</w:t>
      </w:r>
      <w:r w:rsidRPr="00BB068F">
        <w:t xml:space="preserve"> table as no other </w:t>
      </w:r>
      <w:r>
        <w:t>data</w:t>
      </w:r>
      <w:r w:rsidRPr="00BB068F">
        <w:t xml:space="preserve"> is available. </w:t>
      </w:r>
    </w:p>
    <w:p w:rsidR="004F4007" w:rsidRDefault="004F4007" w:rsidP="004F4007">
      <w:pPr>
        <w:jc w:val="both"/>
      </w:pPr>
    </w:p>
    <w:p w:rsidR="004F4007" w:rsidRDefault="003A5534" w:rsidP="004F4007">
      <w:pPr>
        <w:jc w:val="both"/>
      </w:pPr>
      <w:r>
        <w:t>An alternative is to use the standardised table for the first three years until there is a trading pattern for the fund/product. We believe there should be blanket permission to use this table until the general review is carried out. Furthermore, in our opinion, the use of the standardised table should be a choice rather than mandatory, i.e. can use the standardised table for the three years or can use real costs. The p</w:t>
      </w:r>
      <w:r w:rsidRPr="00896602">
        <w:t>resentation of performance scenarios</w:t>
      </w:r>
      <w:r>
        <w:t xml:space="preserve"> should be future-proof to permit enough flexibility to allow the usage of technology such as websites, to better display varying performance scenarios than is possible in paper form. Regarding the design of the table, we recommend differentiating </w:t>
      </w:r>
      <w:r w:rsidRPr="00C56ABD">
        <w:t xml:space="preserve">between implicit and explicit costs and </w:t>
      </w:r>
      <w:r>
        <w:t xml:space="preserve">also </w:t>
      </w:r>
      <w:r w:rsidRPr="00C56ABD">
        <w:t xml:space="preserve">including </w:t>
      </w:r>
      <w:r>
        <w:t>an additional column to</w:t>
      </w:r>
      <w:r w:rsidRPr="00C56ABD">
        <w:t xml:space="preserve"> accommodate the latter. </w:t>
      </w:r>
      <w:r>
        <w:t>We would suggest that t</w:t>
      </w:r>
      <w:r w:rsidRPr="00C56ABD">
        <w:t xml:space="preserve">rading costs in equity instruments and listed derivatives should then be classified as explicit costs. </w:t>
      </w:r>
      <w:r>
        <w:t>W</w:t>
      </w:r>
      <w:r w:rsidRPr="00C56ABD">
        <w:t xml:space="preserve">e </w:t>
      </w:r>
      <w:r>
        <w:t>also suggest</w:t>
      </w:r>
      <w:r w:rsidRPr="00C56ABD">
        <w:t xml:space="preserve"> distinguishing between program and no program trading </w:t>
      </w:r>
      <w:r>
        <w:t xml:space="preserve">as regards </w:t>
      </w:r>
      <w:r w:rsidRPr="00C56ABD">
        <w:t>emerging market shares and assuming the explicit costs of listed derivative transaction</w:t>
      </w:r>
      <w:r>
        <w:t>s</w:t>
      </w:r>
      <w:r w:rsidRPr="00C56ABD">
        <w:t xml:space="preserve"> in absolute numbers </w:t>
      </w:r>
      <w:r>
        <w:t>so as</w:t>
      </w:r>
      <w:r w:rsidRPr="00C56ABD">
        <w:t xml:space="preserve"> to reflect the prevailing market practice.</w:t>
      </w:r>
    </w:p>
    <w:p w:rsidR="004F4007" w:rsidRDefault="004F4007" w:rsidP="004F4007">
      <w:pPr>
        <w:jc w:val="both"/>
      </w:pPr>
    </w:p>
    <w:p w:rsidR="004F4007" w:rsidRDefault="003A5534" w:rsidP="004F4007">
      <w:pPr>
        <w:jc w:val="both"/>
      </w:pPr>
      <w:r>
        <w:t>We are of the considered opinion that these</w:t>
      </w:r>
      <w:r w:rsidRPr="00C56ABD">
        <w:t xml:space="preserve"> adaptations would also help to </w:t>
      </w:r>
      <w:r>
        <w:t>highlight</w:t>
      </w:r>
      <w:r w:rsidRPr="00C56ABD">
        <w:t xml:space="preserve"> the relevance of the table for existing products as compared to new PRIIIPs: whereas newly launched PRIIPs would </w:t>
      </w:r>
      <w:r>
        <w:t>be required to</w:t>
      </w:r>
      <w:r w:rsidRPr="00C56ABD">
        <w:t xml:space="preserve"> apply the entire table in order to compute their transaction costs</w:t>
      </w:r>
      <w:r>
        <w:t xml:space="preserve">, and </w:t>
      </w:r>
      <w:r w:rsidRPr="00C56ABD">
        <w:t>funds with a relevant trading history would rely only on the assumptions for the implicit cost elements. Explicit costs incurred in existing PRIIPs which comprise in particular broker fees, depositary fees, taxes and potential fees charged by specialised custodians in</w:t>
      </w:r>
      <w:r>
        <w:t xml:space="preserve"> the</w:t>
      </w:r>
      <w:r w:rsidRPr="00C56ABD">
        <w:t xml:space="preserve"> case of equity transactions would be disclosed on the basis of actual transaction data </w:t>
      </w:r>
      <w:r>
        <w:t>in accordance with</w:t>
      </w:r>
      <w:r w:rsidRPr="00C56ABD">
        <w:t xml:space="preserve"> para. 6 (j) of Annex II.</w:t>
      </w:r>
    </w:p>
    <w:p w:rsidR="004F4007" w:rsidRDefault="004F4007" w:rsidP="004F4007">
      <w:pPr>
        <w:jc w:val="both"/>
      </w:pPr>
    </w:p>
    <w:p w:rsidR="003A5534" w:rsidRDefault="003A5534" w:rsidP="004F4007">
      <w:pPr>
        <w:jc w:val="both"/>
      </w:pPr>
      <w:r>
        <w:t>Regarding the</w:t>
      </w:r>
      <w:r w:rsidRPr="00BB068F">
        <w:t xml:space="preserve"> asset classes listed, </w:t>
      </w:r>
      <w:r>
        <w:t xml:space="preserve">we believe that </w:t>
      </w:r>
      <w:r w:rsidRPr="00BB068F">
        <w:t xml:space="preserve">standard industry definitions are </w:t>
      </w:r>
      <w:r>
        <w:t>required</w:t>
      </w:r>
      <w:r w:rsidRPr="00BB068F">
        <w:t xml:space="preserve"> that correspond to the categories offered to practitioners by data providers such as Bloomberg. UCITS eligible assets were defined by law.  It would be </w:t>
      </w:r>
      <w:r>
        <w:t xml:space="preserve">useful to have </w:t>
      </w:r>
      <w:r w:rsidRPr="00BB068F">
        <w:t>a core set of the most important asset classes</w:t>
      </w:r>
      <w:r>
        <w:t xml:space="preserve"> for PRIIPs.</w:t>
      </w:r>
    </w:p>
    <w:permEnd w:id="1363745788"/>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lastRenderedPageBreak/>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discounting effects)?</w:t>
      </w:r>
    </w:p>
    <w:p w:rsidR="003E4B00" w:rsidRDefault="003E4B00" w:rsidP="003E4B00"/>
    <w:p w:rsidR="003E4B00" w:rsidRDefault="003E4B00" w:rsidP="003E4B00">
      <w:r>
        <w:t>&lt;ESMA_QUESTION_PRIIPS_18&gt;</w:t>
      </w:r>
    </w:p>
    <w:p w:rsidR="003A5534" w:rsidRPr="000D3176" w:rsidRDefault="003A5534" w:rsidP="003A5534">
      <w:permStart w:id="188757075" w:edGrp="everyone"/>
      <w:r w:rsidRPr="000D3176">
        <w:t>Since costs are used to generate investment return, we believe it would be misleading for investors if a link to projected investment returns was not made.</w:t>
      </w:r>
    </w:p>
    <w:p w:rsidR="004F4007" w:rsidRDefault="004F4007" w:rsidP="003A5534">
      <w:pPr>
        <w:jc w:val="both"/>
      </w:pPr>
    </w:p>
    <w:p w:rsidR="003A5534" w:rsidRPr="00EF5A6F" w:rsidRDefault="003A5534" w:rsidP="003A5534">
      <w:pPr>
        <w:jc w:val="both"/>
      </w:pPr>
      <w:r>
        <w:t>We believe the</w:t>
      </w:r>
      <w:r w:rsidRPr="00EF5A6F">
        <w:t xml:space="preserve"> approach to cost disclosure over the respective holding periods should correspond to the presentation of performance prospects in the risk and reward section. </w:t>
      </w:r>
      <w:r>
        <w:t xml:space="preserve">In our view, this is especially crucial where </w:t>
      </w:r>
      <w:r w:rsidRPr="00EF5A6F">
        <w:t xml:space="preserve">the cost disclosure in monetary terms </w:t>
      </w:r>
      <w:r>
        <w:t>is</w:t>
      </w:r>
      <w:r w:rsidRPr="00EF5A6F">
        <w:t xml:space="preserve"> supplemented by a Reduction in Yield figure to </w:t>
      </w:r>
      <w:r>
        <w:t>depict the impact</w:t>
      </w:r>
      <w:r w:rsidRPr="00EF5A6F">
        <w:t xml:space="preserve"> of costs on </w:t>
      </w:r>
      <w:r>
        <w:t>performance.</w:t>
      </w:r>
    </w:p>
    <w:p w:rsidR="004F4007" w:rsidRDefault="004F4007" w:rsidP="003A5534">
      <w:pPr>
        <w:jc w:val="both"/>
      </w:pPr>
    </w:p>
    <w:p w:rsidR="003A5534" w:rsidRDefault="003A5534" w:rsidP="003A5534">
      <w:pPr>
        <w:jc w:val="both"/>
      </w:pPr>
      <w:r>
        <w:t xml:space="preserve">Hence, </w:t>
      </w:r>
      <w:r w:rsidRPr="00EF5A6F">
        <w:t>we</w:t>
      </w:r>
      <w:r>
        <w:t xml:space="preserve"> recommend</w:t>
      </w:r>
      <w:r w:rsidRPr="00EF5A6F">
        <w:t xml:space="preserve"> </w:t>
      </w:r>
      <w:r>
        <w:t>further clarifying the</w:t>
      </w:r>
      <w:r w:rsidRPr="00EF5A6F">
        <w:t xml:space="preserve"> Reduction in Yield concept. </w:t>
      </w:r>
      <w:r>
        <w:t>We believe that</w:t>
      </w:r>
      <w:r w:rsidRPr="00EF5A6F">
        <w:t xml:space="preserve"> the </w:t>
      </w:r>
      <w:r>
        <w:t>phrase</w:t>
      </w:r>
      <w:r w:rsidRPr="00EF5A6F">
        <w:t xml:space="preserve"> “Reduction in Yield” should be replaced by a description </w:t>
      </w:r>
      <w:r>
        <w:t xml:space="preserve">that is easier to </w:t>
      </w:r>
      <w:r w:rsidRPr="00EF5A6F">
        <w:t>understand for retail investors</w:t>
      </w:r>
      <w:r>
        <w:t>.</w:t>
      </w:r>
      <w:r w:rsidRPr="00EF5A6F">
        <w:t xml:space="preserve"> </w:t>
      </w:r>
      <w:r>
        <w:t xml:space="preserve">We also believe </w:t>
      </w:r>
      <w:r w:rsidRPr="00EF5A6F">
        <w:t xml:space="preserve">the introductory part should clearly explain that the </w:t>
      </w:r>
      <w:r>
        <w:t>effect</w:t>
      </w:r>
      <w:r w:rsidRPr="00EF5A6F">
        <w:t xml:space="preserve"> of costs is calculated on the basis of the moderate scenario </w:t>
      </w:r>
      <w:r>
        <w:t>shown</w:t>
      </w:r>
      <w:r w:rsidRPr="00EF5A6F">
        <w:t xml:space="preserve"> in the risk and reward section.</w:t>
      </w:r>
    </w:p>
    <w:permEnd w:id="188757075"/>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4F4007" w:rsidRDefault="003A5534" w:rsidP="003A5534">
      <w:pPr>
        <w:spacing w:before="160"/>
        <w:jc w:val="both"/>
      </w:pPr>
      <w:permStart w:id="362960077" w:edGrp="everyone"/>
      <w:r>
        <w:t xml:space="preserve">Firstly, we would like further clarification on why </w:t>
      </w:r>
      <w:r w:rsidRPr="008D559A">
        <w:t xml:space="preserve">the cost of providing life </w:t>
      </w:r>
      <w:r>
        <w:t xml:space="preserve">insurance </w:t>
      </w:r>
      <w:r w:rsidRPr="008D559A">
        <w:t xml:space="preserve">cover </w:t>
      </w:r>
      <w:r>
        <w:t>should</w:t>
      </w:r>
      <w:r w:rsidRPr="008D559A">
        <w:t xml:space="preserve"> not </w:t>
      </w:r>
      <w:r>
        <w:t>be fully disclosed. From our understanding, the current</w:t>
      </w:r>
      <w:r w:rsidRPr="008D559A">
        <w:t xml:space="preserve"> calculation </w:t>
      </w:r>
      <w:r>
        <w:t>of a “</w:t>
      </w:r>
      <w:r w:rsidRPr="008D559A">
        <w:t>fair value</w:t>
      </w:r>
      <w:r>
        <w:t>” deducts benefits and</w:t>
      </w:r>
      <w:r w:rsidRPr="008D559A">
        <w:t xml:space="preserve"> understate</w:t>
      </w:r>
      <w:r>
        <w:t>s</w:t>
      </w:r>
      <w:r w:rsidRPr="008D559A">
        <w:t xml:space="preserve"> costs. </w:t>
      </w:r>
      <w:r>
        <w:t>Where</w:t>
      </w:r>
      <w:r w:rsidRPr="008D559A">
        <w:t xml:space="preserve"> a guarantee</w:t>
      </w:r>
      <w:r>
        <w:t xml:space="preserve"> which is </w:t>
      </w:r>
      <w:r w:rsidRPr="008D559A">
        <w:t>external to a fund</w:t>
      </w:r>
      <w:r>
        <w:t>,</w:t>
      </w:r>
      <w:r w:rsidRPr="008D559A">
        <w:t xml:space="preserve"> is provided to a client, then that </w:t>
      </w:r>
      <w:r>
        <w:t>“</w:t>
      </w:r>
      <w:r w:rsidRPr="008D559A">
        <w:t>benefit</w:t>
      </w:r>
      <w:r>
        <w:t>”</w:t>
      </w:r>
      <w:r w:rsidRPr="008D559A">
        <w:t xml:space="preserve"> is a cost and </w:t>
      </w:r>
      <w:r>
        <w:t>should</w:t>
      </w:r>
      <w:r w:rsidRPr="008D559A">
        <w:t xml:space="preserve"> </w:t>
      </w:r>
      <w:r>
        <w:t xml:space="preserve">have to </w:t>
      </w:r>
      <w:r w:rsidRPr="008D559A">
        <w:t xml:space="preserve">be </w:t>
      </w:r>
      <w:r>
        <w:t xml:space="preserve">fully </w:t>
      </w:r>
      <w:r w:rsidRPr="008D559A">
        <w:t>disclosed</w:t>
      </w:r>
      <w:r w:rsidRPr="00E43578">
        <w:t xml:space="preserve"> </w:t>
      </w:r>
      <w:r>
        <w:t>and included in the cost calculation.</w:t>
      </w:r>
    </w:p>
    <w:p w:rsidR="004F4007" w:rsidRDefault="003A5534" w:rsidP="003A5534">
      <w:pPr>
        <w:spacing w:before="160"/>
        <w:jc w:val="both"/>
      </w:pPr>
      <w:r>
        <w:t xml:space="preserve">We recommend formulating Level-3 guidelines on the assumption to be used when calculating the </w:t>
      </w:r>
      <w:r w:rsidRPr="00FC3102">
        <w:t>fair value of biometric risk premiums</w:t>
      </w:r>
      <w:r>
        <w:t xml:space="preserve"> so as to facilitate a common methodology among insurance PRIIPs, and other PRIIP types, because by e</w:t>
      </w:r>
      <w:r w:rsidRPr="00C92B28">
        <w:t>stimating the fair value of biometric risk premiums</w:t>
      </w:r>
      <w:r>
        <w:t xml:space="preserve"> certain technical issues will come up, particularly</w:t>
      </w:r>
      <w:r w:rsidRPr="00C92B28">
        <w:t xml:space="preserve"> linked to underlying asset projection</w:t>
      </w:r>
      <w:r>
        <w:t xml:space="preserve"> </w:t>
      </w:r>
      <w:r w:rsidRPr="007246B0">
        <w:rPr>
          <w:i/>
        </w:rPr>
        <w:t>and i</w:t>
      </w:r>
      <w:r>
        <w:rPr>
          <w:i/>
        </w:rPr>
        <w:t>t creates</w:t>
      </w:r>
      <w:r w:rsidRPr="007246B0">
        <w:rPr>
          <w:i/>
        </w:rPr>
        <w:t xml:space="preserve"> practical difficulties </w:t>
      </w:r>
      <w:r>
        <w:rPr>
          <w:i/>
        </w:rPr>
        <w:t>in that it means creating</w:t>
      </w:r>
      <w:r w:rsidRPr="007246B0">
        <w:rPr>
          <w:i/>
        </w:rPr>
        <w:t xml:space="preserve"> a KID per retail investor</w:t>
      </w:r>
      <w:r>
        <w:rPr>
          <w:i/>
        </w:rPr>
        <w:t xml:space="preserve"> as </w:t>
      </w:r>
      <w:r w:rsidRPr="007246B0">
        <w:rPr>
          <w:i/>
        </w:rPr>
        <w:t>biometric risk premiums depend on the age of the policyholder and on the death coverage..</w:t>
      </w:r>
      <w:r>
        <w:t xml:space="preserve"> Regardless, we are in agreement </w:t>
      </w:r>
      <w:r w:rsidRPr="00C56ABD">
        <w:t xml:space="preserve">with the ESAs that if the insurance undertaking </w:t>
      </w:r>
      <w:r>
        <w:t>cannot work out</w:t>
      </w:r>
      <w:r w:rsidRPr="00C56ABD">
        <w:t xml:space="preserve"> the fair value of a biometric risk premium based on sound estimations of future benefit payments, it should </w:t>
      </w:r>
      <w:r>
        <w:t xml:space="preserve">have </w:t>
      </w:r>
      <w:r w:rsidRPr="00C56ABD">
        <w:t>to include the full biometric risk premium in the cost calculations.</w:t>
      </w:r>
    </w:p>
    <w:p w:rsidR="003A5534" w:rsidRPr="004F4007" w:rsidRDefault="003A5534" w:rsidP="003A5534">
      <w:pPr>
        <w:spacing w:before="160"/>
        <w:jc w:val="both"/>
      </w:pPr>
      <w:r>
        <w:t xml:space="preserve">Regarding paragraph 55(b), we believe that profit-sharing mechanisms should be employed to reduce costs or increase performance, but not both. </w:t>
      </w:r>
    </w:p>
    <w:permEnd w:id="362960077"/>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prod</w:t>
      </w:r>
      <w:r w:rsidRPr="00A2049D">
        <w:rPr>
          <w:rFonts w:ascii="Calibri" w:hAnsi="Calibri"/>
          <w:i/>
          <w:sz w:val="22"/>
          <w:lang w:eastAsia="en-US"/>
        </w:rPr>
        <w:lastRenderedPageBreak/>
        <w:t xml:space="preserve">uct?” section, where the draft RTS currently disclose biometric risk premiums in total, and/or in the performance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3A5534" w:rsidRDefault="003A5534" w:rsidP="003A5534">
      <w:pPr>
        <w:spacing w:before="160"/>
        <w:jc w:val="both"/>
      </w:pPr>
      <w:permStart w:id="1838949230" w:edGrp="everyone"/>
      <w:r>
        <w:t>W</w:t>
      </w:r>
      <w:r w:rsidRPr="00C92B28">
        <w:t xml:space="preserve">e </w:t>
      </w:r>
      <w:r>
        <w:t xml:space="preserve">recommend including the </w:t>
      </w:r>
      <w:r w:rsidRPr="00546E67">
        <w:t>biometric risk premium</w:t>
      </w:r>
      <w:r>
        <w:t xml:space="preserve"> in the presentation of costs (Annex VII) in the second cost table as “Insurance costs” of a PRIIP. </w:t>
      </w:r>
    </w:p>
    <w:p w:rsidR="00491E49" w:rsidRDefault="00491E49" w:rsidP="00491E49"/>
    <w:permEnd w:id="1838949230"/>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3A5534" w:rsidRPr="000D3176" w:rsidRDefault="003A5534" w:rsidP="003A5534">
      <w:pPr>
        <w:rPr>
          <w:i/>
        </w:rPr>
      </w:pPr>
      <w:permStart w:id="385502326" w:edGrp="everyone"/>
      <w:r>
        <w:t>T</w:t>
      </w:r>
      <w:r w:rsidRPr="00B8575B">
        <w:t>he use of percentage figures would be in line with the</w:t>
      </w:r>
      <w:r>
        <w:t xml:space="preserve"> existing</w:t>
      </w:r>
      <w:r w:rsidRPr="00B8575B">
        <w:t xml:space="preserve"> UCITS KIID</w:t>
      </w:r>
      <w:r>
        <w:t>. We believe it would be</w:t>
      </w:r>
      <w:r w:rsidRPr="00B8575B">
        <w:t xml:space="preserve"> generally preferable</w:t>
      </w:r>
      <w:r>
        <w:t>, because actual or monetary figures could be taken literally by the investor. We believe that costs</w:t>
      </w:r>
      <w:r w:rsidRPr="00ED1926">
        <w:t xml:space="preserve"> expressed in monetary </w:t>
      </w:r>
      <w:r>
        <w:t>values</w:t>
      </w:r>
      <w:r w:rsidRPr="00ED1926">
        <w:t xml:space="preserve"> could be misleading for the investor</w:t>
      </w:r>
      <w:r>
        <w:t xml:space="preserve"> and we do not know of any </w:t>
      </w:r>
      <w:r w:rsidRPr="00D83365">
        <w:t>concerns raised by investors into UCITS resulting from using percentage figures in the KIID.</w:t>
      </w:r>
      <w:r w:rsidRPr="000D3176">
        <w:t xml:space="preserve">  We are of the opinion that if actual figures were utilised, the values should depict annualised amounts. If this is not done, the amount disclosed could dissuade the investor who may incorrectly believe that he would have to pay higher costs from year to year.</w:t>
      </w:r>
    </w:p>
    <w:p w:rsidR="003A5534" w:rsidRDefault="003A5534" w:rsidP="003A5534">
      <w:pPr>
        <w:spacing w:before="160"/>
        <w:jc w:val="both"/>
      </w:pPr>
      <w:r>
        <w:t xml:space="preserve">In any case, we think that these percentages should not be in the form of </w:t>
      </w:r>
      <w:r w:rsidRPr="0003382B">
        <w:t>RIY figures</w:t>
      </w:r>
      <w:r>
        <w:t xml:space="preserve"> based on the RHP. We believe it</w:t>
      </w:r>
      <w:r w:rsidRPr="0003382B">
        <w:t xml:space="preserve"> would be most useful if the second table showed the actual cost structure, </w:t>
      </w:r>
      <w:r>
        <w:t>since t</w:t>
      </w:r>
      <w:r w:rsidRPr="0003382B">
        <w:t>he first table</w:t>
      </w:r>
      <w:r>
        <w:t xml:space="preserve"> is</w:t>
      </w:r>
      <w:r w:rsidRPr="0003382B">
        <w:t xml:space="preserve"> </w:t>
      </w:r>
      <w:r>
        <w:t>depicting</w:t>
      </w:r>
      <w:r w:rsidRPr="0003382B">
        <w:t xml:space="preserve"> the effect of charges, </w:t>
      </w:r>
      <w:r>
        <w:t>and so facilitating</w:t>
      </w:r>
      <w:r w:rsidRPr="0003382B">
        <w:t xml:space="preserve"> a proper understanding, and even replicat</w:t>
      </w:r>
      <w:r>
        <w:t>ing</w:t>
      </w:r>
      <w:r w:rsidRPr="0003382B">
        <w:t xml:space="preserve"> the cost structure in other scenarios. </w:t>
      </w:r>
      <w:r>
        <w:t>In our opinion, it</w:t>
      </w:r>
      <w:r w:rsidRPr="0003382B">
        <w:t xml:space="preserve"> is likely to be misleading to show a 5% entry cost as 1% in the hope that the investor realises that the table relates to a recommended holding period of 5 years and the 5% has been amortised. The</w:t>
      </w:r>
      <w:r>
        <w:t>se</w:t>
      </w:r>
      <w:r w:rsidRPr="0003382B">
        <w:t xml:space="preserve"> actual </w:t>
      </w:r>
      <w:r>
        <w:t>percentages</w:t>
      </w:r>
      <w:r w:rsidRPr="0003382B">
        <w:t xml:space="preserve"> are also what will be </w:t>
      </w:r>
      <w:r>
        <w:t>used</w:t>
      </w:r>
      <w:r w:rsidRPr="0003382B">
        <w:t xml:space="preserve"> by online calculators and</w:t>
      </w:r>
      <w:r>
        <w:t xml:space="preserve"> required</w:t>
      </w:r>
      <w:r w:rsidRPr="0003382B">
        <w:t xml:space="preserve"> by MiFID II.</w:t>
      </w:r>
    </w:p>
    <w:permEnd w:id="385502326"/>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3A5534" w:rsidRPr="007246B0" w:rsidRDefault="003A5534" w:rsidP="003A5534">
      <w:pPr>
        <w:rPr>
          <w:i/>
        </w:rPr>
      </w:pPr>
      <w:permStart w:id="2827546" w:edGrp="everyone"/>
      <w:r>
        <w:t>Although we prefer the graphical presentation as the KID</w:t>
      </w:r>
      <w:r w:rsidRPr="00D555D5">
        <w:t xml:space="preserve"> already contains a number of tables, the</w:t>
      </w:r>
      <w:r>
        <w:t xml:space="preserve"> crucial</w:t>
      </w:r>
      <w:r w:rsidRPr="00D555D5">
        <w:t xml:space="preserve"> information on costs </w:t>
      </w:r>
      <w:r>
        <w:t>depicted</w:t>
      </w:r>
      <w:r w:rsidRPr="00D555D5">
        <w:t xml:space="preserve"> to the retail investors necessitates a summary table </w:t>
      </w:r>
      <w:r>
        <w:t>and</w:t>
      </w:r>
      <w:r w:rsidRPr="00D555D5">
        <w:t xml:space="preserve"> a detailed breakout table. </w:t>
      </w:r>
      <w:r w:rsidRPr="00846038">
        <w:t xml:space="preserve">The table has the </w:t>
      </w:r>
      <w:r>
        <w:t>benefit</w:t>
      </w:r>
      <w:r w:rsidRPr="00846038">
        <w:t xml:space="preserve"> of </w:t>
      </w:r>
      <w:r w:rsidRPr="003D2B3D">
        <w:t xml:space="preserve">facilitating cost affects for various holding periods which is difficult to accomplish in the graphic. </w:t>
      </w:r>
      <w:r w:rsidRPr="000D3176">
        <w:t>The table provides the opportunity to provide brief explanations, for example on different time periods. The table format is also in general in line with the UCITS standard.</w:t>
      </w:r>
      <w:r w:rsidRPr="007246B0">
        <w:rPr>
          <w:i/>
        </w:rPr>
        <w:t xml:space="preserve"> </w:t>
      </w:r>
    </w:p>
    <w:p w:rsidR="003A5534" w:rsidRDefault="00C35807" w:rsidP="003A5534">
      <w:r>
        <w:t>We would appreciate</w:t>
      </w:r>
      <w:r w:rsidR="003A5534" w:rsidRPr="000D3176">
        <w:t xml:space="preserve"> if the ESAs would provide further detail regarding how the template shown on page 32 and 33 of the Consultation Paper may work in a practical example.</w:t>
      </w:r>
    </w:p>
    <w:permEnd w:id="2827546"/>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lastRenderedPageBreak/>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3A5534" w:rsidRDefault="003A5534" w:rsidP="003A5534">
      <w:pPr>
        <w:spacing w:before="160"/>
        <w:jc w:val="both"/>
      </w:pPr>
      <w:permStart w:id="1095636971" w:edGrp="everyone"/>
      <w:r>
        <w:t xml:space="preserve">While this example provides detailed information on performance fees, it does not showcase the variability of other cost elements. This could have the effect of making investors think </w:t>
      </w:r>
      <w:r w:rsidRPr="00846038">
        <w:t>that since only the performance fee figures are presented as variable in different market conditions, other costs will remain stable in any case. T</w:t>
      </w:r>
      <w:r>
        <w:t xml:space="preserve">his </w:t>
      </w:r>
      <w:r w:rsidRPr="00846038">
        <w:t xml:space="preserve">should be avoided </w:t>
      </w:r>
      <w:r>
        <w:t>as t</w:t>
      </w:r>
      <w:r w:rsidRPr="00846038">
        <w:t>he recurring cost figure also</w:t>
      </w:r>
      <w:r>
        <w:t xml:space="preserve"> includes </w:t>
      </w:r>
      <w:r w:rsidRPr="00846038">
        <w:t xml:space="preserve">transaction costs which may </w:t>
      </w:r>
      <w:r>
        <w:t>widely vary</w:t>
      </w:r>
      <w:r w:rsidRPr="00846038">
        <w:t xml:space="preserve"> depending on the market situation and the portfolio composition at a specific point </w:t>
      </w:r>
      <w:r>
        <w:t>in</w:t>
      </w:r>
      <w:r w:rsidRPr="00846038">
        <w:t xml:space="preserve"> time.</w:t>
      </w:r>
      <w:r>
        <w:t xml:space="preserve"> Hence, we agree with the use of a </w:t>
      </w:r>
      <w:r w:rsidRPr="00D555D5">
        <w:t>summary table as well as a detailed breakout table</w:t>
      </w:r>
      <w:r>
        <w:t>.</w:t>
      </w:r>
    </w:p>
    <w:permEnd w:id="1095636971"/>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3A5534" w:rsidRPr="00C30A3E" w:rsidRDefault="003A5534" w:rsidP="003A5534">
      <w:pPr>
        <w:jc w:val="both"/>
      </w:pPr>
      <w:permStart w:id="229253148" w:edGrp="everyone"/>
      <w:r>
        <w:t>We would not agree with combining both tables because the second table offers clarity on the information in the first table</w:t>
      </w:r>
      <w:r w:rsidRPr="00C30A3E">
        <w:t xml:space="preserve">. If </w:t>
      </w:r>
      <w:r w:rsidRPr="000D3176">
        <w:t xml:space="preserve">it is necessary to disclose </w:t>
      </w:r>
      <w:r w:rsidRPr="00C30A3E">
        <w:t xml:space="preserve">all </w:t>
      </w:r>
      <w:r w:rsidRPr="000D3176">
        <w:t xml:space="preserve">of </w:t>
      </w:r>
      <w:r w:rsidRPr="00C30A3E">
        <w:t>this information</w:t>
      </w:r>
      <w:r w:rsidRPr="000D3176">
        <w:t>,</w:t>
      </w:r>
      <w:r w:rsidRPr="00C30A3E">
        <w:t xml:space="preserve"> t</w:t>
      </w:r>
      <w:r w:rsidRPr="000D3176">
        <w:t>wo different tables as suggested</w:t>
      </w:r>
      <w:r w:rsidRPr="00C30A3E">
        <w:t xml:space="preserve"> on page 73 of the Consultation Paper would be preferable.</w:t>
      </w:r>
    </w:p>
    <w:p w:rsidR="003A5534" w:rsidRPr="00543373" w:rsidRDefault="003A5534" w:rsidP="003A5534">
      <w:pPr>
        <w:rPr>
          <w:b/>
          <w:color w:val="FF0000"/>
        </w:rPr>
      </w:pPr>
      <w:r w:rsidRPr="000D3176">
        <w:t>While we recognise that investors appear to have some</w:t>
      </w:r>
      <w:r w:rsidRPr="00543373">
        <w:t xml:space="preserve"> difficult</w:t>
      </w:r>
      <w:r w:rsidRPr="000D3176">
        <w:t xml:space="preserve">y understanding </w:t>
      </w:r>
      <w:r w:rsidRPr="00543373">
        <w:t xml:space="preserve">percentage figures, we </w:t>
      </w:r>
      <w:r w:rsidRPr="000D3176">
        <w:t>have concerns regarding</w:t>
      </w:r>
      <w:r w:rsidRPr="00543373">
        <w:t xml:space="preserve"> the use of monetary amounts in the first cost table</w:t>
      </w:r>
      <w:r w:rsidRPr="000D3176">
        <w:t xml:space="preserve"> because we feel that there is risk that</w:t>
      </w:r>
      <w:r w:rsidRPr="00543373">
        <w:t xml:space="preserve"> investors </w:t>
      </w:r>
      <w:r w:rsidRPr="000D3176">
        <w:t>may place too much</w:t>
      </w:r>
      <w:r w:rsidRPr="00543373">
        <w:t xml:space="preserve"> focus</w:t>
      </w:r>
      <w:r w:rsidRPr="000D3176">
        <w:t xml:space="preserve"> </w:t>
      </w:r>
      <w:r w:rsidRPr="00543373">
        <w:t>on absolute figures which are based on a fictitious amount</w:t>
      </w:r>
      <w:r w:rsidRPr="000D3176">
        <w:t>.</w:t>
      </w:r>
    </w:p>
    <w:permEnd w:id="229253148"/>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3A5534" w:rsidRDefault="003A5534" w:rsidP="003A5534">
      <w:pPr>
        <w:jc w:val="both"/>
      </w:pPr>
      <w:permStart w:id="1278896653" w:edGrp="everyone"/>
      <w:r>
        <w:t>We believe that</w:t>
      </w:r>
      <w:r w:rsidRPr="00C11743">
        <w:t xml:space="preserve"> the RTS could specify that for structured products</w:t>
      </w:r>
      <w:r>
        <w:t>,</w:t>
      </w:r>
      <w:r w:rsidRPr="00C11743">
        <w:t xml:space="preserve"> calculations for the cost free scenario have always to be based on an adjustment of the payments by the investor, </w:t>
      </w:r>
      <w:r>
        <w:t>as</w:t>
      </w:r>
      <w:r w:rsidRPr="00C11743">
        <w:t xml:space="preserve"> </w:t>
      </w:r>
      <w:r>
        <w:t xml:space="preserve">investors who are in </w:t>
      </w:r>
      <w:r w:rsidRPr="00C11743">
        <w:t xml:space="preserve">structured products </w:t>
      </w:r>
      <w:r>
        <w:t>regularly</w:t>
      </w:r>
      <w:r w:rsidRPr="00C11743">
        <w:t xml:space="preserve"> </w:t>
      </w:r>
      <w:r>
        <w:t xml:space="preserve">have </w:t>
      </w:r>
      <w:r w:rsidRPr="00C11743">
        <w:t xml:space="preserve">no possibility to make additional investments </w:t>
      </w:r>
      <w:r>
        <w:t>after the initial subscription.</w:t>
      </w:r>
    </w:p>
    <w:permEnd w:id="1278896653"/>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presentation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3A5534" w:rsidRPr="00C30A3E" w:rsidRDefault="003A5534" w:rsidP="003A5534">
      <w:pPr>
        <w:jc w:val="both"/>
      </w:pPr>
      <w:permStart w:id="185402074" w:edGrp="everyone"/>
      <w:r w:rsidRPr="000D3176">
        <w:lastRenderedPageBreak/>
        <w:t xml:space="preserve">If it is necessary to show all of this information, we believe a detailed presentation of the different types of costs should be shown because certain costs are shown only as a maximum and some others are not applicable to all PRIIPs. Furthermore, certain figures are based on predictions while others represent actual costs. Hence, </w:t>
      </w:r>
      <w:r w:rsidRPr="00C30A3E">
        <w:t xml:space="preserve">we are in favour of displaying both a summary table and a more detailed breakdown table. Also, a breakdown of costs would be </w:t>
      </w:r>
      <w:r w:rsidRPr="000D3176">
        <w:t>in line with the UCITS standard.</w:t>
      </w:r>
    </w:p>
    <w:p w:rsidR="004F4007" w:rsidRDefault="004F4007" w:rsidP="003A5534">
      <w:pPr>
        <w:jc w:val="both"/>
      </w:pPr>
    </w:p>
    <w:p w:rsidR="003A5534" w:rsidRPr="00C30A3E" w:rsidRDefault="003A5534" w:rsidP="003A5534">
      <w:pPr>
        <w:jc w:val="both"/>
      </w:pPr>
      <w:r w:rsidRPr="00C30A3E">
        <w:t>Although the currently proposed summary table on page 73 is a hybrid between a summary and breakdown table</w:t>
      </w:r>
      <w:r>
        <w:t>, we</w:t>
      </w:r>
      <w:r w:rsidRPr="00C30A3E">
        <w:t xml:space="preserve"> recommend a simpler summary table followed by a more detailed breakdown. As regards, </w:t>
      </w:r>
      <w:r w:rsidRPr="000D3176">
        <w:t>recurring and other costs we think the same calculation methodology as for UCITS should be used.</w:t>
      </w:r>
    </w:p>
    <w:permEnd w:id="185402074"/>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presentation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3A5534" w:rsidRPr="00C30A3E" w:rsidRDefault="003A5534" w:rsidP="003A5534">
      <w:pPr>
        <w:jc w:val="both"/>
      </w:pPr>
      <w:permStart w:id="487138650" w:edGrp="everyone"/>
      <w:r w:rsidRPr="000D3176">
        <w:t xml:space="preserve">If it is necessary to show all of this information, we believe a detailed presentation of the different types of costs should be shown because certain costs are shown only as a maximum and some others are not applicable to all PRIIPs. Furthermore, certain figures are based on predictions while others represent actual costs. Hence, </w:t>
      </w:r>
      <w:r w:rsidRPr="00C30A3E">
        <w:t xml:space="preserve">we are in favour of displaying both a summary table and a more detailed breakdown table. Also, a breakdown of costs would be </w:t>
      </w:r>
      <w:r w:rsidRPr="000D3176">
        <w:t>in line with the UCITS standard.</w:t>
      </w:r>
    </w:p>
    <w:p w:rsidR="004F4007" w:rsidRDefault="004F4007" w:rsidP="003A5534">
      <w:pPr>
        <w:jc w:val="both"/>
      </w:pPr>
    </w:p>
    <w:p w:rsidR="003A5534" w:rsidRPr="00C30A3E" w:rsidRDefault="003A5534" w:rsidP="003A5534">
      <w:pPr>
        <w:jc w:val="both"/>
      </w:pPr>
      <w:r w:rsidRPr="00C30A3E">
        <w:t>Although the currently proposed summary table on page 73 is a hybrid between a summary and breakdown table</w:t>
      </w:r>
      <w:r>
        <w:t>, we</w:t>
      </w:r>
      <w:r w:rsidRPr="00C30A3E">
        <w:t xml:space="preserve"> recommend a simpler summary table followed by a more detailed breakdown. As regards, </w:t>
      </w:r>
      <w:r w:rsidRPr="000D3176">
        <w:t>recurring and other costs we think the same calculation methodology as for UCITS should be used.</w:t>
      </w:r>
    </w:p>
    <w:p w:rsidR="00847BB0" w:rsidRDefault="00847BB0" w:rsidP="00847BB0"/>
    <w:permEnd w:id="487138650"/>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lastRenderedPageBreak/>
        <w:t>&lt;ESMA_QUESTION_PRIIPS_28&gt;</w:t>
      </w:r>
    </w:p>
    <w:p w:rsidR="003A5534" w:rsidRPr="009603C2" w:rsidRDefault="003A5534" w:rsidP="003A5534">
      <w:pPr>
        <w:jc w:val="both"/>
      </w:pPr>
      <w:permStart w:id="635053732" w:edGrp="everyone"/>
      <w:r>
        <w:t xml:space="preserve">We believe it is necessary to provide clarification on many aspects. In our opinion, it will be necessary to delay the implementation date as according to Article 6 Paragraph 7 of the draft RTS, the ESAs will also legally be required to establish further guidelines, </w:t>
      </w:r>
      <w:r w:rsidRPr="009603C2">
        <w:t xml:space="preserve">making it difficult for many product manufacturers to make a PRIIPs KID available from January 2017. </w:t>
      </w:r>
      <w:r w:rsidRPr="000D3176">
        <w:t>It is our considered opinion that a further delay is necessary and in line with recent developments regarding MiFID implementation.</w:t>
      </w:r>
    </w:p>
    <w:p w:rsidR="004F4007" w:rsidRDefault="004F4007" w:rsidP="003A5534">
      <w:pPr>
        <w:jc w:val="both"/>
      </w:pPr>
    </w:p>
    <w:p w:rsidR="003A5534" w:rsidRPr="000D3176" w:rsidRDefault="003A5534" w:rsidP="003A5534">
      <w:pPr>
        <w:jc w:val="both"/>
      </w:pPr>
      <w:r w:rsidRPr="009603C2">
        <w:t>We feel that it is important that the exemption granted by Article 32, for UCITS as well as other nationally regulated retail funds that produce the UCITS KIID should not be undermined by conflicting rules applicable to other PRIIP providers. We believe that these companies which are benefitting from t</w:t>
      </w:r>
      <w:r w:rsidRPr="000D3176">
        <w:t>he transitional provision should at least be given the option to produce on a voluntary basis PRIIPs KIDs instead of UCITS KIIDs already before they may be required to do so.</w:t>
      </w:r>
    </w:p>
    <w:p w:rsidR="004F4007" w:rsidRDefault="004F4007" w:rsidP="003A5534">
      <w:pPr>
        <w:jc w:val="both"/>
      </w:pPr>
    </w:p>
    <w:p w:rsidR="003A5534" w:rsidRPr="000D3176" w:rsidRDefault="003A5534" w:rsidP="003A5534">
      <w:pPr>
        <w:jc w:val="both"/>
      </w:pPr>
      <w:r>
        <w:t xml:space="preserve">In our opinion, it is important that the legislator takes into account the unsatisfactory situation presented in the first bullet point under the section </w:t>
      </w:r>
      <w:r w:rsidRPr="009E3F93">
        <w:rPr>
          <w:i/>
        </w:rPr>
        <w:t>MOPs Costs</w:t>
      </w:r>
      <w:r>
        <w:t xml:space="preserve"> on page 123 of the Consultation Paper before the new rules are finalised. We believe this could cause confusion for investors with </w:t>
      </w:r>
      <w:proofErr w:type="gramStart"/>
      <w:r>
        <w:t>the  main</w:t>
      </w:r>
      <w:proofErr w:type="gramEnd"/>
      <w:r>
        <w:t xml:space="preserve"> features of risk, performance and costs presented differently in the two documents. </w:t>
      </w:r>
      <w:r w:rsidRPr="008D559A">
        <w:t>We</w:t>
      </w:r>
      <w:r>
        <w:t xml:space="preserve"> are unsure whether </w:t>
      </w:r>
      <w:r w:rsidRPr="00C30A3E">
        <w:t xml:space="preserve">EU legislators anticipated this outcome and question whether this is covered by the Level 1 text. Article 6(3) of the PRIIP KID Regulation which stipulates that in the case of MOPs “the key information document shall provide at least a generic description of the underlying investment options and state where and how more detailed pre-contractual information documentation relating to the investment products backing the underlying investment options can be found.” It is our opinion that this does not indicate provision of a PRIIP KID for each underlying investment option. We believe that when combined with Article 32, it should be read as allowing the provision of the UCITS KIID as pre-contractual data on any UCITS or AIF benefitting from the exemption under Article 32. We believe that </w:t>
      </w:r>
      <w:r w:rsidRPr="000D3176">
        <w:t xml:space="preserve">UCITS management companies etc. should not be </w:t>
      </w:r>
      <w:proofErr w:type="spellStart"/>
      <w:r w:rsidRPr="000D3176">
        <w:t>obligied</w:t>
      </w:r>
      <w:proofErr w:type="spellEnd"/>
      <w:r w:rsidRPr="000D3176">
        <w:t xml:space="preserve"> to produce a UCITS KIID and a PRIIPs KID simultaneously at least until 31 December 2019, only because an insurance undertaking offering unit-linked product requests the managers to already prepare PRIIPs KID compliant information for the insurance undertaking. We think that this would also have the effect of undermining the review by the Commission pursuant to article 33 of the PRIIPs Regulation.</w:t>
      </w:r>
    </w:p>
    <w:p w:rsidR="004F4007" w:rsidRDefault="004F4007" w:rsidP="003A5534">
      <w:pPr>
        <w:jc w:val="both"/>
      </w:pPr>
    </w:p>
    <w:p w:rsidR="003A5534" w:rsidRPr="000D3176" w:rsidRDefault="003A5534" w:rsidP="003A5534">
      <w:pPr>
        <w:jc w:val="both"/>
      </w:pPr>
      <w:r w:rsidRPr="000D3176">
        <w:t xml:space="preserve">Hence, we recommend that the ESAs reconsider whether the approach proposed under Article 12(1) of the draft RTS can be justified when accompanied with the wording of Article 6(3) of the PRIIP KID Regulation and the EU legislator’s decision to exempt investment funds providing a UCITS-like KIID from the duty to implement new information standards by </w:t>
      </w:r>
      <w:r>
        <w:t xml:space="preserve">the </w:t>
      </w:r>
      <w:r w:rsidRPr="000D3176">
        <w:t xml:space="preserve">end </w:t>
      </w:r>
      <w:r>
        <w:t xml:space="preserve">of </w:t>
      </w:r>
      <w:r w:rsidRPr="000D3176">
        <w:t xml:space="preserve">2016. </w:t>
      </w:r>
    </w:p>
    <w:p w:rsidR="004F4007" w:rsidRDefault="004F4007" w:rsidP="003A5534">
      <w:pPr>
        <w:jc w:val="both"/>
      </w:pPr>
    </w:p>
    <w:p w:rsidR="003A5534" w:rsidRPr="00C37179" w:rsidRDefault="003A5534" w:rsidP="003A5534">
      <w:pPr>
        <w:jc w:val="both"/>
      </w:pPr>
      <w:r>
        <w:t>However,</w:t>
      </w:r>
      <w:r w:rsidRPr="00773BC5">
        <w:t xml:space="preserve"> we </w:t>
      </w:r>
      <w:r>
        <w:t>anticipate</w:t>
      </w:r>
      <w:r w:rsidRPr="00773BC5">
        <w:t xml:space="preserve"> that the </w:t>
      </w:r>
      <w:r>
        <w:t>effect</w:t>
      </w:r>
      <w:r w:rsidRPr="00773BC5">
        <w:t xml:space="preserve"> of the Level 2 measures on the fund industry </w:t>
      </w:r>
      <w:r>
        <w:t>as regards</w:t>
      </w:r>
      <w:r w:rsidRPr="00773BC5">
        <w:t xml:space="preserve"> </w:t>
      </w:r>
      <w:r>
        <w:t>o</w:t>
      </w:r>
      <w:r w:rsidRPr="00773BC5">
        <w:t xml:space="preserve">perational efforts </w:t>
      </w:r>
      <w:r>
        <w:t xml:space="preserve">and financial resources </w:t>
      </w:r>
      <w:r w:rsidRPr="00773BC5">
        <w:t xml:space="preserve">will then be much </w:t>
      </w:r>
      <w:r>
        <w:t>greater</w:t>
      </w:r>
      <w:r w:rsidRPr="00773BC5">
        <w:t xml:space="preserve"> than</w:t>
      </w:r>
      <w:r>
        <w:t xml:space="preserve"> the EU legislator anticipates. We believe that it will force m</w:t>
      </w:r>
      <w:r w:rsidRPr="00773BC5">
        <w:t xml:space="preserve">any fund management companies to </w:t>
      </w:r>
      <w:r>
        <w:t>establish</w:t>
      </w:r>
      <w:r w:rsidRPr="00773BC5">
        <w:t xml:space="preserve"> internal projects </w:t>
      </w:r>
      <w:r>
        <w:t xml:space="preserve">so that they can </w:t>
      </w:r>
      <w:r w:rsidRPr="00773BC5">
        <w:t xml:space="preserve">provide their </w:t>
      </w:r>
      <w:r>
        <w:t xml:space="preserve">insurance sector </w:t>
      </w:r>
      <w:r w:rsidRPr="00773BC5">
        <w:t>business partners</w:t>
      </w:r>
      <w:r>
        <w:t xml:space="preserve"> with</w:t>
      </w:r>
      <w:r w:rsidRPr="00773BC5">
        <w:t xml:space="preserve"> PRIIPs-compliant SRI, performance scenarios and cost figures. </w:t>
      </w:r>
      <w:r>
        <w:t>In principle, these</w:t>
      </w:r>
      <w:r w:rsidRPr="00773BC5">
        <w:t xml:space="preserve"> elements should be delivered well </w:t>
      </w:r>
      <w:r>
        <w:t>in advance of the PRIIP KID</w:t>
      </w:r>
      <w:r w:rsidRPr="00773BC5">
        <w:t xml:space="preserve"> Regulation </w:t>
      </w:r>
      <w:r>
        <w:t xml:space="preserve">been put in force, </w:t>
      </w:r>
      <w:r w:rsidRPr="00773BC5">
        <w:t xml:space="preserve">in order to </w:t>
      </w:r>
      <w:r>
        <w:t>allow</w:t>
      </w:r>
      <w:r w:rsidRPr="00773BC5">
        <w:t xml:space="preserve"> insurance companies to produce PRIIPs KIDs on unit-linked insurance products on time. S</w:t>
      </w:r>
      <w:r>
        <w:t>een as</w:t>
      </w:r>
      <w:r w:rsidRPr="00773BC5">
        <w:t xml:space="preserve"> the specific standards for MOP</w:t>
      </w:r>
      <w:r>
        <w:t xml:space="preserve">s were unclear before the draft RTS was published </w:t>
      </w:r>
      <w:r w:rsidRPr="00773BC5">
        <w:t xml:space="preserve">in November 2015, </w:t>
      </w:r>
      <w:r>
        <w:t xml:space="preserve">the large majority of </w:t>
      </w:r>
      <w:r w:rsidRPr="00773BC5">
        <w:t xml:space="preserve">fund providers have </w:t>
      </w:r>
      <w:r>
        <w:t>still not</w:t>
      </w:r>
      <w:r w:rsidRPr="00773BC5">
        <w:t xml:space="preserve"> assigned specific budgets </w:t>
      </w:r>
      <w:r>
        <w:t>or established</w:t>
      </w:r>
      <w:r w:rsidRPr="00773BC5">
        <w:t xml:space="preserve"> business projects fo</w:t>
      </w:r>
      <w:r>
        <w:t>r PRIIP KID</w:t>
      </w:r>
      <w:r w:rsidRPr="00773BC5">
        <w:t xml:space="preserve"> implementation. </w:t>
      </w:r>
      <w:r>
        <w:t>Hence, if this is now required urgently,</w:t>
      </w:r>
      <w:r w:rsidRPr="00773BC5">
        <w:t xml:space="preserve"> </w:t>
      </w:r>
      <w:r>
        <w:t>the costs are likely to be unreasonably</w:t>
      </w:r>
      <w:r w:rsidRPr="00773BC5">
        <w:t xml:space="preserve"> high</w:t>
      </w:r>
      <w:r>
        <w:t>.</w:t>
      </w:r>
      <w:r w:rsidRPr="00773BC5">
        <w:t xml:space="preserve"> </w:t>
      </w:r>
      <w:r w:rsidRPr="00C37179">
        <w:t xml:space="preserve">We believe it is </w:t>
      </w:r>
      <w:r w:rsidRPr="000D3176">
        <w:t>inappropriate to expect fund providers to be ready for the PRIIP KID regulation to go live well in advance of its formal implementation date even though they manage the only type of PRIIPs for which a temporary exemption from scope applies.</w:t>
      </w:r>
    </w:p>
    <w:p w:rsidR="004F4007" w:rsidRDefault="004F4007" w:rsidP="003A5534">
      <w:pPr>
        <w:jc w:val="both"/>
      </w:pPr>
    </w:p>
    <w:p w:rsidR="003A5534" w:rsidRDefault="003A5534" w:rsidP="003A5534">
      <w:pPr>
        <w:jc w:val="both"/>
      </w:pPr>
      <w:r>
        <w:t xml:space="preserve">Finally, we would like to request further clarification on Recital 20 regarding a periodic review of the KID being required only in circumstances where the PRIIP manufacturer is actively supporting the distribution of a PRIIP on the secondary market. We have knowledge of cases where funds have been sold on the secondary market without the PRIIP manufacturer being notified. Hence, we believe that it should be the distributor’s obligation rather than the manufacturers’ to ensure that an up-to-date KID exists where an investor wishes to buy a PRIIP on the secondary market. </w:t>
      </w:r>
    </w:p>
    <w:permEnd w:id="635053732"/>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E8" w:rsidRDefault="00F315E8">
      <w:r>
        <w:separator/>
      </w:r>
    </w:p>
    <w:p w:rsidR="00F315E8" w:rsidRDefault="00F315E8"/>
  </w:endnote>
  <w:endnote w:type="continuationSeparator" w:id="0">
    <w:p w:rsidR="00F315E8" w:rsidRDefault="00F315E8">
      <w:r>
        <w:continuationSeparator/>
      </w:r>
    </w:p>
    <w:p w:rsidR="00F315E8" w:rsidRDefault="00F315E8"/>
  </w:endnote>
  <w:endnote w:type="continuationNotice" w:id="1">
    <w:p w:rsidR="00F315E8" w:rsidRDefault="00F3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40C94">
            <w:rPr>
              <w:rFonts w:cs="Arial"/>
              <w:noProof/>
              <w:sz w:val="22"/>
              <w:szCs w:val="22"/>
            </w:rPr>
            <w:t>19</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E8" w:rsidRDefault="00F315E8">
      <w:r>
        <w:separator/>
      </w:r>
    </w:p>
    <w:p w:rsidR="00F315E8" w:rsidRDefault="00F315E8"/>
  </w:footnote>
  <w:footnote w:type="continuationSeparator" w:id="0">
    <w:p w:rsidR="00F315E8" w:rsidRDefault="00F315E8">
      <w:r>
        <w:continuationSeparator/>
      </w:r>
    </w:p>
    <w:p w:rsidR="00F315E8" w:rsidRDefault="00F315E8"/>
  </w:footnote>
  <w:footnote w:type="continuationNotice" w:id="1">
    <w:p w:rsidR="00F315E8" w:rsidRDefault="00F31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val="en-IE" w:eastAsia="en-I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84E2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val="en-IE" w:eastAsia="en-I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IE" w:eastAsia="en-I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A1D8"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IE" w:eastAsia="en-I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2"/>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628A"/>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5A02"/>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534"/>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4007"/>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3CF7"/>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5807"/>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9"/>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D95"/>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0C94"/>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C09"/>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5E8"/>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FA97B720-CC15-4F2B-AB19-1FEDAFE5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20B9-6455-40BB-8B77-D3F9B42F1735}">
  <ds:schemaRefs>
    <ds:schemaRef ds:uri="http://schemas.openxmlformats.org/officeDocument/2006/bibliography"/>
  </ds:schemaRefs>
</ds:datastoreItem>
</file>

<file path=customXml/itemProps2.xml><?xml version="1.0" encoding="utf-8"?>
<ds:datastoreItem xmlns:ds="http://schemas.openxmlformats.org/officeDocument/2006/customXml" ds:itemID="{1CBEE34F-AD4E-4F1A-AED8-82900FA6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8252</Words>
  <Characters>47037</Characters>
  <Application>Microsoft Office Word</Application>
  <DocSecurity>12</DocSecurity>
  <Lines>391</Lines>
  <Paragraphs>110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55179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Kieran Fox</cp:lastModifiedBy>
  <cp:revision>2</cp:revision>
  <cp:lastPrinted>2016-01-29T13:31:00Z</cp:lastPrinted>
  <dcterms:created xsi:type="dcterms:W3CDTF">2016-01-29T13:37:00Z</dcterms:created>
  <dcterms:modified xsi:type="dcterms:W3CDTF">2016-01-29T13:37:00Z</dcterms:modified>
</cp:coreProperties>
</file>