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bookmarkStart w:id="0" w:name="_GoBack"/>
            <w:bookmarkEnd w:id="0"/>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ermStart w:id="1772560835" w:edGrp="everyone"/>
      <w:r w:rsidRPr="00CC7522">
        <w:rPr>
          <w:rFonts w:ascii="Trebuchet MS" w:hAnsi="Trebuchet MS"/>
          <w:szCs w:val="20"/>
        </w:rPr>
        <w:t xml:space="preserve">The Public Affairs Executive (‘PAE’) of Invest Europe, the association representing the European private equity, venture capital and infrastructure investment industry appreciates the opportunity to respond to this Consultation on the draft regulatory technical standards (“RTS”) with regards to presentation, content, review and provision of the KID. </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t>We write on behalf of the representative national and supranational European private equity, venture capital and infrastructure bodies. Invest Europe is the association representing Europe’s private equity, venture capital and infrastructure sectors, as well as their investors. Our members take a long-term approach to investing in privately-held companies, from high-growth technology start-ups to esta</w:t>
      </w:r>
      <w:r w:rsidRPr="00CC7522">
        <w:rPr>
          <w:rFonts w:ascii="Trebuchet MS" w:hAnsi="Trebuchet MS"/>
          <w:szCs w:val="20"/>
        </w:rPr>
        <w:t>b</w:t>
      </w:r>
      <w:r w:rsidRPr="00CC7522">
        <w:rPr>
          <w:rFonts w:ascii="Trebuchet MS" w:hAnsi="Trebuchet MS"/>
          <w:szCs w:val="20"/>
        </w:rPr>
        <w:t>lished firms. They inject not only capital but dynamism, innovation and expertise. This commitment helps deliver strong and sustainable growth, resulting in healthy returns for Europe’s leading pension funds and insurers, to the benefit of the millions of European citizens who depend on them.</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t xml:space="preserve">While we fully support European legislators' efforts to improve the transparency of information on investment products provided to genuine retail investors, we are concerned that certain elements of the draft RTS could have unintended (and unwelcome) consequences for the private equity industry, which would further run counter to the European Commission's plans  for a Capital Markets Union ('CMU'). Our position remains that semi-professional investors, as defined in the EuVECA Regulation, should benefit from differentiated treatment to retail investors as the professional investor definition under MiFID2 does not take into account the specific characteristics of the private equity and venture capital industry.  This in turn disadvantages long term investors who invest in the industry. </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t>Whereas capital committed to private equity and venture capital funds still comes largely from instit</w:t>
      </w:r>
      <w:r w:rsidRPr="00CC7522">
        <w:rPr>
          <w:rFonts w:ascii="Trebuchet MS" w:hAnsi="Trebuchet MS"/>
          <w:szCs w:val="20"/>
        </w:rPr>
        <w:t>u</w:t>
      </w:r>
      <w:r w:rsidRPr="00CC7522">
        <w:rPr>
          <w:rFonts w:ascii="Trebuchet MS" w:hAnsi="Trebuchet MS"/>
          <w:szCs w:val="20"/>
        </w:rPr>
        <w:t>tional or semi-professional investors in many Member States, smaller retail investors have had access to the industry through a number of different vehicles that enable them to invest either directly or ind</w:t>
      </w:r>
      <w:r w:rsidRPr="00CC7522">
        <w:rPr>
          <w:rFonts w:ascii="Trebuchet MS" w:hAnsi="Trebuchet MS"/>
          <w:szCs w:val="20"/>
        </w:rPr>
        <w:t>i</w:t>
      </w:r>
      <w:r w:rsidRPr="00CC7522">
        <w:rPr>
          <w:rFonts w:ascii="Trebuchet MS" w:hAnsi="Trebuchet MS"/>
          <w:szCs w:val="20"/>
        </w:rPr>
        <w:t>rectly. These investment vehicles include listed private equity vehicles, Venture Capital Trusts in the UK, “</w:t>
      </w:r>
      <w:proofErr w:type="spellStart"/>
      <w:r w:rsidRPr="00CC7522">
        <w:rPr>
          <w:rFonts w:ascii="Trebuchet MS" w:hAnsi="Trebuchet MS"/>
          <w:szCs w:val="20"/>
        </w:rPr>
        <w:t>Fonds</w:t>
      </w:r>
      <w:proofErr w:type="spellEnd"/>
      <w:r w:rsidRPr="00CC7522">
        <w:rPr>
          <w:rFonts w:ascii="Trebuchet MS" w:hAnsi="Trebuchet MS"/>
          <w:szCs w:val="20"/>
        </w:rPr>
        <w:t xml:space="preserve"> </w:t>
      </w:r>
      <w:proofErr w:type="spellStart"/>
      <w:r w:rsidRPr="00CC7522">
        <w:rPr>
          <w:rFonts w:ascii="Trebuchet MS" w:hAnsi="Trebuchet MS"/>
          <w:szCs w:val="20"/>
        </w:rPr>
        <w:t>commun</w:t>
      </w:r>
      <w:proofErr w:type="spellEnd"/>
      <w:r w:rsidRPr="00CC7522">
        <w:rPr>
          <w:rFonts w:ascii="Trebuchet MS" w:hAnsi="Trebuchet MS"/>
          <w:szCs w:val="20"/>
        </w:rPr>
        <w:t xml:space="preserve"> de placement </w:t>
      </w:r>
      <w:proofErr w:type="spellStart"/>
      <w:r w:rsidRPr="00CC7522">
        <w:rPr>
          <w:rFonts w:ascii="Trebuchet MS" w:hAnsi="Trebuchet MS"/>
          <w:szCs w:val="20"/>
        </w:rPr>
        <w:t>dans</w:t>
      </w:r>
      <w:proofErr w:type="spellEnd"/>
      <w:r w:rsidRPr="00CC7522">
        <w:rPr>
          <w:rFonts w:ascii="Trebuchet MS" w:hAnsi="Trebuchet MS"/>
          <w:szCs w:val="20"/>
        </w:rPr>
        <w:t xml:space="preserve"> </w:t>
      </w:r>
      <w:proofErr w:type="spellStart"/>
      <w:r w:rsidRPr="00CC7522">
        <w:rPr>
          <w:rFonts w:ascii="Trebuchet MS" w:hAnsi="Trebuchet MS"/>
          <w:szCs w:val="20"/>
        </w:rPr>
        <w:t>l’innovation</w:t>
      </w:r>
      <w:proofErr w:type="spellEnd"/>
      <w:r w:rsidRPr="00CC7522">
        <w:rPr>
          <w:rFonts w:ascii="Trebuchet MS" w:hAnsi="Trebuchet MS"/>
          <w:szCs w:val="20"/>
        </w:rPr>
        <w:t>” in France and listed funds of funds.</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t>In this response we address only the issues that arise when funds are directly marketed to retail inve</w:t>
      </w:r>
      <w:r w:rsidRPr="00CC7522">
        <w:rPr>
          <w:rFonts w:ascii="Trebuchet MS" w:hAnsi="Trebuchet MS"/>
          <w:szCs w:val="20"/>
        </w:rPr>
        <w:t>s</w:t>
      </w:r>
      <w:r w:rsidRPr="00CC7522">
        <w:rPr>
          <w:rFonts w:ascii="Trebuchet MS" w:hAnsi="Trebuchet MS"/>
          <w:szCs w:val="20"/>
        </w:rPr>
        <w:t>tors, and in particular to those that are semi-professional investors (as defined in EuVECA Article 1.6). As we have indicated in previous submissions that we have made in relation to the PRIIPs Regulation and as we will indicate in our response to the Commission Call for Evidence on the EU Regulatory Framework for Financial Services, the proposed RTS are not well suited to the characteristics of this asset class.</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t>Even if direct investment into private equity funds by retail investors is still limited, it is important that the requirements imposed by the RTS do not lead to an inaccurate or misleading impression being created of the type and level of risk it represents.</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i/>
          <w:szCs w:val="20"/>
        </w:rPr>
      </w:pPr>
      <w:r w:rsidRPr="00CC7522">
        <w:rPr>
          <w:rFonts w:ascii="Trebuchet MS" w:hAnsi="Trebuchet MS"/>
          <w:i/>
          <w:szCs w:val="20"/>
        </w:rPr>
        <w:t>Our concerns</w:t>
      </w:r>
    </w:p>
    <w:p w:rsidR="00E61B94" w:rsidRPr="00CC7522" w:rsidRDefault="00E61B94" w:rsidP="00E61B94">
      <w:pPr>
        <w:autoSpaceDE w:val="0"/>
        <w:autoSpaceDN w:val="0"/>
        <w:adjustRightInd w:val="0"/>
        <w:spacing w:line="276" w:lineRule="auto"/>
        <w:ind w:right="51"/>
        <w:jc w:val="both"/>
        <w:rPr>
          <w:rFonts w:ascii="Trebuchet MS" w:hAnsi="Trebuchet MS"/>
          <w:i/>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lastRenderedPageBreak/>
        <w:t>Our key concerns with the draft RTS relate to the inappropriate treatment of the private equity asset class in (</w:t>
      </w:r>
      <w:proofErr w:type="spellStart"/>
      <w:r w:rsidRPr="00CC7522">
        <w:rPr>
          <w:rFonts w:ascii="Trebuchet MS" w:hAnsi="Trebuchet MS"/>
          <w:szCs w:val="20"/>
        </w:rPr>
        <w:t>i</w:t>
      </w:r>
      <w:proofErr w:type="spellEnd"/>
      <w:r w:rsidRPr="00CC7522">
        <w:rPr>
          <w:rFonts w:ascii="Trebuchet MS" w:hAnsi="Trebuchet MS"/>
          <w:szCs w:val="20"/>
        </w:rPr>
        <w:t xml:space="preserve">) the assessment of its risk; and (ii) the characterisation and treatment of carried interest (a feature of private equity) as ‘costs’ to be borne by retail investors.  </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t xml:space="preserve">We are concerned that private equity funds have been singled out and assigned a market risk measure of class 6 without an appropriate justification. There is no legal or economic rationale to distinguish - as is currently proposed in Annex II, 14, </w:t>
      </w:r>
      <w:proofErr w:type="spellStart"/>
      <w:r w:rsidRPr="00CC7522">
        <w:rPr>
          <w:rFonts w:ascii="Trebuchet MS" w:hAnsi="Trebuchet MS"/>
          <w:szCs w:val="20"/>
        </w:rPr>
        <w:t>i</w:t>
      </w:r>
      <w:proofErr w:type="spellEnd"/>
      <w:r w:rsidRPr="00CC7522">
        <w:rPr>
          <w:rFonts w:ascii="Trebuchet MS" w:hAnsi="Trebuchet MS"/>
          <w:szCs w:val="20"/>
        </w:rPr>
        <w:t xml:space="preserve">. and iv - private equity funds from other illiquid closed-ended and long-term investment funds, such as ELTIFs and real estate funds.  </w:t>
      </w:r>
    </w:p>
    <w:p w:rsidR="00E61B94" w:rsidRPr="00CC7522" w:rsidRDefault="00E61B94" w:rsidP="00E61B94">
      <w:pPr>
        <w:autoSpaceDE w:val="0"/>
        <w:autoSpaceDN w:val="0"/>
        <w:adjustRightInd w:val="0"/>
        <w:spacing w:line="276" w:lineRule="auto"/>
        <w:ind w:right="51"/>
        <w:jc w:val="both"/>
        <w:rPr>
          <w:rFonts w:ascii="Trebuchet MS" w:hAnsi="Trebuchet MS"/>
          <w:szCs w:val="20"/>
        </w:rPr>
      </w:pPr>
    </w:p>
    <w:p w:rsidR="00E61B94" w:rsidRPr="00CC7522" w:rsidRDefault="00E61B94" w:rsidP="00E61B94">
      <w:pPr>
        <w:autoSpaceDE w:val="0"/>
        <w:autoSpaceDN w:val="0"/>
        <w:adjustRightInd w:val="0"/>
        <w:spacing w:line="276" w:lineRule="auto"/>
        <w:ind w:right="51"/>
        <w:jc w:val="both"/>
        <w:rPr>
          <w:rFonts w:ascii="Trebuchet MS" w:hAnsi="Trebuchet MS"/>
          <w:szCs w:val="20"/>
        </w:rPr>
      </w:pPr>
      <w:r w:rsidRPr="00CC7522">
        <w:rPr>
          <w:rFonts w:ascii="Trebuchet MS" w:hAnsi="Trebuchet MS"/>
          <w:szCs w:val="20"/>
        </w:rPr>
        <w:t>We also disagree with the proposed treatment of carried interest as now described in Annex VI of the draft RTS. We believe the current approach to be unclear and to pose a meaningful risk that retail investors will be presented with inaccurate and misleading information about private equity and ve</w:t>
      </w:r>
      <w:r w:rsidRPr="00CC7522">
        <w:rPr>
          <w:rFonts w:ascii="Trebuchet MS" w:hAnsi="Trebuchet MS"/>
          <w:szCs w:val="20"/>
        </w:rPr>
        <w:t>n</w:t>
      </w:r>
      <w:r w:rsidRPr="00CC7522">
        <w:rPr>
          <w:rFonts w:ascii="Trebuchet MS" w:hAnsi="Trebuchet MS"/>
          <w:szCs w:val="20"/>
        </w:rPr>
        <w:t>ture capital investments. Requiring fund managers to compute carried interest as part of the cost table of the KID risks incorrectly equating this aspect of private equity with a performance fee or compens</w:t>
      </w:r>
      <w:r w:rsidRPr="00CC7522">
        <w:rPr>
          <w:rFonts w:ascii="Trebuchet MS" w:hAnsi="Trebuchet MS"/>
          <w:szCs w:val="20"/>
        </w:rPr>
        <w:t>a</w:t>
      </w:r>
      <w:r w:rsidRPr="00CC7522">
        <w:rPr>
          <w:rFonts w:ascii="Trebuchet MS" w:hAnsi="Trebuchet MS"/>
          <w:szCs w:val="20"/>
        </w:rPr>
        <w:t xml:space="preserve">tion (it is neither). It further risks giving the investor the impression that this will be due on invested capital, when in practice it is a percentage share of realised cash returns that the fund manager </w:t>
      </w:r>
      <w:r w:rsidRPr="00CC7522">
        <w:rPr>
          <w:rFonts w:ascii="Trebuchet MS" w:hAnsi="Trebuchet MS"/>
          <w:i/>
          <w:szCs w:val="20"/>
        </w:rPr>
        <w:t>only</w:t>
      </w:r>
      <w:r w:rsidRPr="00CC7522">
        <w:rPr>
          <w:rFonts w:ascii="Trebuchet MS" w:hAnsi="Trebuchet MS"/>
          <w:szCs w:val="20"/>
        </w:rPr>
        <w:t xml:space="preserve"> receives when an agreed return has been achieved by the investors.</w:t>
      </w:r>
    </w:p>
    <w:p w:rsidR="00E61B94" w:rsidRPr="00CC7522" w:rsidRDefault="00E61B94" w:rsidP="00E61B94">
      <w:pPr>
        <w:autoSpaceDE w:val="0"/>
        <w:autoSpaceDN w:val="0"/>
        <w:adjustRightInd w:val="0"/>
        <w:spacing w:line="276" w:lineRule="auto"/>
        <w:ind w:right="51"/>
        <w:jc w:val="both"/>
        <w:rPr>
          <w:rFonts w:ascii="Trebuchet MS" w:eastAsiaTheme="majorEastAsia" w:hAnsi="Trebuchet MS" w:cstheme="majorBidi"/>
          <w:b/>
          <w:bCs/>
          <w:i/>
          <w:iCs/>
          <w:szCs w:val="20"/>
          <w:lang w:eastAsia="en-US"/>
        </w:rPr>
      </w:pPr>
    </w:p>
    <w:p w:rsidR="00E61B94" w:rsidRPr="00CC7522" w:rsidRDefault="00E61B94" w:rsidP="00E61B94">
      <w:pPr>
        <w:spacing w:after="200" w:line="276" w:lineRule="auto"/>
        <w:jc w:val="both"/>
        <w:rPr>
          <w:rFonts w:ascii="Trebuchet MS" w:eastAsiaTheme="majorEastAsia" w:hAnsi="Trebuchet MS" w:cstheme="majorBidi"/>
          <w:bCs/>
          <w:szCs w:val="20"/>
          <w:lang w:eastAsia="en-US"/>
        </w:rPr>
      </w:pPr>
      <w:r w:rsidRPr="00CC7522">
        <w:rPr>
          <w:rFonts w:ascii="Trebuchet MS" w:eastAsiaTheme="majorEastAsia" w:hAnsi="Trebuchet MS" w:cstheme="majorBidi"/>
          <w:bCs/>
          <w:szCs w:val="20"/>
          <w:lang w:eastAsia="en-US"/>
        </w:rPr>
        <w:t>Finally we would like to stress the importance of the tax regime applicable to an investment – and particularly any tax incentives that may be available to the investor.  While it is not appropriate for the KID to offer detailed advice on the specific tax treatment of any product (not least because this can change and can be dependent on an individual’s specific circumstances), the manufacturer should nonetheless be able to note in general terms that the  tax treatment of the product may be a relevant factor to consider and on which the retail investor may wish to seek appropriate advice. This is partic</w:t>
      </w:r>
      <w:r w:rsidRPr="00CC7522">
        <w:rPr>
          <w:rFonts w:ascii="Trebuchet MS" w:eastAsiaTheme="majorEastAsia" w:hAnsi="Trebuchet MS" w:cstheme="majorBidi"/>
          <w:bCs/>
          <w:szCs w:val="20"/>
          <w:lang w:eastAsia="en-US"/>
        </w:rPr>
        <w:t>u</w:t>
      </w:r>
      <w:r w:rsidRPr="00CC7522">
        <w:rPr>
          <w:rFonts w:ascii="Trebuchet MS" w:eastAsiaTheme="majorEastAsia" w:hAnsi="Trebuchet MS" w:cstheme="majorBidi"/>
          <w:bCs/>
          <w:szCs w:val="20"/>
          <w:lang w:eastAsia="en-US"/>
        </w:rPr>
        <w:t xml:space="preserve">larly important for venture capital funds investing into innovative SMEs, which can be supported by Member State governments through tax incentives. </w:t>
      </w:r>
    </w:p>
    <w:permEnd w:id="1772560835"/>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E61B94" w:rsidRPr="00CC7522" w:rsidRDefault="00E61B94" w:rsidP="00E61B94">
      <w:pPr>
        <w:pStyle w:val="CM1"/>
        <w:spacing w:before="200" w:after="200" w:line="276" w:lineRule="auto"/>
        <w:jc w:val="both"/>
        <w:rPr>
          <w:rFonts w:ascii="Trebuchet MS" w:hAnsi="Trebuchet MS" w:cs="EUAlbertina"/>
          <w:color w:val="000000"/>
          <w:sz w:val="20"/>
          <w:szCs w:val="20"/>
          <w:lang w:val="en-GB"/>
        </w:rPr>
      </w:pPr>
      <w:permStart w:id="1259170481" w:edGrp="everyone"/>
      <w:r w:rsidRPr="00CC7522">
        <w:rPr>
          <w:rFonts w:ascii="Trebuchet MS" w:eastAsiaTheme="majorEastAsia" w:hAnsi="Trebuchet MS" w:cstheme="majorBidi"/>
          <w:bCs/>
          <w:iCs/>
          <w:sz w:val="20"/>
          <w:szCs w:val="20"/>
          <w:lang w:val="en-GB"/>
        </w:rPr>
        <w:t xml:space="preserve">The wording of the existing recital seems to indicate that products in which retail investors do not usually invest would be considered as ‘not simple’. This risks prejudicing the development of new investment channels, implying that anything new or innovative </w:t>
      </w:r>
      <w:r w:rsidRPr="00CC7522">
        <w:rPr>
          <w:rFonts w:ascii="Trebuchet MS" w:eastAsiaTheme="majorEastAsia" w:hAnsi="Trebuchet MS" w:cstheme="majorBidi"/>
          <w:bCs/>
          <w:i/>
          <w:iCs/>
          <w:sz w:val="20"/>
          <w:szCs w:val="20"/>
          <w:lang w:val="en-GB"/>
        </w:rPr>
        <w:t>must</w:t>
      </w:r>
      <w:r w:rsidRPr="00CC7522">
        <w:rPr>
          <w:rFonts w:ascii="Trebuchet MS" w:eastAsiaTheme="majorEastAsia" w:hAnsi="Trebuchet MS" w:cstheme="majorBidi"/>
          <w:bCs/>
          <w:iCs/>
          <w:sz w:val="20"/>
          <w:szCs w:val="20"/>
          <w:lang w:val="en-GB"/>
        </w:rPr>
        <w:t xml:space="preserve"> be complex – and therefore by implication less suitable. Such an approach is not to be welcomed and should be taken into account by the ESAs during any  clarification of  the criteria through guidelines.  This recital must neither jeopar</w:t>
      </w:r>
      <w:r w:rsidRPr="00CC7522">
        <w:rPr>
          <w:rFonts w:ascii="Trebuchet MS" w:eastAsiaTheme="majorEastAsia" w:hAnsi="Trebuchet MS" w:cstheme="majorBidi"/>
          <w:bCs/>
          <w:iCs/>
          <w:sz w:val="20"/>
          <w:szCs w:val="20"/>
          <w:lang w:val="en-GB"/>
        </w:rPr>
        <w:t>d</w:t>
      </w:r>
      <w:r w:rsidRPr="00CC7522">
        <w:rPr>
          <w:rFonts w:ascii="Trebuchet MS" w:eastAsiaTheme="majorEastAsia" w:hAnsi="Trebuchet MS" w:cstheme="majorBidi"/>
          <w:bCs/>
          <w:iCs/>
          <w:sz w:val="20"/>
          <w:szCs w:val="20"/>
          <w:lang w:val="en-GB"/>
        </w:rPr>
        <w:t xml:space="preserve">ise the incentives for innovation nor act as a barrier to retail investors being able to secure appropriate access to such new products.   </w:t>
      </w:r>
    </w:p>
    <w:permEnd w:id="1259170481"/>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E61B94" w:rsidRPr="00CC7522" w:rsidRDefault="00E61B94" w:rsidP="00E61B94">
      <w:pPr>
        <w:spacing w:after="200" w:line="276" w:lineRule="auto"/>
        <w:jc w:val="both"/>
        <w:rPr>
          <w:rFonts w:ascii="Trebuchet MS" w:eastAsiaTheme="majorEastAsia" w:hAnsi="Trebuchet MS" w:cstheme="majorBidi"/>
          <w:bCs/>
          <w:iCs/>
          <w:szCs w:val="20"/>
          <w:lang w:eastAsia="en-US"/>
        </w:rPr>
      </w:pPr>
      <w:permStart w:id="1097597422" w:edGrp="everyone"/>
      <w:r w:rsidRPr="00CC7522">
        <w:rPr>
          <w:rFonts w:ascii="Trebuchet MS" w:eastAsiaTheme="majorEastAsia" w:hAnsi="Trebuchet MS" w:cstheme="majorBidi"/>
          <w:bCs/>
          <w:iCs/>
          <w:szCs w:val="20"/>
          <w:lang w:eastAsia="en-US"/>
        </w:rPr>
        <w:t xml:space="preserve">As we explained in our response to the second technical discussion paper, setting a default amount of €1,000 is arbitrary and low given the size of commitments usually made by investors in private equity funds. </w:t>
      </w:r>
    </w:p>
    <w:p w:rsidR="00E61B94" w:rsidRPr="00CC7522" w:rsidRDefault="00E61B94" w:rsidP="00E61B94">
      <w:pPr>
        <w:spacing w:after="200" w:line="276" w:lineRule="auto"/>
        <w:jc w:val="both"/>
        <w:rPr>
          <w:rFonts w:ascii="Trebuchet MS" w:eastAsiaTheme="majorEastAsia" w:hAnsi="Trebuchet MS" w:cstheme="majorBidi"/>
          <w:bCs/>
          <w:iCs/>
          <w:szCs w:val="20"/>
          <w:lang w:eastAsia="en-US"/>
        </w:rPr>
      </w:pPr>
      <w:r w:rsidRPr="00CC7522">
        <w:rPr>
          <w:rFonts w:ascii="Trebuchet MS" w:eastAsiaTheme="majorEastAsia" w:hAnsi="Trebuchet MS" w:cstheme="majorBidi"/>
          <w:bCs/>
          <w:iCs/>
          <w:szCs w:val="20"/>
          <w:lang w:eastAsia="en-US"/>
        </w:rPr>
        <w:t>While we recognise a standardised investment level could be useful for the investor when making co</w:t>
      </w:r>
      <w:r w:rsidRPr="00CC7522">
        <w:rPr>
          <w:rFonts w:ascii="Trebuchet MS" w:eastAsiaTheme="majorEastAsia" w:hAnsi="Trebuchet MS" w:cstheme="majorBidi"/>
          <w:bCs/>
          <w:iCs/>
          <w:szCs w:val="20"/>
          <w:lang w:eastAsia="en-US"/>
        </w:rPr>
        <w:t>m</w:t>
      </w:r>
      <w:r w:rsidRPr="00CC7522">
        <w:rPr>
          <w:rFonts w:ascii="Trebuchet MS" w:eastAsiaTheme="majorEastAsia" w:hAnsi="Trebuchet MS" w:cstheme="majorBidi"/>
          <w:bCs/>
          <w:iCs/>
          <w:szCs w:val="20"/>
          <w:lang w:eastAsia="en-US"/>
        </w:rPr>
        <w:t>parisons across different products, it could produce odd results in certain situations where funds, such as private equity funds, have a low volume of high value transactions. We therefore believe that where there is a required investment amount, it should be possible to use it.</w:t>
      </w:r>
    </w:p>
    <w:permEnd w:id="1097597422"/>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1567295733" w:edGrp="everyone"/>
      <w:r>
        <w:t>TYPE YOUR TEXT HERE</w:t>
      </w:r>
    </w:p>
    <w:permEnd w:id="1567295733"/>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338365163" w:edGrp="everyone"/>
      <w:r>
        <w:t>TYPE YOUR TEXT HERE</w:t>
      </w:r>
    </w:p>
    <w:permEnd w:id="338365163"/>
    <w:p w:rsidR="00750796" w:rsidRDefault="00750796" w:rsidP="00750796">
      <w:r>
        <w:lastRenderedPageBreak/>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661432541" w:edGrp="everyone"/>
      <w:r>
        <w:t>TYPE YOUR TEXT HERE</w:t>
      </w:r>
    </w:p>
    <w:permEnd w:id="1661432541"/>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2017482640" w:edGrp="everyone"/>
      <w:r>
        <w:t>TYPE YOUR TEXT HERE</w:t>
      </w:r>
    </w:p>
    <w:permEnd w:id="2017482640"/>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218564845" w:edGrp="everyone"/>
      <w:r>
        <w:t>TYPE YOUR TEXT HERE</w:t>
      </w:r>
    </w:p>
    <w:permEnd w:id="218564845"/>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E61B94" w:rsidRPr="00CC7522" w:rsidRDefault="00E61B94" w:rsidP="00E61B94">
      <w:pPr>
        <w:spacing w:after="200" w:line="276" w:lineRule="auto"/>
        <w:jc w:val="both"/>
        <w:rPr>
          <w:rFonts w:ascii="Trebuchet MS" w:eastAsiaTheme="majorEastAsia" w:hAnsi="Trebuchet MS" w:cstheme="majorBidi"/>
          <w:bCs/>
          <w:szCs w:val="20"/>
          <w:lang w:eastAsia="en-US"/>
        </w:rPr>
      </w:pPr>
      <w:permStart w:id="320603319" w:edGrp="everyone"/>
      <w:r w:rsidRPr="00CC7522">
        <w:rPr>
          <w:rFonts w:ascii="Trebuchet MS" w:eastAsiaTheme="majorEastAsia" w:hAnsi="Trebuchet MS" w:cstheme="majorBidi"/>
          <w:bCs/>
          <w:szCs w:val="20"/>
          <w:lang w:eastAsia="en-US"/>
        </w:rPr>
        <w:t xml:space="preserve">We have  concerns about the treatment of the private equity funds asset class, which leads to it being assigned a MRM – and therefore a SRI - of 6. </w:t>
      </w:r>
    </w:p>
    <w:p w:rsidR="00E61B94" w:rsidRPr="00CC7522" w:rsidRDefault="00E61B94" w:rsidP="00E61B94">
      <w:pPr>
        <w:spacing w:after="200" w:line="276" w:lineRule="auto"/>
        <w:jc w:val="both"/>
        <w:rPr>
          <w:rFonts w:ascii="Trebuchet MS" w:eastAsiaTheme="majorEastAsia" w:hAnsi="Trebuchet MS" w:cstheme="majorBidi"/>
          <w:bCs/>
          <w:szCs w:val="20"/>
          <w:lang w:eastAsia="en-US"/>
        </w:rPr>
      </w:pPr>
      <w:r w:rsidRPr="00CC7522">
        <w:rPr>
          <w:rFonts w:ascii="Trebuchet MS" w:eastAsiaTheme="majorEastAsia" w:hAnsi="Trebuchet MS" w:cstheme="majorBidi"/>
          <w:bCs/>
          <w:iCs/>
          <w:szCs w:val="20"/>
          <w:lang w:eastAsia="en-US"/>
        </w:rPr>
        <w:t>Although we recognise that private equity investments are inherently illiquid, we are concerned by the absence of any justification for the proposed treatment of private equity in the regulatory technical standards (Paragraph 14 of Annex II, Part 1 of the RTS). While according to this paragraph and par</w:t>
      </w:r>
      <w:r w:rsidRPr="00CC7522">
        <w:rPr>
          <w:rFonts w:ascii="Trebuchet MS" w:eastAsiaTheme="majorEastAsia" w:hAnsi="Trebuchet MS" w:cstheme="majorBidi"/>
          <w:bCs/>
          <w:iCs/>
          <w:szCs w:val="20"/>
          <w:lang w:eastAsia="en-US"/>
        </w:rPr>
        <w:t>a</w:t>
      </w:r>
      <w:r w:rsidRPr="00CC7522">
        <w:rPr>
          <w:rFonts w:ascii="Trebuchet MS" w:eastAsiaTheme="majorEastAsia" w:hAnsi="Trebuchet MS" w:cstheme="majorBidi"/>
          <w:bCs/>
          <w:iCs/>
          <w:szCs w:val="20"/>
          <w:lang w:eastAsia="en-US"/>
        </w:rPr>
        <w:t xml:space="preserve">graph 13b, closed-ended </w:t>
      </w:r>
      <w:r w:rsidRPr="00CC7522">
        <w:rPr>
          <w:rFonts w:ascii="Trebuchet MS" w:eastAsiaTheme="majorEastAsia" w:hAnsi="Trebuchet MS" w:cstheme="majorBidi"/>
          <w:bCs/>
          <w:szCs w:val="20"/>
          <w:lang w:eastAsia="en-US"/>
        </w:rPr>
        <w:t xml:space="preserve">investment funds and long-term investment funds that invest at least 30% in illiquid assets are </w:t>
      </w:r>
      <w:r w:rsidRPr="00CC7522">
        <w:rPr>
          <w:rFonts w:ascii="Trebuchet MS" w:eastAsiaTheme="majorEastAsia" w:hAnsi="Trebuchet MS" w:cstheme="majorBidi"/>
          <w:bCs/>
          <w:szCs w:val="20"/>
          <w:u w:val="single"/>
          <w:lang w:eastAsia="en-US"/>
        </w:rPr>
        <w:t>by default</w:t>
      </w:r>
      <w:r w:rsidRPr="00CC7522">
        <w:rPr>
          <w:rFonts w:ascii="Trebuchet MS" w:eastAsiaTheme="majorEastAsia" w:hAnsi="Trebuchet MS" w:cstheme="majorBidi"/>
          <w:bCs/>
          <w:szCs w:val="20"/>
          <w:lang w:eastAsia="en-US"/>
        </w:rPr>
        <w:t xml:space="preserve"> assigned the MRM of 5, private equity funds are specifically carved out from this regime and assigned to a higher risk class.</w:t>
      </w:r>
    </w:p>
    <w:p w:rsidR="00E61B94" w:rsidRPr="00CC7522" w:rsidRDefault="00E61B94" w:rsidP="00E61B94">
      <w:pPr>
        <w:spacing w:after="200" w:line="276" w:lineRule="auto"/>
        <w:jc w:val="both"/>
        <w:rPr>
          <w:rFonts w:ascii="Trebuchet MS" w:eastAsiaTheme="majorEastAsia" w:hAnsi="Trebuchet MS" w:cstheme="majorBidi"/>
          <w:bCs/>
          <w:szCs w:val="20"/>
          <w:lang w:eastAsia="en-US"/>
        </w:rPr>
      </w:pPr>
      <w:r w:rsidRPr="00CC7522">
        <w:rPr>
          <w:rFonts w:ascii="Trebuchet MS" w:eastAsiaTheme="majorEastAsia" w:hAnsi="Trebuchet MS" w:cstheme="majorBidi"/>
          <w:bCs/>
          <w:szCs w:val="20"/>
          <w:lang w:eastAsia="en-US"/>
        </w:rPr>
        <w:t xml:space="preserve">The PAE of Invest Europe is of the view that this does not reflect the risk investors face when investing in this asset class and may act as an artificial disincentive to investors to invest in  private equity and venture capital, compared to other investments that are similar in nature. </w:t>
      </w:r>
    </w:p>
    <w:p w:rsidR="00E61B94" w:rsidRPr="00CC7522" w:rsidRDefault="00E61B94" w:rsidP="00E61B94">
      <w:pPr>
        <w:spacing w:after="200" w:line="276" w:lineRule="auto"/>
        <w:jc w:val="both"/>
        <w:rPr>
          <w:rFonts w:ascii="Trebuchet MS" w:eastAsiaTheme="majorEastAsia" w:hAnsi="Trebuchet MS" w:cstheme="majorBidi"/>
          <w:bCs/>
          <w:iCs/>
          <w:szCs w:val="20"/>
          <w:lang w:eastAsia="en-US"/>
        </w:rPr>
      </w:pPr>
      <w:r w:rsidRPr="00CC7522">
        <w:rPr>
          <w:rFonts w:ascii="Trebuchet MS" w:eastAsiaTheme="majorEastAsia" w:hAnsi="Trebuchet MS" w:cstheme="majorBidi"/>
          <w:bCs/>
          <w:szCs w:val="20"/>
          <w:lang w:eastAsia="en-US"/>
        </w:rPr>
        <w:t xml:space="preserve">The approach being proposed is not in </w:t>
      </w:r>
      <w:r w:rsidRPr="00CC7522">
        <w:rPr>
          <w:rFonts w:ascii="Trebuchet MS" w:eastAsiaTheme="majorEastAsia" w:hAnsi="Trebuchet MS" w:cstheme="majorBidi"/>
          <w:bCs/>
          <w:iCs/>
          <w:szCs w:val="20"/>
          <w:lang w:eastAsia="en-US"/>
        </w:rPr>
        <w:t xml:space="preserve">line with recent legislative developments at EU level which have recognised that all </w:t>
      </w:r>
      <w:r w:rsidRPr="00CC7522">
        <w:rPr>
          <w:rFonts w:ascii="Trebuchet MS" w:eastAsiaTheme="majorEastAsia" w:hAnsi="Trebuchet MS" w:cstheme="majorBidi"/>
          <w:bCs/>
          <w:szCs w:val="20"/>
          <w:lang w:eastAsia="en-US"/>
        </w:rPr>
        <w:t>“closed-ended and non-substantially leveraged funds</w:t>
      </w:r>
      <w:r w:rsidRPr="00CC7522">
        <w:rPr>
          <w:rFonts w:ascii="Trebuchet MS" w:eastAsiaTheme="majorEastAsia" w:hAnsi="Trebuchet MS" w:cstheme="majorBidi"/>
          <w:bCs/>
          <w:iCs/>
          <w:szCs w:val="20"/>
          <w:lang w:eastAsia="en-US"/>
        </w:rPr>
        <w:t xml:space="preserve">” – a category into which many </w:t>
      </w:r>
      <w:r w:rsidRPr="00CC7522">
        <w:rPr>
          <w:rFonts w:ascii="Trebuchet MS" w:eastAsiaTheme="majorEastAsia" w:hAnsi="Trebuchet MS" w:cstheme="majorBidi"/>
          <w:bCs/>
          <w:iCs/>
          <w:szCs w:val="20"/>
          <w:lang w:eastAsia="en-US"/>
        </w:rPr>
        <w:lastRenderedPageBreak/>
        <w:t>private equity funds would fall – should be given specific treatment. In the recent Solvency II delegated act and in the EBA’s recent work on shadow banking, such an approach has been used to identify those funds with characteristics that should be regarded as being of lower risk. The actual characteristics of these funds (i.e. that they are closed ended and do not deploy significant amounts of leverage) has been used to determine their treatment. In the absence of a definition, the use of a label or name (such as ‘private equity fund’) leads to a lack of clarity and arbitrarily assigns a risk categorisation to a potentially very diverse set of funds (including venture capital). We therefore believe the blunt distin</w:t>
      </w:r>
      <w:r w:rsidRPr="00CC7522">
        <w:rPr>
          <w:rFonts w:ascii="Trebuchet MS" w:eastAsiaTheme="majorEastAsia" w:hAnsi="Trebuchet MS" w:cstheme="majorBidi"/>
          <w:bCs/>
          <w:iCs/>
          <w:szCs w:val="20"/>
          <w:lang w:eastAsia="en-US"/>
        </w:rPr>
        <w:t>c</w:t>
      </w:r>
      <w:r w:rsidRPr="00CC7522">
        <w:rPr>
          <w:rFonts w:ascii="Trebuchet MS" w:eastAsiaTheme="majorEastAsia" w:hAnsi="Trebuchet MS" w:cstheme="majorBidi"/>
          <w:bCs/>
          <w:iCs/>
          <w:szCs w:val="20"/>
          <w:lang w:eastAsia="en-US"/>
        </w:rPr>
        <w:t>tion made by the ESAs is artificial and does not reflect the actual riskiness of our asset class or its treatment in other existing legislation.</w:t>
      </w:r>
    </w:p>
    <w:p w:rsidR="00E61B94" w:rsidRPr="00CC7522" w:rsidRDefault="00E61B94" w:rsidP="00E61B94">
      <w:pPr>
        <w:spacing w:after="200" w:line="276" w:lineRule="auto"/>
        <w:jc w:val="both"/>
        <w:rPr>
          <w:rFonts w:ascii="Trebuchet MS" w:eastAsiaTheme="majorEastAsia" w:hAnsi="Trebuchet MS" w:cstheme="majorBidi"/>
          <w:bCs/>
          <w:iCs/>
          <w:szCs w:val="20"/>
          <w:lang w:eastAsia="en-US"/>
        </w:rPr>
      </w:pPr>
      <w:r w:rsidRPr="00CC7522">
        <w:rPr>
          <w:rFonts w:ascii="Trebuchet MS" w:eastAsiaTheme="majorEastAsia" w:hAnsi="Trebuchet MS" w:cstheme="majorBidi"/>
          <w:bCs/>
          <w:iCs/>
          <w:szCs w:val="20"/>
          <w:lang w:eastAsia="en-US"/>
        </w:rPr>
        <w:t>Retail investors will already receive information on the liquidity risk, which will be particularly i</w:t>
      </w:r>
      <w:r w:rsidRPr="00CC7522">
        <w:rPr>
          <w:rFonts w:ascii="Trebuchet MS" w:eastAsiaTheme="majorEastAsia" w:hAnsi="Trebuchet MS" w:cstheme="majorBidi"/>
          <w:bCs/>
          <w:iCs/>
          <w:szCs w:val="20"/>
          <w:lang w:eastAsia="en-US"/>
        </w:rPr>
        <w:t>m</w:t>
      </w:r>
      <w:r w:rsidRPr="00CC7522">
        <w:rPr>
          <w:rFonts w:ascii="Trebuchet MS" w:eastAsiaTheme="majorEastAsia" w:hAnsi="Trebuchet MS" w:cstheme="majorBidi"/>
          <w:bCs/>
          <w:iCs/>
          <w:szCs w:val="20"/>
          <w:lang w:eastAsia="en-US"/>
        </w:rPr>
        <w:t xml:space="preserve">portant in helping them to understand whether such an investment is suitable for them. In that regard, </w:t>
      </w:r>
      <w:r w:rsidRPr="00CC7522">
        <w:rPr>
          <w:rFonts w:ascii="Trebuchet MS" w:eastAsiaTheme="majorEastAsia" w:hAnsi="Trebuchet MS" w:cstheme="majorBidi"/>
          <w:bCs/>
          <w:szCs w:val="20"/>
          <w:lang w:eastAsia="en-US"/>
        </w:rPr>
        <w:t xml:space="preserve">we fully support the draft regulatory technical standards’ requirement that liquidity risk should be described in the narrative rather than within the summary risk indicator. This will allow investors to clearly understand that they would need to have enough resources to meet future capital calls, without giving them a misleading assessment of the  other risks they would face compared to other  products.  </w:t>
      </w:r>
    </w:p>
    <w:permEnd w:id="320603319"/>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1714511940" w:edGrp="everyone"/>
      <w:r>
        <w:t>TYPE YOUR TEXT HERE</w:t>
      </w:r>
    </w:p>
    <w:permEnd w:id="1714511940"/>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111566246" w:edGrp="everyone"/>
      <w:r>
        <w:t>TYPE YOUR TEXT HERE</w:t>
      </w:r>
    </w:p>
    <w:permEnd w:id="1111566246"/>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67665578" w:edGrp="everyone"/>
      <w:r>
        <w:t>TYPE YOUR TEXT HERE</w:t>
      </w:r>
    </w:p>
    <w:permEnd w:id="67665578"/>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839535715" w:edGrp="everyone"/>
      <w:r>
        <w:t>TYPE YOUR TEXT HERE</w:t>
      </w:r>
    </w:p>
    <w:permEnd w:id="839535715"/>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1220113957" w:edGrp="everyone"/>
      <w:r>
        <w:t>TYPE YOUR TEXT HERE</w:t>
      </w:r>
    </w:p>
    <w:permEnd w:id="1220113957"/>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E61B94" w:rsidRPr="00CC7522" w:rsidRDefault="00E61B94" w:rsidP="00E61B94">
      <w:pPr>
        <w:spacing w:after="200" w:line="276" w:lineRule="auto"/>
        <w:jc w:val="both"/>
        <w:rPr>
          <w:rFonts w:ascii="Trebuchet MS" w:eastAsiaTheme="majorEastAsia" w:hAnsi="Trebuchet MS" w:cstheme="majorBidi"/>
          <w:bCs/>
          <w:iCs/>
          <w:szCs w:val="20"/>
          <w:lang w:eastAsia="en-US"/>
        </w:rPr>
      </w:pPr>
      <w:permStart w:id="965293420" w:edGrp="everyone"/>
      <w:r w:rsidRPr="00CC7522">
        <w:rPr>
          <w:rFonts w:ascii="Trebuchet MS" w:eastAsiaTheme="majorEastAsia" w:hAnsi="Trebuchet MS" w:cstheme="majorBidi"/>
          <w:bCs/>
          <w:iCs/>
          <w:szCs w:val="20"/>
          <w:lang w:eastAsia="en-US"/>
        </w:rPr>
        <w:t xml:space="preserve">We understand the rationale behind using the performance fee as a basis for calculations of possible performance of the fund, but this approach might not be suitable in the case of private equity funds. </w:t>
      </w:r>
    </w:p>
    <w:p w:rsidR="00E61B94" w:rsidRPr="00CC7522" w:rsidRDefault="00E61B94" w:rsidP="00E61B94">
      <w:pPr>
        <w:spacing w:after="200" w:line="276" w:lineRule="auto"/>
        <w:jc w:val="both"/>
        <w:rPr>
          <w:rFonts w:ascii="Trebuchet MS" w:eastAsiaTheme="majorEastAsia" w:hAnsi="Trebuchet MS" w:cstheme="majorBidi"/>
          <w:bCs/>
          <w:iCs/>
          <w:szCs w:val="20"/>
          <w:lang w:eastAsia="en-US"/>
        </w:rPr>
      </w:pPr>
      <w:r w:rsidRPr="00CC7522">
        <w:rPr>
          <w:rFonts w:ascii="Trebuchet MS" w:eastAsiaTheme="majorEastAsia" w:hAnsi="Trebuchet MS" w:cstheme="majorBidi"/>
          <w:bCs/>
          <w:iCs/>
          <w:szCs w:val="20"/>
          <w:lang w:eastAsia="en-US"/>
        </w:rPr>
        <w:t xml:space="preserve">As we explain in detail in our response to Question 23, carried interest is a profit share mechanism, which aligns the interests of fund managers with those of investors. While carried interest is linked directly to the performance of the fund, there are several elements of the carried interest arrangement and its calculation, which makes it different from traditional performance fees, including: </w:t>
      </w:r>
    </w:p>
    <w:p w:rsidR="00E61B94" w:rsidRPr="00CC7522" w:rsidRDefault="00E61B94" w:rsidP="00E61B94">
      <w:pPr>
        <w:pStyle w:val="ListParagraph"/>
        <w:numPr>
          <w:ilvl w:val="0"/>
          <w:numId w:val="52"/>
        </w:numPr>
        <w:spacing w:after="200" w:line="276" w:lineRule="auto"/>
        <w:jc w:val="both"/>
        <w:rPr>
          <w:rFonts w:ascii="Trebuchet MS" w:eastAsiaTheme="majorEastAsia" w:hAnsi="Trebuchet MS" w:cstheme="majorBidi"/>
          <w:bCs/>
          <w:iCs/>
          <w:szCs w:val="20"/>
        </w:rPr>
      </w:pPr>
      <w:r w:rsidRPr="00CC7522">
        <w:rPr>
          <w:rFonts w:ascii="Trebuchet MS" w:eastAsiaTheme="majorEastAsia" w:hAnsi="Trebuchet MS" w:cstheme="majorBidi"/>
          <w:b/>
          <w:bCs/>
          <w:iCs/>
          <w:szCs w:val="20"/>
        </w:rPr>
        <w:t>Carried interest is typically not paid each year</w:t>
      </w:r>
      <w:r w:rsidRPr="00CC7522">
        <w:rPr>
          <w:rFonts w:ascii="Trebuchet MS" w:eastAsiaTheme="majorEastAsia" w:hAnsi="Trebuchet MS" w:cstheme="majorBidi"/>
          <w:bCs/>
          <w:iCs/>
          <w:szCs w:val="20"/>
        </w:rPr>
        <w:t>: while carried interest arrangements are agreed at the outset of the fund, cash will typically only be paid by the fund to the carried i</w:t>
      </w:r>
      <w:r w:rsidRPr="00CC7522">
        <w:rPr>
          <w:rFonts w:ascii="Trebuchet MS" w:eastAsiaTheme="majorEastAsia" w:hAnsi="Trebuchet MS" w:cstheme="majorBidi"/>
          <w:bCs/>
          <w:iCs/>
          <w:szCs w:val="20"/>
        </w:rPr>
        <w:t>n</w:t>
      </w:r>
      <w:r w:rsidRPr="00CC7522">
        <w:rPr>
          <w:rFonts w:ascii="Trebuchet MS" w:eastAsiaTheme="majorEastAsia" w:hAnsi="Trebuchet MS" w:cstheme="majorBidi"/>
          <w:bCs/>
          <w:iCs/>
          <w:szCs w:val="20"/>
        </w:rPr>
        <w:t xml:space="preserve">terest participants once investors have had their drawn capital back </w:t>
      </w:r>
      <w:r w:rsidRPr="00CC7522">
        <w:rPr>
          <w:rFonts w:ascii="Trebuchet MS" w:eastAsiaTheme="majorEastAsia" w:hAnsi="Trebuchet MS" w:cstheme="majorBidi"/>
          <w:bCs/>
          <w:i/>
          <w:iCs/>
          <w:szCs w:val="20"/>
        </w:rPr>
        <w:t>plus</w:t>
      </w:r>
      <w:r w:rsidRPr="00CC7522">
        <w:rPr>
          <w:rFonts w:ascii="Trebuchet MS" w:eastAsiaTheme="majorEastAsia" w:hAnsi="Trebuchet MS" w:cstheme="majorBidi"/>
          <w:bCs/>
          <w:iCs/>
          <w:szCs w:val="20"/>
        </w:rPr>
        <w:t xml:space="preserve"> an agreed preferred return (see point 2). The period between the agreement of the carried interest arrangement and cash being paid out will typically exceed the time periods proposed in the KID (However we note that the RTS acknowledge that for illiquid products, performance scenarios should be ca</w:t>
      </w:r>
      <w:r w:rsidRPr="00CC7522">
        <w:rPr>
          <w:rFonts w:ascii="Trebuchet MS" w:eastAsiaTheme="majorEastAsia" w:hAnsi="Trebuchet MS" w:cstheme="majorBidi"/>
          <w:bCs/>
          <w:iCs/>
          <w:szCs w:val="20"/>
        </w:rPr>
        <w:t>l</w:t>
      </w:r>
      <w:r w:rsidRPr="00CC7522">
        <w:rPr>
          <w:rFonts w:ascii="Trebuchet MS" w:eastAsiaTheme="majorEastAsia" w:hAnsi="Trebuchet MS" w:cstheme="majorBidi"/>
          <w:bCs/>
          <w:iCs/>
          <w:szCs w:val="20"/>
        </w:rPr>
        <w:t>culated using only the recommended holding period/maturity and not interim periods as well).</w:t>
      </w:r>
    </w:p>
    <w:p w:rsidR="00E61B94" w:rsidRPr="00CC7522" w:rsidRDefault="00E61B94" w:rsidP="00E61B94">
      <w:pPr>
        <w:pStyle w:val="ListParagraph"/>
        <w:jc w:val="both"/>
        <w:rPr>
          <w:rFonts w:ascii="Trebuchet MS" w:eastAsiaTheme="majorEastAsia" w:hAnsi="Trebuchet MS" w:cstheme="majorBidi"/>
          <w:bCs/>
          <w:iCs/>
          <w:szCs w:val="20"/>
        </w:rPr>
      </w:pPr>
    </w:p>
    <w:p w:rsidR="00E61B94" w:rsidRPr="00CC7522" w:rsidRDefault="00E61B94" w:rsidP="00E61B94">
      <w:pPr>
        <w:pStyle w:val="ListParagraph"/>
        <w:numPr>
          <w:ilvl w:val="0"/>
          <w:numId w:val="52"/>
        </w:numPr>
        <w:spacing w:after="200" w:line="276" w:lineRule="auto"/>
        <w:jc w:val="both"/>
        <w:rPr>
          <w:rFonts w:ascii="Trebuchet MS" w:eastAsiaTheme="majorEastAsia" w:hAnsi="Trebuchet MS" w:cstheme="majorBidi"/>
          <w:bCs/>
          <w:iCs/>
          <w:szCs w:val="20"/>
        </w:rPr>
      </w:pPr>
      <w:r w:rsidRPr="00CC7522">
        <w:rPr>
          <w:rFonts w:ascii="Trebuchet MS" w:eastAsiaTheme="majorEastAsia" w:hAnsi="Trebuchet MS" w:cstheme="majorBidi"/>
          <w:b/>
          <w:bCs/>
          <w:iCs/>
          <w:szCs w:val="20"/>
        </w:rPr>
        <w:lastRenderedPageBreak/>
        <w:t>Carried interest is usually only paid above a “preferred rate of return”</w:t>
      </w:r>
      <w:r w:rsidRPr="00CC7522">
        <w:rPr>
          <w:rFonts w:ascii="Trebuchet MS" w:eastAsiaTheme="majorEastAsia" w:hAnsi="Trebuchet MS" w:cstheme="majorBidi"/>
          <w:bCs/>
          <w:iCs/>
          <w:szCs w:val="20"/>
        </w:rPr>
        <w:t>: at the outset of the fund, fund managers and investors agree the detailed terms of the carried interest arrang</w:t>
      </w:r>
      <w:r w:rsidRPr="00CC7522">
        <w:rPr>
          <w:rFonts w:ascii="Trebuchet MS" w:eastAsiaTheme="majorEastAsia" w:hAnsi="Trebuchet MS" w:cstheme="majorBidi"/>
          <w:bCs/>
          <w:iCs/>
          <w:szCs w:val="20"/>
        </w:rPr>
        <w:t>e</w:t>
      </w:r>
      <w:r w:rsidRPr="00CC7522">
        <w:rPr>
          <w:rFonts w:ascii="Trebuchet MS" w:eastAsiaTheme="majorEastAsia" w:hAnsi="Trebuchet MS" w:cstheme="majorBidi"/>
          <w:bCs/>
          <w:iCs/>
          <w:szCs w:val="20"/>
        </w:rPr>
        <w:t xml:space="preserve">ment.  This will include a level of return (the preferred return) that will accrue exclusively to  external investors, and the pre-determined formula for how returns </w:t>
      </w:r>
      <w:r w:rsidRPr="00CC7522">
        <w:rPr>
          <w:rFonts w:ascii="Trebuchet MS" w:eastAsiaTheme="majorEastAsia" w:hAnsi="Trebuchet MS" w:cstheme="majorBidi"/>
          <w:bCs/>
          <w:i/>
          <w:iCs/>
          <w:szCs w:val="20"/>
        </w:rPr>
        <w:t>above</w:t>
      </w:r>
      <w:r w:rsidRPr="00CC7522">
        <w:rPr>
          <w:rFonts w:ascii="Trebuchet MS" w:eastAsiaTheme="majorEastAsia" w:hAnsi="Trebuchet MS" w:cstheme="majorBidi"/>
          <w:bCs/>
          <w:iCs/>
          <w:szCs w:val="20"/>
        </w:rPr>
        <w:t xml:space="preserve"> this threshold will be shared between the fund manager and these external investors.</w:t>
      </w:r>
      <w:r w:rsidRPr="00CC7522" w:rsidDel="00806770">
        <w:rPr>
          <w:rFonts w:ascii="Trebuchet MS" w:eastAsiaTheme="majorEastAsia" w:hAnsi="Trebuchet MS" w:cstheme="majorBidi"/>
          <w:bCs/>
          <w:iCs/>
          <w:szCs w:val="20"/>
        </w:rPr>
        <w:t xml:space="preserve"> </w:t>
      </w:r>
      <w:r w:rsidRPr="00CC7522">
        <w:rPr>
          <w:rFonts w:ascii="Trebuchet MS" w:eastAsiaTheme="majorEastAsia" w:hAnsi="Trebuchet MS" w:cstheme="majorBidi"/>
          <w:bCs/>
          <w:iCs/>
          <w:szCs w:val="20"/>
        </w:rPr>
        <w:t xml:space="preserve">This means that any investors into the fund will see </w:t>
      </w:r>
      <w:r w:rsidRPr="00CC7522">
        <w:rPr>
          <w:rFonts w:ascii="Trebuchet MS" w:eastAsiaTheme="majorEastAsia" w:hAnsi="Trebuchet MS" w:cstheme="majorBidi"/>
          <w:bCs/>
          <w:i/>
          <w:iCs/>
          <w:szCs w:val="20"/>
        </w:rPr>
        <w:t>both</w:t>
      </w:r>
      <w:r w:rsidRPr="00CC7522">
        <w:rPr>
          <w:rFonts w:ascii="Trebuchet MS" w:eastAsiaTheme="majorEastAsia" w:hAnsi="Trebuchet MS" w:cstheme="majorBidi"/>
          <w:bCs/>
          <w:iCs/>
          <w:szCs w:val="20"/>
        </w:rPr>
        <w:t xml:space="preserve"> the payment of their original investment </w:t>
      </w:r>
      <w:r w:rsidRPr="00CC7522">
        <w:rPr>
          <w:rFonts w:ascii="Trebuchet MS" w:eastAsiaTheme="majorEastAsia" w:hAnsi="Trebuchet MS" w:cstheme="majorBidi"/>
          <w:bCs/>
          <w:i/>
          <w:iCs/>
          <w:szCs w:val="20"/>
        </w:rPr>
        <w:t>and</w:t>
      </w:r>
      <w:r w:rsidRPr="00CC7522">
        <w:rPr>
          <w:rFonts w:ascii="Trebuchet MS" w:eastAsiaTheme="majorEastAsia" w:hAnsi="Trebuchet MS" w:cstheme="majorBidi"/>
          <w:bCs/>
          <w:iCs/>
          <w:szCs w:val="20"/>
        </w:rPr>
        <w:t xml:space="preserve"> an agreed return b</w:t>
      </w:r>
      <w:r w:rsidRPr="00CC7522">
        <w:rPr>
          <w:rFonts w:ascii="Trebuchet MS" w:eastAsiaTheme="majorEastAsia" w:hAnsi="Trebuchet MS" w:cstheme="majorBidi"/>
          <w:bCs/>
          <w:iCs/>
          <w:szCs w:val="20"/>
        </w:rPr>
        <w:t>e</w:t>
      </w:r>
      <w:r w:rsidRPr="00CC7522">
        <w:rPr>
          <w:rFonts w:ascii="Trebuchet MS" w:eastAsiaTheme="majorEastAsia" w:hAnsi="Trebuchet MS" w:cstheme="majorBidi"/>
          <w:bCs/>
          <w:iCs/>
          <w:szCs w:val="20"/>
        </w:rPr>
        <w:t xml:space="preserve">fore any carried interest is paid to the fund manager. For the same reason, there is therefore no guarantee that carried interest will ever be paid: if the fund does not achieve this pre-determined level of return there will be no carried interest. </w:t>
      </w:r>
    </w:p>
    <w:p w:rsidR="00E61B94" w:rsidRPr="00CC7522" w:rsidRDefault="00E61B94" w:rsidP="00E61B94">
      <w:pPr>
        <w:jc w:val="both"/>
        <w:rPr>
          <w:rFonts w:ascii="Trebuchet MS" w:eastAsiaTheme="majorEastAsia" w:hAnsi="Trebuchet MS" w:cstheme="majorBidi"/>
          <w:bCs/>
          <w:iCs/>
          <w:szCs w:val="20"/>
          <w:lang w:eastAsia="en-US"/>
        </w:rPr>
      </w:pPr>
      <w:r w:rsidRPr="00CC7522">
        <w:rPr>
          <w:rFonts w:ascii="Trebuchet MS" w:eastAsiaTheme="majorEastAsia" w:hAnsi="Trebuchet MS" w:cstheme="majorBidi"/>
          <w:bCs/>
          <w:iCs/>
          <w:szCs w:val="20"/>
          <w:lang w:eastAsia="en-US"/>
        </w:rPr>
        <w:t>For the reasons above, it will not be possible to use the same benchmark return for calculating perfo</w:t>
      </w:r>
      <w:r w:rsidRPr="00CC7522">
        <w:rPr>
          <w:rFonts w:ascii="Trebuchet MS" w:eastAsiaTheme="majorEastAsia" w:hAnsi="Trebuchet MS" w:cstheme="majorBidi"/>
          <w:bCs/>
          <w:iCs/>
          <w:szCs w:val="20"/>
          <w:lang w:eastAsia="en-US"/>
        </w:rPr>
        <w:t>r</w:t>
      </w:r>
      <w:r w:rsidRPr="00CC7522">
        <w:rPr>
          <w:rFonts w:ascii="Trebuchet MS" w:eastAsiaTheme="majorEastAsia" w:hAnsi="Trebuchet MS" w:cstheme="majorBidi"/>
          <w:bCs/>
          <w:iCs/>
          <w:szCs w:val="20"/>
          <w:lang w:eastAsia="en-US"/>
        </w:rPr>
        <w:t>mance fees for the unfavourable or favourable scenarios. It would be more logical to automatically set the performance fee to zero for the unfavourable scenario. More details on possible carried interest scenarios can be found under Question 23.</w:t>
      </w:r>
    </w:p>
    <w:permEnd w:id="965293420"/>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E61B94" w:rsidRPr="00CC7522" w:rsidRDefault="00E61B94" w:rsidP="00E61B94">
      <w:pPr>
        <w:spacing w:after="200" w:line="276" w:lineRule="auto"/>
        <w:jc w:val="both"/>
        <w:rPr>
          <w:rFonts w:ascii="Trebuchet MS" w:eastAsiaTheme="majorEastAsia" w:hAnsi="Trebuchet MS" w:cstheme="majorBidi"/>
          <w:bCs/>
          <w:szCs w:val="20"/>
          <w:lang w:eastAsia="en-US"/>
        </w:rPr>
      </w:pPr>
      <w:permStart w:id="1897557388" w:edGrp="everyone"/>
      <w:r w:rsidRPr="00CC7522">
        <w:rPr>
          <w:rFonts w:ascii="Trebuchet MS" w:eastAsiaTheme="majorEastAsia" w:hAnsi="Trebuchet MS" w:cstheme="majorBidi"/>
          <w:bCs/>
          <w:szCs w:val="20"/>
          <w:lang w:eastAsia="en-US"/>
        </w:rPr>
        <w:t>Presentation of the performance scenarios in the form of a graph may be more suitable for liquid pro</w:t>
      </w:r>
      <w:r w:rsidRPr="00CC7522">
        <w:rPr>
          <w:rFonts w:ascii="Trebuchet MS" w:eastAsiaTheme="majorEastAsia" w:hAnsi="Trebuchet MS" w:cstheme="majorBidi"/>
          <w:bCs/>
          <w:szCs w:val="20"/>
          <w:lang w:eastAsia="en-US"/>
        </w:rPr>
        <w:t>d</w:t>
      </w:r>
      <w:r w:rsidRPr="00CC7522">
        <w:rPr>
          <w:rFonts w:ascii="Trebuchet MS" w:eastAsiaTheme="majorEastAsia" w:hAnsi="Trebuchet MS" w:cstheme="majorBidi"/>
          <w:bCs/>
          <w:szCs w:val="20"/>
          <w:lang w:eastAsia="en-US"/>
        </w:rPr>
        <w:t xml:space="preserve">ucts and are likely to give investors misleading information for illiquid investments. For investments in closed-ended and illiquid funds such as private equity, where an investor has a contractual obligation not to withdraw his or her commitment before the end of the life of the fund, the concept of a return after 1 or 3 years is in most cases irrelevant.  Presenting this information in the form of a table would therefore be more suitable. </w:t>
      </w:r>
    </w:p>
    <w:permEnd w:id="1897557388"/>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065045181" w:edGrp="everyone"/>
      <w:r>
        <w:t>TYPE YOUR TEXT HERE</w:t>
      </w:r>
    </w:p>
    <w:permEnd w:id="1065045181"/>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85669159" w:edGrp="everyone"/>
      <w:r>
        <w:lastRenderedPageBreak/>
        <w:t>TYPE YOUR TEXT HERE</w:t>
      </w:r>
    </w:p>
    <w:permEnd w:id="185669159"/>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E61B94" w:rsidRPr="00CC7522" w:rsidRDefault="00E61B94" w:rsidP="00E61B94">
      <w:pPr>
        <w:spacing w:after="200" w:line="276" w:lineRule="auto"/>
        <w:jc w:val="both"/>
        <w:rPr>
          <w:rFonts w:ascii="Trebuchet MS" w:eastAsiaTheme="majorEastAsia" w:hAnsi="Trebuchet MS" w:cstheme="majorBidi"/>
          <w:bCs/>
          <w:iCs/>
          <w:szCs w:val="20"/>
          <w:lang w:eastAsia="en-US"/>
        </w:rPr>
      </w:pPr>
      <w:permStart w:id="268647708" w:edGrp="everyone"/>
      <w:r w:rsidRPr="00CC7522">
        <w:rPr>
          <w:rFonts w:ascii="Trebuchet MS" w:eastAsiaTheme="majorEastAsia" w:hAnsi="Trebuchet MS" w:cstheme="majorBidi"/>
          <w:bCs/>
          <w:iCs/>
          <w:szCs w:val="20"/>
          <w:lang w:eastAsia="en-US"/>
        </w:rPr>
        <w:t xml:space="preserve">The presentation of costs in Annex VII requires amounts to be presented on the recommended hold period as well as two interim periods. This is inappropriate in the context of funds with little or no liquidity and </w:t>
      </w:r>
      <w:proofErr w:type="spellStart"/>
      <w:r w:rsidRPr="00CC7522">
        <w:rPr>
          <w:rFonts w:ascii="Trebuchet MS" w:eastAsiaTheme="majorEastAsia" w:hAnsi="Trebuchet MS" w:cstheme="majorBidi"/>
          <w:bCs/>
          <w:iCs/>
          <w:szCs w:val="20"/>
          <w:lang w:eastAsia="en-US"/>
        </w:rPr>
        <w:t>and</w:t>
      </w:r>
      <w:proofErr w:type="spellEnd"/>
      <w:r w:rsidRPr="00CC7522">
        <w:rPr>
          <w:rFonts w:ascii="Trebuchet MS" w:eastAsiaTheme="majorEastAsia" w:hAnsi="Trebuchet MS" w:cstheme="majorBidi"/>
          <w:bCs/>
          <w:iCs/>
          <w:szCs w:val="20"/>
          <w:lang w:eastAsia="en-US"/>
        </w:rPr>
        <w:t xml:space="preserve"> is inconsistent with the approach taken for the presentation of performance scenarios. Private equity funds can be characterised by high value, low volume transactions (compared to mai</w:t>
      </w:r>
      <w:r w:rsidRPr="00CC7522">
        <w:rPr>
          <w:rFonts w:ascii="Trebuchet MS" w:eastAsiaTheme="majorEastAsia" w:hAnsi="Trebuchet MS" w:cstheme="majorBidi"/>
          <w:bCs/>
          <w:iCs/>
          <w:szCs w:val="20"/>
          <w:lang w:eastAsia="en-US"/>
        </w:rPr>
        <w:t>n</w:t>
      </w:r>
      <w:r w:rsidRPr="00CC7522">
        <w:rPr>
          <w:rFonts w:ascii="Trebuchet MS" w:eastAsiaTheme="majorEastAsia" w:hAnsi="Trebuchet MS" w:cstheme="majorBidi"/>
          <w:bCs/>
          <w:iCs/>
          <w:szCs w:val="20"/>
          <w:lang w:eastAsia="en-US"/>
        </w:rPr>
        <w:t>stream funds) that span the investment period of the fund (typically the first five years) and the pa</w:t>
      </w:r>
      <w:r w:rsidRPr="00CC7522">
        <w:rPr>
          <w:rFonts w:ascii="Trebuchet MS" w:eastAsiaTheme="majorEastAsia" w:hAnsi="Trebuchet MS" w:cstheme="majorBidi"/>
          <w:bCs/>
          <w:iCs/>
          <w:szCs w:val="20"/>
          <w:lang w:eastAsia="en-US"/>
        </w:rPr>
        <w:t>t</w:t>
      </w:r>
      <w:r w:rsidRPr="00CC7522">
        <w:rPr>
          <w:rFonts w:ascii="Trebuchet MS" w:eastAsiaTheme="majorEastAsia" w:hAnsi="Trebuchet MS" w:cstheme="majorBidi"/>
          <w:bCs/>
          <w:iCs/>
          <w:szCs w:val="20"/>
          <w:lang w:eastAsia="en-US"/>
        </w:rPr>
        <w:t>tern of investment will vary for a number of different reasons.  Attempting to compute costs in interim periods will therefore be misleading and amounts should only be presented for the recommended hol</w:t>
      </w:r>
      <w:r w:rsidRPr="00CC7522">
        <w:rPr>
          <w:rFonts w:ascii="Trebuchet MS" w:eastAsiaTheme="majorEastAsia" w:hAnsi="Trebuchet MS" w:cstheme="majorBidi"/>
          <w:bCs/>
          <w:iCs/>
          <w:szCs w:val="20"/>
          <w:lang w:eastAsia="en-US"/>
        </w:rPr>
        <w:t>d</w:t>
      </w:r>
      <w:r w:rsidRPr="00CC7522">
        <w:rPr>
          <w:rFonts w:ascii="Trebuchet MS" w:eastAsiaTheme="majorEastAsia" w:hAnsi="Trebuchet MS" w:cstheme="majorBidi"/>
          <w:bCs/>
          <w:iCs/>
          <w:szCs w:val="20"/>
          <w:lang w:eastAsia="en-US"/>
        </w:rPr>
        <w:t xml:space="preserve">ing period. This approach will follow that taken for performance scenarios and will be easier for the investor to understand as the two will link together. As a consequence, the sum of costs should be presented rather than annualised amounts.    </w:t>
      </w:r>
    </w:p>
    <w:permEnd w:id="26864770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522479026" w:edGrp="everyone"/>
      <w:r>
        <w:t>TYPE YOUR TEXT HERE</w:t>
      </w:r>
    </w:p>
    <w:permEnd w:id="522479026"/>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1464758411" w:edGrp="everyone"/>
      <w:r>
        <w:t>TYPE YOUR TEXT HERE</w:t>
      </w:r>
    </w:p>
    <w:permEnd w:id="1464758411"/>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430835038" w:edGrp="everyone"/>
      <w:r>
        <w:t>TYPE YOUR TEXT HERE</w:t>
      </w:r>
    </w:p>
    <w:permEnd w:id="430835038"/>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1978881035" w:edGrp="everyone"/>
      <w:r>
        <w:t>TYPE YOUR TEXT HERE</w:t>
      </w:r>
    </w:p>
    <w:permEnd w:id="1978881035"/>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E61B94" w:rsidRPr="00CC7522" w:rsidRDefault="00E61B94" w:rsidP="00E61B94">
      <w:pPr>
        <w:spacing w:line="276" w:lineRule="auto"/>
        <w:jc w:val="both"/>
        <w:rPr>
          <w:rFonts w:ascii="Trebuchet MS" w:eastAsiaTheme="majorEastAsia" w:hAnsi="Trebuchet MS" w:cstheme="majorBidi"/>
          <w:bCs/>
          <w:szCs w:val="20"/>
          <w:lang w:eastAsia="en-US"/>
        </w:rPr>
      </w:pPr>
      <w:permStart w:id="407842328" w:edGrp="everyone"/>
      <w:r w:rsidRPr="00CC7522">
        <w:rPr>
          <w:rFonts w:ascii="Trebuchet MS" w:eastAsiaTheme="majorEastAsia" w:hAnsi="Trebuchet MS" w:cstheme="majorBidi"/>
          <w:bCs/>
          <w:szCs w:val="20"/>
        </w:rPr>
        <w:t>Carried interest has been included as an incidental expense in the RTS alongside performance fees. (We also note that the RTS should refer to it as carried interest rather than carried interest</w:t>
      </w:r>
      <w:r w:rsidRPr="00CC7522">
        <w:rPr>
          <w:rFonts w:ascii="Trebuchet MS" w:eastAsiaTheme="majorEastAsia" w:hAnsi="Trebuchet MS" w:cstheme="majorBidi"/>
          <w:bCs/>
          <w:i/>
          <w:szCs w:val="20"/>
          <w:u w:val="single"/>
        </w:rPr>
        <w:t>s</w:t>
      </w:r>
      <w:r w:rsidRPr="00CC7522">
        <w:rPr>
          <w:rFonts w:ascii="Trebuchet MS" w:eastAsiaTheme="majorEastAsia" w:hAnsi="Trebuchet MS" w:cstheme="majorBidi"/>
          <w:bCs/>
          <w:szCs w:val="20"/>
        </w:rPr>
        <w:t xml:space="preserve">).  </w:t>
      </w:r>
      <w:r w:rsidRPr="00CC7522">
        <w:rPr>
          <w:rFonts w:ascii="Trebuchet MS" w:eastAsiaTheme="majorEastAsia" w:hAnsi="Trebuchet MS" w:cstheme="majorBidi"/>
          <w:bCs/>
          <w:szCs w:val="20"/>
          <w:lang w:eastAsia="en-US"/>
        </w:rPr>
        <w:t>We would like to stress again that it is inappropriate to include carried interest in the cost section and detail our reasoning below. We also suggest an alternative solution.</w:t>
      </w:r>
    </w:p>
    <w:p w:rsidR="00E61B94" w:rsidRPr="00CC7522" w:rsidRDefault="00E61B94" w:rsidP="00E61B94">
      <w:pPr>
        <w:spacing w:line="276" w:lineRule="auto"/>
        <w:jc w:val="both"/>
        <w:rPr>
          <w:rFonts w:ascii="Trebuchet MS" w:eastAsiaTheme="majorEastAsia" w:hAnsi="Trebuchet MS" w:cstheme="majorBidi"/>
          <w:bCs/>
          <w:szCs w:val="20"/>
          <w:lang w:eastAsia="en-US"/>
        </w:rPr>
      </w:pPr>
      <w:r w:rsidRPr="00CC7522">
        <w:rPr>
          <w:rFonts w:ascii="Trebuchet MS" w:eastAsiaTheme="majorEastAsia" w:hAnsi="Trebuchet MS" w:cstheme="majorBidi"/>
          <w:bCs/>
          <w:szCs w:val="20"/>
          <w:lang w:eastAsia="en-US"/>
        </w:rPr>
        <w:t xml:space="preserve"> </w:t>
      </w:r>
    </w:p>
    <w:p w:rsidR="00E61B94" w:rsidRPr="00CC7522" w:rsidRDefault="00E61B94" w:rsidP="00E61B94">
      <w:pPr>
        <w:pStyle w:val="Default"/>
        <w:spacing w:line="276" w:lineRule="auto"/>
        <w:jc w:val="both"/>
        <w:rPr>
          <w:rFonts w:ascii="Trebuchet MS" w:hAnsi="Trebuchet MS"/>
          <w:sz w:val="20"/>
          <w:szCs w:val="20"/>
          <w:lang w:val="en-GB"/>
        </w:rPr>
      </w:pPr>
      <w:r w:rsidRPr="00CC7522">
        <w:rPr>
          <w:rFonts w:ascii="Trebuchet MS" w:hAnsi="Trebuchet MS"/>
          <w:sz w:val="20"/>
          <w:szCs w:val="20"/>
          <w:lang w:val="en-GB"/>
        </w:rPr>
        <w:t xml:space="preserve">Carried interest is </w:t>
      </w:r>
      <w:r w:rsidRPr="00CC7522">
        <w:rPr>
          <w:rFonts w:ascii="Trebuchet MS" w:eastAsiaTheme="majorEastAsia" w:hAnsi="Trebuchet MS" w:cstheme="majorBidi"/>
          <w:bCs/>
          <w:sz w:val="20"/>
          <w:szCs w:val="20"/>
          <w:u w:val="single"/>
          <w:lang w:val="en-GB"/>
        </w:rPr>
        <w:t>an agreed percentage</w:t>
      </w:r>
      <w:r w:rsidRPr="00CC7522">
        <w:rPr>
          <w:rFonts w:ascii="Trebuchet MS" w:hAnsi="Trebuchet MS"/>
          <w:sz w:val="20"/>
          <w:szCs w:val="20"/>
          <w:u w:val="single"/>
          <w:lang w:val="en-GB"/>
        </w:rPr>
        <w:t xml:space="preserve"> of the </w:t>
      </w:r>
      <w:r w:rsidRPr="00CC7522">
        <w:rPr>
          <w:rFonts w:ascii="Trebuchet MS" w:eastAsiaTheme="majorEastAsia" w:hAnsi="Trebuchet MS" w:cstheme="majorBidi"/>
          <w:bCs/>
          <w:sz w:val="20"/>
          <w:szCs w:val="20"/>
          <w:u w:val="single"/>
          <w:lang w:val="en-GB"/>
        </w:rPr>
        <w:t>cash profits</w:t>
      </w:r>
      <w:r w:rsidRPr="00CC7522">
        <w:rPr>
          <w:rFonts w:ascii="Trebuchet MS" w:hAnsi="Trebuchet MS"/>
          <w:sz w:val="20"/>
          <w:szCs w:val="20"/>
          <w:u w:val="single"/>
          <w:lang w:val="en-GB"/>
        </w:rPr>
        <w:t xml:space="preserve"> of the fund</w:t>
      </w:r>
      <w:r w:rsidRPr="00CC7522">
        <w:rPr>
          <w:rFonts w:ascii="Trebuchet MS" w:eastAsiaTheme="majorEastAsia" w:hAnsi="Trebuchet MS" w:cstheme="majorBidi"/>
          <w:bCs/>
          <w:sz w:val="20"/>
          <w:szCs w:val="20"/>
          <w:u w:val="single"/>
          <w:lang w:val="en-GB"/>
        </w:rPr>
        <w:t>.</w:t>
      </w:r>
      <w:r w:rsidRPr="00CC7522">
        <w:rPr>
          <w:rFonts w:ascii="Trebuchet MS" w:eastAsiaTheme="majorEastAsia" w:hAnsi="Trebuchet MS" w:cstheme="majorBidi"/>
          <w:bCs/>
          <w:sz w:val="20"/>
          <w:szCs w:val="20"/>
          <w:lang w:val="en-GB"/>
        </w:rPr>
        <w:t xml:space="preserve"> </w:t>
      </w:r>
      <w:r w:rsidRPr="00CC7522">
        <w:rPr>
          <w:rFonts w:ascii="Trebuchet MS" w:hAnsi="Trebuchet MS"/>
          <w:sz w:val="20"/>
          <w:szCs w:val="20"/>
          <w:lang w:val="en-GB"/>
        </w:rPr>
        <w:t xml:space="preserve">This will be paid out to the manager and subsequently to its executives who participate in the carried interest arrangements only once the external investors have: </w:t>
      </w:r>
    </w:p>
    <w:p w:rsidR="00E61B94" w:rsidRPr="00CC7522" w:rsidRDefault="00E61B94" w:rsidP="00E61B94">
      <w:pPr>
        <w:pStyle w:val="Default"/>
        <w:spacing w:line="276" w:lineRule="auto"/>
        <w:jc w:val="both"/>
        <w:rPr>
          <w:rFonts w:ascii="Trebuchet MS" w:hAnsi="Trebuchet MS"/>
          <w:sz w:val="20"/>
          <w:szCs w:val="20"/>
          <w:lang w:val="en-GB"/>
        </w:rPr>
      </w:pPr>
      <w:r w:rsidRPr="00CC7522">
        <w:rPr>
          <w:rFonts w:ascii="Trebuchet MS" w:hAnsi="Trebuchet MS"/>
          <w:sz w:val="20"/>
          <w:szCs w:val="20"/>
          <w:lang w:val="en-GB"/>
        </w:rPr>
        <w:t xml:space="preserve">- received back all of their drawn down capital (including typically also amounts drawn to pay the management fee); </w:t>
      </w:r>
    </w:p>
    <w:p w:rsidR="00E61B94" w:rsidRPr="00CC7522" w:rsidRDefault="00E61B94" w:rsidP="00E61B94">
      <w:pPr>
        <w:spacing w:line="276" w:lineRule="auto"/>
        <w:jc w:val="both"/>
        <w:rPr>
          <w:rFonts w:ascii="Trebuchet MS" w:eastAsiaTheme="majorEastAsia" w:hAnsi="Trebuchet MS" w:cstheme="majorBidi"/>
          <w:bCs/>
          <w:szCs w:val="20"/>
        </w:rPr>
      </w:pPr>
      <w:r w:rsidRPr="00CC7522">
        <w:rPr>
          <w:rFonts w:ascii="Trebuchet MS" w:hAnsi="Trebuchet MS"/>
          <w:szCs w:val="20"/>
        </w:rPr>
        <w:t xml:space="preserve">- </w:t>
      </w:r>
      <w:r w:rsidRPr="00CC7522">
        <w:rPr>
          <w:rFonts w:ascii="Trebuchet MS" w:hAnsi="Trebuchet MS"/>
          <w:i/>
          <w:iCs/>
          <w:szCs w:val="20"/>
        </w:rPr>
        <w:t xml:space="preserve">plus </w:t>
      </w:r>
      <w:r w:rsidRPr="00CC7522">
        <w:rPr>
          <w:rFonts w:ascii="Trebuchet MS" w:hAnsi="Trebuchet MS"/>
          <w:szCs w:val="20"/>
        </w:rPr>
        <w:t>an agreed preferred return.</w:t>
      </w:r>
      <w:r w:rsidRPr="00CC7522">
        <w:rPr>
          <w:rFonts w:ascii="Trebuchet MS" w:eastAsiaTheme="majorEastAsia" w:hAnsi="Trebuchet MS" w:cstheme="majorBidi"/>
          <w:bCs/>
          <w:szCs w:val="20"/>
        </w:rPr>
        <w:t xml:space="preserve"> </w:t>
      </w:r>
    </w:p>
    <w:p w:rsidR="00E61B94" w:rsidRPr="00CC7522" w:rsidRDefault="00E61B94" w:rsidP="00E61B94">
      <w:pPr>
        <w:spacing w:line="276" w:lineRule="auto"/>
        <w:jc w:val="both"/>
        <w:rPr>
          <w:rFonts w:ascii="Trebuchet MS" w:eastAsiaTheme="majorEastAsia" w:hAnsi="Trebuchet MS" w:cstheme="majorBidi"/>
          <w:bCs/>
          <w:szCs w:val="20"/>
        </w:rPr>
      </w:pPr>
    </w:p>
    <w:p w:rsidR="005A5DF0" w:rsidRPr="00CC7522" w:rsidRDefault="005A5DF0" w:rsidP="005A5DF0">
      <w:pPr>
        <w:spacing w:line="276" w:lineRule="auto"/>
        <w:jc w:val="both"/>
        <w:rPr>
          <w:rFonts w:ascii="Trebuchet MS" w:eastAsiaTheme="majorEastAsia" w:hAnsi="Trebuchet MS" w:cstheme="majorBidi"/>
          <w:bCs/>
          <w:szCs w:val="20"/>
        </w:rPr>
      </w:pPr>
      <w:r w:rsidRPr="00CC7522">
        <w:rPr>
          <w:rFonts w:ascii="Trebuchet MS" w:eastAsiaTheme="majorEastAsia" w:hAnsi="Trebuchet MS" w:cstheme="majorBidi"/>
          <w:bCs/>
          <w:szCs w:val="20"/>
        </w:rPr>
        <w:t>Carried interest is generally regarded as the main incentive to the fund manager and is a key mech</w:t>
      </w:r>
      <w:r w:rsidRPr="00CC7522">
        <w:rPr>
          <w:rFonts w:ascii="Trebuchet MS" w:eastAsiaTheme="majorEastAsia" w:hAnsi="Trebuchet MS" w:cstheme="majorBidi"/>
          <w:bCs/>
          <w:szCs w:val="20"/>
        </w:rPr>
        <w:t>a</w:t>
      </w:r>
      <w:r w:rsidRPr="00CC7522">
        <w:rPr>
          <w:rFonts w:ascii="Trebuchet MS" w:eastAsiaTheme="majorEastAsia" w:hAnsi="Trebuchet MS" w:cstheme="majorBidi"/>
          <w:bCs/>
          <w:szCs w:val="20"/>
        </w:rPr>
        <w:t>nism for aligning the interest of the fund manager and investors. It</w:t>
      </w:r>
      <w:r w:rsidRPr="00CC7522">
        <w:rPr>
          <w:rFonts w:ascii="Trebuchet MS" w:eastAsiaTheme="majorEastAsia" w:hAnsi="Trebuchet MS" w:cstheme="majorBidi"/>
          <w:bCs/>
          <w:szCs w:val="20"/>
          <w:lang w:eastAsia="en-US"/>
        </w:rPr>
        <w:t xml:space="preserve"> is typically presented as an alloc</w:t>
      </w:r>
      <w:r w:rsidRPr="00CC7522">
        <w:rPr>
          <w:rFonts w:ascii="Trebuchet MS" w:eastAsiaTheme="majorEastAsia" w:hAnsi="Trebuchet MS" w:cstheme="majorBidi"/>
          <w:bCs/>
          <w:szCs w:val="20"/>
          <w:lang w:eastAsia="en-US"/>
        </w:rPr>
        <w:t>a</w:t>
      </w:r>
      <w:r w:rsidRPr="00CC7522">
        <w:rPr>
          <w:rFonts w:ascii="Trebuchet MS" w:eastAsiaTheme="majorEastAsia" w:hAnsi="Trebuchet MS" w:cstheme="majorBidi"/>
          <w:bCs/>
          <w:szCs w:val="20"/>
          <w:lang w:eastAsia="en-US"/>
        </w:rPr>
        <w:t>tion of profits in the accounts for the fund sent to investors and not as a fee</w:t>
      </w:r>
      <w:r w:rsidRPr="00CC7522">
        <w:rPr>
          <w:rFonts w:ascii="Trebuchet MS" w:eastAsiaTheme="majorEastAsia" w:hAnsi="Trebuchet MS" w:cstheme="majorBidi"/>
          <w:bCs/>
          <w:szCs w:val="20"/>
        </w:rPr>
        <w:t xml:space="preserve">.  We do acknowledge that carried interest has been given its own heading under incidental costs and not under performance fees.  However this also needs to be reflected in the tables setting out the presentation of costs in Annex VII i.e. </w:t>
      </w:r>
      <w:r>
        <w:rPr>
          <w:rFonts w:ascii="Trebuchet MS" w:eastAsiaTheme="majorEastAsia" w:hAnsi="Trebuchet MS" w:cstheme="majorBidi"/>
          <w:bCs/>
          <w:szCs w:val="20"/>
        </w:rPr>
        <w:t xml:space="preserve">were </w:t>
      </w:r>
      <w:r w:rsidRPr="00CC7522">
        <w:rPr>
          <w:rFonts w:ascii="Trebuchet MS" w:eastAsiaTheme="majorEastAsia" w:hAnsi="Trebuchet MS" w:cstheme="majorBidi"/>
          <w:bCs/>
          <w:szCs w:val="20"/>
        </w:rPr>
        <w:t>carried interest to be included in the costs section then then firms should</w:t>
      </w:r>
      <w:r>
        <w:rPr>
          <w:rFonts w:ascii="Trebuchet MS" w:eastAsiaTheme="majorEastAsia" w:hAnsi="Trebuchet MS" w:cstheme="majorBidi"/>
          <w:bCs/>
          <w:szCs w:val="20"/>
        </w:rPr>
        <w:t xml:space="preserve"> at least</w:t>
      </w:r>
      <w:r w:rsidRPr="00CC7522">
        <w:rPr>
          <w:rFonts w:ascii="Trebuchet MS" w:eastAsiaTheme="majorEastAsia" w:hAnsi="Trebuchet MS" w:cstheme="majorBidi"/>
          <w:bCs/>
          <w:szCs w:val="20"/>
        </w:rPr>
        <w:t xml:space="preserve"> be able to label it as carried interest and not as a performance fee.</w:t>
      </w:r>
    </w:p>
    <w:p w:rsidR="00E61B94" w:rsidRPr="00CC7522" w:rsidRDefault="00E61B94" w:rsidP="00E61B94">
      <w:pPr>
        <w:spacing w:line="276" w:lineRule="auto"/>
        <w:jc w:val="both"/>
        <w:rPr>
          <w:rFonts w:ascii="Trebuchet MS" w:eastAsiaTheme="majorEastAsia" w:hAnsi="Trebuchet MS" w:cstheme="majorBidi"/>
          <w:bCs/>
          <w:szCs w:val="20"/>
        </w:rPr>
      </w:pPr>
    </w:p>
    <w:p w:rsidR="00E61B94" w:rsidRPr="00CC7522" w:rsidRDefault="00E61B94" w:rsidP="00E61B94">
      <w:pPr>
        <w:spacing w:line="276" w:lineRule="auto"/>
        <w:jc w:val="both"/>
        <w:rPr>
          <w:rFonts w:ascii="Trebuchet MS" w:eastAsiaTheme="majorEastAsia" w:hAnsi="Trebuchet MS" w:cstheme="majorBidi"/>
          <w:bCs/>
          <w:szCs w:val="20"/>
          <w:lang w:eastAsia="en-US"/>
        </w:rPr>
      </w:pPr>
      <w:r w:rsidRPr="00CC7522">
        <w:rPr>
          <w:rFonts w:ascii="Trebuchet MS" w:eastAsiaTheme="majorEastAsia" w:hAnsi="Trebuchet MS" w:cstheme="majorBidi"/>
          <w:bCs/>
          <w:szCs w:val="20"/>
          <w:lang w:eastAsia="en-US"/>
        </w:rPr>
        <w:lastRenderedPageBreak/>
        <w:t>According to the proposed methodology, anyone marketing a closed-ended fund to a retail investor will need to estimate their return by using a proxy (a comparable fund or a peer group)</w:t>
      </w:r>
      <w:r w:rsidRPr="00CC7522">
        <w:rPr>
          <w:rFonts w:ascii="Trebuchet MS" w:hAnsi="Trebuchet MS"/>
          <w:szCs w:val="20"/>
        </w:rPr>
        <w:t xml:space="preserve"> and adjust this for differences in costs charged to the new fund</w:t>
      </w:r>
      <w:r w:rsidRPr="00CC7522">
        <w:rPr>
          <w:rFonts w:ascii="Trebuchet MS" w:eastAsiaTheme="majorEastAsia" w:hAnsi="Trebuchet MS" w:cstheme="majorBidi"/>
          <w:bCs/>
          <w:szCs w:val="20"/>
          <w:lang w:eastAsia="en-US"/>
        </w:rPr>
        <w:t xml:space="preserve">. By definition, no historical data will yet be available as the manager will still be in the fundraising stage of that fund’s life.  </w:t>
      </w:r>
    </w:p>
    <w:p w:rsidR="00E61B94" w:rsidRPr="00CC7522" w:rsidRDefault="00E61B94" w:rsidP="00E61B94">
      <w:pPr>
        <w:spacing w:line="276" w:lineRule="auto"/>
        <w:jc w:val="both"/>
        <w:rPr>
          <w:rFonts w:ascii="Trebuchet MS" w:eastAsiaTheme="majorEastAsia" w:hAnsi="Trebuchet MS" w:cstheme="majorBidi"/>
          <w:bCs/>
          <w:szCs w:val="20"/>
          <w:lang w:eastAsia="en-US"/>
        </w:rPr>
      </w:pPr>
    </w:p>
    <w:p w:rsidR="00E61B94" w:rsidRPr="00CC7522" w:rsidRDefault="00E61B94" w:rsidP="00E61B94">
      <w:pPr>
        <w:spacing w:line="276" w:lineRule="auto"/>
        <w:jc w:val="both"/>
        <w:rPr>
          <w:rFonts w:ascii="Trebuchet MS" w:eastAsiaTheme="majorEastAsia" w:hAnsi="Trebuchet MS" w:cstheme="majorBidi"/>
          <w:bCs/>
          <w:szCs w:val="20"/>
          <w:lang w:eastAsia="en-US"/>
        </w:rPr>
      </w:pPr>
      <w:r w:rsidRPr="00CC7522">
        <w:rPr>
          <w:rFonts w:ascii="Trebuchet MS" w:eastAsiaTheme="majorEastAsia" w:hAnsi="Trebuchet MS" w:cstheme="majorBidi"/>
          <w:bCs/>
          <w:szCs w:val="20"/>
          <w:lang w:eastAsia="en-US"/>
        </w:rPr>
        <w:t>Most private equity fund vehicles having to draw up a KID will find themselves in this situation and this will lead to three major issues:</w:t>
      </w:r>
    </w:p>
    <w:p w:rsidR="00E61B94" w:rsidRPr="00CC7522" w:rsidRDefault="00E61B94" w:rsidP="00E61B94">
      <w:pPr>
        <w:spacing w:line="276" w:lineRule="auto"/>
        <w:jc w:val="both"/>
        <w:rPr>
          <w:rFonts w:ascii="Trebuchet MS" w:eastAsiaTheme="majorEastAsia" w:hAnsi="Trebuchet MS" w:cstheme="majorBidi"/>
          <w:bCs/>
          <w:szCs w:val="20"/>
        </w:rPr>
      </w:pPr>
    </w:p>
    <w:p w:rsidR="00E61B94" w:rsidRPr="00CC7522" w:rsidRDefault="00E61B94" w:rsidP="00E61B94">
      <w:pPr>
        <w:pStyle w:val="ListParagraph"/>
        <w:numPr>
          <w:ilvl w:val="0"/>
          <w:numId w:val="54"/>
        </w:numPr>
        <w:spacing w:after="200" w:line="276" w:lineRule="auto"/>
        <w:jc w:val="both"/>
        <w:rPr>
          <w:rFonts w:ascii="Trebuchet MS" w:eastAsiaTheme="majorEastAsia" w:hAnsi="Trebuchet MS" w:cstheme="majorBidi"/>
          <w:b/>
          <w:bCs/>
          <w:szCs w:val="20"/>
        </w:rPr>
      </w:pPr>
      <w:r w:rsidRPr="00CC7522">
        <w:rPr>
          <w:rFonts w:ascii="Trebuchet MS" w:eastAsiaTheme="majorEastAsia" w:hAnsi="Trebuchet MS" w:cstheme="majorBidi"/>
          <w:bCs/>
          <w:szCs w:val="20"/>
        </w:rPr>
        <w:t>The methodology would seem to require carried interest to be calculated as</w:t>
      </w:r>
      <w:r w:rsidRPr="00CC7522">
        <w:rPr>
          <w:rFonts w:ascii="Trebuchet MS" w:eastAsiaTheme="majorEastAsia" w:hAnsi="Trebuchet MS" w:cstheme="majorBidi"/>
          <w:b/>
          <w:bCs/>
          <w:szCs w:val="20"/>
        </w:rPr>
        <w:t xml:space="preserve"> a percentage of the original investment. </w:t>
      </w:r>
      <w:r w:rsidRPr="00CC7522">
        <w:rPr>
          <w:rFonts w:ascii="Trebuchet MS" w:eastAsiaTheme="majorEastAsia" w:hAnsi="Trebuchet MS" w:cstheme="majorBidi"/>
          <w:bCs/>
          <w:szCs w:val="20"/>
        </w:rPr>
        <w:t>However, in fact, it is a share of</w:t>
      </w:r>
      <w:r w:rsidRPr="00CC7522">
        <w:rPr>
          <w:rFonts w:ascii="Trebuchet MS" w:eastAsiaTheme="majorEastAsia" w:hAnsi="Trebuchet MS" w:cstheme="majorBidi"/>
          <w:b/>
          <w:bCs/>
          <w:szCs w:val="20"/>
        </w:rPr>
        <w:t xml:space="preserve"> realised gains. </w:t>
      </w:r>
      <w:r w:rsidRPr="00CC7522">
        <w:rPr>
          <w:rFonts w:ascii="Trebuchet MS" w:eastAsiaTheme="majorEastAsia" w:hAnsi="Trebuchet MS" w:cstheme="majorBidi"/>
          <w:bCs/>
          <w:szCs w:val="20"/>
        </w:rPr>
        <w:t>The RTS therefore risk generating a percentage figure that is misleading.</w:t>
      </w:r>
    </w:p>
    <w:p w:rsidR="00E61B94" w:rsidRPr="00CC7522" w:rsidRDefault="00E61B94" w:rsidP="00E61B94">
      <w:pPr>
        <w:pStyle w:val="NoSpacing"/>
        <w:spacing w:line="276" w:lineRule="auto"/>
        <w:jc w:val="both"/>
        <w:rPr>
          <w:rFonts w:ascii="Trebuchet MS" w:hAnsi="Trebuchet MS"/>
          <w:sz w:val="20"/>
          <w:szCs w:val="20"/>
          <w:lang w:val="en-GB"/>
        </w:rPr>
      </w:pPr>
      <w:r w:rsidRPr="00CC7522">
        <w:rPr>
          <w:rFonts w:ascii="Trebuchet MS" w:hAnsi="Trebuchet MS"/>
          <w:b/>
          <w:i/>
          <w:sz w:val="20"/>
          <w:szCs w:val="20"/>
          <w:u w:val="single"/>
          <w:lang w:val="en-GB"/>
        </w:rPr>
        <w:t>Solution</w:t>
      </w:r>
      <w:r w:rsidRPr="00CC7522">
        <w:rPr>
          <w:rFonts w:ascii="Trebuchet MS" w:hAnsi="Trebuchet MS"/>
          <w:b/>
          <w:sz w:val="20"/>
          <w:szCs w:val="20"/>
          <w:lang w:val="en-GB"/>
        </w:rPr>
        <w:t xml:space="preserve">: </w:t>
      </w:r>
      <w:r w:rsidRPr="00CC7522">
        <w:rPr>
          <w:rFonts w:ascii="Trebuchet MS" w:hAnsi="Trebuchet MS"/>
          <w:sz w:val="20"/>
          <w:szCs w:val="20"/>
          <w:lang w:val="en-GB"/>
        </w:rPr>
        <w:t xml:space="preserve">carried interest should be calculated as a percentage of returns – and therefore directly connected to the performance of the fund - and not of the investment. </w:t>
      </w:r>
    </w:p>
    <w:p w:rsidR="00E61B94" w:rsidRPr="00CC7522" w:rsidRDefault="00E61B94" w:rsidP="00E61B94">
      <w:pPr>
        <w:spacing w:line="276" w:lineRule="auto"/>
        <w:jc w:val="both"/>
        <w:rPr>
          <w:rFonts w:ascii="Trebuchet MS" w:eastAsiaTheme="majorEastAsia" w:hAnsi="Trebuchet MS" w:cstheme="majorBidi"/>
          <w:bCs/>
          <w:szCs w:val="20"/>
        </w:rPr>
      </w:pPr>
    </w:p>
    <w:p w:rsidR="00E61B94" w:rsidRPr="00CC7522" w:rsidRDefault="00E61B94" w:rsidP="00E61B94">
      <w:pPr>
        <w:pStyle w:val="ListParagraph"/>
        <w:numPr>
          <w:ilvl w:val="0"/>
          <w:numId w:val="54"/>
        </w:numPr>
        <w:spacing w:after="200" w:line="276" w:lineRule="auto"/>
        <w:jc w:val="both"/>
        <w:rPr>
          <w:rFonts w:ascii="Trebuchet MS" w:eastAsiaTheme="majorEastAsia" w:hAnsi="Trebuchet MS" w:cstheme="majorBidi"/>
          <w:bCs/>
          <w:szCs w:val="20"/>
        </w:rPr>
      </w:pPr>
      <w:r w:rsidRPr="00CC7522">
        <w:rPr>
          <w:rFonts w:ascii="Trebuchet MS" w:eastAsiaTheme="majorEastAsia" w:hAnsi="Trebuchet MS" w:cstheme="majorBidi"/>
          <w:bCs/>
          <w:szCs w:val="20"/>
        </w:rPr>
        <w:t>The actual amount of carried interest</w:t>
      </w:r>
      <w:r w:rsidRPr="00CC7522">
        <w:rPr>
          <w:rFonts w:ascii="Trebuchet MS" w:eastAsiaTheme="majorEastAsia" w:hAnsi="Trebuchet MS" w:cstheme="majorBidi"/>
          <w:b/>
          <w:bCs/>
          <w:szCs w:val="20"/>
        </w:rPr>
        <w:t xml:space="preserve"> may differ significantly from the amount required to be shown in the KID</w:t>
      </w:r>
      <w:r w:rsidRPr="00CC7522">
        <w:rPr>
          <w:rFonts w:ascii="Trebuchet MS" w:eastAsiaTheme="majorEastAsia" w:hAnsi="Trebuchet MS" w:cstheme="majorBidi"/>
          <w:bCs/>
          <w:szCs w:val="20"/>
        </w:rPr>
        <w:t>.</w:t>
      </w:r>
      <w:r w:rsidRPr="00CC7522">
        <w:rPr>
          <w:rFonts w:ascii="Trebuchet MS" w:eastAsiaTheme="majorEastAsia" w:hAnsi="Trebuchet MS" w:cstheme="majorBidi"/>
          <w:bCs/>
          <w:szCs w:val="20"/>
          <w:u w:val="single"/>
        </w:rPr>
        <w:t xml:space="preserve"> </w:t>
      </w:r>
    </w:p>
    <w:p w:rsidR="00E61B94" w:rsidRPr="00CC7522" w:rsidRDefault="00E61B94" w:rsidP="00E61B94">
      <w:pPr>
        <w:pStyle w:val="NoSpacing"/>
        <w:spacing w:line="276" w:lineRule="auto"/>
        <w:jc w:val="both"/>
        <w:rPr>
          <w:rFonts w:ascii="Trebuchet MS" w:hAnsi="Trebuchet MS"/>
          <w:sz w:val="20"/>
          <w:szCs w:val="20"/>
          <w:lang w:val="en-GB"/>
        </w:rPr>
      </w:pPr>
      <w:r w:rsidRPr="00CC7522">
        <w:rPr>
          <w:rFonts w:ascii="Trebuchet MS" w:hAnsi="Trebuchet MS"/>
          <w:b/>
          <w:i/>
          <w:sz w:val="20"/>
          <w:szCs w:val="20"/>
          <w:lang w:val="en-GB"/>
        </w:rPr>
        <w:t>Issue</w:t>
      </w:r>
      <w:r w:rsidRPr="00CC7522">
        <w:rPr>
          <w:rFonts w:ascii="Trebuchet MS" w:hAnsi="Trebuchet MS"/>
          <w:sz w:val="20"/>
          <w:szCs w:val="20"/>
          <w:lang w:val="en-GB"/>
        </w:rPr>
        <w:t>: In the absence of historical data at the fund level, the carried interest disclosed in the KID will be estimated based on a comparable fund or peer group</w:t>
      </w:r>
      <w:r w:rsidRPr="00CC7522">
        <w:rPr>
          <w:rFonts w:ascii="Trebuchet MS" w:eastAsiaTheme="majorEastAsia" w:hAnsi="Trebuchet MS" w:cstheme="majorBidi"/>
          <w:bCs/>
          <w:sz w:val="20"/>
          <w:szCs w:val="20"/>
          <w:lang w:val="en-GB"/>
        </w:rPr>
        <w:t xml:space="preserve">.  </w:t>
      </w:r>
      <w:r w:rsidRPr="00CC7522">
        <w:rPr>
          <w:rFonts w:ascii="Trebuchet MS" w:hAnsi="Trebuchet MS"/>
          <w:sz w:val="20"/>
          <w:szCs w:val="20"/>
          <w:lang w:val="en-GB"/>
        </w:rPr>
        <w:t>The calculated return will be therefore based on:</w:t>
      </w:r>
    </w:p>
    <w:p w:rsidR="00E61B94" w:rsidRPr="00CC7522" w:rsidRDefault="00E61B94" w:rsidP="00E61B94">
      <w:pPr>
        <w:pStyle w:val="NoSpacing"/>
        <w:spacing w:line="276" w:lineRule="auto"/>
        <w:jc w:val="both"/>
        <w:rPr>
          <w:rFonts w:ascii="Trebuchet MS" w:hAnsi="Trebuchet MS"/>
          <w:sz w:val="20"/>
          <w:szCs w:val="20"/>
          <w:lang w:val="en-GB"/>
        </w:rPr>
      </w:pPr>
    </w:p>
    <w:p w:rsidR="00E61B94" w:rsidRPr="00CC7522" w:rsidRDefault="00E61B94" w:rsidP="00E61B94">
      <w:pPr>
        <w:pStyle w:val="NoSpacing"/>
        <w:numPr>
          <w:ilvl w:val="0"/>
          <w:numId w:val="55"/>
        </w:numPr>
        <w:spacing w:line="276" w:lineRule="auto"/>
        <w:jc w:val="both"/>
        <w:rPr>
          <w:rFonts w:ascii="Trebuchet MS" w:hAnsi="Trebuchet MS"/>
          <w:sz w:val="20"/>
          <w:szCs w:val="20"/>
          <w:lang w:val="en-GB"/>
        </w:rPr>
      </w:pPr>
      <w:r w:rsidRPr="00CC7522">
        <w:rPr>
          <w:rFonts w:ascii="Trebuchet MS" w:hAnsi="Trebuchet MS"/>
          <w:sz w:val="20"/>
          <w:szCs w:val="20"/>
          <w:lang w:val="en-GB"/>
        </w:rPr>
        <w:t xml:space="preserve">funds with a return below the preferred rate of return </w:t>
      </w:r>
      <w:r w:rsidRPr="00CC7522">
        <w:rPr>
          <w:rFonts w:ascii="Trebuchet MS" w:hAnsi="Trebuchet MS"/>
          <w:sz w:val="20"/>
          <w:szCs w:val="20"/>
          <w:u w:val="single"/>
          <w:lang w:val="en-GB"/>
        </w:rPr>
        <w:t>where no carried interest will be paid</w:t>
      </w:r>
      <w:r w:rsidRPr="00CC7522">
        <w:rPr>
          <w:rFonts w:ascii="Trebuchet MS" w:hAnsi="Trebuchet MS"/>
          <w:sz w:val="20"/>
          <w:szCs w:val="20"/>
          <w:lang w:val="en-GB"/>
        </w:rPr>
        <w:t>; and</w:t>
      </w:r>
    </w:p>
    <w:p w:rsidR="00E61B94" w:rsidRPr="00CC7522" w:rsidRDefault="00E61B94" w:rsidP="00E61B94">
      <w:pPr>
        <w:pStyle w:val="NoSpacing"/>
        <w:numPr>
          <w:ilvl w:val="0"/>
          <w:numId w:val="55"/>
        </w:numPr>
        <w:spacing w:line="276" w:lineRule="auto"/>
        <w:jc w:val="both"/>
        <w:rPr>
          <w:rFonts w:ascii="Trebuchet MS" w:hAnsi="Trebuchet MS"/>
          <w:sz w:val="20"/>
          <w:szCs w:val="20"/>
          <w:lang w:val="en-GB"/>
        </w:rPr>
      </w:pPr>
      <w:r w:rsidRPr="00CC7522">
        <w:rPr>
          <w:rFonts w:ascii="Trebuchet MS" w:hAnsi="Trebuchet MS"/>
          <w:sz w:val="20"/>
          <w:szCs w:val="20"/>
          <w:lang w:val="en-GB"/>
        </w:rPr>
        <w:t xml:space="preserve">on the other end of the spectrum, very successful funds </w:t>
      </w:r>
      <w:r w:rsidRPr="00CC7522">
        <w:rPr>
          <w:rFonts w:ascii="Trebuchet MS" w:hAnsi="Trebuchet MS"/>
          <w:sz w:val="20"/>
          <w:szCs w:val="20"/>
          <w:u w:val="single"/>
          <w:lang w:val="en-GB"/>
        </w:rPr>
        <w:t>for which carried interest could be un</w:t>
      </w:r>
      <w:r w:rsidRPr="00CC7522">
        <w:rPr>
          <w:rFonts w:ascii="Trebuchet MS" w:hAnsi="Trebuchet MS"/>
          <w:sz w:val="20"/>
          <w:szCs w:val="20"/>
          <w:u w:val="single"/>
          <w:lang w:val="en-GB"/>
        </w:rPr>
        <w:t>u</w:t>
      </w:r>
      <w:r w:rsidRPr="00CC7522">
        <w:rPr>
          <w:rFonts w:ascii="Trebuchet MS" w:hAnsi="Trebuchet MS"/>
          <w:sz w:val="20"/>
          <w:szCs w:val="20"/>
          <w:u w:val="single"/>
          <w:lang w:val="en-GB"/>
        </w:rPr>
        <w:t>sually high (in absolute numbers)</w:t>
      </w:r>
      <w:r w:rsidRPr="00CC7522">
        <w:rPr>
          <w:rFonts w:ascii="Trebuchet MS" w:hAnsi="Trebuchet MS"/>
          <w:sz w:val="20"/>
          <w:szCs w:val="20"/>
          <w:lang w:val="en-GB"/>
        </w:rPr>
        <w:t>.</w:t>
      </w:r>
      <w:r w:rsidRPr="00CC7522">
        <w:rPr>
          <w:rFonts w:ascii="Trebuchet MS" w:hAnsi="Trebuchet MS"/>
          <w:i/>
          <w:sz w:val="20"/>
          <w:szCs w:val="20"/>
          <w:lang w:val="en-GB"/>
        </w:rPr>
        <w:t xml:space="preserve"> </w:t>
      </w:r>
    </w:p>
    <w:p w:rsidR="00E61B94" w:rsidRPr="00CC7522" w:rsidRDefault="00E61B94" w:rsidP="00E61B94">
      <w:pPr>
        <w:pStyle w:val="NoSpacing"/>
        <w:numPr>
          <w:ilvl w:val="0"/>
          <w:numId w:val="55"/>
        </w:numPr>
        <w:spacing w:line="276" w:lineRule="auto"/>
        <w:jc w:val="both"/>
        <w:rPr>
          <w:rFonts w:ascii="Trebuchet MS" w:hAnsi="Trebuchet MS"/>
          <w:sz w:val="20"/>
          <w:szCs w:val="20"/>
          <w:lang w:val="en-GB"/>
        </w:rPr>
      </w:pPr>
      <w:r w:rsidRPr="00CC7522">
        <w:rPr>
          <w:rFonts w:ascii="Trebuchet MS" w:hAnsi="Trebuchet MS"/>
          <w:sz w:val="20"/>
          <w:szCs w:val="20"/>
          <w:lang w:val="en-GB"/>
        </w:rPr>
        <w:t>most importantly, funds which do not follow the same specific strategy of the fund for which the KID is being produced</w:t>
      </w:r>
    </w:p>
    <w:p w:rsidR="00E61B94" w:rsidRPr="00CC7522" w:rsidRDefault="00E61B94" w:rsidP="00E61B94">
      <w:pPr>
        <w:pStyle w:val="NoSpacing"/>
        <w:spacing w:line="276" w:lineRule="auto"/>
        <w:ind w:left="360"/>
        <w:jc w:val="both"/>
        <w:rPr>
          <w:rFonts w:ascii="Trebuchet MS" w:hAnsi="Trebuchet MS"/>
          <w:sz w:val="20"/>
          <w:szCs w:val="20"/>
          <w:lang w:val="en-GB"/>
        </w:rPr>
      </w:pPr>
    </w:p>
    <w:p w:rsidR="00E61B94" w:rsidRPr="00CC7522" w:rsidRDefault="00E61B94" w:rsidP="00E61B94">
      <w:pPr>
        <w:pStyle w:val="NoSpacing"/>
        <w:spacing w:line="276" w:lineRule="auto"/>
        <w:jc w:val="both"/>
        <w:rPr>
          <w:rFonts w:ascii="Trebuchet MS" w:hAnsi="Trebuchet MS"/>
          <w:sz w:val="20"/>
          <w:szCs w:val="20"/>
          <w:lang w:val="en-GB"/>
        </w:rPr>
      </w:pPr>
      <w:r w:rsidRPr="00CC7522">
        <w:rPr>
          <w:rFonts w:ascii="Trebuchet MS" w:hAnsi="Trebuchet MS"/>
          <w:sz w:val="20"/>
          <w:szCs w:val="20"/>
          <w:lang w:val="en-GB"/>
        </w:rPr>
        <w:t xml:space="preserve">As a result, given the very wide </w:t>
      </w:r>
      <w:r w:rsidRPr="00CC7522">
        <w:rPr>
          <w:rFonts w:ascii="Trebuchet MS" w:eastAsiaTheme="majorEastAsia" w:hAnsi="Trebuchet MS" w:cstheme="majorBidi"/>
          <w:bCs/>
          <w:sz w:val="20"/>
          <w:szCs w:val="20"/>
          <w:lang w:val="en-GB"/>
        </w:rPr>
        <w:t xml:space="preserve">range of potential values in the calculation, the </w:t>
      </w:r>
      <w:r w:rsidRPr="00CC7522">
        <w:rPr>
          <w:rFonts w:ascii="Trebuchet MS" w:hAnsi="Trebuchet MS"/>
          <w:sz w:val="20"/>
          <w:szCs w:val="20"/>
          <w:lang w:val="en-GB"/>
        </w:rPr>
        <w:t>carried interest effe</w:t>
      </w:r>
      <w:r w:rsidRPr="00CC7522">
        <w:rPr>
          <w:rFonts w:ascii="Trebuchet MS" w:hAnsi="Trebuchet MS"/>
          <w:sz w:val="20"/>
          <w:szCs w:val="20"/>
          <w:lang w:val="en-GB"/>
        </w:rPr>
        <w:t>c</w:t>
      </w:r>
      <w:r w:rsidRPr="00CC7522">
        <w:rPr>
          <w:rFonts w:ascii="Trebuchet MS" w:hAnsi="Trebuchet MS"/>
          <w:sz w:val="20"/>
          <w:szCs w:val="20"/>
          <w:lang w:val="en-GB"/>
        </w:rPr>
        <w:t xml:space="preserve">tively paid to the fund manager may be fundamentally different from the amount specified in the cost table of the KID. </w:t>
      </w:r>
    </w:p>
    <w:p w:rsidR="00E61B94" w:rsidRPr="00CC7522" w:rsidRDefault="00E61B94" w:rsidP="00E61B94">
      <w:pPr>
        <w:pStyle w:val="NoSpacing"/>
        <w:spacing w:line="276" w:lineRule="auto"/>
        <w:jc w:val="both"/>
        <w:rPr>
          <w:rFonts w:ascii="Trebuchet MS" w:hAnsi="Trebuchet MS"/>
          <w:sz w:val="20"/>
          <w:szCs w:val="20"/>
          <w:lang w:val="en-GB"/>
        </w:rPr>
      </w:pP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r w:rsidRPr="00CC7522">
        <w:rPr>
          <w:rFonts w:ascii="Trebuchet MS" w:hAnsi="Trebuchet MS"/>
          <w:b/>
          <w:sz w:val="20"/>
          <w:szCs w:val="20"/>
          <w:u w:val="single"/>
          <w:lang w:val="en-GB"/>
        </w:rPr>
        <w:t>Solution</w:t>
      </w:r>
      <w:r w:rsidRPr="00CC7522">
        <w:rPr>
          <w:rFonts w:ascii="Trebuchet MS" w:hAnsi="Trebuchet MS"/>
          <w:sz w:val="20"/>
          <w:szCs w:val="20"/>
          <w:lang w:val="en-GB"/>
        </w:rPr>
        <w:t xml:space="preserve">: In order for the carried interest calculation to be meaningful, it would make more sense to adjust the comparable fund or peer group data for points of difference in the investment strategy of the fund and other known variables (i.e. geography, markets, </w:t>
      </w:r>
      <w:proofErr w:type="spellStart"/>
      <w:r w:rsidRPr="00CC7522">
        <w:rPr>
          <w:rFonts w:ascii="Trebuchet MS" w:hAnsi="Trebuchet MS"/>
          <w:sz w:val="20"/>
          <w:szCs w:val="20"/>
          <w:lang w:val="en-GB"/>
        </w:rPr>
        <w:t>etc</w:t>
      </w:r>
      <w:proofErr w:type="spellEnd"/>
      <w:r w:rsidRPr="00CC7522">
        <w:rPr>
          <w:rFonts w:ascii="Trebuchet MS" w:hAnsi="Trebuchet MS"/>
          <w:sz w:val="20"/>
          <w:szCs w:val="20"/>
          <w:lang w:val="en-GB"/>
        </w:rPr>
        <w:t xml:space="preserve">) rather than only adjusting this data for costs.  There are a wide range of strategies adopted by private equity managers and even though other funds may appear to follow comparable strategies in a broad sense, there will be differences. A much easier solution would be to correlate the calculation of carried interest with the performance scenarios. </w:t>
      </w:r>
      <w:r w:rsidRPr="00CC7522">
        <w:rPr>
          <w:rFonts w:ascii="Trebuchet MS" w:eastAsiaTheme="majorEastAsia" w:hAnsi="Trebuchet MS" w:cstheme="majorBidi"/>
          <w:bCs/>
          <w:sz w:val="20"/>
          <w:szCs w:val="20"/>
          <w:lang w:val="en-GB"/>
        </w:rPr>
        <w:t xml:space="preserve">This impact on performance  could easily be computed using the terms of the carried interest arrangement. </w:t>
      </w:r>
      <w:r w:rsidRPr="00CC7522">
        <w:rPr>
          <w:rFonts w:ascii="Trebuchet MS" w:hAnsi="Trebuchet MS"/>
          <w:sz w:val="20"/>
          <w:szCs w:val="20"/>
          <w:lang w:val="en-GB"/>
        </w:rPr>
        <w:t>Depending on the specific level of performance chosen, the ‘unfavourable’ and/or ‘mo</w:t>
      </w:r>
      <w:r w:rsidRPr="00CC7522">
        <w:rPr>
          <w:rFonts w:ascii="Trebuchet MS" w:hAnsi="Trebuchet MS"/>
          <w:sz w:val="20"/>
          <w:szCs w:val="20"/>
          <w:lang w:val="en-GB"/>
        </w:rPr>
        <w:t>d</w:t>
      </w:r>
      <w:r w:rsidRPr="00CC7522">
        <w:rPr>
          <w:rFonts w:ascii="Trebuchet MS" w:hAnsi="Trebuchet MS"/>
          <w:sz w:val="20"/>
          <w:szCs w:val="20"/>
          <w:lang w:val="en-GB"/>
        </w:rPr>
        <w:t>erate’ scenarios would demonstrate that no carried interest would paid at those rates of return. Carried interest would be paid under the ‘favourable’ scenario (again depending on the specific level of pe</w:t>
      </w:r>
      <w:r w:rsidRPr="00CC7522">
        <w:rPr>
          <w:rFonts w:ascii="Trebuchet MS" w:hAnsi="Trebuchet MS"/>
          <w:sz w:val="20"/>
          <w:szCs w:val="20"/>
          <w:lang w:val="en-GB"/>
        </w:rPr>
        <w:t>r</w:t>
      </w:r>
      <w:r w:rsidRPr="00CC7522">
        <w:rPr>
          <w:rFonts w:ascii="Trebuchet MS" w:hAnsi="Trebuchet MS"/>
          <w:sz w:val="20"/>
          <w:szCs w:val="20"/>
          <w:lang w:val="en-GB"/>
        </w:rPr>
        <w:t>formance applied to this scenario) and its effect on the investor would be shown by the impact on returns. This would be a more accurate and meaningful approach to the treatment of carried interest.</w:t>
      </w:r>
    </w:p>
    <w:p w:rsidR="00E61B94" w:rsidRPr="00CC7522" w:rsidRDefault="00E61B94" w:rsidP="00E61B94">
      <w:pPr>
        <w:pStyle w:val="NoSpacing"/>
        <w:spacing w:line="276" w:lineRule="auto"/>
        <w:jc w:val="both"/>
        <w:rPr>
          <w:rFonts w:ascii="Trebuchet MS" w:hAnsi="Trebuchet MS"/>
          <w:sz w:val="20"/>
          <w:szCs w:val="20"/>
          <w:lang w:val="en-GB"/>
        </w:rPr>
      </w:pPr>
    </w:p>
    <w:p w:rsidR="00E61B94" w:rsidRPr="00CC7522" w:rsidRDefault="00E61B94" w:rsidP="00E61B94">
      <w:pPr>
        <w:pStyle w:val="NoSpacing"/>
        <w:numPr>
          <w:ilvl w:val="0"/>
          <w:numId w:val="54"/>
        </w:numPr>
        <w:spacing w:line="276" w:lineRule="auto"/>
        <w:jc w:val="both"/>
        <w:rPr>
          <w:rFonts w:ascii="Trebuchet MS" w:hAnsi="Trebuchet MS"/>
          <w:sz w:val="20"/>
          <w:szCs w:val="20"/>
          <w:lang w:val="en-GB"/>
        </w:rPr>
      </w:pPr>
      <w:r w:rsidRPr="00CC7522">
        <w:rPr>
          <w:rFonts w:ascii="Trebuchet MS" w:hAnsi="Trebuchet MS"/>
          <w:sz w:val="20"/>
          <w:szCs w:val="20"/>
          <w:lang w:val="en-GB"/>
        </w:rPr>
        <w:t xml:space="preserve">the KID does not specify anywhere that </w:t>
      </w:r>
      <w:r w:rsidRPr="00CC7522">
        <w:rPr>
          <w:rFonts w:ascii="Trebuchet MS" w:hAnsi="Trebuchet MS"/>
          <w:b/>
          <w:sz w:val="20"/>
          <w:szCs w:val="20"/>
          <w:lang w:val="en-GB"/>
        </w:rPr>
        <w:t>no carried interest will be paid below the preferred rate of return</w:t>
      </w:r>
      <w:r w:rsidRPr="00CC7522">
        <w:rPr>
          <w:rFonts w:ascii="Trebuchet MS" w:hAnsi="Trebuchet MS"/>
          <w:sz w:val="20"/>
          <w:szCs w:val="20"/>
          <w:lang w:val="en-GB"/>
        </w:rPr>
        <w:t xml:space="preserve"> </w:t>
      </w: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
          <w:bCs/>
          <w:i/>
          <w:sz w:val="20"/>
          <w:szCs w:val="20"/>
          <w:lang w:val="en-GB"/>
        </w:rPr>
        <w:lastRenderedPageBreak/>
        <w:t>Issue</w:t>
      </w:r>
      <w:r w:rsidRPr="00CC7522">
        <w:rPr>
          <w:rFonts w:ascii="Trebuchet MS" w:eastAsiaTheme="majorEastAsia" w:hAnsi="Trebuchet MS" w:cstheme="majorBidi"/>
          <w:bCs/>
          <w:sz w:val="20"/>
          <w:szCs w:val="20"/>
          <w:lang w:val="en-GB"/>
        </w:rPr>
        <w:t xml:space="preserve">: Manufacturers will be required to specify in the KID a supposed ‘cost’ that may never have to be paid.  </w:t>
      </w: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
          <w:bCs/>
          <w:sz w:val="20"/>
          <w:szCs w:val="20"/>
          <w:u w:val="single"/>
          <w:lang w:val="en-GB"/>
        </w:rPr>
        <w:t xml:space="preserve">Conclusion: </w:t>
      </w:r>
      <w:r w:rsidRPr="00CC7522">
        <w:rPr>
          <w:rFonts w:ascii="Trebuchet MS" w:eastAsiaTheme="majorEastAsia" w:hAnsi="Trebuchet MS" w:cstheme="majorBidi"/>
          <w:bCs/>
          <w:sz w:val="20"/>
          <w:szCs w:val="20"/>
          <w:lang w:val="en-GB"/>
        </w:rPr>
        <w:t xml:space="preserve">For these reasons, we believe carried interest should only be computed </w:t>
      </w:r>
      <w:r w:rsidRPr="00CC7522">
        <w:rPr>
          <w:rFonts w:ascii="Trebuchet MS" w:eastAsiaTheme="majorEastAsia" w:hAnsi="Trebuchet MS" w:cstheme="majorBidi"/>
          <w:b/>
          <w:bCs/>
          <w:sz w:val="20"/>
          <w:szCs w:val="20"/>
          <w:u w:val="single"/>
          <w:lang w:val="en-GB"/>
        </w:rPr>
        <w:t xml:space="preserve">as part of the performance scenarios </w:t>
      </w:r>
      <w:r w:rsidRPr="00CC7522">
        <w:rPr>
          <w:rFonts w:ascii="Trebuchet MS" w:eastAsiaTheme="majorEastAsia" w:hAnsi="Trebuchet MS" w:cstheme="majorBidi"/>
          <w:bCs/>
          <w:sz w:val="20"/>
          <w:szCs w:val="20"/>
          <w:lang w:val="en-GB"/>
        </w:rPr>
        <w:t xml:space="preserve">and not treated as a ‘cost’. The impact on the  </w:t>
      </w:r>
      <w:r w:rsidRPr="00CC7522">
        <w:rPr>
          <w:rFonts w:ascii="Trebuchet MS" w:eastAsiaTheme="majorEastAsia" w:hAnsi="Trebuchet MS" w:cstheme="majorBidi"/>
          <w:b/>
          <w:bCs/>
          <w:sz w:val="20"/>
          <w:szCs w:val="20"/>
          <w:u w:val="single"/>
          <w:lang w:val="en-GB"/>
        </w:rPr>
        <w:t>return</w:t>
      </w:r>
      <w:r w:rsidRPr="00CC7522">
        <w:rPr>
          <w:rFonts w:ascii="Trebuchet MS" w:eastAsiaTheme="majorEastAsia" w:hAnsi="Trebuchet MS" w:cstheme="majorBidi"/>
          <w:bCs/>
          <w:sz w:val="20"/>
          <w:szCs w:val="20"/>
          <w:lang w:val="en-GB"/>
        </w:rPr>
        <w:t xml:space="preserve"> the investor might expect under the favourable (and potentially the moderate) performance scenario should be set out, but carried interest should not be treated as a regular cost or a performance fee. This impact on the returns enjoyed by the retail investor could easily be calculated using the terms of the carried interest arrangement and the performance scenarios. Reference to carried interest should therefore be removed altogether from the cost section.</w:t>
      </w: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 xml:space="preserve"> </w:t>
      </w: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 xml:space="preserve">The table below describes the relevance of a performance-related approach compared to the one proposed in the draft RTS. </w:t>
      </w: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p>
    <w:tbl>
      <w:tblPr>
        <w:tblStyle w:val="TableGrid"/>
        <w:tblW w:w="0" w:type="auto"/>
        <w:tblLook w:val="04A0" w:firstRow="1" w:lastRow="0" w:firstColumn="1" w:lastColumn="0" w:noHBand="0" w:noVBand="1"/>
      </w:tblPr>
      <w:tblGrid>
        <w:gridCol w:w="3096"/>
        <w:gridCol w:w="3096"/>
        <w:gridCol w:w="3096"/>
      </w:tblGrid>
      <w:tr w:rsidR="00E61B94" w:rsidRPr="00CC7522" w:rsidTr="00A30362">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u w:val="single"/>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u w:val="single"/>
                <w:lang w:val="en-GB"/>
              </w:rPr>
            </w:pPr>
            <w:r w:rsidRPr="00CC7522">
              <w:rPr>
                <w:rFonts w:ascii="Trebuchet MS" w:eastAsiaTheme="majorEastAsia" w:hAnsi="Trebuchet MS" w:cstheme="majorBidi"/>
                <w:bCs/>
                <w:sz w:val="20"/>
                <w:szCs w:val="20"/>
                <w:u w:val="single"/>
                <w:lang w:val="en-GB"/>
              </w:rPr>
              <w:t>Approach taken</w:t>
            </w:r>
          </w:p>
          <w:p w:rsidR="00E61B94" w:rsidRPr="00CC7522" w:rsidRDefault="00E61B94" w:rsidP="00A30362">
            <w:pPr>
              <w:pStyle w:val="NoSpacing"/>
              <w:spacing w:line="276" w:lineRule="auto"/>
              <w:jc w:val="both"/>
              <w:rPr>
                <w:rFonts w:ascii="Trebuchet MS" w:eastAsiaTheme="majorEastAsia" w:hAnsi="Trebuchet MS" w:cstheme="majorBidi"/>
                <w:bCs/>
                <w:sz w:val="20"/>
                <w:szCs w:val="20"/>
                <w:u w:val="single"/>
                <w:lang w:val="en-GB"/>
              </w:rPr>
            </w:pP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u w:val="single"/>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u w:val="single"/>
                <w:lang w:val="en-GB"/>
              </w:rPr>
            </w:pPr>
            <w:r w:rsidRPr="00CC7522">
              <w:rPr>
                <w:rFonts w:ascii="Trebuchet MS" w:eastAsiaTheme="majorEastAsia" w:hAnsi="Trebuchet MS" w:cstheme="majorBidi"/>
                <w:bCs/>
                <w:sz w:val="20"/>
                <w:szCs w:val="20"/>
                <w:u w:val="single"/>
                <w:lang w:val="en-GB"/>
              </w:rPr>
              <w:t>Cost approach</w:t>
            </w: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u w:val="single"/>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u w:val="single"/>
                <w:lang w:val="en-GB"/>
              </w:rPr>
            </w:pPr>
            <w:r w:rsidRPr="00CC7522">
              <w:rPr>
                <w:rFonts w:ascii="Trebuchet MS" w:eastAsiaTheme="majorEastAsia" w:hAnsi="Trebuchet MS" w:cstheme="majorBidi"/>
                <w:bCs/>
                <w:sz w:val="20"/>
                <w:szCs w:val="20"/>
                <w:u w:val="single"/>
                <w:lang w:val="en-GB"/>
              </w:rPr>
              <w:t>Performance-related approach</w:t>
            </w:r>
          </w:p>
        </w:tc>
      </w:tr>
      <w:tr w:rsidR="00E61B94" w:rsidRPr="00CC7522" w:rsidTr="00A30362">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
                <w:bCs/>
                <w:sz w:val="20"/>
                <w:szCs w:val="20"/>
                <w:lang w:val="en-GB"/>
              </w:rPr>
            </w:pPr>
            <w:r w:rsidRPr="00CC7522">
              <w:rPr>
                <w:rFonts w:ascii="Trebuchet MS" w:eastAsiaTheme="majorEastAsia" w:hAnsi="Trebuchet MS" w:cstheme="majorBidi"/>
                <w:b/>
                <w:bCs/>
                <w:sz w:val="20"/>
                <w:szCs w:val="20"/>
                <w:lang w:val="en-GB"/>
              </w:rPr>
              <w:t>Method of calculation</w:t>
            </w: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Presented as a percentage of the initial investment (a  repr</w:t>
            </w:r>
            <w:r w:rsidRPr="00CC7522">
              <w:rPr>
                <w:rFonts w:ascii="Trebuchet MS" w:eastAsiaTheme="majorEastAsia" w:hAnsi="Trebuchet MS" w:cstheme="majorBidi"/>
                <w:bCs/>
                <w:sz w:val="20"/>
                <w:szCs w:val="20"/>
                <w:lang w:val="en-GB"/>
              </w:rPr>
              <w:t>e</w:t>
            </w:r>
            <w:r w:rsidRPr="00CC7522">
              <w:rPr>
                <w:rFonts w:ascii="Trebuchet MS" w:eastAsiaTheme="majorEastAsia" w:hAnsi="Trebuchet MS" w:cstheme="majorBidi"/>
                <w:bCs/>
                <w:sz w:val="20"/>
                <w:szCs w:val="20"/>
                <w:lang w:val="en-GB"/>
              </w:rPr>
              <w:t>sentation that is factually wrong)</w:t>
            </w: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Presented as a percentage of the returns that are achieved  (which makes clear that  ca</w:t>
            </w:r>
            <w:r w:rsidRPr="00CC7522">
              <w:rPr>
                <w:rFonts w:ascii="Trebuchet MS" w:eastAsiaTheme="majorEastAsia" w:hAnsi="Trebuchet MS" w:cstheme="majorBidi"/>
                <w:bCs/>
                <w:sz w:val="20"/>
                <w:szCs w:val="20"/>
                <w:lang w:val="en-GB"/>
              </w:rPr>
              <w:t>r</w:t>
            </w:r>
            <w:r w:rsidRPr="00CC7522">
              <w:rPr>
                <w:rFonts w:ascii="Trebuchet MS" w:eastAsiaTheme="majorEastAsia" w:hAnsi="Trebuchet MS" w:cstheme="majorBidi"/>
                <w:bCs/>
                <w:sz w:val="20"/>
                <w:szCs w:val="20"/>
                <w:lang w:val="en-GB"/>
              </w:rPr>
              <w:t xml:space="preserve">ried interest is not deducted from the original  investment) </w:t>
            </w:r>
          </w:p>
        </w:tc>
      </w:tr>
      <w:tr w:rsidR="00E61B94" w:rsidRPr="00CC7522" w:rsidTr="00A30362">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
                <w:bCs/>
                <w:sz w:val="20"/>
                <w:szCs w:val="20"/>
                <w:lang w:val="en-GB"/>
              </w:rPr>
            </w:pPr>
            <w:r w:rsidRPr="00CC7522">
              <w:rPr>
                <w:rFonts w:ascii="Trebuchet MS" w:eastAsiaTheme="majorEastAsia" w:hAnsi="Trebuchet MS" w:cstheme="majorBidi"/>
                <w:b/>
                <w:bCs/>
                <w:sz w:val="20"/>
                <w:szCs w:val="20"/>
                <w:lang w:val="en-GB"/>
              </w:rPr>
              <w:t>Level of detail given</w:t>
            </w: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One single figure (likely to be calculated on the basis of the historic performance of a broad range of funds and not adjusted for points of difference in the investment strategy)</w:t>
            </w: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One figure for each of the 3 scenarios (which is a more accurate representation of the profile of payments, such as the distinction between the preferred rate of return paid to investors and carried interest paid to fund mana</w:t>
            </w:r>
            <w:r w:rsidRPr="00CC7522">
              <w:rPr>
                <w:rFonts w:ascii="Trebuchet MS" w:eastAsiaTheme="majorEastAsia" w:hAnsi="Trebuchet MS" w:cstheme="majorBidi"/>
                <w:bCs/>
                <w:sz w:val="20"/>
                <w:szCs w:val="20"/>
                <w:lang w:val="en-GB"/>
              </w:rPr>
              <w:t>g</w:t>
            </w:r>
            <w:r w:rsidRPr="00CC7522">
              <w:rPr>
                <w:rFonts w:ascii="Trebuchet MS" w:eastAsiaTheme="majorEastAsia" w:hAnsi="Trebuchet MS" w:cstheme="majorBidi"/>
                <w:bCs/>
                <w:sz w:val="20"/>
                <w:szCs w:val="20"/>
                <w:lang w:val="en-GB"/>
              </w:rPr>
              <w:t>er/participants)</w:t>
            </w: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 xml:space="preserve"> </w:t>
            </w:r>
          </w:p>
        </w:tc>
      </w:tr>
      <w:tr w:rsidR="00E61B94" w:rsidRPr="00CC7522" w:rsidTr="00A30362">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
                <w:bCs/>
                <w:sz w:val="20"/>
                <w:szCs w:val="20"/>
                <w:lang w:val="en-GB"/>
              </w:rPr>
            </w:pPr>
            <w:r w:rsidRPr="00CC7522">
              <w:rPr>
                <w:rFonts w:ascii="Trebuchet MS" w:eastAsiaTheme="majorEastAsia" w:hAnsi="Trebuchet MS" w:cstheme="majorBidi"/>
                <w:b/>
                <w:bCs/>
                <w:sz w:val="20"/>
                <w:szCs w:val="20"/>
                <w:lang w:val="en-GB"/>
              </w:rPr>
              <w:t>Precision of the information</w:t>
            </w: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 xml:space="preserve">Broad estimate  based on the historic performance of a broad range of funds </w:t>
            </w: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tc>
        <w:tc>
          <w:tcPr>
            <w:tcW w:w="3096" w:type="dxa"/>
          </w:tcPr>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A30362">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Specific  amount that would be paid (based on each of the scenarios)</w:t>
            </w:r>
          </w:p>
        </w:tc>
      </w:tr>
    </w:tbl>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 xml:space="preserve">In order to implement this solution, a paragraph could be added in Article 7 of the RTS stating that the amount of carried interest paid should be subtracted from the proposed performance computed in the different scenarios. </w:t>
      </w:r>
    </w:p>
    <w:p w:rsidR="00E61B94" w:rsidRPr="00CC7522" w:rsidRDefault="00E61B94" w:rsidP="00E61B94">
      <w:pPr>
        <w:pStyle w:val="NoSpacing"/>
        <w:spacing w:line="276" w:lineRule="auto"/>
        <w:jc w:val="both"/>
        <w:rPr>
          <w:rFonts w:ascii="Trebuchet MS" w:hAnsi="Trebuchet MS"/>
          <w:sz w:val="20"/>
          <w:szCs w:val="20"/>
          <w:lang w:val="en-GB"/>
        </w:rPr>
      </w:pPr>
    </w:p>
    <w:p w:rsidR="00E61B94" w:rsidRPr="00CC7522" w:rsidRDefault="00E61B94" w:rsidP="00E61B94">
      <w:pPr>
        <w:pStyle w:val="NoSpacing"/>
        <w:spacing w:line="276" w:lineRule="auto"/>
        <w:jc w:val="both"/>
        <w:rPr>
          <w:rFonts w:ascii="Trebuchet MS" w:eastAsiaTheme="majorEastAsia" w:hAnsi="Trebuchet MS" w:cstheme="majorBidi"/>
          <w:bCs/>
          <w:sz w:val="20"/>
          <w:szCs w:val="20"/>
          <w:lang w:val="en-GB"/>
        </w:rPr>
      </w:pPr>
      <w:r w:rsidRPr="00CC7522">
        <w:rPr>
          <w:rFonts w:ascii="Trebuchet MS" w:eastAsiaTheme="majorEastAsia" w:hAnsi="Trebuchet MS" w:cstheme="majorBidi"/>
          <w:bCs/>
          <w:sz w:val="20"/>
          <w:szCs w:val="20"/>
          <w:lang w:val="en-GB"/>
        </w:rPr>
        <w:t xml:space="preserve">Notwithstanding that carried interest should be removed from the cost section altogether, should the final RTS fail to make this change, then they should specify that carried interest is not calculated as a percentage of the investment but of the final return. As described in our response to Question 24, the cost table would then need to take into account the different performance scenarios. In order for an investor to be fully aware of the implications, the KID could also contain in the cost or performance </w:t>
      </w:r>
      <w:r w:rsidRPr="00CC7522">
        <w:rPr>
          <w:rFonts w:ascii="Trebuchet MS" w:eastAsiaTheme="majorEastAsia" w:hAnsi="Trebuchet MS" w:cstheme="majorBidi"/>
          <w:bCs/>
          <w:sz w:val="20"/>
          <w:szCs w:val="20"/>
          <w:lang w:val="en-GB"/>
        </w:rPr>
        <w:lastRenderedPageBreak/>
        <w:t>section a requirement to explain in simple terms the carried interest arrangement and its impact on returns above a threshold which has been determined at the outset.</w:t>
      </w:r>
    </w:p>
    <w:permEnd w:id="407842328"/>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E61B94" w:rsidRPr="00CC7522" w:rsidRDefault="00E61B94" w:rsidP="00E61B94">
      <w:pPr>
        <w:jc w:val="both"/>
        <w:rPr>
          <w:rFonts w:ascii="Trebuchet MS" w:eastAsiaTheme="majorEastAsia" w:hAnsi="Trebuchet MS" w:cstheme="majorBidi"/>
          <w:bCs/>
          <w:i/>
          <w:szCs w:val="20"/>
          <w:highlight w:val="yellow"/>
        </w:rPr>
      </w:pPr>
      <w:permStart w:id="1739937116" w:edGrp="everyone"/>
      <w:r w:rsidRPr="00CC7522">
        <w:rPr>
          <w:rFonts w:ascii="Trebuchet MS" w:eastAsiaTheme="majorEastAsia" w:hAnsi="Trebuchet MS" w:cstheme="majorBidi"/>
          <w:bCs/>
          <w:szCs w:val="20"/>
        </w:rPr>
        <w:t>For closed-ended private-equity funds – and more generally for similar types of illiquid funds -  the tables in the first two scenarios (“if you cash in after 1 or 3 years”) do not reflect the nature of the fund i.e. where investments are made over a defined period in the first part of the fund’s life. A refe</w:t>
      </w:r>
      <w:r w:rsidRPr="00CC7522">
        <w:rPr>
          <w:rFonts w:ascii="Trebuchet MS" w:eastAsiaTheme="majorEastAsia" w:hAnsi="Trebuchet MS" w:cstheme="majorBidi"/>
          <w:bCs/>
          <w:szCs w:val="20"/>
        </w:rPr>
        <w:t>r</w:t>
      </w:r>
      <w:r w:rsidRPr="00CC7522">
        <w:rPr>
          <w:rFonts w:ascii="Trebuchet MS" w:eastAsiaTheme="majorEastAsia" w:hAnsi="Trebuchet MS" w:cstheme="majorBidi"/>
          <w:bCs/>
          <w:szCs w:val="20"/>
        </w:rPr>
        <w:t>ence elsewhere in the KID about the liquidity risk gives clearer and sufficient information to the inve</w:t>
      </w:r>
      <w:r w:rsidRPr="00CC7522">
        <w:rPr>
          <w:rFonts w:ascii="Trebuchet MS" w:eastAsiaTheme="majorEastAsia" w:hAnsi="Trebuchet MS" w:cstheme="majorBidi"/>
          <w:bCs/>
          <w:szCs w:val="20"/>
        </w:rPr>
        <w:t>s</w:t>
      </w:r>
      <w:r w:rsidRPr="00CC7522">
        <w:rPr>
          <w:rFonts w:ascii="Trebuchet MS" w:eastAsiaTheme="majorEastAsia" w:hAnsi="Trebuchet MS" w:cstheme="majorBidi"/>
          <w:bCs/>
          <w:szCs w:val="20"/>
        </w:rPr>
        <w:t>tor about the contractual obligation to invest over the entire life of the fund. Please also see our r</w:t>
      </w:r>
      <w:r w:rsidRPr="00CC7522">
        <w:rPr>
          <w:rFonts w:ascii="Trebuchet MS" w:eastAsiaTheme="majorEastAsia" w:hAnsi="Trebuchet MS" w:cstheme="majorBidi"/>
          <w:bCs/>
          <w:szCs w:val="20"/>
        </w:rPr>
        <w:t>e</w:t>
      </w:r>
      <w:r w:rsidRPr="00CC7522">
        <w:rPr>
          <w:rFonts w:ascii="Trebuchet MS" w:eastAsiaTheme="majorEastAsia" w:hAnsi="Trebuchet MS" w:cstheme="majorBidi"/>
          <w:bCs/>
          <w:szCs w:val="20"/>
        </w:rPr>
        <w:t>sponse to question 18. We therefore favour an option that would give greater prominence to the scena</w:t>
      </w:r>
      <w:r w:rsidRPr="00CC7522">
        <w:rPr>
          <w:rFonts w:ascii="Trebuchet MS" w:eastAsiaTheme="majorEastAsia" w:hAnsi="Trebuchet MS" w:cstheme="majorBidi"/>
          <w:bCs/>
          <w:szCs w:val="20"/>
        </w:rPr>
        <w:t>r</w:t>
      </w:r>
      <w:r w:rsidRPr="00CC7522">
        <w:rPr>
          <w:rFonts w:ascii="Trebuchet MS" w:eastAsiaTheme="majorEastAsia" w:hAnsi="Trebuchet MS" w:cstheme="majorBidi"/>
          <w:bCs/>
          <w:szCs w:val="20"/>
        </w:rPr>
        <w:t>io in which the investor remains invested until the end of the fund’s life (as envisaged at the outset) and incorporates the impact of carried interest with the performance scenarios rather than a fixed investment amount (see also our response to question 23 for further detail).</w:t>
      </w:r>
    </w:p>
    <w:permEnd w:id="1739937116"/>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704680673" w:edGrp="everyone"/>
      <w:r>
        <w:t>TYPE YOUR TEXT HERE</w:t>
      </w:r>
    </w:p>
    <w:permEnd w:id="1704680673"/>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E61B94" w:rsidRPr="00CC7522" w:rsidRDefault="00E61B94" w:rsidP="00E61B94">
      <w:pPr>
        <w:jc w:val="both"/>
        <w:rPr>
          <w:rFonts w:ascii="Trebuchet MS" w:hAnsi="Trebuchet MS" w:cs="Calibri"/>
          <w:iCs/>
          <w:color w:val="000000"/>
          <w:szCs w:val="20"/>
          <w:lang w:eastAsia="en-US"/>
        </w:rPr>
      </w:pPr>
      <w:permStart w:id="626996161" w:edGrp="everyone"/>
      <w:r w:rsidRPr="00CC7522">
        <w:rPr>
          <w:rFonts w:ascii="Trebuchet MS" w:hAnsi="Trebuchet MS" w:cs="Calibri"/>
          <w:iCs/>
          <w:color w:val="000000"/>
          <w:szCs w:val="20"/>
          <w:lang w:eastAsia="en-US"/>
        </w:rPr>
        <w:t>The current format is appropriate (noting our response to questions 23 and 24) as producing a total figure does not show sufficient information to the investor and could be misleading.</w:t>
      </w:r>
    </w:p>
    <w:permEnd w:id="626996161"/>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E61B94" w:rsidRPr="00CC7522" w:rsidRDefault="00E61B94" w:rsidP="00E61B94">
      <w:pPr>
        <w:jc w:val="both"/>
        <w:rPr>
          <w:rFonts w:ascii="Trebuchet MS" w:hAnsi="Trebuchet MS" w:cs="Calibri"/>
          <w:iCs/>
          <w:color w:val="000000"/>
          <w:szCs w:val="20"/>
          <w:lang w:eastAsia="en-US"/>
        </w:rPr>
      </w:pPr>
      <w:permStart w:id="322331027" w:edGrp="everyone"/>
      <w:r w:rsidRPr="00CC7522">
        <w:rPr>
          <w:rFonts w:ascii="Trebuchet MS" w:hAnsi="Trebuchet MS" w:cs="Calibri"/>
          <w:iCs/>
          <w:color w:val="000000"/>
          <w:szCs w:val="20"/>
          <w:lang w:eastAsia="en-US"/>
        </w:rPr>
        <w:t>For the reasons given in our responses to previous questions (in particular 2 and 23), the current pr</w:t>
      </w:r>
      <w:r w:rsidRPr="00CC7522">
        <w:rPr>
          <w:rFonts w:ascii="Trebuchet MS" w:hAnsi="Trebuchet MS" w:cs="Calibri"/>
          <w:iCs/>
          <w:color w:val="000000"/>
          <w:szCs w:val="20"/>
          <w:lang w:eastAsia="en-US"/>
        </w:rPr>
        <w:t>o</w:t>
      </w:r>
      <w:r w:rsidRPr="00CC7522">
        <w:rPr>
          <w:rFonts w:ascii="Trebuchet MS" w:hAnsi="Trebuchet MS" w:cs="Calibri"/>
          <w:iCs/>
          <w:color w:val="000000"/>
          <w:szCs w:val="20"/>
          <w:lang w:eastAsia="en-US"/>
        </w:rPr>
        <w:t>posed approach is appropriate.</w:t>
      </w:r>
    </w:p>
    <w:permEnd w:id="32233102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1716201349" w:edGrp="everyone"/>
      <w:r>
        <w:t>TYPE YOUR TEXT HERE</w:t>
      </w:r>
    </w:p>
    <w:permEnd w:id="1716201349"/>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C2735">
            <w:rPr>
              <w:rFonts w:cs="Arial"/>
              <w:noProof/>
              <w:sz w:val="22"/>
              <w:szCs w:val="22"/>
            </w:rPr>
            <w:t>17</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5A6915"/>
    <w:multiLevelType w:val="hybridMultilevel"/>
    <w:tmpl w:val="D2AC8A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0141E8"/>
    <w:multiLevelType w:val="hybridMultilevel"/>
    <w:tmpl w:val="4142DBC8"/>
    <w:lvl w:ilvl="0" w:tplc="3238FF48">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5D109D"/>
    <w:multiLevelType w:val="hybridMultilevel"/>
    <w:tmpl w:val="E6A26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nsid w:val="56E72302"/>
    <w:multiLevelType w:val="hybridMultilevel"/>
    <w:tmpl w:val="239EE032"/>
    <w:lvl w:ilvl="0" w:tplc="DB585584">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7"/>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13"/>
  </w:num>
  <w:num w:numId="16">
    <w:abstractNumId w:val="2"/>
  </w:num>
  <w:num w:numId="17">
    <w:abstractNumId w:val="17"/>
  </w:num>
  <w:num w:numId="18">
    <w:abstractNumId w:val="18"/>
  </w:num>
  <w:num w:numId="19">
    <w:abstractNumId w:val="20"/>
  </w:num>
  <w:num w:numId="20">
    <w:abstractNumId w:val="30"/>
  </w:num>
  <w:num w:numId="21">
    <w:abstractNumId w:val="40"/>
  </w:num>
  <w:num w:numId="22">
    <w:abstractNumId w:val="28"/>
  </w:num>
  <w:num w:numId="23">
    <w:abstractNumId w:val="12"/>
  </w:num>
  <w:num w:numId="24">
    <w:abstractNumId w:val="34"/>
  </w:num>
  <w:num w:numId="25">
    <w:abstractNumId w:val="33"/>
  </w:num>
  <w:num w:numId="26">
    <w:abstractNumId w:val="22"/>
  </w:num>
  <w:num w:numId="27">
    <w:abstractNumId w:val="37"/>
  </w:num>
  <w:num w:numId="28">
    <w:abstractNumId w:val="42"/>
  </w:num>
  <w:num w:numId="29">
    <w:abstractNumId w:val="10"/>
  </w:num>
  <w:num w:numId="30">
    <w:abstractNumId w:val="4"/>
  </w:num>
  <w:num w:numId="31">
    <w:abstractNumId w:val="25"/>
  </w:num>
  <w:num w:numId="32">
    <w:abstractNumId w:val="3"/>
  </w:num>
  <w:num w:numId="33">
    <w:abstractNumId w:val="8"/>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15"/>
  </w:num>
  <w:num w:numId="51">
    <w:abstractNumId w:val="24"/>
  </w:num>
  <w:num w:numId="52">
    <w:abstractNumId w:val="9"/>
  </w:num>
  <w:num w:numId="53">
    <w:abstractNumId w:val="7"/>
  </w:num>
  <w:num w:numId="54">
    <w:abstractNumId w:val="1"/>
  </w:num>
  <w:num w:numId="55">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5DF0"/>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735"/>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63B"/>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CAA"/>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1D16"/>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1B94"/>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styleId="NoSpacing">
    <w:name w:val="No Spacing"/>
    <w:uiPriority w:val="1"/>
    <w:qFormat/>
    <w:rsid w:val="00E61B94"/>
    <w:rPr>
      <w:rFonts w:asciiTheme="minorHAnsi" w:eastAsiaTheme="minorHAnsi" w:hAnsiTheme="minorHAnsi" w:cstheme="minorBidi"/>
      <w:sz w:val="22"/>
      <w:szCs w:val="22"/>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styleId="NoSpacing">
    <w:name w:val="No Spacing"/>
    <w:uiPriority w:val="1"/>
    <w:qFormat/>
    <w:rsid w:val="00E61B94"/>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F715-6FCF-4130-A791-975AABF87B3C}">
  <ds:schemaRefs>
    <ds:schemaRef ds:uri="http://schemas.openxmlformats.org/officeDocument/2006/bibliography"/>
  </ds:schemaRefs>
</ds:datastoreItem>
</file>

<file path=customXml/itemProps2.xml><?xml version="1.0" encoding="utf-8"?>
<ds:datastoreItem xmlns:ds="http://schemas.openxmlformats.org/officeDocument/2006/customXml" ds:itemID="{7BFB5DEE-03E1-4763-96C5-C725C4A5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5292</Words>
  <Characters>30169</Characters>
  <Application>Microsoft Office Word</Application>
  <DocSecurity>8</DocSecurity>
  <Lines>251</Lines>
  <Paragraphs>70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35391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Christophe Verboomen</cp:lastModifiedBy>
  <cp:revision>2</cp:revision>
  <cp:lastPrinted>2015-02-18T11:01:00Z</cp:lastPrinted>
  <dcterms:created xsi:type="dcterms:W3CDTF">2016-01-29T15:26:00Z</dcterms:created>
  <dcterms:modified xsi:type="dcterms:W3CDTF">2016-01-29T15:26:00Z</dcterms:modified>
</cp:coreProperties>
</file>