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D34282" w:rsidRDefault="00D34282" w:rsidP="00D34282">
      <w:permStart w:id="1639126262" w:edGrp="everyone"/>
      <w:r>
        <w:t>TYPE YOUR TEXT HERE</w:t>
      </w:r>
    </w:p>
    <w:permEnd w:id="1639126262"/>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BF3A40" w:rsidRDefault="00BF3A40" w:rsidP="00BF3A40">
      <w:permStart w:id="1732079005" w:edGrp="everyone"/>
      <w:r>
        <w:t>Yes we do see merit in the ESAs developing a common approach on the use of the comprehension alert before the deadline for the Commission review.</w:t>
      </w:r>
    </w:p>
    <w:p w:rsidR="00BF3A40" w:rsidRDefault="00BF3A40" w:rsidP="00BF3A40"/>
    <w:p w:rsidR="00BF3A40" w:rsidRDefault="00BF3A40" w:rsidP="00BF3A40">
      <w:r>
        <w:t>As mentioned in the consultation paper, this would indeed reduce the risk of divergence in national approaches and improve comparability.</w:t>
      </w:r>
    </w:p>
    <w:p w:rsidR="00BF3A40" w:rsidRDefault="00BF3A40" w:rsidP="00BF3A40">
      <w:r>
        <w:t xml:space="preserve">The Level 1 text lists three criteria that “in particular” should be taken into account to qualify a product as not simple and </w:t>
      </w:r>
      <w:r w:rsidR="00DA25C9">
        <w:t xml:space="preserve">as </w:t>
      </w:r>
      <w:r>
        <w:t xml:space="preserve">difficult to understand. Given the fact that the original list of criteria as proposed by the Parliament listed </w:t>
      </w:r>
      <w:r w:rsidR="00DA25C9">
        <w:t>six</w:t>
      </w:r>
      <w:r>
        <w:t xml:space="preserve"> features and the use of the wording "in particular", we believe that the list should be interpreted as non-exhaustive.</w:t>
      </w:r>
    </w:p>
    <w:p w:rsidR="00BF3A40" w:rsidRDefault="00BF3A40" w:rsidP="00BF3A40">
      <w:r>
        <w:t>The above means that national supervisors will have discretion to extend the list of criteria that require the publication of the comprehension alert. As we share the ESAs' concern that this may lead to a lack of harmonised application of the comprehension alert in different member states, we recommend considering further (Level 3) guidance from the ESAs in this area.</w:t>
      </w:r>
    </w:p>
    <w:p w:rsidR="00BF3A40" w:rsidRDefault="00BF3A40" w:rsidP="00BF3A40"/>
    <w:p w:rsidR="00BF3A40" w:rsidRDefault="00BF3A40" w:rsidP="00BF3A40">
      <w:r>
        <w:t>It is worth mentioning that some of the three criteria are already in use in some Member States. This might facilitate elaborating guidance and assessing their effectiveness.</w:t>
      </w:r>
    </w:p>
    <w:p w:rsidR="00BF3A40" w:rsidRDefault="00BF3A40" w:rsidP="00BF3A40">
      <w:r>
        <w:t>The first criteria, "a product should be regarded as not being simple and as being difficult to understand in particular if it invests in underlying assets in which retail investors do not commonly invest", is similar to the criteria developed by French supervisor AMF, "Retail clients’ lack of familiarity with the financial instrument because of the underlying assets used" (</w:t>
      </w:r>
      <w:r w:rsidRPr="00BF3A40">
        <w:t>See AMF Position No 2010-05 - 15 October 2010 Marketing of complex financial instruments http://www.isda.org/c_and_a/pdf/AMFPaper.pdf</w:t>
      </w:r>
      <w:r>
        <w:t>)</w:t>
      </w:r>
    </w:p>
    <w:p w:rsidR="00BF3A40" w:rsidRDefault="00BF3A40" w:rsidP="00BF3A40"/>
    <w:p w:rsidR="00BF3A40" w:rsidRDefault="00BF3A40" w:rsidP="00BF3A40">
      <w:r>
        <w:t>Similarly the second criteria, "if the product uses a number of different mechanisms to calculate the final return of the investment", is similar to the AMF criteria "the risk that clients will not understand the financial instrument being offered, linked to the number of mechanisms in the formula for calculating the financial instrument’s payoff".  The Belgian supervisor FSMA also developed a principle that seems to have a similar intent in its voluntary moratorium on the distribution of complex products: "Is the calculation formula overly complex?" (</w:t>
      </w:r>
      <w:r w:rsidRPr="00BF3A40">
        <w:t>Communication FSMA 2011_02 of 20/06/2011   http://www.fsma.be/en/Article/nipic/~/media/Files/fsmafiles/press/2011/nipic/en/fsma_2011_02.ashx</w:t>
      </w:r>
      <w:r>
        <w:t>)</w:t>
      </w:r>
    </w:p>
    <w:p w:rsidR="00BF3A40" w:rsidRDefault="00BF3A40" w:rsidP="00BF3A40"/>
    <w:p w:rsidR="00BF3A40" w:rsidRDefault="00BF3A40" w:rsidP="00BF3A40">
      <w:r>
        <w:t>Guidance on the third criteria, "if the investment's pay-off takes advantage of retail investor's behavioural biases, such as a teaser rate followed by a much higher floating conditional rate, or an iterative formula", could likewise take inspiration from the UK FCA’s indicators of problematic product features and examples of products exploiting demand-</w:t>
      </w:r>
      <w:r w:rsidRPr="00BF3A40">
        <w:t xml:space="preserve"> </w:t>
      </w:r>
      <w:r>
        <w:t>side weaknesses, such as "products where the customer is attracted by a teaser rate and then tied in", "features (..) designed to exploit consumers’ focus on the headline price or other near-term features, as opposed to outcomes in the long term", "product features outside the core range (e.g. ‘bells and whistles’ or ‘gimmicks’ of little use to most customers or at significantly higher margin)", "products (..) designed to frame consumer choice in a potentially misleading way" (</w:t>
      </w:r>
      <w:r w:rsidRPr="00512521">
        <w:t xml:space="preserve">See </w:t>
      </w:r>
      <w:r>
        <w:t xml:space="preserve">pages 10, 11 </w:t>
      </w:r>
      <w:r w:rsidRPr="003842A6">
        <w:t>"Product rules for packaged retail products: why, when, how?</w:t>
      </w:r>
      <w:r>
        <w:t>"</w:t>
      </w:r>
      <w:r w:rsidRPr="003842A6">
        <w:t>,</w:t>
      </w:r>
      <w:r>
        <w:t xml:space="preserve"> Finance Watch 2013 </w:t>
      </w:r>
      <w:hyperlink r:id="rId14" w:history="1">
        <w:r w:rsidRPr="00182F65">
          <w:rPr>
            <w:rStyle w:val="Hyperlink"/>
          </w:rPr>
          <w:t>http://www.finance-watch.org/our-work/publications/627</w:t>
        </w:r>
      </w:hyperlink>
      <w:r>
        <w:rPr>
          <w:rStyle w:val="Hyperlink"/>
        </w:rPr>
        <w:t>).</w:t>
      </w:r>
    </w:p>
    <w:p w:rsidR="00BF3A40" w:rsidRDefault="00BF3A40" w:rsidP="00BF3A40"/>
    <w:p w:rsidR="00BF3A40" w:rsidRPr="00DA25C9" w:rsidRDefault="00BF3A40" w:rsidP="00750796">
      <w:pPr>
        <w:rPr>
          <w:lang w:val="fr-BE"/>
        </w:rPr>
      </w:pPr>
      <w:r>
        <w:t xml:space="preserve">Finance Watch also developed some suggestions and examples linked to these three criteria (from six studied in detail) in its policy paper "Product rules for packaged retail products: why, when, how?" </w:t>
      </w:r>
      <w:r w:rsidRPr="00DA25C9">
        <w:rPr>
          <w:lang w:val="fr-BE"/>
        </w:rPr>
        <w:t xml:space="preserve">(See pages 16, 17 </w:t>
      </w:r>
      <w:hyperlink r:id="rId15" w:history="1">
        <w:r w:rsidRPr="00DA25C9">
          <w:rPr>
            <w:rStyle w:val="Hyperlink"/>
            <w:lang w:val="fr-BE"/>
          </w:rPr>
          <w:t>http://www.finance-watch.org/our-work/publications/627</w:t>
        </w:r>
      </w:hyperlink>
      <w:r w:rsidRPr="00DA25C9">
        <w:rPr>
          <w:lang w:val="fr-BE"/>
        </w:rPr>
        <w:t xml:space="preserve"> ). </w:t>
      </w:r>
    </w:p>
    <w:p w:rsidR="00750796" w:rsidRDefault="00BF3A40" w:rsidP="00750796">
      <w:r w:rsidRPr="00DA25C9">
        <w:rPr>
          <w:lang w:val="fr-BE"/>
        </w:rPr>
        <w:t xml:space="preserve"> </w:t>
      </w:r>
      <w:permEnd w:id="1732079005"/>
      <w:r w:rsidR="00750796">
        <w:t>&lt;ESMA_QUESTION_</w:t>
      </w:r>
      <w:r w:rsidR="003E4B00">
        <w:t>PRIIPS</w:t>
      </w:r>
      <w:r w:rsidR="00750796">
        <w:t>_1&gt;</w:t>
      </w:r>
    </w:p>
    <w:p w:rsidR="00580880" w:rsidRDefault="00580880" w:rsidP="00750796">
      <w:bookmarkStart w:id="3" w:name="_GoBack"/>
      <w:bookmarkEnd w:id="3"/>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lastRenderedPageBreak/>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BF3A40" w:rsidRDefault="00BF3A40" w:rsidP="00BF3A40">
      <w:permStart w:id="681993440" w:edGrp="everyone"/>
      <w:r>
        <w:t>(i) We agree but believe that for comparability purposes the amount should be similar for all products.</w:t>
      </w:r>
    </w:p>
    <w:p w:rsidR="00BF3A40" w:rsidRDefault="00BF3A40" w:rsidP="00BF3A40"/>
    <w:p w:rsidR="00D767D9" w:rsidRDefault="00BF3A40" w:rsidP="00750796">
      <w:r>
        <w:t xml:space="preserve">(ii) Yes we would favour such an approach, as we know the key importance of the default option. We realise however that having the prescribed amount as the default option might be difficult to combine with having one common proposed default amount. We believe that comparability is the most important factor here and should this be an issue, we would favour having one proposed default amount over having the prescribed amount as the default option. </w:t>
      </w:r>
    </w:p>
    <w:permEnd w:id="681993440"/>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750796" w:rsidP="00750796">
      <w:permStart w:id="2062890350" w:edGrp="everyone"/>
      <w:r>
        <w:t>TYPE YOUR TEXT HERE</w:t>
      </w:r>
    </w:p>
    <w:permEnd w:id="2062890350"/>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750796" w:rsidP="00750796">
      <w:permStart w:id="1129342830" w:edGrp="everyone"/>
      <w:r>
        <w:t>TYPE YOUR TEXT HERE</w:t>
      </w:r>
    </w:p>
    <w:permEnd w:id="1129342830"/>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D767D9" w:rsidRDefault="00D767D9" w:rsidP="00750796">
      <w:permStart w:id="612502085" w:edGrp="everyone"/>
      <w:r w:rsidRPr="00D767D9">
        <w:t>The existence of compensation or guarantee schemes at national level could indeed be taken into account in the credit risk assessment of a PRIIP. This could be done in a manner comparable to that used for principal protection, and taking into consideration the limitations and risk of the guarantee provided.</w:t>
      </w:r>
    </w:p>
    <w:permEnd w:id="612502085"/>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D767D9" w:rsidRDefault="00D767D9" w:rsidP="00D767D9">
      <w:permStart w:id="1813990417" w:edGrp="everyone"/>
      <w:r>
        <w:t xml:space="preserve">We do not favour allowing PRIIPs manufacturers to voluntarily increase the disclosed SRI for certain products. </w:t>
      </w:r>
    </w:p>
    <w:p w:rsidR="00D767D9" w:rsidRDefault="00D767D9" w:rsidP="00D767D9">
      <w:r>
        <w:lastRenderedPageBreak/>
        <w:t>While in theory they could do this, perhaps on the grounds that the existing methodology fails to capture the major risks of a particular product, allowing it could entail unintended consequences and create additional monitoring costs that outweigh the potential benefits.</w:t>
      </w:r>
    </w:p>
    <w:p w:rsidR="00D767D9" w:rsidRDefault="00D767D9" w:rsidP="00D767D9"/>
    <w:p w:rsidR="00D767D9" w:rsidRDefault="00D767D9" w:rsidP="003E4B00">
      <w:r>
        <w:t>One possible unintended consequence could be to reduce comparability and enable manufacturers to unfairly promote other products in their product offering that are more profitable for them.</w:t>
      </w:r>
    </w:p>
    <w:permEnd w:id="1813990417"/>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1865302249" w:edGrp="everyone"/>
      <w:r>
        <w:t>TYPE YOUR TEXT HERE</w:t>
      </w:r>
    </w:p>
    <w:permEnd w:id="1865302249"/>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3E4B00" w:rsidP="003E4B00">
      <w:permStart w:id="1182236562" w:edGrp="everyone"/>
      <w:r>
        <w:t>TYPE YOUR TEXT HERE</w:t>
      </w:r>
    </w:p>
    <w:permEnd w:id="1182236562"/>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D767D9" w:rsidRDefault="00D767D9" w:rsidP="00D767D9">
      <w:permStart w:id="1885603712" w:edGrp="everyone"/>
      <w:r>
        <w:t>As a rule, we believe that principal protection should be included in the assessment of the risk, whatever the tenor of the product. We believe however that all products with a tenor above five years, irrespective of whether they enjoy principal protection, should be benchmarked against the risk free rate plus inflation.</w:t>
      </w:r>
    </w:p>
    <w:p w:rsidR="00D767D9" w:rsidRDefault="00D767D9" w:rsidP="00D767D9"/>
    <w:p w:rsidR="00D767D9" w:rsidRDefault="00D767D9" w:rsidP="003E4B00">
      <w:r>
        <w:t>We are also not in favour of permitting a qualitative assessment and automatic allocation to any category irrespective of the maturity, since principal protection never offers perfect protection (in case the protection provider defaults among others) and therefore a quantitative assessment should be performed for all products.</w:t>
      </w:r>
    </w:p>
    <w:permEnd w:id="1885603712"/>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lastRenderedPageBreak/>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385643464" w:edGrp="everyone"/>
      <w:r>
        <w:t>TYPE YOUR TEXT HERE</w:t>
      </w:r>
    </w:p>
    <w:permEnd w:id="385643464"/>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1991670231" w:edGrp="everyone"/>
      <w:r>
        <w:t>TYPE YOUR TEXT HERE</w:t>
      </w:r>
    </w:p>
    <w:permEnd w:id="1991670231"/>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D767D9" w:rsidRDefault="00D767D9" w:rsidP="00D767D9">
      <w:permStart w:id="2081383493" w:edGrp="everyone"/>
      <w:r>
        <w:t xml:space="preserve">We do think that the risk indicator should take into account currency risk where there is a difference between the currency of the PRIIP and the national currency of the investor targeted. </w:t>
      </w:r>
    </w:p>
    <w:p w:rsidR="00D767D9" w:rsidRDefault="00D767D9" w:rsidP="00D767D9"/>
    <w:p w:rsidR="00D767D9" w:rsidRDefault="00D767D9" w:rsidP="00D767D9">
      <w:r>
        <w:t>While we appreciate the additional cost and complexity, there have been enough cases of investors taking such currency risks without fully realising it to justify such a measure.</w:t>
      </w:r>
    </w:p>
    <w:p w:rsidR="00D767D9" w:rsidRDefault="00D767D9" w:rsidP="003E4B00">
      <w:r>
        <w:t>The examples of Swiss franc denominated mortgages sold in a number of Member States show that retail investors are more greedy than fearful when it comes to getting an extra return at the cost of future currency risks and are not equipped to assess such risks.</w:t>
      </w:r>
    </w:p>
    <w:permEnd w:id="2081383493"/>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D767D9" w:rsidRDefault="00D767D9" w:rsidP="00D767D9">
      <w:permStart w:id="269952779" w:edGrp="everyone"/>
      <w:r>
        <w:t>We believe that this is an important issue and that a warning may not be sufficient to convey it. A simple warning may also not help investors assess the extent of the additional risk and losses they are facing in case they choose to exit early.</w:t>
      </w:r>
    </w:p>
    <w:p w:rsidR="00D767D9" w:rsidRDefault="00D767D9" w:rsidP="00D767D9"/>
    <w:p w:rsidR="00D767D9" w:rsidRDefault="00D767D9" w:rsidP="00D767D9">
      <w:r>
        <w:t>In case there is a material difference between the risk during the life of the product and at maturity, as is typically the case for products with a principal protection at maturity, we believe that the SRI grade corre</w:t>
      </w:r>
      <w:r>
        <w:lastRenderedPageBreak/>
        <w:t>sponding to an early exit should also be disclosed. This grade should be calculated using the interim period corresponding to the highest risk.</w:t>
      </w:r>
    </w:p>
    <w:p w:rsidR="00D767D9" w:rsidRDefault="00D767D9" w:rsidP="00D767D9">
      <w:r>
        <w:t>This additional SRI grade could either be disclosed under the main one with a label "in case of early exit", or alternatively be disclosed in the warning.</w:t>
      </w:r>
    </w:p>
    <w:p w:rsidR="00D767D9" w:rsidRDefault="00D767D9" w:rsidP="003E4B00">
      <w:r>
        <w:t>Providing this additional information would be very valuable for retail investors, as it would give them an indication of the additional risk that they are facing in case of early exit.</w:t>
      </w:r>
    </w:p>
    <w:permEnd w:id="269952779"/>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D767D9" w:rsidRDefault="00D767D9" w:rsidP="00D767D9">
      <w:permStart w:id="973303920" w:edGrp="everyone"/>
      <w:r>
        <w:t xml:space="preserve">We agree that the performance fee should be taken into account in the performance scenarios, as these should be net of all costs. We believe however that the choice of the scenarios should not be influenced by the desire to display the performance fee. Instead the performance scenarios should be probabilistically determined and identical for all products, and the performance fee only should be included if it would be triggered by such a scenario. </w:t>
      </w:r>
    </w:p>
    <w:p w:rsidR="00D767D9" w:rsidRDefault="00D767D9" w:rsidP="00D767D9"/>
    <w:p w:rsidR="00D767D9" w:rsidRDefault="00D767D9" w:rsidP="003E4B00">
      <w:r>
        <w:t xml:space="preserve">Consequently we do not believe that the same benchmark return should be used for calculating performance fees for all scenarios, nor that the performance fee should automatically be set to zero in the unfavourable scenario. </w:t>
      </w:r>
    </w:p>
    <w:permEnd w:id="973303920"/>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D767D9" w:rsidRDefault="00D767D9" w:rsidP="00D767D9">
      <w:permStart w:id="1960391178" w:edGrp="everyone"/>
      <w:r>
        <w:t>Given the mixed consumer testing results and the number of tables displayed, we believe that a presentation of the performance scenarios in the form of a graph should be preferred.</w:t>
      </w:r>
    </w:p>
    <w:p w:rsidR="00D767D9" w:rsidRDefault="00D767D9" w:rsidP="003E4B00">
      <w:r>
        <w:t>Displaying both a table and a graph would make the document longer and duplicate information, whereas the attention span of retail investors is limited and the amount of essential information to be conveyed is significant.</w:t>
      </w:r>
    </w:p>
    <w:permEnd w:id="1960391178"/>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564949337" w:edGrp="everyone"/>
      <w:r>
        <w:lastRenderedPageBreak/>
        <w:t>TYPE YOUR TEXT HERE</w:t>
      </w:r>
    </w:p>
    <w:permEnd w:id="564949337"/>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262474562" w:edGrp="everyone"/>
      <w:r>
        <w:t>TYPE YOUR TEXT HERE</w:t>
      </w:r>
    </w:p>
    <w:permEnd w:id="262474562"/>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D767D9" w:rsidRDefault="00D767D9" w:rsidP="003E4B00">
      <w:permStart w:id="694381185" w:edGrp="everyone"/>
      <w:r w:rsidRPr="00D767D9">
        <w:t>We do agree that the monetary values indicated in the first table are a sum of costs over the respective holding periods. Using annualised amounts might be misleading as the headings mention specific periods and retail investors might assume that the costs displayed are the total costs for these periods.</w:t>
      </w:r>
    </w:p>
    <w:permEnd w:id="694381185"/>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1296789710" w:edGrp="everyone"/>
      <w:r>
        <w:t>TYPE YOUR TEXT HERE</w:t>
      </w:r>
    </w:p>
    <w:permEnd w:id="1296789710"/>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619604479" w:edGrp="everyone"/>
      <w:r>
        <w:t>TYPE YOUR TEXT HERE</w:t>
      </w:r>
    </w:p>
    <w:permEnd w:id="619604479"/>
    <w:p w:rsidR="00491E49" w:rsidRPr="003E4B00" w:rsidRDefault="00491E49" w:rsidP="00491E49">
      <w:pPr>
        <w:rPr>
          <w:lang w:val="fr-FR"/>
        </w:rPr>
      </w:pPr>
      <w:r w:rsidRPr="00580880">
        <w:rPr>
          <w:lang w:val="fr-FR"/>
        </w:rPr>
        <w:lastRenderedPageBreak/>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D767D9" w:rsidRDefault="00D767D9" w:rsidP="00D767D9">
      <w:permStart w:id="1205469779" w:edGrp="everyone"/>
      <w:r>
        <w:t>One issue with displaying monetary values without any reference to a holding period is knowing which period to use for the calculation.</w:t>
      </w:r>
    </w:p>
    <w:p w:rsidR="00D767D9" w:rsidRDefault="00D767D9" w:rsidP="00491E49">
      <w:r>
        <w:t>For this reason, we prefer annualised percentage figures, but in order to take into account consumer difficulties, the table could also display annualised monetary values in an additional column.</w:t>
      </w:r>
    </w:p>
    <w:permEnd w:id="1205469779"/>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D767D9" w:rsidRDefault="00D767D9" w:rsidP="00491E49">
      <w:permStart w:id="1911765328" w:edGrp="everyone"/>
      <w:r w:rsidRPr="00D767D9">
        <w:t>As the consumer testing survey showed that a simple breakdown graphic plus a table produced better results than other approaches, we would favour this approach.</w:t>
      </w:r>
    </w:p>
    <w:permEnd w:id="1911765328"/>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D767D9" w:rsidRDefault="00D767D9" w:rsidP="00491E49">
      <w:permStart w:id="774191392" w:edGrp="everyone"/>
      <w:r w:rsidRPr="00D767D9">
        <w:t>We would like to see this additional information included.</w:t>
      </w:r>
    </w:p>
    <w:permEnd w:id="774191392"/>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D767D9" w:rsidRDefault="00D767D9" w:rsidP="00491E49">
      <w:permStart w:id="1493332584" w:edGrp="everyone"/>
      <w:r w:rsidRPr="00D767D9">
        <w:t>We would favour combining both tables into one table and supplementing it with a breakdown of costs as suggested in the graphic above question 24.</w:t>
      </w:r>
    </w:p>
    <w:permEnd w:id="1493332584"/>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lastRenderedPageBreak/>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1752196922" w:edGrp="everyone"/>
      <w:r>
        <w:t>TYPE YOUR TEXT HERE</w:t>
      </w:r>
    </w:p>
    <w:permEnd w:id="1752196922"/>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E943ED" w:rsidRDefault="00D767D9" w:rsidP="00847BB0">
      <w:permStart w:id="306999033" w:edGrp="everyone"/>
      <w:r w:rsidRPr="00D767D9">
        <w:t>As mentioned earlier, we believe that the breakdown of costs is important information for investors. It should be displayed through a breakdown graphic as shown on page 12 of the consultation document, complemented by the table shown in figure 3 of the consumer testing executive summary.</w:t>
      </w:r>
    </w:p>
    <w:permEnd w:id="306999033"/>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847BB0" w:rsidP="00847BB0">
      <w:permStart w:id="149566036" w:edGrp="everyone"/>
      <w:r>
        <w:t>TYPE YOUR TEXT HERE</w:t>
      </w:r>
    </w:p>
    <w:permEnd w:id="149566036"/>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91E49" w:rsidRDefault="00491E49" w:rsidP="00491E49">
      <w:permStart w:id="894509736" w:edGrp="everyone"/>
      <w:r>
        <w:t>TYPE YOUR TEXT HERE</w:t>
      </w:r>
    </w:p>
    <w:permEnd w:id="894509736"/>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908" w:rsidRDefault="00241908">
      <w:r>
        <w:separator/>
      </w:r>
    </w:p>
    <w:p w:rsidR="00241908" w:rsidRDefault="00241908"/>
  </w:endnote>
  <w:endnote w:type="continuationSeparator" w:id="0">
    <w:p w:rsidR="00241908" w:rsidRDefault="00241908">
      <w:r>
        <w:continuationSeparator/>
      </w:r>
    </w:p>
    <w:p w:rsidR="00241908" w:rsidRDefault="00241908"/>
  </w:endnote>
  <w:endnote w:type="continuationNotice" w:id="1">
    <w:p w:rsidR="00241908" w:rsidRDefault="00241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A25C9">
            <w:rPr>
              <w:rFonts w:cs="Arial"/>
              <w:noProof/>
              <w:sz w:val="22"/>
              <w:szCs w:val="22"/>
            </w:rPr>
            <w:t>5</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908" w:rsidRDefault="00241908">
      <w:r>
        <w:separator/>
      </w:r>
    </w:p>
    <w:p w:rsidR="00241908" w:rsidRDefault="00241908"/>
  </w:footnote>
  <w:footnote w:type="continuationSeparator" w:id="0">
    <w:p w:rsidR="00241908" w:rsidRDefault="00241908">
      <w:r>
        <w:continuationSeparator/>
      </w:r>
    </w:p>
    <w:p w:rsidR="00241908" w:rsidRDefault="00241908"/>
  </w:footnote>
  <w:footnote w:type="continuationNotice" w:id="1">
    <w:p w:rsidR="00241908" w:rsidRDefault="002419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37A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FD85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9"/>
  </w:num>
  <w:num w:numId="24">
    <w:abstractNumId w:val="30"/>
  </w:num>
  <w:num w:numId="25">
    <w:abstractNumId w:val="29"/>
  </w:num>
  <w:num w:numId="26">
    <w:abstractNumId w:val="19"/>
  </w:num>
  <w:num w:numId="27">
    <w:abstractNumId w:val="33"/>
  </w:num>
  <w:num w:numId="28">
    <w:abstractNumId w:val="38"/>
  </w:num>
  <w:num w:numId="29">
    <w:abstractNumId w:val="7"/>
  </w:num>
  <w:num w:numId="30">
    <w:abstractNumId w:val="3"/>
  </w:num>
  <w:num w:numId="31">
    <w:abstractNumId w:val="22"/>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2"/>
  </w:num>
  <w:num w:numId="51">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1908"/>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3E04"/>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3A40"/>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7D9"/>
    <w:rsid w:val="00D76933"/>
    <w:rsid w:val="00D76D88"/>
    <w:rsid w:val="00D77CC9"/>
    <w:rsid w:val="00D83D4B"/>
    <w:rsid w:val="00D871C6"/>
    <w:rsid w:val="00D91010"/>
    <w:rsid w:val="00DA0FA7"/>
    <w:rsid w:val="00DA12B0"/>
    <w:rsid w:val="00DA25C9"/>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43ED"/>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2A0"/>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BC7F5C29-78F3-4D00-947B-7ED4F920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finance-watch.org/our-work/publications/627"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finance-watch.org/our-work/publications/6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5BB7C-DAB7-4777-B542-C1883AE59951}">
  <ds:schemaRefs>
    <ds:schemaRef ds:uri="http://schemas.openxmlformats.org/officeDocument/2006/bibliography"/>
  </ds:schemaRefs>
</ds:datastoreItem>
</file>

<file path=customXml/itemProps2.xml><?xml version="1.0" encoding="utf-8"?>
<ds:datastoreItem xmlns:ds="http://schemas.openxmlformats.org/officeDocument/2006/customXml" ds:itemID="{33E1B74F-30E2-4C8C-B1BB-A115B637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3501</Words>
  <Characters>19962</Characters>
  <Application>Microsoft Office Word</Application>
  <DocSecurity>8</DocSecurity>
  <Lines>166</Lines>
  <Paragraphs>46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23417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Joost Mulder</cp:lastModifiedBy>
  <cp:revision>5</cp:revision>
  <cp:lastPrinted>2015-02-18T11:01:00Z</cp:lastPrinted>
  <dcterms:created xsi:type="dcterms:W3CDTF">2016-01-26T16:25:00Z</dcterms:created>
  <dcterms:modified xsi:type="dcterms:W3CDTF">2016-01-28T14:42:00Z</dcterms:modified>
</cp:coreProperties>
</file>