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olo1"/>
        <w:numPr>
          <w:ilvl w:val="0"/>
          <w:numId w:val="0"/>
        </w:numPr>
        <w:ind w:left="431" w:hanging="431"/>
      </w:pPr>
      <w:r>
        <w:t>Introduction</w:t>
      </w:r>
    </w:p>
    <w:p w:rsidR="00C33ACE" w:rsidRPr="00C33ACE" w:rsidRDefault="00C33ACE" w:rsidP="00C33ACE"/>
    <w:p w:rsidR="00D34282" w:rsidRDefault="00D34282" w:rsidP="00D34282">
      <w:pPr>
        <w:rPr>
          <w:rStyle w:val="Enfasiintensa"/>
        </w:rPr>
      </w:pPr>
      <w:r w:rsidRPr="001D47A5">
        <w:rPr>
          <w:rStyle w:val="Enfasiintensa"/>
        </w:rPr>
        <w:t>Please make your introductory comments below, if any:</w:t>
      </w:r>
    </w:p>
    <w:p w:rsidR="002E2BC1" w:rsidRPr="001D47A5" w:rsidRDefault="002E2BC1" w:rsidP="00D34282">
      <w:pPr>
        <w:rPr>
          <w:rStyle w:val="Enfasiintensa"/>
        </w:rPr>
      </w:pPr>
    </w:p>
    <w:p w:rsidR="00D34282" w:rsidRPr="00C25863" w:rsidRDefault="00D34282" w:rsidP="00D34282">
      <w:r w:rsidRPr="00C25863">
        <w:t>&lt;</w:t>
      </w:r>
      <w:r>
        <w:t>ESMA_COMMENT</w:t>
      </w:r>
      <w:r w:rsidRPr="00C25863">
        <w:t>_</w:t>
      </w:r>
      <w:r w:rsidR="000E35CB">
        <w:rPr>
          <w:rFonts w:cs="Arial"/>
        </w:rPr>
        <w:t>PRIIPS</w:t>
      </w:r>
      <w:r w:rsidRPr="00C25863">
        <w:t>_1&gt;</w:t>
      </w:r>
    </w:p>
    <w:p w:rsidR="00B2030C" w:rsidRPr="001205E2" w:rsidRDefault="00D76BDB" w:rsidP="00D34282">
      <w:permStart w:id="0" w:edGrp="everyone"/>
      <w:r w:rsidRPr="001205E2">
        <w:t xml:space="preserve">FECIF welcomes the work </w:t>
      </w:r>
      <w:r w:rsidR="00215393" w:rsidRPr="001205E2">
        <w:t xml:space="preserve">done by the ESA’s so far. </w:t>
      </w:r>
      <w:r w:rsidR="004E5FB5" w:rsidRPr="001205E2">
        <w:t>Nevertheless</w:t>
      </w:r>
      <w:r w:rsidR="00CC3286" w:rsidRPr="001205E2">
        <w:t>,</w:t>
      </w:r>
      <w:r w:rsidR="004E5FB5" w:rsidRPr="001205E2">
        <w:t xml:space="preserve"> FECIF remarks that the heterogeneity of PRIIPs</w:t>
      </w:r>
      <w:r w:rsidR="00B2030C" w:rsidRPr="001205E2">
        <w:t xml:space="preserve">, </w:t>
      </w:r>
      <w:r w:rsidR="00447612" w:rsidRPr="001205E2">
        <w:t xml:space="preserve">and </w:t>
      </w:r>
      <w:r w:rsidR="00B2030C" w:rsidRPr="001205E2">
        <w:t>their</w:t>
      </w:r>
      <w:r w:rsidR="00F84974" w:rsidRPr="001205E2">
        <w:t xml:space="preserve"> </w:t>
      </w:r>
      <w:r w:rsidR="00B2030C" w:rsidRPr="001205E2">
        <w:t xml:space="preserve">sectors </w:t>
      </w:r>
      <w:r w:rsidR="00F84974" w:rsidRPr="001205E2">
        <w:t>and features</w:t>
      </w:r>
      <w:r w:rsidR="00447612" w:rsidRPr="001205E2">
        <w:t>,</w:t>
      </w:r>
      <w:r w:rsidR="004E5FB5" w:rsidRPr="001205E2">
        <w:t xml:space="preserve"> should</w:t>
      </w:r>
      <w:r w:rsidR="006C3EEE" w:rsidRPr="001205E2">
        <w:t xml:space="preserve"> </w:t>
      </w:r>
      <w:r w:rsidR="00EF57FC" w:rsidRPr="001205E2">
        <w:t xml:space="preserve">still </w:t>
      </w:r>
      <w:r w:rsidR="00C432DA" w:rsidRPr="001205E2">
        <w:t xml:space="preserve">be </w:t>
      </w:r>
      <w:r w:rsidR="004E5FB5" w:rsidRPr="001205E2">
        <w:t>taken into account.</w:t>
      </w:r>
      <w:r w:rsidR="00DF5601" w:rsidRPr="001205E2">
        <w:t xml:space="preserve"> </w:t>
      </w:r>
      <w:r w:rsidR="00C432DA" w:rsidRPr="001205E2">
        <w:t>The member</w:t>
      </w:r>
      <w:r w:rsidR="00F408E0" w:rsidRPr="001205E2">
        <w:t>s</w:t>
      </w:r>
      <w:r w:rsidR="00C432DA" w:rsidRPr="001205E2">
        <w:t xml:space="preserve"> of </w:t>
      </w:r>
      <w:r w:rsidR="00F84974" w:rsidRPr="001205E2">
        <w:t>FECIF</w:t>
      </w:r>
      <w:r w:rsidR="00B2030C" w:rsidRPr="001205E2">
        <w:t xml:space="preserve"> </w:t>
      </w:r>
      <w:r w:rsidR="00F84974" w:rsidRPr="001205E2">
        <w:t>represe</w:t>
      </w:r>
      <w:r w:rsidR="00CA772F" w:rsidRPr="001205E2">
        <w:t>n</w:t>
      </w:r>
      <w:r w:rsidR="00EF57FC" w:rsidRPr="001205E2">
        <w:t>t</w:t>
      </w:r>
      <w:r w:rsidR="00CA772F" w:rsidRPr="001205E2">
        <w:t xml:space="preserve"> the </w:t>
      </w:r>
      <w:r w:rsidR="00EF57FC" w:rsidRPr="001205E2">
        <w:t>industry</w:t>
      </w:r>
      <w:r w:rsidR="00CA772F" w:rsidRPr="001205E2">
        <w:t xml:space="preserve"> in various M</w:t>
      </w:r>
      <w:r w:rsidR="00F84974" w:rsidRPr="001205E2">
        <w:t xml:space="preserve">ember </w:t>
      </w:r>
      <w:r w:rsidR="00CA772F" w:rsidRPr="001205E2">
        <w:t>S</w:t>
      </w:r>
      <w:r w:rsidR="00DF5601" w:rsidRPr="001205E2">
        <w:t>tates</w:t>
      </w:r>
      <w:r w:rsidR="00447612" w:rsidRPr="001205E2">
        <w:t>,</w:t>
      </w:r>
      <w:r w:rsidR="00DF5601" w:rsidRPr="001205E2">
        <w:t xml:space="preserve"> </w:t>
      </w:r>
      <w:r w:rsidR="00CC3286" w:rsidRPr="001205E2">
        <w:t xml:space="preserve">and </w:t>
      </w:r>
      <w:r w:rsidR="00F84974" w:rsidRPr="001205E2">
        <w:t xml:space="preserve">we would like you to </w:t>
      </w:r>
      <w:r w:rsidR="00EF57FC" w:rsidRPr="001205E2">
        <w:t xml:space="preserve">also </w:t>
      </w:r>
      <w:r w:rsidR="00CA772F" w:rsidRPr="001205E2">
        <w:t xml:space="preserve">take into </w:t>
      </w:r>
      <w:r w:rsidR="00F84974" w:rsidRPr="001205E2">
        <w:t>consider</w:t>
      </w:r>
      <w:r w:rsidR="00CA772F" w:rsidRPr="001205E2">
        <w:t xml:space="preserve">ation </w:t>
      </w:r>
      <w:r w:rsidR="00F84974" w:rsidRPr="001205E2">
        <w:t>the variety of local markets</w:t>
      </w:r>
      <w:r w:rsidR="00CC3286" w:rsidRPr="001205E2">
        <w:t>. Nevertheless, it is also worthy to support t</w:t>
      </w:r>
      <w:r w:rsidR="00B2030C" w:rsidRPr="001205E2">
        <w:t xml:space="preserve">he objective </w:t>
      </w:r>
      <w:r w:rsidR="00EF57FC" w:rsidRPr="001205E2">
        <w:t>of creating</w:t>
      </w:r>
      <w:r w:rsidR="00B2030C" w:rsidRPr="001205E2">
        <w:t xml:space="preserve"> a level playing field for all participants in the market </w:t>
      </w:r>
      <w:r w:rsidR="00CC3286" w:rsidRPr="001205E2">
        <w:t>and to</w:t>
      </w:r>
      <w:r w:rsidR="00B2030C" w:rsidRPr="001205E2">
        <w:t xml:space="preserve"> strengthen consumer protection</w:t>
      </w:r>
      <w:r w:rsidR="00CC3286" w:rsidRPr="001205E2">
        <w:t xml:space="preserve"> at the same time. </w:t>
      </w:r>
    </w:p>
    <w:p w:rsidR="00D76BDB" w:rsidRPr="001205E2" w:rsidRDefault="00D76BDB" w:rsidP="00D34282">
      <w:r w:rsidRPr="001205E2">
        <w:t>The balance between the rig</w:t>
      </w:r>
      <w:r w:rsidR="005E0201" w:rsidRPr="001205E2">
        <w:t>ht amount</w:t>
      </w:r>
      <w:r w:rsidRPr="001205E2">
        <w:t xml:space="preserve"> o</w:t>
      </w:r>
      <w:r w:rsidR="00CA772F" w:rsidRPr="001205E2">
        <w:t xml:space="preserve">f comparable information and overload </w:t>
      </w:r>
      <w:r w:rsidR="00EF57FC" w:rsidRPr="001205E2">
        <w:t xml:space="preserve">of </w:t>
      </w:r>
      <w:r w:rsidR="00CA772F" w:rsidRPr="001205E2">
        <w:t xml:space="preserve">information, </w:t>
      </w:r>
      <w:r w:rsidRPr="001205E2">
        <w:t xml:space="preserve">that scares </w:t>
      </w:r>
      <w:r w:rsidR="00EF57FC" w:rsidRPr="001205E2">
        <w:t xml:space="preserve">and confuses </w:t>
      </w:r>
      <w:r w:rsidRPr="001205E2">
        <w:t>co</w:t>
      </w:r>
      <w:r w:rsidR="00447612" w:rsidRPr="001205E2">
        <w:t>nsumers</w:t>
      </w:r>
      <w:r w:rsidR="00CA772F" w:rsidRPr="001205E2">
        <w:t xml:space="preserve">, </w:t>
      </w:r>
      <w:r w:rsidR="00447612" w:rsidRPr="001205E2">
        <w:t xml:space="preserve">is hard to find. Moreover, </w:t>
      </w:r>
      <w:r w:rsidR="00C04FC0" w:rsidRPr="001205E2">
        <w:t>it</w:t>
      </w:r>
      <w:r w:rsidRPr="001205E2">
        <w:t xml:space="preserve"> always depend</w:t>
      </w:r>
      <w:r w:rsidR="00447612" w:rsidRPr="001205E2">
        <w:t>s on the specific circumstance</w:t>
      </w:r>
      <w:r w:rsidR="00EF57FC" w:rsidRPr="001205E2">
        <w:t>s</w:t>
      </w:r>
      <w:r w:rsidR="00447612" w:rsidRPr="001205E2">
        <w:t xml:space="preserve">. </w:t>
      </w:r>
      <w:r w:rsidRPr="001205E2">
        <w:t>That is why FECIF is in favour of a short and simple solution</w:t>
      </w:r>
      <w:r w:rsidR="00C04FC0" w:rsidRPr="001205E2">
        <w:t>: in fact,</w:t>
      </w:r>
      <w:r w:rsidR="000D5B5D" w:rsidRPr="001205E2">
        <w:t xml:space="preserve"> </w:t>
      </w:r>
      <w:r w:rsidR="00C04FC0" w:rsidRPr="001205E2">
        <w:t>we believe</w:t>
      </w:r>
      <w:r w:rsidR="000D5B5D" w:rsidRPr="001205E2">
        <w:t xml:space="preserve"> that the average consumer </w:t>
      </w:r>
      <w:r w:rsidR="00C432DA" w:rsidRPr="001205E2">
        <w:t>will</w:t>
      </w:r>
      <w:r w:rsidR="000D5B5D" w:rsidRPr="001205E2">
        <w:t xml:space="preserve"> hardly </w:t>
      </w:r>
      <w:r w:rsidR="00C432DA" w:rsidRPr="001205E2">
        <w:t xml:space="preserve">be </w:t>
      </w:r>
      <w:r w:rsidR="000D5B5D" w:rsidRPr="001205E2">
        <w:t xml:space="preserve">able to compare all </w:t>
      </w:r>
      <w:r w:rsidR="00CA772F" w:rsidRPr="001205E2">
        <w:t xml:space="preserve">the </w:t>
      </w:r>
      <w:r w:rsidR="000D5B5D" w:rsidRPr="001205E2">
        <w:t xml:space="preserve">PRIIPs </w:t>
      </w:r>
      <w:r w:rsidR="00CA772F" w:rsidRPr="001205E2">
        <w:t xml:space="preserve">available </w:t>
      </w:r>
      <w:r w:rsidR="000D5B5D" w:rsidRPr="001205E2">
        <w:t xml:space="preserve">and </w:t>
      </w:r>
      <w:r w:rsidR="00C04FC0" w:rsidRPr="001205E2">
        <w:t xml:space="preserve">he </w:t>
      </w:r>
      <w:r w:rsidR="000D5B5D" w:rsidRPr="001205E2">
        <w:t>will need advice in this regard.</w:t>
      </w:r>
    </w:p>
    <w:p w:rsidR="00957F1E" w:rsidRPr="001205E2" w:rsidRDefault="00957F1E" w:rsidP="00D34282"/>
    <w:p w:rsidR="00ED1B4A" w:rsidRPr="001205E2" w:rsidRDefault="00957F1E" w:rsidP="00D34282">
      <w:r w:rsidRPr="001205E2">
        <w:t>With respect to the previous</w:t>
      </w:r>
      <w:r w:rsidR="00447612" w:rsidRPr="001205E2">
        <w:t xml:space="preserve"> ones</w:t>
      </w:r>
      <w:r w:rsidRPr="001205E2">
        <w:t xml:space="preserve">, FECIF also </w:t>
      </w:r>
      <w:r w:rsidR="00552B37" w:rsidRPr="001205E2">
        <w:t>underlines</w:t>
      </w:r>
      <w:r w:rsidRPr="001205E2">
        <w:t xml:space="preserve"> that </w:t>
      </w:r>
      <w:r w:rsidR="00C04FC0" w:rsidRPr="001205E2">
        <w:t xml:space="preserve">the </w:t>
      </w:r>
      <w:r w:rsidRPr="001205E2">
        <w:t>current PRIIPs initiative</w:t>
      </w:r>
      <w:r w:rsidR="00552B37" w:rsidRPr="001205E2">
        <w:t>, that aims to</w:t>
      </w:r>
      <w:r w:rsidR="00C04FC0" w:rsidRPr="001205E2">
        <w:t xml:space="preserve"> </w:t>
      </w:r>
      <w:r w:rsidR="00552B37" w:rsidRPr="001205E2">
        <w:t xml:space="preserve">prescribe almost every single aspect of </w:t>
      </w:r>
      <w:r w:rsidR="00EF57FC" w:rsidRPr="001205E2">
        <w:t xml:space="preserve">a </w:t>
      </w:r>
      <w:r w:rsidR="00552B37" w:rsidRPr="001205E2">
        <w:t xml:space="preserve">KID document, </w:t>
      </w:r>
      <w:r w:rsidR="008B019B" w:rsidRPr="001205E2">
        <w:t>contains</w:t>
      </w:r>
      <w:r w:rsidRPr="001205E2">
        <w:t xml:space="preserve"> overly </w:t>
      </w:r>
      <w:r w:rsidR="00EF57FC" w:rsidRPr="001205E2">
        <w:t>complex</w:t>
      </w:r>
      <w:r w:rsidRPr="001205E2">
        <w:t xml:space="preserve"> detail</w:t>
      </w:r>
      <w:r w:rsidR="00C04FC0" w:rsidRPr="001205E2">
        <w:t>s</w:t>
      </w:r>
      <w:r w:rsidRPr="001205E2">
        <w:t>. As with any plan, this lowers the risk of unexpected regulatory problem</w:t>
      </w:r>
      <w:r w:rsidR="00EF57FC" w:rsidRPr="001205E2">
        <w:t>s</w:t>
      </w:r>
      <w:r w:rsidRPr="001205E2">
        <w:t>, b</w:t>
      </w:r>
      <w:r w:rsidR="008B019B" w:rsidRPr="001205E2">
        <w:t>ut amplifies its impact</w:t>
      </w:r>
      <w:r w:rsidRPr="001205E2">
        <w:t xml:space="preserve">. </w:t>
      </w:r>
      <w:r w:rsidR="008B019B" w:rsidRPr="001205E2">
        <w:t xml:space="preserve">Therefore, </w:t>
      </w:r>
      <w:r w:rsidRPr="001205E2">
        <w:t>FECIF prefers</w:t>
      </w:r>
      <w:r w:rsidR="008B019B" w:rsidRPr="001205E2">
        <w:t xml:space="preserve"> a</w:t>
      </w:r>
      <w:r w:rsidRPr="001205E2">
        <w:t xml:space="preserve"> more general approach, whe</w:t>
      </w:r>
      <w:r w:rsidR="008B019B" w:rsidRPr="001205E2">
        <w:t>re</w:t>
      </w:r>
      <w:r w:rsidRPr="001205E2">
        <w:t xml:space="preserve"> </w:t>
      </w:r>
      <w:r w:rsidR="00ED1B4A" w:rsidRPr="001205E2">
        <w:t xml:space="preserve">only general obligations are set and </w:t>
      </w:r>
      <w:r w:rsidR="00552B37" w:rsidRPr="001205E2">
        <w:t xml:space="preserve">market subjects dispose of a </w:t>
      </w:r>
      <w:r w:rsidRPr="001205E2">
        <w:t xml:space="preserve">greater </w:t>
      </w:r>
      <w:r w:rsidR="008B019B" w:rsidRPr="001205E2">
        <w:t xml:space="preserve">degree </w:t>
      </w:r>
      <w:r w:rsidR="00FB3D56" w:rsidRPr="001205E2">
        <w:t>of flexibility and responsibility</w:t>
      </w:r>
      <w:r w:rsidR="00ED1B4A" w:rsidRPr="001205E2">
        <w:t>.</w:t>
      </w:r>
    </w:p>
    <w:p w:rsidR="00ED1B4A" w:rsidRPr="001205E2" w:rsidRDefault="00ED1B4A" w:rsidP="00D34282"/>
    <w:p w:rsidR="00950B3D" w:rsidRPr="00325BFB" w:rsidRDefault="00ED1B4A" w:rsidP="00D34282">
      <w:r w:rsidRPr="001205E2">
        <w:t>Finally, FECIF notes that its response is linked to issues affecting provision</w:t>
      </w:r>
      <w:r w:rsidR="004B0267" w:rsidRPr="001205E2">
        <w:t>s</w:t>
      </w:r>
      <w:r w:rsidRPr="001205E2">
        <w:t xml:space="preserve"> of independent financial advice and</w:t>
      </w:r>
      <w:r w:rsidR="00EF57FC" w:rsidRPr="001205E2">
        <w:t xml:space="preserve"> the</w:t>
      </w:r>
      <w:r w:rsidRPr="001205E2">
        <w:t xml:space="preserve"> impact of individual obligation</w:t>
      </w:r>
      <w:r w:rsidR="00950B3D" w:rsidRPr="001205E2">
        <w:t>s</w:t>
      </w:r>
      <w:r w:rsidRPr="001205E2">
        <w:t xml:space="preserve"> on </w:t>
      </w:r>
      <w:r w:rsidR="004B0267" w:rsidRPr="001205E2">
        <w:t xml:space="preserve">the </w:t>
      </w:r>
      <w:r w:rsidRPr="001205E2">
        <w:t>IFA</w:t>
      </w:r>
      <w:r w:rsidR="00EF57FC" w:rsidRPr="001205E2">
        <w:t xml:space="preserve"> and their</w:t>
      </w:r>
      <w:r w:rsidRPr="001205E2">
        <w:t xml:space="preserve"> interaction with customer</w:t>
      </w:r>
      <w:r w:rsidR="004B0267" w:rsidRPr="001205E2">
        <w:t>s</w:t>
      </w:r>
      <w:r w:rsidRPr="001205E2">
        <w:t xml:space="preserve">. This is the primary focus </w:t>
      </w:r>
      <w:r w:rsidR="00C27A8A" w:rsidRPr="001205E2">
        <w:t xml:space="preserve">and purpose </w:t>
      </w:r>
      <w:r w:rsidRPr="001205E2">
        <w:t>of our response.</w:t>
      </w:r>
    </w:p>
    <w:permEnd w:id="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455935" w:rsidP="00750796">
      <w:permStart w:id="1" w:edGrp="everyone"/>
      <w:r w:rsidRPr="00325BFB">
        <w:t xml:space="preserve">Yes, we agree with this proposal. We also consider that the comprehension alert (Article 8(3)(b) of the PRIIPs Regulation) is too short and vague and </w:t>
      </w:r>
      <w:r w:rsidR="00C27A8A">
        <w:t xml:space="preserve">it </w:t>
      </w:r>
      <w:r w:rsidRPr="00325BFB">
        <w:t>does not aid retail investors in understanding the product: the content of this alert should be expanded and clarified.</w:t>
      </w:r>
      <w:permEnd w:id="1"/>
      <w:r w:rsidR="00750796">
        <w:t>&lt;ESMA_QUESTION_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Pr="00325BFB" w:rsidRDefault="00ED1B4A" w:rsidP="00750796">
      <w:permStart w:id="2" w:edGrp="everyone"/>
      <w:r w:rsidRPr="00325BFB">
        <w:t xml:space="preserve">FECIF feels that </w:t>
      </w:r>
      <w:r w:rsidR="00950B3D" w:rsidRPr="00325BFB">
        <w:t>“</w:t>
      </w:r>
      <w:r w:rsidRPr="00325BFB">
        <w:t>one size of default amount definitely does not fit all</w:t>
      </w:r>
      <w:r w:rsidR="00950B3D" w:rsidRPr="00325BFB">
        <w:t>”</w:t>
      </w:r>
      <w:r w:rsidRPr="00325BFB">
        <w:t>, as there are great differenc</w:t>
      </w:r>
      <w:r w:rsidR="0029305B">
        <w:t>es in this regard between e.g. Western and Eastern Member S</w:t>
      </w:r>
      <w:r w:rsidRPr="00325BFB">
        <w:t xml:space="preserve">tates. FECIF suggests </w:t>
      </w:r>
      <w:r w:rsidR="0029305B">
        <w:t xml:space="preserve">that </w:t>
      </w:r>
      <w:r w:rsidRPr="00325BFB">
        <w:t xml:space="preserve">this value should be set or at least advised by individual NCAs (note: we understand </w:t>
      </w:r>
      <w:r w:rsidR="00C27A8A">
        <w:t xml:space="preserve">that </w:t>
      </w:r>
      <w:r w:rsidRPr="00325BFB">
        <w:t>proposed regular payment</w:t>
      </w:r>
      <w:r w:rsidR="00950B3D" w:rsidRPr="00325BFB">
        <w:t>s</w:t>
      </w:r>
      <w:r w:rsidRPr="00325BFB">
        <w:t xml:space="preserve"> </w:t>
      </w:r>
      <w:r w:rsidR="00C27A8A">
        <w:t>are</w:t>
      </w:r>
      <w:r w:rsidRPr="00325BFB">
        <w:t xml:space="preserve"> monthly).</w:t>
      </w:r>
    </w:p>
    <w:p w:rsidR="00ED1B4A" w:rsidRPr="00325BFB" w:rsidRDefault="00663FAA" w:rsidP="00750796">
      <w:r>
        <w:t xml:space="preserve">Regarding </w:t>
      </w:r>
      <w:r w:rsidR="00ED1B4A" w:rsidRPr="00325BFB">
        <w:t xml:space="preserve">specific PRIIPs with a required investment amount, FECIF agrees </w:t>
      </w:r>
      <w:r w:rsidR="00435508" w:rsidRPr="00325BFB">
        <w:t>that</w:t>
      </w:r>
      <w:r w:rsidR="001F3E3F">
        <w:t xml:space="preserve"> an</w:t>
      </w:r>
      <w:r w:rsidR="00ED1B4A" w:rsidRPr="00325BFB">
        <w:t xml:space="preserve"> individual regime </w:t>
      </w:r>
      <w:r w:rsidR="00435508" w:rsidRPr="00325BFB">
        <w:t>is appropriate</w:t>
      </w:r>
      <w:r w:rsidR="00ED1B4A" w:rsidRPr="00325BFB">
        <w:t>.</w:t>
      </w:r>
    </w:p>
    <w:p w:rsidR="00E01153" w:rsidRPr="00C27A8A" w:rsidRDefault="001A7CE5" w:rsidP="00750796">
      <w:r w:rsidRPr="00325BFB">
        <w:t xml:space="preserve">Furthermore, as already explained in the previous consultation (JC DP 2015 01), in order to avoid </w:t>
      </w:r>
      <w:r w:rsidR="00C27A8A" w:rsidRPr="00325BFB">
        <w:t>the impact of fixed costs</w:t>
      </w:r>
      <w:r w:rsidR="00C27A8A">
        <w:t xml:space="preserve"> </w:t>
      </w:r>
      <w:r w:rsidR="001F3E3F">
        <w:t>being incorrectly</w:t>
      </w:r>
      <w:r w:rsidR="00C27A8A" w:rsidRPr="00325BFB">
        <w:t xml:space="preserve"> </w:t>
      </w:r>
      <w:r w:rsidRPr="00325BFB">
        <w:t>overestimat</w:t>
      </w:r>
      <w:r w:rsidR="00C27A8A">
        <w:t>ed,</w:t>
      </w:r>
      <w:r w:rsidRPr="00325BFB">
        <w:t xml:space="preserve"> NCAs should take into account a higher initial i</w:t>
      </w:r>
      <w:r w:rsidRPr="00325BFB">
        <w:t>n</w:t>
      </w:r>
      <w:r w:rsidRPr="00325BFB">
        <w:t xml:space="preserve">vestment amount (specifically, 10 000 euros) </w:t>
      </w:r>
      <w:r w:rsidR="00C27A8A">
        <w:t xml:space="preserve">for investment funds and PRIIPs, </w:t>
      </w:r>
      <w:r w:rsidRPr="00325BFB">
        <w:t xml:space="preserve">other than insurance-based investment products. </w:t>
      </w:r>
      <w:r w:rsidR="00515784">
        <w:t>It i</w:t>
      </w:r>
      <w:r w:rsidR="00515784" w:rsidRPr="00325BFB">
        <w:t xml:space="preserve">s necessary </w:t>
      </w:r>
      <w:r w:rsidR="001F3E3F">
        <w:t xml:space="preserve">to have </w:t>
      </w:r>
      <w:r w:rsidR="00515784">
        <w:t>a</w:t>
      </w:r>
      <w:r w:rsidRPr="00325BFB">
        <w:t xml:space="preserve"> higher default amount, especially if we consider that some investment funds require </w:t>
      </w:r>
      <w:r w:rsidR="00C27A8A">
        <w:t>a minimum investment amount</w:t>
      </w:r>
      <w:r w:rsidRPr="00325BFB">
        <w:t xml:space="preserve"> (e.g. 5,000 or 10,000 euros).</w:t>
      </w:r>
    </w:p>
    <w:permEnd w:id="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D80DAD" w:rsidRDefault="00D80DAD" w:rsidP="00750796">
      <w:permStart w:id="3" w:edGrp="everyone"/>
      <w:r w:rsidRPr="00D80DAD">
        <w:t xml:space="preserve">We believe that the methodology to compute the </w:t>
      </w:r>
      <w:proofErr w:type="spellStart"/>
      <w:r w:rsidRPr="00D80DAD">
        <w:t>Va</w:t>
      </w:r>
      <w:r w:rsidR="00D70C4B">
        <w:t>R</w:t>
      </w:r>
      <w:proofErr w:type="spellEnd"/>
      <w:r w:rsidRPr="00D80DAD">
        <w:t xml:space="preserve"> equivalent Vola</w:t>
      </w:r>
      <w:r w:rsidR="001B7CDA">
        <w:t>tility and the bootstrapping ap</w:t>
      </w:r>
      <w:r w:rsidRPr="00D80DAD">
        <w:t xml:space="preserve">proach are two recognized methods that can be used. However, these </w:t>
      </w:r>
      <w:r w:rsidR="001B7CDA">
        <w:t>methods generate a control prob</w:t>
      </w:r>
      <w:r w:rsidRPr="00D80DAD">
        <w:t>lem.</w:t>
      </w:r>
    </w:p>
    <w:permEnd w:id="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D80DAD" w:rsidP="00D80DAD">
      <w:permStart w:id="4" w:edGrp="everyone"/>
      <w:r>
        <w:t>We believe that NCAs m</w:t>
      </w:r>
      <w:r w:rsidR="00D70C4B">
        <w:t>ust</w:t>
      </w:r>
      <w:r>
        <w:t xml:space="preserve"> be in charge </w:t>
      </w:r>
      <w:r w:rsidR="00D70C4B">
        <w:t xml:space="preserve">of this </w:t>
      </w:r>
      <w:r>
        <w:t xml:space="preserve">and </w:t>
      </w:r>
      <w:r w:rsidR="00D70C4B">
        <w:t>should</w:t>
      </w:r>
      <w:r>
        <w:t xml:space="preserve"> work in </w:t>
      </w:r>
      <w:r w:rsidR="00D70C4B">
        <w:t xml:space="preserve">a </w:t>
      </w:r>
      <w:r>
        <w:t>close relation</w:t>
      </w:r>
      <w:r w:rsidR="00D70C4B">
        <w:t>ship</w:t>
      </w:r>
      <w:r>
        <w:t xml:space="preserve"> with professionals</w:t>
      </w:r>
    </w:p>
    <w:permEnd w:id="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lastRenderedPageBreak/>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435508" w:rsidP="00750796">
      <w:permStart w:id="5" w:edGrp="everyone"/>
      <w:r w:rsidRPr="00325BFB">
        <w:t xml:space="preserve">FECIF </w:t>
      </w:r>
      <w:r w:rsidR="00515784">
        <w:t>believes</w:t>
      </w:r>
      <w:r w:rsidRPr="00325BFB">
        <w:t xml:space="preserve"> this is not necessary and only specific information (text passage) </w:t>
      </w:r>
      <w:r w:rsidR="00FF2AE2">
        <w:t xml:space="preserve">is </w:t>
      </w:r>
      <w:r w:rsidR="00D83CE4">
        <w:t>required</w:t>
      </w:r>
      <w:r w:rsidRPr="00325BFB">
        <w:t xml:space="preserve">. Otherwise, </w:t>
      </w:r>
      <w:r w:rsidR="00D83CE4">
        <w:t xml:space="preserve">the </w:t>
      </w:r>
      <w:r w:rsidRPr="00325BFB">
        <w:t xml:space="preserve">CRM computation method might get overly complicated and its representativeness </w:t>
      </w:r>
      <w:r w:rsidR="00663FAA">
        <w:t xml:space="preserve">could be </w:t>
      </w:r>
      <w:r w:rsidRPr="00325BFB">
        <w:t>limited.</w:t>
      </w:r>
    </w:p>
    <w:permEnd w:id="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C1075D" w:rsidRPr="00DE5978" w:rsidRDefault="00C1075D" w:rsidP="003E4B00">
      <w:permStart w:id="6" w:edGrp="everyone"/>
      <w:r w:rsidRPr="00325BFB">
        <w:t>FECIF agrees that PRIIP manufacturer</w:t>
      </w:r>
      <w:r>
        <w:t>s</w:t>
      </w:r>
      <w:r w:rsidRPr="00325BFB">
        <w:t xml:space="preserve"> </w:t>
      </w:r>
      <w:r>
        <w:t xml:space="preserve">could </w:t>
      </w:r>
      <w:r w:rsidRPr="00325BFB">
        <w:t>be empowered to voluntarily increase the SRI</w:t>
      </w:r>
      <w:r>
        <w:t xml:space="preserve"> under the following conditions</w:t>
      </w:r>
      <w:r w:rsidRPr="00325BFB">
        <w:t xml:space="preserve">: </w:t>
      </w:r>
      <w:proofErr w:type="spellStart"/>
      <w:r w:rsidRPr="00325BFB">
        <w:t>i</w:t>
      </w:r>
      <w:proofErr w:type="spellEnd"/>
      <w:r w:rsidRPr="00325BFB">
        <w:t xml:space="preserve">) the increase should be properly justified; ii) both indicators </w:t>
      </w:r>
      <w:r>
        <w:t xml:space="preserve">have to be </w:t>
      </w:r>
      <w:r w:rsidRPr="00325BFB">
        <w:t xml:space="preserve">disclosed </w:t>
      </w:r>
      <w:r>
        <w:t xml:space="preserve">in the KID </w:t>
      </w:r>
      <w:r w:rsidRPr="00325BFB">
        <w:t>(i.e. the SRI resulting from the application of the official methodology and the SRI as voluntarily increased by the manufacturer</w:t>
      </w:r>
      <w:r>
        <w:t>s) iii) the increased SRI must not change the validity of other elements of the KID or the overall significance of the KID at all because this would generate new risks for consumers. If the above-mentioned conditions are met,</w:t>
      </w:r>
      <w:r w:rsidRPr="005370E0">
        <w:t xml:space="preserve"> </w:t>
      </w:r>
      <w:r w:rsidRPr="00325BFB">
        <w:t xml:space="preserve">FECIF </w:t>
      </w:r>
      <w:r>
        <w:t xml:space="preserve">considers no </w:t>
      </w:r>
      <w:r w:rsidRPr="00325BFB">
        <w:t>significant risks are rel</w:t>
      </w:r>
      <w:r>
        <w:t>ated to such qual</w:t>
      </w:r>
      <w:r>
        <w:t>i</w:t>
      </w:r>
      <w:r>
        <w:t>fied decisions of the PRIIPS’ manufacturers,</w:t>
      </w:r>
      <w:r w:rsidRPr="00325BFB">
        <w:t xml:space="preserve"> at least from the distribution perspective</w:t>
      </w:r>
      <w:r>
        <w:t>.</w:t>
      </w:r>
    </w:p>
    <w:permEnd w:id="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7" w:edGrp="everyone"/>
      <w:r>
        <w:t>TYPE YOUR TEXT HERE</w:t>
      </w:r>
    </w:p>
    <w:permEnd w:id="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Pr="00325BFB" w:rsidRDefault="006F6D8C" w:rsidP="003E4B00">
      <w:permStart w:id="8" w:edGrp="everyone"/>
      <w:r w:rsidRPr="00325BFB">
        <w:t xml:space="preserve">FECIF </w:t>
      </w:r>
      <w:r w:rsidR="006F4924">
        <w:t>states</w:t>
      </w:r>
      <w:r w:rsidRPr="00325BFB">
        <w:t xml:space="preserve"> that</w:t>
      </w:r>
      <w:r w:rsidR="006F4924">
        <w:t xml:space="preserve"> an</w:t>
      </w:r>
      <w:r w:rsidRPr="00325BFB">
        <w:t xml:space="preserve"> </w:t>
      </w:r>
      <w:r w:rsidR="006F4924" w:rsidRPr="00325BFB">
        <w:rPr>
          <w:u w:val="single"/>
        </w:rPr>
        <w:t xml:space="preserve">average </w:t>
      </w:r>
      <w:r w:rsidR="006F4924" w:rsidRPr="006F4924">
        <w:rPr>
          <w:u w:val="single"/>
        </w:rPr>
        <w:t>customer would find any of the forms proposed difficult to understand</w:t>
      </w:r>
      <w:r w:rsidR="006F4924">
        <w:rPr>
          <w:u w:val="single"/>
        </w:rPr>
        <w:t xml:space="preserve">. </w:t>
      </w:r>
      <w:r w:rsidRPr="00325BFB">
        <w:t>Ou</w:t>
      </w:r>
      <w:r w:rsidR="006F4924">
        <w:t>r extensive experience clearly suggests</w:t>
      </w:r>
      <w:r w:rsidRPr="00325BFB">
        <w:t xml:space="preserve"> that any non-understandable information will </w:t>
      </w:r>
      <w:r w:rsidR="006F4924" w:rsidRPr="00325BFB">
        <w:t xml:space="preserve">not </w:t>
      </w:r>
      <w:r w:rsidRPr="00325BFB">
        <w:t xml:space="preserve">be taken into account </w:t>
      </w:r>
      <w:r w:rsidR="00950B3D" w:rsidRPr="00325BFB">
        <w:t>by the</w:t>
      </w:r>
      <w:r w:rsidRPr="00325BFB">
        <w:t xml:space="preserve"> customer. With respect to this, we strongly recommend </w:t>
      </w:r>
      <w:r w:rsidR="00E01153">
        <w:t>to simplify</w:t>
      </w:r>
      <w:r w:rsidRPr="00325BFB">
        <w:t xml:space="preserve"> the layout and </w:t>
      </w:r>
      <w:r w:rsidR="00CF770A">
        <w:t xml:space="preserve">the </w:t>
      </w:r>
      <w:r w:rsidRPr="00325BFB">
        <w:t xml:space="preserve">amount of information </w:t>
      </w:r>
      <w:r w:rsidR="006F4924">
        <w:t xml:space="preserve">available in the KID. The </w:t>
      </w:r>
      <w:r w:rsidRPr="00325BFB">
        <w:t xml:space="preserve">tables (scales) proposed here </w:t>
      </w:r>
      <w:r w:rsidR="006F4924">
        <w:t>are</w:t>
      </w:r>
      <w:r w:rsidRPr="00325BFB">
        <w:t xml:space="preserve"> a prime </w:t>
      </w:r>
      <w:r w:rsidR="006F4924">
        <w:t>choice</w:t>
      </w:r>
      <w:r w:rsidRPr="00325BFB">
        <w:t xml:space="preserve"> for </w:t>
      </w:r>
      <w:r w:rsidR="006F4924">
        <w:t>this</w:t>
      </w:r>
      <w:r w:rsidRPr="00325BFB">
        <w:t xml:space="preserve"> action.</w:t>
      </w:r>
    </w:p>
    <w:permEnd w:id="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lastRenderedPageBreak/>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BF6F56" w:rsidP="003E4B00">
      <w:permStart w:id="9" w:edGrp="everyone"/>
      <w:r>
        <w:t xml:space="preserve">Yes, FECIF agrees with the fact </w:t>
      </w:r>
      <w:r w:rsidR="006F4924">
        <w:t>that</w:t>
      </w:r>
      <w:r>
        <w:t xml:space="preserve"> </w:t>
      </w:r>
      <w:r w:rsidR="00021CA0">
        <w:t>a qualitative</w:t>
      </w:r>
      <w:r w:rsidR="006F4924" w:rsidRPr="006F6D8C">
        <w:t xml:space="preserve"> assessment and automatic allocation to MRM class 1 should be permitted</w:t>
      </w:r>
      <w:r w:rsidR="006F4924">
        <w:t xml:space="preserve"> for</w:t>
      </w:r>
      <w:r w:rsidR="006F6D8C" w:rsidRPr="006F6D8C">
        <w:t xml:space="preserve"> PRIIPs that offer a capital protect</w:t>
      </w:r>
      <w:r w:rsidR="00E80D7E">
        <w:t xml:space="preserve">ion during their whole lifespan, </w:t>
      </w:r>
      <w:r w:rsidR="006F6D8C" w:rsidRPr="006F6D8C">
        <w:t>and can be r</w:t>
      </w:r>
      <w:r w:rsidR="006F6D8C" w:rsidRPr="006F6D8C">
        <w:t>e</w:t>
      </w:r>
      <w:r w:rsidR="006F6D8C" w:rsidRPr="006F6D8C">
        <w:t xml:space="preserve">deemed against their initial investment at any </w:t>
      </w:r>
      <w:r w:rsidR="006F4924">
        <w:t xml:space="preserve">time over the life of the PRIIP. </w:t>
      </w:r>
    </w:p>
    <w:p w:rsidR="006F6D8C" w:rsidRDefault="00BF6F56" w:rsidP="003E4B00">
      <w:r>
        <w:t xml:space="preserve">With regard to </w:t>
      </w:r>
      <w:r w:rsidR="006F6D8C">
        <w:t>the 5 year tenor, we f</w:t>
      </w:r>
      <w:r>
        <w:t>ind</w:t>
      </w:r>
      <w:r w:rsidR="006F6D8C">
        <w:t xml:space="preserve"> this criteria highly arbitrary and</w:t>
      </w:r>
      <w:r>
        <w:t xml:space="preserve"> we</w:t>
      </w:r>
      <w:r w:rsidR="006F6D8C">
        <w:t xml:space="preserve"> do not agree with the proposal.</w:t>
      </w:r>
    </w:p>
    <w:permEnd w:id="9"/>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0" w:edGrp="everyone"/>
      <w:r>
        <w:t>TYPE YOUR TEXT HERE</w:t>
      </w:r>
    </w:p>
    <w:permEnd w:id="1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CE251B" w:rsidRPr="00C722FD" w:rsidRDefault="00CE251B" w:rsidP="003E4B00">
      <w:permStart w:id="11" w:edGrp="everyone"/>
      <w:r>
        <w:t>TYPE YOUR TEXT HERE</w:t>
      </w:r>
      <w:r w:rsidRPr="00C722FD">
        <w:t xml:space="preserve"> </w:t>
      </w:r>
    </w:p>
    <w:permEnd w:id="1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Pr="00CE251B" w:rsidRDefault="00CE251B" w:rsidP="003E4B00">
      <w:permStart w:id="12" w:edGrp="everyone"/>
      <w:r w:rsidRPr="00325BFB">
        <w:t xml:space="preserve">FECIF does not agree with the idea </w:t>
      </w:r>
      <w:r w:rsidR="00814F9A">
        <w:t xml:space="preserve">of </w:t>
      </w:r>
      <w:r w:rsidR="00814F9A" w:rsidRPr="00325BFB">
        <w:t>incorporat</w:t>
      </w:r>
      <w:r w:rsidR="00814F9A">
        <w:t>ing</w:t>
      </w:r>
      <w:r w:rsidR="00814F9A" w:rsidRPr="00325BFB">
        <w:t xml:space="preserve"> </w:t>
      </w:r>
      <w:r w:rsidR="00814F9A">
        <w:t xml:space="preserve">the </w:t>
      </w:r>
      <w:r w:rsidR="00814F9A" w:rsidRPr="00325BFB">
        <w:t>sale currency risk into SRI</w:t>
      </w:r>
      <w:r w:rsidRPr="00325BFB">
        <w:t>. This information should be provided separately and should be judged by the consumer</w:t>
      </w:r>
      <w:r w:rsidR="00946026">
        <w:t>s</w:t>
      </w:r>
      <w:r w:rsidRPr="00325BFB">
        <w:t xml:space="preserve">. Any other solution would incur a fatal administrative burden </w:t>
      </w:r>
      <w:r w:rsidR="000822B4">
        <w:t>at</w:t>
      </w:r>
      <w:r w:rsidRPr="00325BFB">
        <w:t xml:space="preserve"> the point of sale, which would undoubtedly sap </w:t>
      </w:r>
      <w:r w:rsidR="009A0CD4">
        <w:t xml:space="preserve">the </w:t>
      </w:r>
      <w:r w:rsidRPr="00325BFB">
        <w:t>resources need</w:t>
      </w:r>
      <w:r w:rsidR="009A0CD4">
        <w:t>ed</w:t>
      </w:r>
      <w:r w:rsidRPr="00325BFB">
        <w:t xml:space="preserve"> for </w:t>
      </w:r>
      <w:r w:rsidR="009A0CD4">
        <w:t xml:space="preserve">the </w:t>
      </w:r>
      <w:r w:rsidRPr="00325BFB">
        <w:t>provision of proper advice.</w:t>
      </w:r>
      <w:r w:rsidR="00187BC8" w:rsidRPr="00187BC8">
        <w:t xml:space="preserve"> </w:t>
      </w:r>
      <w:r w:rsidR="00187BC8">
        <w:t>Moreover, it may cause an additional burden for the companies that operate cross border who may need to calculate different SRI’s for the currencies of each Member State into which they offer their services.</w:t>
      </w:r>
      <w:r w:rsidR="009A0CD4">
        <w:t xml:space="preserve"> Finally, and perhaps most importantly, it could be misleading to many consumers who increasingly have cross-currency needs or situations.</w:t>
      </w:r>
    </w:p>
    <w:permEnd w:id="12"/>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Pr="00CE251B" w:rsidRDefault="00CE251B" w:rsidP="003E4B00">
      <w:pPr>
        <w:rPr>
          <w:color w:val="FF0000"/>
        </w:rPr>
      </w:pPr>
      <w:permStart w:id="13" w:edGrp="everyone"/>
      <w:r w:rsidRPr="00325BFB">
        <w:t>FECIF agrees with the description provided</w:t>
      </w:r>
      <w:r w:rsidR="00950B3D" w:rsidRPr="00325BFB">
        <w:t xml:space="preserve"> in the accompanying text on</w:t>
      </w:r>
      <w:r w:rsidRPr="00325BFB">
        <w:t xml:space="preserve"> p. 11. If the product is sold “to maturity”, the SRI should reflect this and </w:t>
      </w:r>
      <w:r w:rsidR="0039598E">
        <w:t xml:space="preserve">it </w:t>
      </w:r>
      <w:r w:rsidR="000822B4">
        <w:t xml:space="preserve">should </w:t>
      </w:r>
      <w:r w:rsidRPr="00325BFB">
        <w:t xml:space="preserve">model the situation at the maturity point. </w:t>
      </w:r>
      <w:r w:rsidR="000822B4">
        <w:t>A s</w:t>
      </w:r>
      <w:r w:rsidRPr="00325BFB">
        <w:t xml:space="preserve">eparate text disclaimer is </w:t>
      </w:r>
      <w:r w:rsidR="000822B4">
        <w:t>enough</w:t>
      </w:r>
      <w:r w:rsidRPr="00325BFB">
        <w:t>.</w:t>
      </w:r>
      <w:r w:rsidR="00DF1867" w:rsidRPr="00325BFB">
        <w:t xml:space="preserve"> Conversely, we do not agree with the proposed selection of the Synthetic Risk Indicator (SRI) time frame, i.e. we do not agree with the presentation of a single time frame. </w:t>
      </w:r>
      <w:r w:rsidR="000822B4">
        <w:t>On the co</w:t>
      </w:r>
      <w:r w:rsidR="000822B4">
        <w:t>n</w:t>
      </w:r>
      <w:r w:rsidR="000822B4">
        <w:t xml:space="preserve">trary, </w:t>
      </w:r>
      <w:r w:rsidR="00DF1867" w:rsidRPr="00325BFB">
        <w:t xml:space="preserve">we support Option 5.2., i.e. multiple time frames, in order to give investors a full picture of </w:t>
      </w:r>
      <w:r w:rsidR="000822B4">
        <w:t xml:space="preserve">the </w:t>
      </w:r>
      <w:r w:rsidR="00DF1867" w:rsidRPr="00325BFB">
        <w:t>risk throughout the PRIIP’s life. Specifically, the SRI should be presented for several time horizons (1, 3, 5 years) implementing the same solution already established for performance scenarios.</w:t>
      </w:r>
    </w:p>
    <w:permEnd w:id="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CE251B" w:rsidRPr="00325BFB" w:rsidRDefault="00CE251B" w:rsidP="003E4B00">
      <w:permStart w:id="14" w:edGrp="everyone"/>
      <w:r w:rsidRPr="00325BFB">
        <w:t xml:space="preserve">FECIF agrees with the accompanying text, i.e. </w:t>
      </w:r>
      <w:r w:rsidR="00D03777">
        <w:t xml:space="preserve">with the fact </w:t>
      </w:r>
      <w:r w:rsidRPr="00325BFB">
        <w:t>that the performance scenarios should be provided net of all costs, including performance fees.</w:t>
      </w:r>
    </w:p>
    <w:p w:rsidR="001A7CE5" w:rsidRPr="00325BFB" w:rsidRDefault="00D03777" w:rsidP="001A7CE5">
      <w:pPr>
        <w:spacing w:line="276" w:lineRule="auto"/>
        <w:jc w:val="both"/>
        <w:rPr>
          <w:rFonts w:cs="Arial"/>
        </w:rPr>
      </w:pPr>
      <w:r>
        <w:rPr>
          <w:rFonts w:cs="Arial"/>
        </w:rPr>
        <w:t>On the contrary,</w:t>
      </w:r>
      <w:r w:rsidR="001A7CE5" w:rsidRPr="00325BFB">
        <w:rPr>
          <w:rFonts w:cs="Arial"/>
        </w:rPr>
        <w:t xml:space="preserve"> we do not agree to use the same benchmark return for</w:t>
      </w:r>
      <w:r>
        <w:rPr>
          <w:rFonts w:cs="Arial"/>
        </w:rPr>
        <w:t xml:space="preserve"> both</w:t>
      </w:r>
      <w:r w:rsidR="001A7CE5" w:rsidRPr="00325BFB">
        <w:rPr>
          <w:rFonts w:cs="Arial"/>
        </w:rPr>
        <w:t xml:space="preserve"> the unfavourable and f</w:t>
      </w:r>
      <w:r w:rsidR="001A7CE5" w:rsidRPr="00325BFB">
        <w:rPr>
          <w:rFonts w:cs="Arial"/>
        </w:rPr>
        <w:t>a</w:t>
      </w:r>
      <w:r w:rsidR="001A7CE5" w:rsidRPr="00325BFB">
        <w:rPr>
          <w:rFonts w:cs="Arial"/>
        </w:rPr>
        <w:t>vourable scenarios: this approach is not consistent with the assumptions which shall be used to generate the scenarios (Annex IV of the proposed Regulation, par. 8-10). The alternative approach, i.e. automat</w:t>
      </w:r>
      <w:r w:rsidR="001A7CE5" w:rsidRPr="00325BFB">
        <w:rPr>
          <w:rFonts w:cs="Arial"/>
        </w:rPr>
        <w:t>i</w:t>
      </w:r>
      <w:r w:rsidR="001A7CE5" w:rsidRPr="00325BFB">
        <w:rPr>
          <w:rFonts w:cs="Arial"/>
        </w:rPr>
        <w:t>cally setting the performance fees to zero for the unfavourable scenario, may represent a viable solution.</w:t>
      </w:r>
    </w:p>
    <w:p w:rsidR="001A7CE5" w:rsidRPr="00325BFB" w:rsidRDefault="00D03777" w:rsidP="001A7CE5">
      <w:pPr>
        <w:spacing w:line="276" w:lineRule="auto"/>
        <w:jc w:val="both"/>
        <w:rPr>
          <w:rFonts w:cs="Arial"/>
        </w:rPr>
      </w:pPr>
      <w:r>
        <w:rPr>
          <w:rFonts w:cs="Arial"/>
        </w:rPr>
        <w:t>Moreover, w</w:t>
      </w:r>
      <w:r w:rsidR="001A7CE5" w:rsidRPr="00325BFB">
        <w:rPr>
          <w:rFonts w:cs="Arial"/>
        </w:rPr>
        <w:t xml:space="preserve">e point out that the proposed presentation of performance scenarios (Appendix 1, letters [d], [e] and [f]) is not clear. For instance, </w:t>
      </w:r>
      <w:r w:rsidR="0075078A">
        <w:rPr>
          <w:rFonts w:cs="Arial"/>
        </w:rPr>
        <w:t xml:space="preserve">regarding </w:t>
      </w:r>
      <w:r w:rsidR="001A7CE5" w:rsidRPr="00325BFB">
        <w:rPr>
          <w:rFonts w:cs="Arial"/>
        </w:rPr>
        <w:t xml:space="preserve">the favourable scenario, letter [d], </w:t>
      </w:r>
      <w:r w:rsidR="00DC5A12" w:rsidRPr="00325BFB">
        <w:rPr>
          <w:rFonts w:cs="Arial"/>
        </w:rPr>
        <w:t>the most favourable cases</w:t>
      </w:r>
      <w:r w:rsidR="00DC5A12">
        <w:rPr>
          <w:rFonts w:cs="Arial"/>
        </w:rPr>
        <w:t xml:space="preserve"> are no</w:t>
      </w:r>
      <w:r w:rsidR="0075078A">
        <w:rPr>
          <w:rFonts w:cs="Arial"/>
        </w:rPr>
        <w:t>t</w:t>
      </w:r>
      <w:r w:rsidR="00DC5A12">
        <w:rPr>
          <w:rFonts w:cs="Arial"/>
        </w:rPr>
        <w:t xml:space="preserve"> included in </w:t>
      </w:r>
      <w:r w:rsidR="001A7CE5" w:rsidRPr="00325BFB">
        <w:rPr>
          <w:rFonts w:cs="Arial"/>
        </w:rPr>
        <w:t xml:space="preserve">the proposed presentation. </w:t>
      </w:r>
      <w:r w:rsidR="00DC5A12">
        <w:rPr>
          <w:rFonts w:cs="Arial"/>
        </w:rPr>
        <w:t>Therefore</w:t>
      </w:r>
      <w:r w:rsidR="001A7CE5" w:rsidRPr="00325BFB">
        <w:rPr>
          <w:rFonts w:cs="Arial"/>
        </w:rPr>
        <w:t>, we propose:</w:t>
      </w:r>
    </w:p>
    <w:p w:rsidR="001A7CE5" w:rsidRPr="00325BFB" w:rsidRDefault="001A7CE5" w:rsidP="001A7CE5">
      <w:pPr>
        <w:spacing w:line="276" w:lineRule="auto"/>
        <w:jc w:val="both"/>
        <w:rPr>
          <w:rFonts w:cs="Arial"/>
          <w:i/>
        </w:rPr>
      </w:pPr>
      <w:r w:rsidRPr="00325BFB">
        <w:rPr>
          <w:rFonts w:cs="Arial"/>
          <w:i/>
        </w:rPr>
        <w:t>[d] So if the market goes up by […]% the money you may get back will [</w:t>
      </w:r>
      <w:r w:rsidRPr="00325BFB">
        <w:rPr>
          <w:rFonts w:cs="Arial"/>
          <w:i/>
          <w:u w:val="single"/>
        </w:rPr>
        <w:t>rise equally with the market</w:t>
      </w:r>
      <w:r w:rsidRPr="00325BFB">
        <w:rPr>
          <w:rFonts w:cs="Arial"/>
          <w:i/>
        </w:rPr>
        <w:t xml:space="preserve"> / </w:t>
      </w:r>
      <w:r w:rsidRPr="00325BFB">
        <w:rPr>
          <w:rFonts w:cs="Arial"/>
          <w:i/>
          <w:u w:val="single"/>
        </w:rPr>
        <w:t>rise more than the market</w:t>
      </w:r>
      <w:r w:rsidRPr="00325BFB">
        <w:rPr>
          <w:rFonts w:cs="Arial"/>
          <w:i/>
        </w:rPr>
        <w:t xml:space="preserve"> / </w:t>
      </w:r>
      <w:r w:rsidRPr="00325BFB">
        <w:rPr>
          <w:rFonts w:cs="Arial"/>
          <w:i/>
          <w:u w:val="single"/>
        </w:rPr>
        <w:t>rise less than the market</w:t>
      </w:r>
      <w:r w:rsidRPr="00325BFB">
        <w:rPr>
          <w:rFonts w:cs="Arial"/>
          <w:i/>
        </w:rPr>
        <w:t>/ not rise any longer/ be cancelled].</w:t>
      </w:r>
    </w:p>
    <w:p w:rsidR="001A7CE5" w:rsidRPr="001A7CE5" w:rsidRDefault="001A7CE5" w:rsidP="001A7CE5">
      <w:pPr>
        <w:spacing w:line="276" w:lineRule="auto"/>
        <w:jc w:val="both"/>
        <w:rPr>
          <w:rFonts w:cs="Arial"/>
          <w:color w:val="00B050"/>
        </w:rPr>
      </w:pPr>
      <w:r w:rsidRPr="00325BFB">
        <w:rPr>
          <w:rFonts w:cs="Arial"/>
        </w:rPr>
        <w:t xml:space="preserve">The same </w:t>
      </w:r>
      <w:r w:rsidR="00460401">
        <w:rPr>
          <w:rFonts w:cs="Arial"/>
        </w:rPr>
        <w:t>applies to</w:t>
      </w:r>
      <w:r w:rsidRPr="00325BFB">
        <w:rPr>
          <w:rFonts w:cs="Arial"/>
        </w:rPr>
        <w:t xml:space="preserve"> letters [e] and [f].</w:t>
      </w:r>
    </w:p>
    <w:permEnd w:id="1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Pr="00CE251B" w:rsidRDefault="00CE251B" w:rsidP="003E4B00">
      <w:pPr>
        <w:rPr>
          <w:color w:val="FF0000"/>
        </w:rPr>
      </w:pPr>
      <w:permStart w:id="15" w:edGrp="everyone"/>
      <w:r w:rsidRPr="00325BFB">
        <w:lastRenderedPageBreak/>
        <w:t xml:space="preserve">We </w:t>
      </w:r>
      <w:r w:rsidR="00942412">
        <w:t>believe that</w:t>
      </w:r>
      <w:r w:rsidRPr="00325BFB">
        <w:t xml:space="preserve"> graphical presentation</w:t>
      </w:r>
      <w:r w:rsidR="00942412">
        <w:t xml:space="preserve"> is</w:t>
      </w:r>
      <w:r w:rsidR="0080186B">
        <w:t xml:space="preserve"> more understandable, but, </w:t>
      </w:r>
      <w:r w:rsidRPr="00325BFB">
        <w:t>once again</w:t>
      </w:r>
      <w:r w:rsidR="0080186B">
        <w:t>,</w:t>
      </w:r>
      <w:r w:rsidRPr="00325BFB">
        <w:t xml:space="preserve"> we urge </w:t>
      </w:r>
      <w:r w:rsidR="00942412">
        <w:t>that</w:t>
      </w:r>
      <w:r w:rsidRPr="00325BFB">
        <w:t xml:space="preserve"> </w:t>
      </w:r>
      <w:r w:rsidR="00942412" w:rsidRPr="00325BFB">
        <w:t>the doc</w:t>
      </w:r>
      <w:r w:rsidR="00942412" w:rsidRPr="00325BFB">
        <w:t>u</w:t>
      </w:r>
      <w:r w:rsidR="0080186B">
        <w:t xml:space="preserve">ment, </w:t>
      </w:r>
      <w:r w:rsidR="00942412" w:rsidRPr="00325BFB">
        <w:t>and all of its components</w:t>
      </w:r>
      <w:r w:rsidR="0080186B">
        <w:t>,</w:t>
      </w:r>
      <w:r w:rsidR="00942412" w:rsidRPr="00325BFB">
        <w:t xml:space="preserve"> </w:t>
      </w:r>
      <w:r w:rsidR="009C1DF3">
        <w:t>must be made as simple</w:t>
      </w:r>
      <w:r w:rsidR="00942412">
        <w:t xml:space="preserve"> as possible. FECIF really can</w:t>
      </w:r>
      <w:r w:rsidRPr="00325BFB">
        <w:t xml:space="preserve">not imagine </w:t>
      </w:r>
      <w:r w:rsidR="00942412">
        <w:t xml:space="preserve">an </w:t>
      </w:r>
      <w:r w:rsidRPr="00325BFB">
        <w:t xml:space="preserve">average customer going through all of the graphs, tables and text passages in detail. Only </w:t>
      </w:r>
      <w:r w:rsidR="00950B3D" w:rsidRPr="00325BFB">
        <w:t>the</w:t>
      </w:r>
      <w:r w:rsidRPr="00325BFB">
        <w:t xml:space="preserve"> most impo</w:t>
      </w:r>
      <w:r w:rsidRPr="00325BFB">
        <w:t>r</w:t>
      </w:r>
      <w:r w:rsidRPr="00325BFB">
        <w:t>tant information should be provided and highlighted</w:t>
      </w:r>
      <w:r w:rsidRPr="00706CB6">
        <w:t>.</w:t>
      </w:r>
      <w:r w:rsidR="007C5F54" w:rsidRPr="00706CB6">
        <w:t xml:space="preserve"> Moreover, it would be useful to have </w:t>
      </w:r>
      <w:r w:rsidR="00E01153" w:rsidRPr="00706CB6">
        <w:t>a large-scale testing in partnership with authorities</w:t>
      </w:r>
      <w:r w:rsidR="007C5F54" w:rsidRPr="00706CB6">
        <w:t xml:space="preserve"> before</w:t>
      </w:r>
      <w:r w:rsidR="00F959F6">
        <w:t>hand</w:t>
      </w:r>
      <w:r w:rsidR="007C5F54" w:rsidRPr="00706CB6">
        <w:t>.</w:t>
      </w:r>
    </w:p>
    <w:permEnd w:id="1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Pr="00CE251B" w:rsidRDefault="00942412" w:rsidP="003E4B00">
      <w:pPr>
        <w:rPr>
          <w:color w:val="FF0000"/>
        </w:rPr>
      </w:pPr>
      <w:permStart w:id="16" w:edGrp="everyone"/>
      <w:r>
        <w:t xml:space="preserve">Since </w:t>
      </w:r>
      <w:r w:rsidR="00CE251B" w:rsidRPr="00325BFB">
        <w:t>the basis for calculation of tran</w:t>
      </w:r>
      <w:r>
        <w:t>saction cost</w:t>
      </w:r>
      <w:r w:rsidR="00524ED4">
        <w:t>s</w:t>
      </w:r>
      <w:r>
        <w:t xml:space="preserve"> is too generic, we consider it</w:t>
      </w:r>
      <w:r w:rsidR="00CE251B" w:rsidRPr="00325BFB">
        <w:t xml:space="preserve"> should be calculated individually by the product provider, as soon as customer</w:t>
      </w:r>
      <w:r w:rsidR="00CA1B99">
        <w:t>s</w:t>
      </w:r>
      <w:r w:rsidR="00CE251B" w:rsidRPr="00325BFB">
        <w:t xml:space="preserve"> </w:t>
      </w:r>
      <w:r w:rsidR="00CA1B99">
        <w:t>decide to leave the product,</w:t>
      </w:r>
      <w:r w:rsidR="00CE251B" w:rsidRPr="00325BFB">
        <w:t xml:space="preserve"> </w:t>
      </w:r>
      <w:r>
        <w:t>before</w:t>
      </w:r>
      <w:r w:rsidR="00CE251B" w:rsidRPr="00325BFB">
        <w:t xml:space="preserve"> this dec</w:t>
      </w:r>
      <w:r w:rsidR="00CE251B" w:rsidRPr="00325BFB">
        <w:t>i</w:t>
      </w:r>
      <w:r w:rsidR="00CE251B" w:rsidRPr="00325BFB">
        <w:t xml:space="preserve">sion </w:t>
      </w:r>
      <w:r>
        <w:t>take</w:t>
      </w:r>
      <w:r w:rsidR="00CA1B99">
        <w:t>s</w:t>
      </w:r>
      <w:r>
        <w:t xml:space="preserve"> effect</w:t>
      </w:r>
      <w:r w:rsidR="00CE251B" w:rsidRPr="00325BFB">
        <w:t>.</w:t>
      </w:r>
    </w:p>
    <w:permEnd w:id="1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7" w:edGrp="everyone"/>
      <w:r>
        <w:t>TYPE YOUR TEXT HERE</w:t>
      </w:r>
    </w:p>
    <w:permEnd w:id="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4B0946" w:rsidRDefault="004B0946" w:rsidP="003E4B00">
      <w:permStart w:id="18" w:edGrp="everyone"/>
      <w:r>
        <w:t>F</w:t>
      </w:r>
      <w:r w:rsidRPr="004B0946">
        <w:t>irst of all</w:t>
      </w:r>
      <w:r w:rsidR="009D2FC9">
        <w:t>,</w:t>
      </w:r>
      <w:r w:rsidRPr="004B0946">
        <w:t xml:space="preserve"> </w:t>
      </w:r>
      <w:r w:rsidR="00B83D72">
        <w:t>FECIF</w:t>
      </w:r>
      <w:r w:rsidRPr="004B0946">
        <w:t xml:space="preserve"> do</w:t>
      </w:r>
      <w:r w:rsidR="00B83D72">
        <w:t>es</w:t>
      </w:r>
      <w:r>
        <w:t xml:space="preserve"> not understand why</w:t>
      </w:r>
      <w:r w:rsidR="00697782">
        <w:t xml:space="preserve"> in</w:t>
      </w:r>
      <w:r>
        <w:t xml:space="preserve"> </w:t>
      </w:r>
      <w:r w:rsidR="009D2FC9">
        <w:t xml:space="preserve">Annex VII </w:t>
      </w:r>
      <w:r w:rsidRPr="004B0946">
        <w:t xml:space="preserve">the comparison of product information </w:t>
      </w:r>
      <w:r>
        <w:t>works</w:t>
      </w:r>
      <w:r w:rsidRPr="004B0946">
        <w:t xml:space="preserve"> on the one hand </w:t>
      </w:r>
      <w:r>
        <w:t>with 1,000 EUR for</w:t>
      </w:r>
      <w:r w:rsidRPr="004B0946">
        <w:t xml:space="preserve"> investments and on the other hand with 15,000 </w:t>
      </w:r>
      <w:r>
        <w:t>EUR for</w:t>
      </w:r>
      <w:r w:rsidRPr="004B0946">
        <w:t xml:space="preserve"> insurance </w:t>
      </w:r>
      <w:r>
        <w:t>PRIIPs</w:t>
      </w:r>
      <w:r w:rsidRPr="004B0946">
        <w:t>. We be</w:t>
      </w:r>
      <w:r>
        <w:t>lieve an equal a</w:t>
      </w:r>
      <w:r w:rsidRPr="004B0946">
        <w:t>mo</w:t>
      </w:r>
      <w:r>
        <w:t>un</w:t>
      </w:r>
      <w:r w:rsidRPr="004B0946">
        <w:t xml:space="preserve">t </w:t>
      </w:r>
      <w:r>
        <w:t xml:space="preserve">would </w:t>
      </w:r>
      <w:r w:rsidR="00697782">
        <w:t>work</w:t>
      </w:r>
      <w:r>
        <w:t xml:space="preserve"> better in this regard, </w:t>
      </w:r>
      <w:r w:rsidR="009D2FC9">
        <w:t>so</w:t>
      </w:r>
      <w:r w:rsidRPr="004B0946">
        <w:t xml:space="preserve"> we</w:t>
      </w:r>
      <w:r>
        <w:t xml:space="preserve"> suggest</w:t>
      </w:r>
      <w:r w:rsidRPr="004B0946">
        <w:t xml:space="preserve"> </w:t>
      </w:r>
      <w:r w:rsidR="00697782">
        <w:t xml:space="preserve">an amount of </w:t>
      </w:r>
      <w:r w:rsidRPr="004B0946">
        <w:t xml:space="preserve">10,000 </w:t>
      </w:r>
      <w:r>
        <w:t>EUR for every kind of product</w:t>
      </w:r>
      <w:r w:rsidRPr="004B0946">
        <w:t xml:space="preserve">. </w:t>
      </w:r>
    </w:p>
    <w:p w:rsidR="009D2FC9" w:rsidRDefault="004B0946" w:rsidP="003E4B00">
      <w:r>
        <w:t>Having said this,</w:t>
      </w:r>
      <w:r w:rsidRPr="004B0946">
        <w:t xml:space="preserve"> we </w:t>
      </w:r>
      <w:r w:rsidR="009D2FC9">
        <w:t>agree</w:t>
      </w:r>
      <w:r w:rsidR="009D2FC9" w:rsidRPr="004B0946">
        <w:t xml:space="preserve"> </w:t>
      </w:r>
      <w:r w:rsidR="00697782">
        <w:t>with the fact t</w:t>
      </w:r>
      <w:r w:rsidRPr="004B0946">
        <w:t xml:space="preserve">hat the monetary value should reflect the sum of </w:t>
      </w:r>
      <w:r w:rsidR="00697782">
        <w:t xml:space="preserve">the </w:t>
      </w:r>
      <w:r w:rsidRPr="004B0946">
        <w:t>cost</w:t>
      </w:r>
      <w:r w:rsidR="00697782">
        <w:t>s</w:t>
      </w:r>
      <w:r w:rsidRPr="004B0946">
        <w:t xml:space="preserve"> over the respective holding</w:t>
      </w:r>
      <w:r w:rsidR="00697782">
        <w:t xml:space="preserve"> period. This </w:t>
      </w:r>
      <w:r w:rsidR="00524ED4">
        <w:t xml:space="preserve">is </w:t>
      </w:r>
      <w:r w:rsidRPr="004B0946">
        <w:t xml:space="preserve">because </w:t>
      </w:r>
      <w:r>
        <w:t xml:space="preserve">products like </w:t>
      </w:r>
      <w:r w:rsidRPr="004B0946">
        <w:t xml:space="preserve">insurance </w:t>
      </w:r>
      <w:r>
        <w:t>PRIIPs</w:t>
      </w:r>
      <w:r w:rsidRPr="004B0946">
        <w:t xml:space="preserve"> generate their revenues only </w:t>
      </w:r>
      <w:r>
        <w:t>after</w:t>
      </w:r>
      <w:r w:rsidRPr="004B0946">
        <w:t xml:space="preserve"> a full </w:t>
      </w:r>
      <w:r w:rsidR="009D2FC9">
        <w:t xml:space="preserve">(multi-year) </w:t>
      </w:r>
      <w:r w:rsidRPr="004B0946">
        <w:t>holding</w:t>
      </w:r>
      <w:r>
        <w:t xml:space="preserve"> </w:t>
      </w:r>
      <w:r w:rsidR="009D2FC9">
        <w:t>period</w:t>
      </w:r>
      <w:r w:rsidR="00697782">
        <w:t>, and an</w:t>
      </w:r>
      <w:r w:rsidRPr="004B0946">
        <w:t xml:space="preserve"> </w:t>
      </w:r>
      <w:r w:rsidR="009D2FC9" w:rsidRPr="004B0946">
        <w:t>an</w:t>
      </w:r>
      <w:r w:rsidR="009D2FC9">
        <w:t>nualized amount</w:t>
      </w:r>
      <w:r w:rsidRPr="004B0946">
        <w:t xml:space="preserve"> would lead to </w:t>
      </w:r>
      <w:r w:rsidR="009D2FC9">
        <w:t>deviant results.</w:t>
      </w:r>
    </w:p>
    <w:p w:rsidR="003E4B00" w:rsidRPr="003E4B00" w:rsidRDefault="009D2FC9" w:rsidP="003E4B00">
      <w:pPr>
        <w:rPr>
          <w:lang w:val="fr-FR"/>
        </w:rPr>
      </w:pPr>
      <w:r>
        <w:t xml:space="preserve">The EC preliminary Impact Assessments clearly </w:t>
      </w:r>
      <w:r w:rsidR="00524ED4">
        <w:t>outline</w:t>
      </w:r>
      <w:r w:rsidR="00482640">
        <w:t xml:space="preserve"> the key problem driver of retail products and </w:t>
      </w:r>
      <w:r w:rsidR="00B83D72">
        <w:t>FECIF</w:t>
      </w:r>
      <w:r w:rsidR="00482640">
        <w:t xml:space="preserve"> </w:t>
      </w:r>
      <w:r w:rsidR="00B83D72">
        <w:t xml:space="preserve">is </w:t>
      </w:r>
      <w:r w:rsidR="00482640">
        <w:t>aware that the KID for PRIIPs is an attempt to compare incommensurable investment products.</w:t>
      </w:r>
      <w:r>
        <w:t xml:space="preserve"> </w:t>
      </w:r>
      <w:r w:rsidR="004B0946" w:rsidRPr="004B0946">
        <w:t xml:space="preserve"> </w:t>
      </w:r>
      <w:permEnd w:id="18"/>
      <w:r w:rsidR="003E4B00" w:rsidRPr="00580880">
        <w:rPr>
          <w:lang w:val="fr-FR"/>
        </w:rPr>
        <w:t>&lt;ESMA_QUESTION_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9" w:edGrp="everyone"/>
      <w:r>
        <w:t>TYPE YOUR TEXT HERE</w:t>
      </w:r>
    </w:p>
    <w:permEnd w:id="1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C1075D" w:rsidRPr="00325BFB" w:rsidRDefault="00C1075D" w:rsidP="00491E49">
      <w:permStart w:id="20" w:edGrp="everyone"/>
      <w:r>
        <w:t>FECIF asks for a clear notion of the technical term “fair value” of an insurance policy. Without such a definition, the concept seems a soft return to central planning, where some sort of “fair value” or “fair pricing” rules substitute market forces. We are strongly against depriving customers of their rights to choose from differently priced and constructed products, introduced within a highly competitive market. Under the condition that a workable solution for insurance products is found, this figure could be included in a separate line in the cost table, with a brief explanation of the notion of fair value</w:t>
      </w:r>
    </w:p>
    <w:permEnd w:id="2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Pr="00325BFB" w:rsidRDefault="00697782" w:rsidP="00491E49">
      <w:permStart w:id="21" w:edGrp="everyone"/>
      <w:r>
        <w:t>FECIF</w:t>
      </w:r>
      <w:r w:rsidR="005B0711">
        <w:t xml:space="preserve"> </w:t>
      </w:r>
      <w:r>
        <w:t>considers</w:t>
      </w:r>
      <w:r w:rsidR="00CE251B" w:rsidRPr="00325BFB">
        <w:t xml:space="preserve"> </w:t>
      </w:r>
      <w:r w:rsidR="003654E9">
        <w:t>th</w:t>
      </w:r>
      <w:r w:rsidR="00C1075D">
        <w:t>at</w:t>
      </w:r>
      <w:bookmarkStart w:id="3" w:name="_GoBack"/>
      <w:bookmarkEnd w:id="3"/>
      <w:r w:rsidR="003654E9">
        <w:t xml:space="preserve"> </w:t>
      </w:r>
      <w:r w:rsidR="000369CE">
        <w:t>absolute (monetary) values</w:t>
      </w:r>
      <w:r w:rsidR="00524ED4">
        <w:t xml:space="preserve"> </w:t>
      </w:r>
      <w:r w:rsidR="00C1075D">
        <w:t xml:space="preserve">are </w:t>
      </w:r>
      <w:r w:rsidR="00524ED4" w:rsidRPr="00325BFB">
        <w:t>unacceptable</w:t>
      </w:r>
      <w:r w:rsidR="000369CE">
        <w:t xml:space="preserve">, </w:t>
      </w:r>
      <w:r w:rsidR="00524ED4">
        <w:t>they seem</w:t>
      </w:r>
      <w:r w:rsidR="00CE251B" w:rsidRPr="00325BFB">
        <w:t xml:space="preserve"> highly misleadin</w:t>
      </w:r>
      <w:r w:rsidR="00811C71" w:rsidRPr="00325BFB">
        <w:t xml:space="preserve">g (typically when compared to a </w:t>
      </w:r>
      <w:r w:rsidR="00CE251B" w:rsidRPr="00325BFB">
        <w:t xml:space="preserve">relatively low regular payment). </w:t>
      </w:r>
      <w:r w:rsidR="003654E9">
        <w:t>The</w:t>
      </w:r>
      <w:r w:rsidR="00DF1867" w:rsidRPr="00325BFB">
        <w:t xml:space="preserve"> risk </w:t>
      </w:r>
      <w:r w:rsidR="003654E9">
        <w:t xml:space="preserve">is </w:t>
      </w:r>
      <w:r w:rsidR="00DF1867" w:rsidRPr="00325BFB">
        <w:t>th</w:t>
      </w:r>
      <w:r w:rsidR="003654E9">
        <w:t>at retail investors are biased</w:t>
      </w:r>
      <w:r w:rsidR="00325BFB" w:rsidRPr="00325BFB">
        <w:t xml:space="preserve"> </w:t>
      </w:r>
      <w:r w:rsidR="00DF1867" w:rsidRPr="00325BFB">
        <w:t>as</w:t>
      </w:r>
      <w:r w:rsidR="00325BFB" w:rsidRPr="00325BFB">
        <w:t xml:space="preserve"> </w:t>
      </w:r>
      <w:r w:rsidR="00DF1867" w:rsidRPr="00325BFB">
        <w:t xml:space="preserve">much as they perceive monetary values as fixed amounts, without realizing that the amount they will actually pay may be different from the one shown, because </w:t>
      </w:r>
      <w:r w:rsidR="009F5347">
        <w:t xml:space="preserve">the </w:t>
      </w:r>
      <w:r w:rsidR="00DF1867" w:rsidRPr="00325BFB">
        <w:t xml:space="preserve">real costs depend on contractual terms and the amount invested. </w:t>
      </w:r>
      <w:r w:rsidR="00CE251B" w:rsidRPr="00325BFB">
        <w:t xml:space="preserve">Relative (percentage) figures are appropriate </w:t>
      </w:r>
      <w:r w:rsidR="00811C71" w:rsidRPr="00325BFB">
        <w:t xml:space="preserve">and sufficient, </w:t>
      </w:r>
      <w:r w:rsidR="00CE251B" w:rsidRPr="00325BFB">
        <w:t>as they give customer</w:t>
      </w:r>
      <w:r w:rsidR="009F5347">
        <w:t>s</w:t>
      </w:r>
      <w:r w:rsidR="00CE251B" w:rsidRPr="00325BFB">
        <w:t xml:space="preserve"> </w:t>
      </w:r>
      <w:r w:rsidR="009F5347">
        <w:t xml:space="preserve">a </w:t>
      </w:r>
      <w:r w:rsidR="00CE251B" w:rsidRPr="00325BFB">
        <w:t>clear i</w:t>
      </w:r>
      <w:r w:rsidR="00811C71" w:rsidRPr="00325BFB">
        <w:t>dea</w:t>
      </w:r>
      <w:r w:rsidR="00CE251B" w:rsidRPr="00325BFB">
        <w:t xml:space="preserve"> of </w:t>
      </w:r>
      <w:r w:rsidR="00811C71" w:rsidRPr="00325BFB">
        <w:t>what</w:t>
      </w:r>
      <w:r w:rsidR="00950B3D" w:rsidRPr="00325BFB">
        <w:t xml:space="preserve"> share of </w:t>
      </w:r>
      <w:r w:rsidR="00524ED4">
        <w:t>their</w:t>
      </w:r>
      <w:r w:rsidR="00CE251B" w:rsidRPr="00325BFB">
        <w:t xml:space="preserve"> money is taken away by </w:t>
      </w:r>
      <w:r w:rsidR="00950B3D" w:rsidRPr="00325BFB">
        <w:t xml:space="preserve">the </w:t>
      </w:r>
      <w:r w:rsidR="00CE251B" w:rsidRPr="00325BFB">
        <w:t>product costs.</w:t>
      </w:r>
      <w:r w:rsidR="00DF1867" w:rsidRPr="00325BFB">
        <w:t xml:space="preserve"> </w:t>
      </w:r>
    </w:p>
    <w:p w:rsidR="00CE251B" w:rsidRPr="00CE251B" w:rsidRDefault="00811C71" w:rsidP="00491E49">
      <w:pPr>
        <w:rPr>
          <w:color w:val="FF0000"/>
        </w:rPr>
      </w:pPr>
      <w:r w:rsidRPr="00325BFB">
        <w:t xml:space="preserve">Note: </w:t>
      </w:r>
      <w:r w:rsidR="00CE251B" w:rsidRPr="00325BFB">
        <w:t xml:space="preserve">Any consumer not able to work with simple </w:t>
      </w:r>
      <w:r w:rsidR="009F5347" w:rsidRPr="00325BFB">
        <w:t xml:space="preserve">mathematics </w:t>
      </w:r>
      <w:r w:rsidR="00524ED4">
        <w:t xml:space="preserve">and </w:t>
      </w:r>
      <w:r w:rsidR="00CE251B" w:rsidRPr="00325BFB">
        <w:t>percentage</w:t>
      </w:r>
      <w:r w:rsidR="00524ED4">
        <w:t>s</w:t>
      </w:r>
      <w:r w:rsidR="00CE251B" w:rsidRPr="00325BFB">
        <w:t xml:space="preserve"> should </w:t>
      </w:r>
      <w:r w:rsidR="00524ED4">
        <w:t xml:space="preserve">not </w:t>
      </w:r>
      <w:r w:rsidR="00CE251B" w:rsidRPr="00325BFB">
        <w:t xml:space="preserve">be allowed to contract </w:t>
      </w:r>
      <w:r w:rsidRPr="00325BFB">
        <w:t>any other product</w:t>
      </w:r>
      <w:r w:rsidR="00CE251B" w:rsidRPr="00325BFB">
        <w:t xml:space="preserve"> than </w:t>
      </w:r>
      <w:r w:rsidR="00524ED4">
        <w:t xml:space="preserve">a </w:t>
      </w:r>
      <w:r w:rsidR="00CE251B" w:rsidRPr="00325BFB">
        <w:t>simple bank account</w:t>
      </w:r>
      <w:r w:rsidRPr="00325BFB">
        <w:t xml:space="preserve"> (ad. appropriateness test)</w:t>
      </w:r>
      <w:r w:rsidR="00CE251B" w:rsidRPr="00325BFB">
        <w:t>.</w:t>
      </w:r>
    </w:p>
    <w:permEnd w:id="21"/>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lastRenderedPageBreak/>
        <w:t>&lt;ESMA_QUESTION_PRIIPS_22&gt;</w:t>
      </w:r>
    </w:p>
    <w:p w:rsidR="00491E49" w:rsidRPr="00811C71" w:rsidRDefault="00FB6BC0" w:rsidP="00491E49">
      <w:pPr>
        <w:rPr>
          <w:lang w:val="cs-CZ"/>
        </w:rPr>
      </w:pPr>
      <w:permStart w:id="22" w:edGrp="everyone"/>
      <w:r w:rsidRPr="00325BFB">
        <w:t>No,</w:t>
      </w:r>
      <w:r w:rsidR="000369CE">
        <w:t xml:space="preserve"> </w:t>
      </w:r>
      <w:r w:rsidR="007B2A58">
        <w:t>we do not, even if</w:t>
      </w:r>
      <w:r w:rsidR="00402256" w:rsidRPr="00325BFB">
        <w:t xml:space="preserve"> any graphic presentation </w:t>
      </w:r>
      <w:r w:rsidR="00A67CD7" w:rsidRPr="00325BFB">
        <w:t xml:space="preserve">would be helpful </w:t>
      </w:r>
      <w:r w:rsidR="003654E9">
        <w:t>with regard to the</w:t>
      </w:r>
      <w:r w:rsidR="00A67CD7" w:rsidRPr="00325BFB">
        <w:t xml:space="preserve"> general consumer understand</w:t>
      </w:r>
      <w:r w:rsidR="00402256" w:rsidRPr="00325BFB">
        <w:t>ing.</w:t>
      </w:r>
      <w:r w:rsidR="00DF5601" w:rsidRPr="00325BFB">
        <w:t xml:space="preserve"> </w:t>
      </w:r>
      <w:r w:rsidR="007B2A58">
        <w:t>T</w:t>
      </w:r>
      <w:r w:rsidR="00DF5601" w:rsidRPr="00325BFB">
        <w:t>here</w:t>
      </w:r>
      <w:r w:rsidR="00A67CD7" w:rsidRPr="00325BFB">
        <w:t xml:space="preserve"> should be</w:t>
      </w:r>
      <w:r w:rsidR="003654E9">
        <w:t xml:space="preserve"> a</w:t>
      </w:r>
      <w:r w:rsidR="00A67CD7" w:rsidRPr="00325BFB">
        <w:t xml:space="preserve"> wise cho</w:t>
      </w:r>
      <w:r w:rsidR="003654E9">
        <w:t>ice of</w:t>
      </w:r>
      <w:r w:rsidR="00DF5601" w:rsidRPr="00325BFB">
        <w:t xml:space="preserve"> </w:t>
      </w:r>
      <w:r w:rsidR="003654E9">
        <w:t>the</w:t>
      </w:r>
      <w:r w:rsidR="007B2A58">
        <w:t xml:space="preserve"> data, taking into account that t</w:t>
      </w:r>
      <w:r w:rsidR="00A67CD7" w:rsidRPr="00325BFB">
        <w:t xml:space="preserve">here will always </w:t>
      </w:r>
      <w:r w:rsidR="00524ED4">
        <w:t xml:space="preserve">be </w:t>
      </w:r>
      <w:r w:rsidR="00A67CD7" w:rsidRPr="00325BFB">
        <w:t xml:space="preserve">a weighing of interests </w:t>
      </w:r>
      <w:r w:rsidRPr="00325BFB">
        <w:t>if these</w:t>
      </w:r>
      <w:r w:rsidR="00DF5601" w:rsidRPr="00325BFB">
        <w:t xml:space="preserve"> improve consumer assessments. </w:t>
      </w:r>
      <w:r w:rsidR="00B83D72" w:rsidRPr="00325BFB">
        <w:t>FECIF</w:t>
      </w:r>
      <w:r w:rsidR="00A67CD7" w:rsidRPr="00325BFB">
        <w:t xml:space="preserve"> believe</w:t>
      </w:r>
      <w:r w:rsidR="00B83D72" w:rsidRPr="00325BFB">
        <w:t>s</w:t>
      </w:r>
      <w:r w:rsidR="00A67CD7" w:rsidRPr="00325BFB">
        <w:t xml:space="preserve"> that the proposed breakout table do</w:t>
      </w:r>
      <w:r w:rsidR="00402256" w:rsidRPr="00325BFB">
        <w:t>es</w:t>
      </w:r>
      <w:r w:rsidR="007B2A58">
        <w:t xml:space="preserve"> not </w:t>
      </w:r>
      <w:r w:rsidR="00524ED4">
        <w:t>provide</w:t>
      </w:r>
      <w:r w:rsidR="00A67CD7" w:rsidRPr="00325BFB">
        <w:t xml:space="preserve"> consumer</w:t>
      </w:r>
      <w:r w:rsidR="007B2A58">
        <w:t>s</w:t>
      </w:r>
      <w:r w:rsidR="00A67CD7" w:rsidRPr="00325BFB">
        <w:t xml:space="preserve"> </w:t>
      </w:r>
      <w:r w:rsidR="00524ED4">
        <w:t xml:space="preserve">with </w:t>
      </w:r>
      <w:r w:rsidR="00A67CD7" w:rsidRPr="00325BFB">
        <w:t>a better overview</w:t>
      </w:r>
      <w:r w:rsidR="00811C71" w:rsidRPr="00325BFB">
        <w:t>.</w:t>
      </w:r>
      <w:r w:rsidR="003654E9">
        <w:t xml:space="preserve"> On the contrary, it is possible to have an opp</w:t>
      </w:r>
      <w:r w:rsidR="003654E9">
        <w:t>o</w:t>
      </w:r>
      <w:r w:rsidR="003654E9">
        <w:t xml:space="preserve">site </w:t>
      </w:r>
      <w:r w:rsidR="00952EFD">
        <w:t xml:space="preserve">outcome: </w:t>
      </w:r>
      <w:r w:rsidR="003654E9">
        <w:t xml:space="preserve">the consumer could be </w:t>
      </w:r>
      <w:r w:rsidR="00811C71" w:rsidRPr="00325BFB">
        <w:t>overwhelmed by the sheer amount of information (see previous questions).</w:t>
      </w:r>
    </w:p>
    <w:permEnd w:id="22"/>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C722FD" w:rsidRPr="00325BFB" w:rsidRDefault="00811C71" w:rsidP="00491E49">
      <w:permStart w:id="23" w:edGrp="everyone"/>
      <w:r w:rsidRPr="00325BFB">
        <w:t xml:space="preserve">FECIF does not feel </w:t>
      </w:r>
      <w:r w:rsidR="00B91B54">
        <w:t xml:space="preserve">that </w:t>
      </w:r>
      <w:r w:rsidRPr="00325BFB">
        <w:t xml:space="preserve">providing such information would be </w:t>
      </w:r>
      <w:r w:rsidR="00F171A2">
        <w:t>a</w:t>
      </w:r>
      <w:r w:rsidRPr="00325BFB">
        <w:t xml:space="preserve"> real additional benefit</w:t>
      </w:r>
      <w:r w:rsidR="003654E9">
        <w:t xml:space="preserve"> for the average retail consumer. At the same time, it</w:t>
      </w:r>
      <w:r w:rsidRPr="00325BFB">
        <w:t xml:space="preserve"> would </w:t>
      </w:r>
      <w:r w:rsidR="003654E9">
        <w:t xml:space="preserve">not </w:t>
      </w:r>
      <w:r w:rsidRPr="00325BFB">
        <w:t xml:space="preserve">outweigh the deterrent created by </w:t>
      </w:r>
      <w:r w:rsidR="00F171A2" w:rsidRPr="00325BFB">
        <w:t xml:space="preserve">overwhelming </w:t>
      </w:r>
      <w:r w:rsidRPr="00325BFB">
        <w:t>inform</w:t>
      </w:r>
      <w:r w:rsidRPr="00325BFB">
        <w:t>a</w:t>
      </w:r>
      <w:r w:rsidRPr="00325BFB">
        <w:t xml:space="preserve">tion. </w:t>
      </w:r>
      <w:r w:rsidR="003654E9">
        <w:t>Therefore</w:t>
      </w:r>
      <w:r w:rsidRPr="00325BFB">
        <w:t>, FECIF opts for a single obligatory “moderate” scenario.</w:t>
      </w:r>
    </w:p>
    <w:p w:rsidR="00491E49" w:rsidRPr="00C722FD" w:rsidRDefault="00C722FD" w:rsidP="00491E49">
      <w:pPr>
        <w:rPr>
          <w:color w:val="00B050"/>
        </w:rPr>
      </w:pPr>
      <w:r w:rsidRPr="00325BFB">
        <w:t>Moreover, we support policy Option 2.3: performance fees should be shown separately from the total cost indicator, because the actual value of performanc</w:t>
      </w:r>
      <w:r w:rsidR="00F171A2">
        <w:t>e fees will be known only on</w:t>
      </w:r>
      <w:r w:rsidR="008F6574">
        <w:t xml:space="preserve"> an</w:t>
      </w:r>
      <w:r w:rsidR="00F171A2">
        <w:t xml:space="preserve"> </w:t>
      </w:r>
      <w:r w:rsidRPr="00325BFB">
        <w:t>ex-post basis. A sep</w:t>
      </w:r>
      <w:r w:rsidRPr="00325BFB">
        <w:t>a</w:t>
      </w:r>
      <w:r w:rsidRPr="00325BFB">
        <w:t xml:space="preserve">rate presentation of performance fees is needed to enable investors to realize that performance fees differ from all the other costs (performance fees are incidental costs which cannot exactly </w:t>
      </w:r>
      <w:r w:rsidR="006B11C7">
        <w:t xml:space="preserve">be </w:t>
      </w:r>
      <w:r w:rsidRPr="00325BFB">
        <w:t>known from the start).</w:t>
      </w:r>
    </w:p>
    <w:permEnd w:id="23"/>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Pr="00325BFB" w:rsidRDefault="00C12A3A" w:rsidP="00491E49">
      <w:permStart w:id="24" w:edGrp="everyone"/>
      <w:r w:rsidRPr="00C12A3A">
        <w:t xml:space="preserve">Yes, FECIF would prefer a combination of table 1 and 2, because the given, combined information is more detailed, mainly due to the explanation of table 2 and the timeline of table 1, and </w:t>
      </w:r>
      <w:r w:rsidR="006B11C7">
        <w:t>more</w:t>
      </w:r>
      <w:r w:rsidRPr="00C12A3A">
        <w:t xml:space="preserve"> revealing for the retail consumer. Specifically, costs should be shown in percentage figures, split between one-off, recurring and incidental costs and calculated as a percentage of the NAV. This presentation would be complete and easy to understand by investors.</w:t>
      </w:r>
    </w:p>
    <w:permEnd w:id="2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25" w:edGrp="everyone"/>
      <w:r>
        <w:t>TYPE YOUR TEXT HERE</w:t>
      </w:r>
    </w:p>
    <w:permEnd w:id="2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lastRenderedPageBreak/>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11C71" w:rsidRPr="00325BFB" w:rsidRDefault="00583517" w:rsidP="00847BB0">
      <w:permStart w:id="26" w:edGrp="everyone"/>
      <w:r>
        <w:t xml:space="preserve">In general, retail investors may find difficult to understand the meaning of RIY figures. </w:t>
      </w:r>
      <w:r w:rsidR="005519CD">
        <w:t xml:space="preserve">Expressing </w:t>
      </w:r>
      <w:r>
        <w:t xml:space="preserve">costs as a percentage of the NAV might be an </w:t>
      </w:r>
      <w:r w:rsidR="005519CD">
        <w:t xml:space="preserve">easier </w:t>
      </w:r>
      <w:r>
        <w:t>alternative</w:t>
      </w:r>
      <w:r w:rsidR="005519CD">
        <w:t xml:space="preserve"> in order to allow them to </w:t>
      </w:r>
      <w:r>
        <w:t>understan</w:t>
      </w:r>
      <w:r w:rsidR="005519CD">
        <w:t xml:space="preserve">d. </w:t>
      </w:r>
      <w:r w:rsidR="00811C71" w:rsidRPr="00325BFB">
        <w:t xml:space="preserve">As with Q23, FECIF does not feel </w:t>
      </w:r>
      <w:r w:rsidR="00B4110B">
        <w:t xml:space="preserve">that </w:t>
      </w:r>
      <w:r w:rsidR="00811C71" w:rsidRPr="00325BFB">
        <w:t xml:space="preserve">providing </w:t>
      </w:r>
      <w:r>
        <w:t>more</w:t>
      </w:r>
      <w:r w:rsidR="00811C71" w:rsidRPr="00325BFB">
        <w:t xml:space="preserve"> information would be </w:t>
      </w:r>
      <w:r w:rsidR="006B11C7">
        <w:t xml:space="preserve">a </w:t>
      </w:r>
      <w:r w:rsidR="00811C71" w:rsidRPr="00325BFB">
        <w:t xml:space="preserve">real additional benefit to </w:t>
      </w:r>
      <w:r w:rsidR="006B11C7">
        <w:t xml:space="preserve">the </w:t>
      </w:r>
      <w:r w:rsidR="00811C71" w:rsidRPr="00325BFB">
        <w:t xml:space="preserve">average retail consumer, or that it would outweigh the </w:t>
      </w:r>
      <w:r>
        <w:t>confusion</w:t>
      </w:r>
      <w:r w:rsidR="00811C71" w:rsidRPr="00325BFB">
        <w:t xml:space="preserve"> created by </w:t>
      </w:r>
      <w:r>
        <w:t>information overload</w:t>
      </w:r>
      <w:r w:rsidR="00811C71" w:rsidRPr="00325BFB">
        <w:t xml:space="preserve">. </w:t>
      </w:r>
      <w:r>
        <w:t>Against this bac</w:t>
      </w:r>
      <w:r>
        <w:t>k</w:t>
      </w:r>
      <w:r>
        <w:t>ground</w:t>
      </w:r>
      <w:r w:rsidR="00811C71" w:rsidRPr="00325BFB">
        <w:t xml:space="preserve">, FECIF </w:t>
      </w:r>
      <w:r w:rsidR="00B4110B">
        <w:t>is</w:t>
      </w:r>
      <w:r>
        <w:t xml:space="preserve"> in favour of</w:t>
      </w:r>
      <w:r w:rsidR="00706CB6">
        <w:t xml:space="preserve"> single, </w:t>
      </w:r>
      <w:r>
        <w:t xml:space="preserve">synthetic </w:t>
      </w:r>
      <w:r w:rsidR="00706CB6">
        <w:t xml:space="preserve">and clear </w:t>
      </w:r>
      <w:r>
        <w:t>information on costs.</w:t>
      </w:r>
    </w:p>
    <w:p w:rsidR="00811C71" w:rsidRDefault="00811C71" w:rsidP="00847BB0">
      <w:pPr>
        <w:rPr>
          <w:color w:val="FF0000"/>
        </w:rPr>
      </w:pPr>
      <w:r w:rsidRPr="00325BFB">
        <w:t xml:space="preserve">For </w:t>
      </w:r>
      <w:r w:rsidR="00583517">
        <w:t>experienced</w:t>
      </w:r>
      <w:r w:rsidRPr="00325BFB">
        <w:t xml:space="preserve"> consumers, detailed information </w:t>
      </w:r>
      <w:r w:rsidR="00950B3D" w:rsidRPr="00325BFB">
        <w:t>should be</w:t>
      </w:r>
      <w:r w:rsidRPr="00325BFB">
        <w:t xml:space="preserve"> provided in the supplementary documents.</w:t>
      </w:r>
    </w:p>
    <w:permEnd w:id="2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09080A" w:rsidRDefault="00F62090" w:rsidP="00E33605">
      <w:permStart w:id="27" w:edGrp="everyone"/>
      <w:r>
        <w:t xml:space="preserve">FECIF is in </w:t>
      </w:r>
      <w:r w:rsidRPr="00C278B8">
        <w:t xml:space="preserve">favour of showing </w:t>
      </w:r>
      <w:r w:rsidR="00811C71" w:rsidRPr="00C278B8">
        <w:t xml:space="preserve">a single </w:t>
      </w:r>
      <w:r w:rsidRPr="00C278B8">
        <w:t>RIY figure as suggested in Annex VII</w:t>
      </w:r>
      <w:r w:rsidR="008A61AA">
        <w:t>; e</w:t>
      </w:r>
      <w:r w:rsidRPr="00C278B8">
        <w:t xml:space="preserve">ven though the RIY is not the perfect solution due to </w:t>
      </w:r>
      <w:r w:rsidR="00402256" w:rsidRPr="00C278B8">
        <w:t>it</w:t>
      </w:r>
      <w:r w:rsidR="008A61AA">
        <w:t>s</w:t>
      </w:r>
      <w:r w:rsidRPr="00C278B8">
        <w:t xml:space="preserve"> high complexity</w:t>
      </w:r>
      <w:r w:rsidR="001B591E">
        <w:t xml:space="preserve">. </w:t>
      </w:r>
      <w:r w:rsidR="00E33605">
        <w:t xml:space="preserve">Retail investors may find </w:t>
      </w:r>
      <w:r w:rsidR="008A61AA">
        <w:t xml:space="preserve">it </w:t>
      </w:r>
      <w:r w:rsidR="00E33605">
        <w:t xml:space="preserve">easier to understand costs expressed as a percentage of the NAV. However, FECIF </w:t>
      </w:r>
      <w:r w:rsidR="005519CD">
        <w:t>believes</w:t>
      </w:r>
      <w:r w:rsidR="00E33605">
        <w:t xml:space="preserve"> that efficient decision-making needs one key figure as </w:t>
      </w:r>
      <w:r w:rsidR="008A61AA">
        <w:t xml:space="preserve">a </w:t>
      </w:r>
      <w:r w:rsidR="00E33605">
        <w:t>reliable basis. Therefore this key figure has to include all costs of an investment so that in a</w:t>
      </w:r>
      <w:r w:rsidR="005519CD">
        <w:t xml:space="preserve">ddition with the risk indicator, </w:t>
      </w:r>
      <w:r w:rsidR="00E33605">
        <w:t xml:space="preserve">retail investors </w:t>
      </w:r>
      <w:r w:rsidR="008B019B">
        <w:t xml:space="preserve">are really able to compare products. </w:t>
      </w:r>
      <w:r w:rsidR="008B019B" w:rsidRPr="00325BFB">
        <w:t xml:space="preserve">For </w:t>
      </w:r>
      <w:r w:rsidR="008B019B">
        <w:t>experienced</w:t>
      </w:r>
      <w:r w:rsidR="008B019B" w:rsidRPr="00325BFB">
        <w:t xml:space="preserve"> consumers, </w:t>
      </w:r>
      <w:r w:rsidR="008A61AA">
        <w:t xml:space="preserve">further </w:t>
      </w:r>
      <w:r w:rsidR="008B019B">
        <w:t>presentation of costs</w:t>
      </w:r>
      <w:r w:rsidR="008B019B" w:rsidRPr="00325BFB">
        <w:t xml:space="preserve"> should be provided in the supplementary documents</w:t>
      </w:r>
    </w:p>
    <w:permEnd w:id="2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811C71" w:rsidRPr="00C278B8" w:rsidRDefault="00811C71" w:rsidP="00491E49">
      <w:permStart w:id="28" w:edGrp="everyone"/>
      <w:r w:rsidRPr="00C278B8">
        <w:t xml:space="preserve">We wish to stress once again the risks associated with the overly detailed regulation and overwhelming information prescribed to the KID form. These are not </w:t>
      </w:r>
      <w:r w:rsidR="005519CD" w:rsidRPr="00C278B8">
        <w:t xml:space="preserve">only </w:t>
      </w:r>
      <w:r w:rsidRPr="00C278B8">
        <w:t xml:space="preserve">related to the product manufacturers and distributors (admin. burden), but also to the customer, who would not take the excessive information into account, including the crucial </w:t>
      </w:r>
      <w:r w:rsidR="00950B3D" w:rsidRPr="00C278B8">
        <w:t>passages.</w:t>
      </w:r>
    </w:p>
    <w:p w:rsidR="00950B3D" w:rsidRPr="00C278B8" w:rsidRDefault="00950B3D" w:rsidP="00491E49">
      <w:r w:rsidRPr="00C278B8">
        <w:t xml:space="preserve">Although we appreciate the possibility to submit our view on this, we </w:t>
      </w:r>
      <w:r w:rsidR="005519CD">
        <w:t xml:space="preserve">believe that </w:t>
      </w:r>
      <w:r w:rsidR="005519CD" w:rsidRPr="00C278B8">
        <w:t xml:space="preserve">ESMA </w:t>
      </w:r>
      <w:r w:rsidRPr="00C278B8">
        <w:t>can do</w:t>
      </w:r>
      <w:r w:rsidR="005519CD">
        <w:t xml:space="preserve"> much more</w:t>
      </w:r>
      <w:r w:rsidR="004C6D40">
        <w:t xml:space="preserve"> in</w:t>
      </w:r>
      <w:r w:rsidR="005519CD">
        <w:t xml:space="preserve"> mitigating</w:t>
      </w:r>
      <w:r w:rsidRPr="00C278B8">
        <w:t xml:space="preserve"> th</w:t>
      </w:r>
      <w:r w:rsidR="004C6D40">
        <w:t>e</w:t>
      </w:r>
      <w:r w:rsidRPr="00C278B8">
        <w:t>se fundamental risks.</w:t>
      </w:r>
    </w:p>
    <w:p w:rsidR="00C722FD" w:rsidRPr="00C278B8" w:rsidRDefault="005519CD" w:rsidP="00C722FD">
      <w:r>
        <w:t>Moreover, w</w:t>
      </w:r>
      <w:r w:rsidR="00C722FD" w:rsidRPr="00C278B8">
        <w:t>e would like to express our view on the timing of delivery of the KID (Article 20 of the pr</w:t>
      </w:r>
      <w:r w:rsidR="00C722FD" w:rsidRPr="00C278B8">
        <w:t>o</w:t>
      </w:r>
      <w:r w:rsidR="00C722FD" w:rsidRPr="00C278B8">
        <w:t>posed Regulation, “Conditions on good time”). Considering that the active model is likely to be costly to implement, we propose to adopt the passive model, to be complemented by tools (such as mailing lists or email alerts) which enable existing retail investors to locate the new KID. The alert should give prom</w:t>
      </w:r>
      <w:r w:rsidR="00C722FD" w:rsidRPr="00C278B8">
        <w:t>i</w:t>
      </w:r>
      <w:r w:rsidR="00C722FD" w:rsidRPr="00C278B8">
        <w:t>nence to the information which has been revised.</w:t>
      </w:r>
    </w:p>
    <w:p w:rsidR="00C722FD" w:rsidRPr="00C278B8" w:rsidRDefault="00C722FD" w:rsidP="00C722FD">
      <w:r w:rsidRPr="00C278B8">
        <w:t xml:space="preserve">We agree with Recital 25 of the proposed Regulation, i.e. the need to consider the urgency of the situation (“for instance where it is important for a retail investor to buy a PRIIP at a given price where the price is sensitive to the timing of the transaction”). We also agree with the proposal to build on the standard set in MiFID II Recital 83: i.e. the requirement to take into account the client’s need for sufficient time to read and understand the KID before taking an investment decision, considering that a client is likely to require more time to review information given on a complex or unfamiliar product or service (with this respect, it is also important to consider the role of financial advisors in helping retail investors </w:t>
      </w:r>
      <w:r w:rsidR="005519CD">
        <w:t xml:space="preserve">to </w:t>
      </w:r>
      <w:r w:rsidRPr="00C278B8">
        <w:t xml:space="preserve">understand the content of the KID). It is also important to take into account that national laws and regulations may provide retail investors with withdrawal rights and </w:t>
      </w:r>
      <w:r w:rsidR="005519CD">
        <w:t xml:space="preserve">they can </w:t>
      </w:r>
      <w:r w:rsidRPr="00C278B8">
        <w:t>require the initial suspension of the enforceability of co</w:t>
      </w:r>
      <w:r w:rsidRPr="00C278B8">
        <w:t>n</w:t>
      </w:r>
      <w:r w:rsidRPr="00C278B8">
        <w:t>tracts.</w:t>
      </w:r>
    </w:p>
    <w:permEnd w:id="28"/>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89" w:rsidRDefault="00B93989">
      <w:r>
        <w:separator/>
      </w:r>
    </w:p>
    <w:p w:rsidR="00B93989" w:rsidRDefault="00B93989"/>
  </w:endnote>
  <w:endnote w:type="continuationSeparator" w:id="0">
    <w:p w:rsidR="00B93989" w:rsidRDefault="00B93989">
      <w:r>
        <w:continuationSeparator/>
      </w:r>
    </w:p>
    <w:p w:rsidR="00B93989" w:rsidRDefault="00B93989"/>
  </w:endnote>
  <w:endnote w:type="continuationNotice" w:id="1">
    <w:p w:rsidR="00B93989" w:rsidRDefault="00B939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7A1C37"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1205E2">
            <w:rPr>
              <w:rFonts w:cs="Arial"/>
              <w:noProof/>
              <w:sz w:val="22"/>
              <w:szCs w:val="22"/>
            </w:rPr>
            <w:t>12</w:t>
          </w:r>
          <w:r w:rsidRPr="00616B9B">
            <w:rPr>
              <w:rFonts w:cs="Arial"/>
              <w:noProof/>
              <w:sz w:val="22"/>
              <w:szCs w:val="22"/>
            </w:rPr>
            <w:fldChar w:fldCharType="end"/>
          </w:r>
        </w:p>
      </w:tc>
    </w:tr>
  </w:tbl>
  <w:p w:rsidR="00811EDA" w:rsidRDefault="00811ED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89" w:rsidRDefault="00B93989">
      <w:r>
        <w:separator/>
      </w:r>
    </w:p>
    <w:p w:rsidR="00B93989" w:rsidRDefault="00B93989"/>
  </w:footnote>
  <w:footnote w:type="continuationSeparator" w:id="0">
    <w:p w:rsidR="00B93989" w:rsidRDefault="00B93989">
      <w:r>
        <w:continuationSeparator/>
      </w:r>
    </w:p>
    <w:p w:rsidR="00B93989" w:rsidRDefault="00B93989"/>
  </w:footnote>
  <w:footnote w:type="continuationNotice" w:id="1">
    <w:p w:rsidR="00B93989" w:rsidRDefault="00B939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7A1C37" w:rsidRPr="007A1C37">
      <w:rPr>
        <w:noProof/>
        <w:lang w:eastAsia="en-GB"/>
      </w:rPr>
      <w:pict>
        <v:line id="Line 16" o:spid="_x0000_s4098" style="position:absolute;z-index:251656192;visibility:visible;mso-wrap-distance-left:3.17483mm;mso-wrap-distance-right:3.17483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7A1C37">
    <w:pPr>
      <w:pStyle w:val="Intestazione"/>
    </w:pPr>
    <w:r w:rsidRPr="007A1C37">
      <w:rPr>
        <w:noProof/>
        <w:lang w:eastAsia="en-GB"/>
      </w:rPr>
      <w:pict>
        <v:line id="Straight Connector 138" o:spid="_x0000_s4097" style="position:absolute;z-index:251660288;visibility:visible;mso-wrap-distance-left:3.17494mm;mso-wrap-distance-right:3.17494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odel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stylePaneFormatFilter w:val="1F01"/>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5122">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A0"/>
    <w:rsid w:val="00021E83"/>
    <w:rsid w:val="00023713"/>
    <w:rsid w:val="00023C4D"/>
    <w:rsid w:val="00025E71"/>
    <w:rsid w:val="00026269"/>
    <w:rsid w:val="00027154"/>
    <w:rsid w:val="00027ECF"/>
    <w:rsid w:val="000303BE"/>
    <w:rsid w:val="000344D6"/>
    <w:rsid w:val="00034960"/>
    <w:rsid w:val="000369CE"/>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2B4"/>
    <w:rsid w:val="00082D8E"/>
    <w:rsid w:val="00082E31"/>
    <w:rsid w:val="00083AA3"/>
    <w:rsid w:val="00085947"/>
    <w:rsid w:val="000868FE"/>
    <w:rsid w:val="000878D1"/>
    <w:rsid w:val="0009080A"/>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9D6"/>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5B5D"/>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0F78BE"/>
    <w:rsid w:val="001027F1"/>
    <w:rsid w:val="00104F2E"/>
    <w:rsid w:val="001072DD"/>
    <w:rsid w:val="00110D7A"/>
    <w:rsid w:val="00111464"/>
    <w:rsid w:val="0011167D"/>
    <w:rsid w:val="00112892"/>
    <w:rsid w:val="00112E48"/>
    <w:rsid w:val="001130EA"/>
    <w:rsid w:val="00114259"/>
    <w:rsid w:val="001168B2"/>
    <w:rsid w:val="00117C20"/>
    <w:rsid w:val="001205E2"/>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BC8"/>
    <w:rsid w:val="0019017A"/>
    <w:rsid w:val="001904C4"/>
    <w:rsid w:val="00190B8C"/>
    <w:rsid w:val="00190FF8"/>
    <w:rsid w:val="0019311A"/>
    <w:rsid w:val="00194AF5"/>
    <w:rsid w:val="0019508A"/>
    <w:rsid w:val="001960D8"/>
    <w:rsid w:val="00197450"/>
    <w:rsid w:val="001A1642"/>
    <w:rsid w:val="001A371B"/>
    <w:rsid w:val="001A4766"/>
    <w:rsid w:val="001A6A0D"/>
    <w:rsid w:val="001A6C51"/>
    <w:rsid w:val="001A6FAA"/>
    <w:rsid w:val="001A7CE5"/>
    <w:rsid w:val="001A7D73"/>
    <w:rsid w:val="001B0363"/>
    <w:rsid w:val="001B1355"/>
    <w:rsid w:val="001B3138"/>
    <w:rsid w:val="001B4E4B"/>
    <w:rsid w:val="001B50AC"/>
    <w:rsid w:val="001B591E"/>
    <w:rsid w:val="001B5E05"/>
    <w:rsid w:val="001B6D68"/>
    <w:rsid w:val="001B6F2E"/>
    <w:rsid w:val="001B7CDA"/>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3E3F"/>
    <w:rsid w:val="001F44A4"/>
    <w:rsid w:val="001F579D"/>
    <w:rsid w:val="001F65EF"/>
    <w:rsid w:val="001F697B"/>
    <w:rsid w:val="002005A6"/>
    <w:rsid w:val="00204CBC"/>
    <w:rsid w:val="002051F1"/>
    <w:rsid w:val="002067BA"/>
    <w:rsid w:val="0021058D"/>
    <w:rsid w:val="00211E2F"/>
    <w:rsid w:val="00211E9E"/>
    <w:rsid w:val="00214FB4"/>
    <w:rsid w:val="00215393"/>
    <w:rsid w:val="00215940"/>
    <w:rsid w:val="00217C23"/>
    <w:rsid w:val="00220561"/>
    <w:rsid w:val="00220CE4"/>
    <w:rsid w:val="00222D9B"/>
    <w:rsid w:val="00223788"/>
    <w:rsid w:val="00223D11"/>
    <w:rsid w:val="002242D3"/>
    <w:rsid w:val="002301E6"/>
    <w:rsid w:val="00232F90"/>
    <w:rsid w:val="00233B08"/>
    <w:rsid w:val="00233C3B"/>
    <w:rsid w:val="00233C5A"/>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05B"/>
    <w:rsid w:val="00293156"/>
    <w:rsid w:val="00293BE7"/>
    <w:rsid w:val="002946DC"/>
    <w:rsid w:val="002A0C82"/>
    <w:rsid w:val="002A0CD8"/>
    <w:rsid w:val="002A13EB"/>
    <w:rsid w:val="002A35EF"/>
    <w:rsid w:val="002A3DE0"/>
    <w:rsid w:val="002A40EA"/>
    <w:rsid w:val="002A46E8"/>
    <w:rsid w:val="002A491C"/>
    <w:rsid w:val="002A78B0"/>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2ABE"/>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BF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6FA"/>
    <w:rsid w:val="00355789"/>
    <w:rsid w:val="003609B6"/>
    <w:rsid w:val="00361119"/>
    <w:rsid w:val="0036538D"/>
    <w:rsid w:val="003654E9"/>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E31"/>
    <w:rsid w:val="00381FF6"/>
    <w:rsid w:val="00383D7D"/>
    <w:rsid w:val="00384CCE"/>
    <w:rsid w:val="003865E5"/>
    <w:rsid w:val="003926C1"/>
    <w:rsid w:val="00392900"/>
    <w:rsid w:val="00393357"/>
    <w:rsid w:val="0039598E"/>
    <w:rsid w:val="00395E7B"/>
    <w:rsid w:val="00395F4C"/>
    <w:rsid w:val="00397288"/>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256"/>
    <w:rsid w:val="0040254B"/>
    <w:rsid w:val="00403086"/>
    <w:rsid w:val="00403460"/>
    <w:rsid w:val="004040FF"/>
    <w:rsid w:val="00404284"/>
    <w:rsid w:val="004042C4"/>
    <w:rsid w:val="00406E90"/>
    <w:rsid w:val="00410240"/>
    <w:rsid w:val="00412253"/>
    <w:rsid w:val="004142ED"/>
    <w:rsid w:val="004159A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5508"/>
    <w:rsid w:val="00437929"/>
    <w:rsid w:val="00437A4A"/>
    <w:rsid w:val="00440541"/>
    <w:rsid w:val="0044162D"/>
    <w:rsid w:val="0044277A"/>
    <w:rsid w:val="0044391D"/>
    <w:rsid w:val="004456DC"/>
    <w:rsid w:val="00447612"/>
    <w:rsid w:val="00447FBE"/>
    <w:rsid w:val="0045035E"/>
    <w:rsid w:val="0045175A"/>
    <w:rsid w:val="00451ED9"/>
    <w:rsid w:val="00452180"/>
    <w:rsid w:val="00453072"/>
    <w:rsid w:val="004539F8"/>
    <w:rsid w:val="00453F26"/>
    <w:rsid w:val="0045503F"/>
    <w:rsid w:val="00455273"/>
    <w:rsid w:val="0045568F"/>
    <w:rsid w:val="00455935"/>
    <w:rsid w:val="00460401"/>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35B"/>
    <w:rsid w:val="00482458"/>
    <w:rsid w:val="00482640"/>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267"/>
    <w:rsid w:val="004B0335"/>
    <w:rsid w:val="004B0946"/>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D40"/>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FB5"/>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784"/>
    <w:rsid w:val="00516783"/>
    <w:rsid w:val="00517EF8"/>
    <w:rsid w:val="00520083"/>
    <w:rsid w:val="0052029E"/>
    <w:rsid w:val="0052076A"/>
    <w:rsid w:val="00520A2C"/>
    <w:rsid w:val="00520E25"/>
    <w:rsid w:val="0052183D"/>
    <w:rsid w:val="00522F44"/>
    <w:rsid w:val="0052360A"/>
    <w:rsid w:val="005242BA"/>
    <w:rsid w:val="005243B8"/>
    <w:rsid w:val="00524ED4"/>
    <w:rsid w:val="005252DD"/>
    <w:rsid w:val="005309E7"/>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9CD"/>
    <w:rsid w:val="00552B37"/>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3517"/>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71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201"/>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3FAA"/>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782"/>
    <w:rsid w:val="0069780E"/>
    <w:rsid w:val="006A2CA2"/>
    <w:rsid w:val="006B11C7"/>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EEE"/>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924"/>
    <w:rsid w:val="006F4B04"/>
    <w:rsid w:val="006F5456"/>
    <w:rsid w:val="006F57F2"/>
    <w:rsid w:val="006F6468"/>
    <w:rsid w:val="006F6D8C"/>
    <w:rsid w:val="006F7891"/>
    <w:rsid w:val="00700247"/>
    <w:rsid w:val="00701051"/>
    <w:rsid w:val="007021C2"/>
    <w:rsid w:val="00702502"/>
    <w:rsid w:val="007033A8"/>
    <w:rsid w:val="0070421B"/>
    <w:rsid w:val="007043F0"/>
    <w:rsid w:val="0070482E"/>
    <w:rsid w:val="00704D25"/>
    <w:rsid w:val="00706CB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8A"/>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C37"/>
    <w:rsid w:val="007A2140"/>
    <w:rsid w:val="007A23E2"/>
    <w:rsid w:val="007A31A5"/>
    <w:rsid w:val="007A411B"/>
    <w:rsid w:val="007A45E6"/>
    <w:rsid w:val="007A4B28"/>
    <w:rsid w:val="007A5C2C"/>
    <w:rsid w:val="007A7678"/>
    <w:rsid w:val="007B0CD8"/>
    <w:rsid w:val="007B0DE0"/>
    <w:rsid w:val="007B21DE"/>
    <w:rsid w:val="007B2A58"/>
    <w:rsid w:val="007B2BB9"/>
    <w:rsid w:val="007B43E8"/>
    <w:rsid w:val="007B4740"/>
    <w:rsid w:val="007B502C"/>
    <w:rsid w:val="007B5F3B"/>
    <w:rsid w:val="007C02B0"/>
    <w:rsid w:val="007C063E"/>
    <w:rsid w:val="007C1901"/>
    <w:rsid w:val="007C49C0"/>
    <w:rsid w:val="007C55C1"/>
    <w:rsid w:val="007C5738"/>
    <w:rsid w:val="007C5772"/>
    <w:rsid w:val="007C5AC3"/>
    <w:rsid w:val="007C5F54"/>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186B"/>
    <w:rsid w:val="0080209D"/>
    <w:rsid w:val="0080245E"/>
    <w:rsid w:val="00803480"/>
    <w:rsid w:val="0080359C"/>
    <w:rsid w:val="008037AE"/>
    <w:rsid w:val="008043F4"/>
    <w:rsid w:val="00804BB4"/>
    <w:rsid w:val="00805D9F"/>
    <w:rsid w:val="00807A4D"/>
    <w:rsid w:val="00807F30"/>
    <w:rsid w:val="008103DC"/>
    <w:rsid w:val="0081119F"/>
    <w:rsid w:val="0081134D"/>
    <w:rsid w:val="00811C71"/>
    <w:rsid w:val="00811EDA"/>
    <w:rsid w:val="00812403"/>
    <w:rsid w:val="00812FD7"/>
    <w:rsid w:val="00814F9A"/>
    <w:rsid w:val="00820623"/>
    <w:rsid w:val="00821747"/>
    <w:rsid w:val="008229A3"/>
    <w:rsid w:val="00822DFB"/>
    <w:rsid w:val="00822F64"/>
    <w:rsid w:val="008253A6"/>
    <w:rsid w:val="00825A6B"/>
    <w:rsid w:val="00825C50"/>
    <w:rsid w:val="00826245"/>
    <w:rsid w:val="00826577"/>
    <w:rsid w:val="00827439"/>
    <w:rsid w:val="00827C79"/>
    <w:rsid w:val="0083003F"/>
    <w:rsid w:val="008309BB"/>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19DA"/>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1AA"/>
    <w:rsid w:val="008A6A12"/>
    <w:rsid w:val="008B019B"/>
    <w:rsid w:val="008B0DC6"/>
    <w:rsid w:val="008B2B9E"/>
    <w:rsid w:val="008B31F5"/>
    <w:rsid w:val="008B4C79"/>
    <w:rsid w:val="008B5D2D"/>
    <w:rsid w:val="008B6361"/>
    <w:rsid w:val="008C0320"/>
    <w:rsid w:val="008C2A81"/>
    <w:rsid w:val="008C3863"/>
    <w:rsid w:val="008C45F4"/>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74"/>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27911"/>
    <w:rsid w:val="009305C4"/>
    <w:rsid w:val="00931FAF"/>
    <w:rsid w:val="009360F6"/>
    <w:rsid w:val="009371DC"/>
    <w:rsid w:val="0093759D"/>
    <w:rsid w:val="00940239"/>
    <w:rsid w:val="00942412"/>
    <w:rsid w:val="00942BD6"/>
    <w:rsid w:val="00942DED"/>
    <w:rsid w:val="00944404"/>
    <w:rsid w:val="009452D7"/>
    <w:rsid w:val="00945FD1"/>
    <w:rsid w:val="00946026"/>
    <w:rsid w:val="00946CCC"/>
    <w:rsid w:val="009503E5"/>
    <w:rsid w:val="00950B3D"/>
    <w:rsid w:val="00950F71"/>
    <w:rsid w:val="00952EFD"/>
    <w:rsid w:val="00952F2C"/>
    <w:rsid w:val="009532E3"/>
    <w:rsid w:val="00953615"/>
    <w:rsid w:val="00954BAF"/>
    <w:rsid w:val="00955F48"/>
    <w:rsid w:val="009560B3"/>
    <w:rsid w:val="0095745E"/>
    <w:rsid w:val="00957CE0"/>
    <w:rsid w:val="00957F1E"/>
    <w:rsid w:val="0096002E"/>
    <w:rsid w:val="0096039E"/>
    <w:rsid w:val="00962CEF"/>
    <w:rsid w:val="00963766"/>
    <w:rsid w:val="00963FDF"/>
    <w:rsid w:val="00964C32"/>
    <w:rsid w:val="0096528F"/>
    <w:rsid w:val="009653F2"/>
    <w:rsid w:val="009661DF"/>
    <w:rsid w:val="009667BD"/>
    <w:rsid w:val="00967CE2"/>
    <w:rsid w:val="00967E8A"/>
    <w:rsid w:val="00971DA3"/>
    <w:rsid w:val="00972161"/>
    <w:rsid w:val="0097261B"/>
    <w:rsid w:val="009743D8"/>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CD4"/>
    <w:rsid w:val="009A0D56"/>
    <w:rsid w:val="009A0F65"/>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1DF3"/>
    <w:rsid w:val="009C2532"/>
    <w:rsid w:val="009C2BA4"/>
    <w:rsid w:val="009C6091"/>
    <w:rsid w:val="009C634F"/>
    <w:rsid w:val="009D0219"/>
    <w:rsid w:val="009D0D55"/>
    <w:rsid w:val="009D2295"/>
    <w:rsid w:val="009D2511"/>
    <w:rsid w:val="009D2FC9"/>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347"/>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1FD1"/>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22D"/>
    <w:rsid w:val="00A65805"/>
    <w:rsid w:val="00A66BEE"/>
    <w:rsid w:val="00A671C9"/>
    <w:rsid w:val="00A67CD7"/>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7EBC"/>
    <w:rsid w:val="00B03293"/>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30C"/>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10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3D72"/>
    <w:rsid w:val="00B84028"/>
    <w:rsid w:val="00B84307"/>
    <w:rsid w:val="00B8430D"/>
    <w:rsid w:val="00B85661"/>
    <w:rsid w:val="00B85C8A"/>
    <w:rsid w:val="00B86FBD"/>
    <w:rsid w:val="00B91B54"/>
    <w:rsid w:val="00B91B86"/>
    <w:rsid w:val="00B927CA"/>
    <w:rsid w:val="00B928AE"/>
    <w:rsid w:val="00B93989"/>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088"/>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6F56"/>
    <w:rsid w:val="00BF71BB"/>
    <w:rsid w:val="00BF76F7"/>
    <w:rsid w:val="00BF7C9F"/>
    <w:rsid w:val="00C00012"/>
    <w:rsid w:val="00C000A5"/>
    <w:rsid w:val="00C006B4"/>
    <w:rsid w:val="00C00938"/>
    <w:rsid w:val="00C00E2A"/>
    <w:rsid w:val="00C025B9"/>
    <w:rsid w:val="00C044B4"/>
    <w:rsid w:val="00C04FC0"/>
    <w:rsid w:val="00C05105"/>
    <w:rsid w:val="00C05A5D"/>
    <w:rsid w:val="00C0654A"/>
    <w:rsid w:val="00C06DE3"/>
    <w:rsid w:val="00C06F97"/>
    <w:rsid w:val="00C1075D"/>
    <w:rsid w:val="00C10BE6"/>
    <w:rsid w:val="00C11296"/>
    <w:rsid w:val="00C11905"/>
    <w:rsid w:val="00C1234A"/>
    <w:rsid w:val="00C12661"/>
    <w:rsid w:val="00C126E3"/>
    <w:rsid w:val="00C12A3A"/>
    <w:rsid w:val="00C1330F"/>
    <w:rsid w:val="00C13ED7"/>
    <w:rsid w:val="00C14615"/>
    <w:rsid w:val="00C14F48"/>
    <w:rsid w:val="00C15296"/>
    <w:rsid w:val="00C17750"/>
    <w:rsid w:val="00C2094B"/>
    <w:rsid w:val="00C20DC5"/>
    <w:rsid w:val="00C2294E"/>
    <w:rsid w:val="00C22A5B"/>
    <w:rsid w:val="00C23412"/>
    <w:rsid w:val="00C24484"/>
    <w:rsid w:val="00C264C7"/>
    <w:rsid w:val="00C26A4B"/>
    <w:rsid w:val="00C271C4"/>
    <w:rsid w:val="00C274F3"/>
    <w:rsid w:val="00C278B8"/>
    <w:rsid w:val="00C27A8A"/>
    <w:rsid w:val="00C27F40"/>
    <w:rsid w:val="00C30A54"/>
    <w:rsid w:val="00C316F7"/>
    <w:rsid w:val="00C31DF0"/>
    <w:rsid w:val="00C33916"/>
    <w:rsid w:val="00C33ACE"/>
    <w:rsid w:val="00C33BCF"/>
    <w:rsid w:val="00C353A0"/>
    <w:rsid w:val="00C368D7"/>
    <w:rsid w:val="00C36FD1"/>
    <w:rsid w:val="00C371A5"/>
    <w:rsid w:val="00C400B0"/>
    <w:rsid w:val="00C413FC"/>
    <w:rsid w:val="00C432DA"/>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2FD"/>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1B99"/>
    <w:rsid w:val="00CA2897"/>
    <w:rsid w:val="00CA44F3"/>
    <w:rsid w:val="00CA582C"/>
    <w:rsid w:val="00CA6077"/>
    <w:rsid w:val="00CA715B"/>
    <w:rsid w:val="00CA772F"/>
    <w:rsid w:val="00CA7988"/>
    <w:rsid w:val="00CA7BA2"/>
    <w:rsid w:val="00CB0B78"/>
    <w:rsid w:val="00CB12A5"/>
    <w:rsid w:val="00CB17FA"/>
    <w:rsid w:val="00CB23D8"/>
    <w:rsid w:val="00CB2ED9"/>
    <w:rsid w:val="00CB36A5"/>
    <w:rsid w:val="00CB56B4"/>
    <w:rsid w:val="00CB7286"/>
    <w:rsid w:val="00CB7947"/>
    <w:rsid w:val="00CC1783"/>
    <w:rsid w:val="00CC3286"/>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251B"/>
    <w:rsid w:val="00CE3014"/>
    <w:rsid w:val="00CE30E5"/>
    <w:rsid w:val="00CE6FC6"/>
    <w:rsid w:val="00CF2056"/>
    <w:rsid w:val="00CF4471"/>
    <w:rsid w:val="00CF51C0"/>
    <w:rsid w:val="00CF5B2A"/>
    <w:rsid w:val="00CF5F57"/>
    <w:rsid w:val="00CF64A7"/>
    <w:rsid w:val="00CF6730"/>
    <w:rsid w:val="00CF70E5"/>
    <w:rsid w:val="00CF770A"/>
    <w:rsid w:val="00CF7CEC"/>
    <w:rsid w:val="00D00B0F"/>
    <w:rsid w:val="00D01BF4"/>
    <w:rsid w:val="00D0272C"/>
    <w:rsid w:val="00D03777"/>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0C4B"/>
    <w:rsid w:val="00D71B45"/>
    <w:rsid w:val="00D71F8A"/>
    <w:rsid w:val="00D75603"/>
    <w:rsid w:val="00D75FEE"/>
    <w:rsid w:val="00D76933"/>
    <w:rsid w:val="00D76BDB"/>
    <w:rsid w:val="00D76D88"/>
    <w:rsid w:val="00D77CC9"/>
    <w:rsid w:val="00D80DAD"/>
    <w:rsid w:val="00D83CE4"/>
    <w:rsid w:val="00D83D4B"/>
    <w:rsid w:val="00D871C6"/>
    <w:rsid w:val="00D91010"/>
    <w:rsid w:val="00D945D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A12"/>
    <w:rsid w:val="00DC6463"/>
    <w:rsid w:val="00DC7822"/>
    <w:rsid w:val="00DC7AF1"/>
    <w:rsid w:val="00DD2D92"/>
    <w:rsid w:val="00DD3026"/>
    <w:rsid w:val="00DD33DC"/>
    <w:rsid w:val="00DD3BB0"/>
    <w:rsid w:val="00DD61F5"/>
    <w:rsid w:val="00DE5978"/>
    <w:rsid w:val="00DE64A6"/>
    <w:rsid w:val="00DE66EB"/>
    <w:rsid w:val="00DE7035"/>
    <w:rsid w:val="00DF0990"/>
    <w:rsid w:val="00DF12E3"/>
    <w:rsid w:val="00DF1867"/>
    <w:rsid w:val="00DF3F1D"/>
    <w:rsid w:val="00DF5601"/>
    <w:rsid w:val="00DF595C"/>
    <w:rsid w:val="00DF7EA7"/>
    <w:rsid w:val="00E01153"/>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605"/>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2FD4"/>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0D7E"/>
    <w:rsid w:val="00E81E36"/>
    <w:rsid w:val="00E81E40"/>
    <w:rsid w:val="00E82ECE"/>
    <w:rsid w:val="00E8713B"/>
    <w:rsid w:val="00E90C61"/>
    <w:rsid w:val="00E92A82"/>
    <w:rsid w:val="00E92AA8"/>
    <w:rsid w:val="00E92CEB"/>
    <w:rsid w:val="00E9344E"/>
    <w:rsid w:val="00E93E39"/>
    <w:rsid w:val="00E94391"/>
    <w:rsid w:val="00E94EA6"/>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1B4A"/>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7FC"/>
    <w:rsid w:val="00EF61C1"/>
    <w:rsid w:val="00EF6E68"/>
    <w:rsid w:val="00EF76DB"/>
    <w:rsid w:val="00F005FD"/>
    <w:rsid w:val="00F01A08"/>
    <w:rsid w:val="00F028AD"/>
    <w:rsid w:val="00F02C04"/>
    <w:rsid w:val="00F03AF1"/>
    <w:rsid w:val="00F04BCD"/>
    <w:rsid w:val="00F05A8C"/>
    <w:rsid w:val="00F06211"/>
    <w:rsid w:val="00F10A54"/>
    <w:rsid w:val="00F123D0"/>
    <w:rsid w:val="00F13200"/>
    <w:rsid w:val="00F13411"/>
    <w:rsid w:val="00F143BA"/>
    <w:rsid w:val="00F14D98"/>
    <w:rsid w:val="00F171A2"/>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8E0"/>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2090"/>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974"/>
    <w:rsid w:val="00F84D4C"/>
    <w:rsid w:val="00F8657D"/>
    <w:rsid w:val="00F8730F"/>
    <w:rsid w:val="00F87DA3"/>
    <w:rsid w:val="00F90004"/>
    <w:rsid w:val="00F90EF4"/>
    <w:rsid w:val="00F917BF"/>
    <w:rsid w:val="00F920B4"/>
    <w:rsid w:val="00F9260D"/>
    <w:rsid w:val="00F92727"/>
    <w:rsid w:val="00F93CCF"/>
    <w:rsid w:val="00F94307"/>
    <w:rsid w:val="00F9580B"/>
    <w:rsid w:val="00F959F6"/>
    <w:rsid w:val="00F95F15"/>
    <w:rsid w:val="00F975CA"/>
    <w:rsid w:val="00FA0B60"/>
    <w:rsid w:val="00FA2528"/>
    <w:rsid w:val="00FA4A43"/>
    <w:rsid w:val="00FA5535"/>
    <w:rsid w:val="00FA7206"/>
    <w:rsid w:val="00FA7EFB"/>
    <w:rsid w:val="00FB0816"/>
    <w:rsid w:val="00FB08C2"/>
    <w:rsid w:val="00FB3D56"/>
    <w:rsid w:val="00FB3DD1"/>
    <w:rsid w:val="00FB51FD"/>
    <w:rsid w:val="00FB5667"/>
    <w:rsid w:val="00FB6BC0"/>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2AE2"/>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deltesto">
    <w:name w:val="Body Text"/>
    <w:basedOn w:val="Normale"/>
    <w:link w:val="Corpodel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deltestoCarattere">
    <w:name w:val="Corpo del testo Carattere"/>
    <w:link w:val="Corpodel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foelenco"/>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Carpredefinitoparagrafo"/>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D46F-99CC-4944-8AFD-0AF521C5E29B}">
  <ds:schemaRefs>
    <ds:schemaRef ds:uri="http://schemas.openxmlformats.org/officeDocument/2006/bibliography"/>
  </ds:schemaRefs>
</ds:datastoreItem>
</file>

<file path=customXml/itemProps2.xml><?xml version="1.0" encoding="utf-8"?>
<ds:datastoreItem xmlns:ds="http://schemas.openxmlformats.org/officeDocument/2006/customXml" ds:itemID="{D8A80ACF-9033-41F7-BD2E-23F7F623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4272</Words>
  <Characters>24352</Characters>
  <Application>Microsoft Office Word</Application>
  <DocSecurity>8</DocSecurity>
  <Lines>202</Lines>
  <Paragraphs>57</Paragraphs>
  <ScaleCrop>false</ScaleCrop>
  <HeadingPairs>
    <vt:vector size="12" baseType="variant">
      <vt:variant>
        <vt:lpstr>Title</vt:lpstr>
      </vt:variant>
      <vt:variant>
        <vt:i4>1</vt:i4>
      </vt:variant>
      <vt:variant>
        <vt:lpstr>Titolo</vt:lpstr>
      </vt:variant>
      <vt:variant>
        <vt:i4>1</vt:i4>
      </vt:variant>
      <vt:variant>
        <vt:lpstr>Název</vt:lpstr>
      </vt:variant>
      <vt:variant>
        <vt:i4>1</vt:i4>
      </vt:variant>
      <vt:variant>
        <vt:lpstr>Titel</vt:lpstr>
      </vt:variant>
      <vt:variant>
        <vt:i4>1</vt:i4>
      </vt:variant>
      <vt:variant>
        <vt:lpstr>Título</vt:lpstr>
      </vt:variant>
      <vt:variant>
        <vt:i4>1</vt:i4>
      </vt:variant>
      <vt:variant>
        <vt:lpstr>Titre</vt:lpstr>
      </vt:variant>
      <vt:variant>
        <vt:i4>1</vt:i4>
      </vt:variant>
    </vt:vector>
  </HeadingPairs>
  <TitlesOfParts>
    <vt:vector size="6" baseType="lpstr">
      <vt:lpstr>Reply form for the MiFID II/MiFIR Consultation Paper</vt:lpstr>
      <vt:lpstr>Reply form for the MiFID II/MiFIR Consultation Paper</vt:lpstr>
      <vt:lpstr>Reply form for the MiFID II/MiFIR Consultation Paper</vt:lpstr>
      <vt:lpstr>Reply form for the MiFID II/MiFIR Consultation Paper</vt:lpstr>
      <vt:lpstr>20110000</vt:lpstr>
      <vt:lpstr>20110000</vt:lpstr>
    </vt:vector>
  </TitlesOfParts>
  <Company>ESMA</Company>
  <LinksUpToDate>false</LinksUpToDate>
  <CharactersWithSpaces>28567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Caterina</cp:lastModifiedBy>
  <cp:revision>3</cp:revision>
  <cp:lastPrinted>2015-02-18T11:01:00Z</cp:lastPrinted>
  <dcterms:created xsi:type="dcterms:W3CDTF">2016-01-29T13:04:00Z</dcterms:created>
  <dcterms:modified xsi:type="dcterms:W3CDTF">2016-01-29T13:11:00Z</dcterms:modified>
</cp:coreProperties>
</file>