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F03058" w:rsidRPr="000C0AC5" w:rsidRDefault="00F03058" w:rsidP="00F03058">
      <w:pPr>
        <w:spacing w:after="200" w:line="276" w:lineRule="auto"/>
        <w:jc w:val="both"/>
        <w:rPr>
          <w:rFonts w:asciiTheme="minorHAnsi" w:eastAsiaTheme="minorHAnsi" w:hAnsiTheme="minorHAnsi" w:cstheme="minorHAnsi"/>
          <w:sz w:val="22"/>
          <w:szCs w:val="22"/>
          <w:lang w:eastAsia="en-US"/>
        </w:rPr>
      </w:pPr>
      <w:permStart w:id="2043045360" w:edGrp="everyone"/>
      <w:r w:rsidRPr="000C0AC5">
        <w:rPr>
          <w:rFonts w:asciiTheme="minorHAnsi" w:eastAsiaTheme="minorHAnsi" w:hAnsiTheme="minorHAnsi" w:cstheme="minorHAnsi"/>
          <w:sz w:val="22"/>
          <w:szCs w:val="22"/>
          <w:lang w:eastAsia="en-US"/>
        </w:rPr>
        <w:t>Euronext is the primary exchange in the Euro zone with more than 1 300 listed issuers worth more than €3.0 trillion in market capitalization as of end December 2015, an unmatched blue chip franchise consis</w:t>
      </w:r>
      <w:r w:rsidRPr="000C0AC5">
        <w:rPr>
          <w:rFonts w:asciiTheme="minorHAnsi" w:eastAsiaTheme="minorHAnsi" w:hAnsiTheme="minorHAnsi" w:cstheme="minorHAnsi"/>
          <w:sz w:val="22"/>
          <w:szCs w:val="22"/>
          <w:lang w:eastAsia="en-US"/>
        </w:rPr>
        <w:t>t</w:t>
      </w:r>
      <w:r w:rsidRPr="000C0AC5">
        <w:rPr>
          <w:rFonts w:asciiTheme="minorHAnsi" w:eastAsiaTheme="minorHAnsi" w:hAnsiTheme="minorHAnsi" w:cstheme="minorHAnsi"/>
          <w:sz w:val="22"/>
          <w:szCs w:val="22"/>
          <w:lang w:eastAsia="en-US"/>
        </w:rPr>
        <w:t>ing of 25 issuers in the EURO STOXX 50® benchmark and a strong diverse domestic and international client base.</w:t>
      </w:r>
    </w:p>
    <w:p w:rsidR="00F03058" w:rsidRPr="000C0AC5" w:rsidRDefault="00F03058" w:rsidP="00F03058">
      <w:pPr>
        <w:spacing w:after="200" w:line="276" w:lineRule="auto"/>
        <w:jc w:val="both"/>
        <w:rPr>
          <w:rFonts w:asciiTheme="minorHAnsi" w:eastAsiaTheme="minorHAnsi" w:hAnsiTheme="minorHAnsi" w:cstheme="minorHAnsi"/>
          <w:sz w:val="22"/>
          <w:szCs w:val="22"/>
          <w:lang w:eastAsia="en-US"/>
        </w:rPr>
      </w:pPr>
      <w:r w:rsidRPr="000C0AC5">
        <w:rPr>
          <w:rFonts w:asciiTheme="minorHAnsi" w:eastAsiaTheme="minorHAnsi" w:hAnsiTheme="minorHAnsi" w:cstheme="minorHAnsi"/>
          <w:sz w:val="22"/>
          <w:szCs w:val="22"/>
          <w:lang w:eastAsia="en-US"/>
        </w:rPr>
        <w:t xml:space="preserve">Euronext operates regulated and transparent equity and derivatives markets. Its total product offering includes Equities, Exchange Traded Funds, Warrants &amp; Certificates, Bonds, Derivatives, Commodities and Indices. Euronext also leverages its expertise in running markets by providing technology and managed services to third parties. Euronext operates regulated markets, </w:t>
      </w:r>
      <w:proofErr w:type="spellStart"/>
      <w:r w:rsidRPr="000C0AC5">
        <w:rPr>
          <w:rFonts w:asciiTheme="minorHAnsi" w:eastAsiaTheme="minorHAnsi" w:hAnsiTheme="minorHAnsi" w:cstheme="minorHAnsi"/>
          <w:sz w:val="22"/>
          <w:szCs w:val="22"/>
          <w:lang w:eastAsia="en-US"/>
        </w:rPr>
        <w:t>Alternext</w:t>
      </w:r>
      <w:proofErr w:type="spellEnd"/>
      <w:r w:rsidRPr="000C0AC5">
        <w:rPr>
          <w:rFonts w:asciiTheme="minorHAnsi" w:eastAsiaTheme="minorHAnsi" w:hAnsiTheme="minorHAnsi" w:cstheme="minorHAnsi"/>
          <w:sz w:val="22"/>
          <w:szCs w:val="22"/>
          <w:lang w:eastAsia="en-US"/>
        </w:rPr>
        <w:t xml:space="preserve"> and the Free Market; in add</w:t>
      </w:r>
      <w:r w:rsidRPr="000C0AC5">
        <w:rPr>
          <w:rFonts w:asciiTheme="minorHAnsi" w:eastAsiaTheme="minorHAnsi" w:hAnsiTheme="minorHAnsi" w:cstheme="minorHAnsi"/>
          <w:sz w:val="22"/>
          <w:szCs w:val="22"/>
          <w:lang w:eastAsia="en-US"/>
        </w:rPr>
        <w:t>i</w:t>
      </w:r>
      <w:r w:rsidRPr="000C0AC5">
        <w:rPr>
          <w:rFonts w:asciiTheme="minorHAnsi" w:eastAsiaTheme="minorHAnsi" w:hAnsiTheme="minorHAnsi" w:cstheme="minorHAnsi"/>
          <w:sz w:val="22"/>
          <w:szCs w:val="22"/>
          <w:lang w:eastAsia="en-US"/>
        </w:rPr>
        <w:t xml:space="preserve">tion it offers </w:t>
      </w:r>
      <w:proofErr w:type="spellStart"/>
      <w:r w:rsidRPr="000C0AC5">
        <w:rPr>
          <w:rFonts w:asciiTheme="minorHAnsi" w:eastAsiaTheme="minorHAnsi" w:hAnsiTheme="minorHAnsi" w:cstheme="minorHAnsi"/>
          <w:sz w:val="22"/>
          <w:szCs w:val="22"/>
          <w:lang w:eastAsia="en-US"/>
        </w:rPr>
        <w:t>EnterNext</w:t>
      </w:r>
      <w:proofErr w:type="spellEnd"/>
      <w:r w:rsidRPr="000C0AC5">
        <w:rPr>
          <w:rFonts w:asciiTheme="minorHAnsi" w:eastAsiaTheme="minorHAnsi" w:hAnsiTheme="minorHAnsi" w:cstheme="minorHAnsi"/>
          <w:sz w:val="22"/>
          <w:szCs w:val="22"/>
          <w:lang w:eastAsia="en-US"/>
        </w:rPr>
        <w:t>, which facilitates SMEs’ access to capital markets.</w:t>
      </w:r>
    </w:p>
    <w:p w:rsidR="00F03058" w:rsidRPr="000C0AC5" w:rsidRDefault="00F03058" w:rsidP="00F03058">
      <w:pPr>
        <w:spacing w:after="200" w:line="276" w:lineRule="auto"/>
        <w:jc w:val="both"/>
        <w:rPr>
          <w:rFonts w:asciiTheme="minorHAnsi" w:eastAsiaTheme="minorHAnsi" w:hAnsiTheme="minorHAnsi" w:cstheme="minorHAnsi"/>
          <w:sz w:val="22"/>
          <w:szCs w:val="22"/>
          <w:lang w:eastAsia="en-US"/>
        </w:rPr>
      </w:pPr>
      <w:r w:rsidRPr="000C0AC5">
        <w:rPr>
          <w:rFonts w:asciiTheme="minorHAnsi" w:eastAsiaTheme="minorHAnsi" w:hAnsiTheme="minorHAnsi" w:cstheme="minorHAnsi"/>
          <w:sz w:val="22"/>
          <w:szCs w:val="22"/>
          <w:lang w:eastAsia="en-US"/>
        </w:rPr>
        <w:t xml:space="preserve">Euronext welcomes the opportunity to respond to the joint consultation on ‘PRIIPS Key Information Documents’. In this response we will address </w:t>
      </w:r>
      <w:r w:rsidR="00F43BF8" w:rsidRPr="000C0AC5">
        <w:rPr>
          <w:rFonts w:asciiTheme="minorHAnsi" w:eastAsiaTheme="minorHAnsi" w:hAnsiTheme="minorHAnsi" w:cstheme="minorHAnsi"/>
          <w:sz w:val="22"/>
          <w:szCs w:val="22"/>
          <w:lang w:eastAsia="en-US"/>
        </w:rPr>
        <w:t>the scope and the applications of PRIIPS to listed deriv</w:t>
      </w:r>
      <w:r w:rsidR="00F43BF8" w:rsidRPr="000C0AC5">
        <w:rPr>
          <w:rFonts w:asciiTheme="minorHAnsi" w:eastAsiaTheme="minorHAnsi" w:hAnsiTheme="minorHAnsi" w:cstheme="minorHAnsi"/>
          <w:sz w:val="22"/>
          <w:szCs w:val="22"/>
          <w:lang w:eastAsia="en-US"/>
        </w:rPr>
        <w:t>a</w:t>
      </w:r>
      <w:r w:rsidR="00F43BF8" w:rsidRPr="000C0AC5">
        <w:rPr>
          <w:rFonts w:asciiTheme="minorHAnsi" w:eastAsiaTheme="minorHAnsi" w:hAnsiTheme="minorHAnsi" w:cstheme="minorHAnsi"/>
          <w:sz w:val="22"/>
          <w:szCs w:val="22"/>
          <w:lang w:eastAsia="en-US"/>
        </w:rPr>
        <w:t xml:space="preserve">tives, </w:t>
      </w:r>
      <w:r w:rsidRPr="000C0AC5">
        <w:rPr>
          <w:rFonts w:asciiTheme="minorHAnsi" w:eastAsiaTheme="minorHAnsi" w:hAnsiTheme="minorHAnsi" w:cstheme="minorHAnsi"/>
          <w:sz w:val="22"/>
          <w:szCs w:val="22"/>
          <w:lang w:eastAsia="en-US"/>
        </w:rPr>
        <w:t>the fact that the proposed set up for a Key Information document does not fit the structure of listed options and futures traded on the Euronext markets</w:t>
      </w:r>
      <w:r w:rsidR="00F43BF8" w:rsidRPr="000C0AC5">
        <w:rPr>
          <w:rFonts w:asciiTheme="minorHAnsi" w:eastAsiaTheme="minorHAnsi" w:hAnsiTheme="minorHAnsi" w:cstheme="minorHAnsi"/>
          <w:sz w:val="22"/>
          <w:szCs w:val="22"/>
          <w:lang w:eastAsia="en-US"/>
        </w:rPr>
        <w:t xml:space="preserve"> and we will make recommendations for a tailored approach for listed options and futures</w:t>
      </w:r>
      <w:r w:rsidRPr="000C0AC5">
        <w:rPr>
          <w:rFonts w:asciiTheme="minorHAnsi" w:eastAsiaTheme="minorHAnsi" w:hAnsiTheme="minorHAnsi" w:cstheme="minorHAnsi"/>
          <w:sz w:val="22"/>
          <w:szCs w:val="22"/>
          <w:lang w:eastAsia="en-US"/>
        </w:rPr>
        <w:t xml:space="preserve">. </w:t>
      </w:r>
    </w:p>
    <w:p w:rsidR="00F03058" w:rsidRPr="000C0AC5" w:rsidRDefault="00F03058" w:rsidP="00DC5AD2">
      <w:pPr>
        <w:numPr>
          <w:ilvl w:val="0"/>
          <w:numId w:val="54"/>
        </w:numPr>
        <w:spacing w:after="200" w:line="276" w:lineRule="auto"/>
        <w:ind w:left="426" w:hanging="426"/>
        <w:contextualSpacing/>
        <w:jc w:val="both"/>
        <w:rPr>
          <w:rFonts w:asciiTheme="minorHAnsi" w:eastAsiaTheme="minorHAnsi" w:hAnsiTheme="minorHAnsi" w:cstheme="minorHAnsi"/>
          <w:b/>
          <w:sz w:val="22"/>
          <w:szCs w:val="22"/>
          <w:lang w:eastAsia="en-US"/>
        </w:rPr>
      </w:pPr>
      <w:r w:rsidRPr="000C0AC5">
        <w:rPr>
          <w:rFonts w:asciiTheme="minorHAnsi" w:eastAsiaTheme="minorHAnsi" w:hAnsiTheme="minorHAnsi" w:cstheme="minorHAnsi"/>
          <w:b/>
          <w:sz w:val="22"/>
          <w:szCs w:val="22"/>
          <w:lang w:eastAsia="en-US"/>
        </w:rPr>
        <w:t xml:space="preserve">The proposed set up of a </w:t>
      </w:r>
      <w:r w:rsidR="00DE067D" w:rsidRPr="000C0AC5">
        <w:rPr>
          <w:rFonts w:asciiTheme="minorHAnsi" w:eastAsiaTheme="minorHAnsi" w:hAnsiTheme="minorHAnsi" w:cstheme="minorHAnsi"/>
          <w:b/>
          <w:sz w:val="22"/>
          <w:szCs w:val="22"/>
          <w:lang w:eastAsia="en-US"/>
        </w:rPr>
        <w:t>Key Information Document (“</w:t>
      </w:r>
      <w:r w:rsidRPr="000C0AC5">
        <w:rPr>
          <w:rFonts w:asciiTheme="minorHAnsi" w:eastAsiaTheme="minorHAnsi" w:hAnsiTheme="minorHAnsi" w:cstheme="minorHAnsi"/>
          <w:b/>
          <w:sz w:val="22"/>
          <w:szCs w:val="22"/>
          <w:lang w:eastAsia="en-US"/>
        </w:rPr>
        <w:t>KID</w:t>
      </w:r>
      <w:r w:rsidR="00DE067D" w:rsidRPr="000C0AC5">
        <w:rPr>
          <w:rFonts w:asciiTheme="minorHAnsi" w:eastAsiaTheme="minorHAnsi" w:hAnsiTheme="minorHAnsi" w:cstheme="minorHAnsi"/>
          <w:b/>
          <w:sz w:val="22"/>
          <w:szCs w:val="22"/>
          <w:lang w:eastAsia="en-US"/>
        </w:rPr>
        <w:t>”)</w:t>
      </w:r>
      <w:r w:rsidRPr="000C0AC5">
        <w:rPr>
          <w:rFonts w:asciiTheme="minorHAnsi" w:eastAsiaTheme="minorHAnsi" w:hAnsiTheme="minorHAnsi" w:cstheme="minorHAnsi"/>
          <w:b/>
          <w:sz w:val="22"/>
          <w:szCs w:val="22"/>
          <w:lang w:eastAsia="en-US"/>
        </w:rPr>
        <w:t xml:space="preserve"> and its application on listed deriv</w:t>
      </w:r>
      <w:r w:rsidRPr="000C0AC5">
        <w:rPr>
          <w:rFonts w:asciiTheme="minorHAnsi" w:eastAsiaTheme="minorHAnsi" w:hAnsiTheme="minorHAnsi" w:cstheme="minorHAnsi"/>
          <w:b/>
          <w:sz w:val="22"/>
          <w:szCs w:val="22"/>
          <w:lang w:eastAsia="en-US"/>
        </w:rPr>
        <w:t>a</w:t>
      </w:r>
      <w:r w:rsidRPr="000C0AC5">
        <w:rPr>
          <w:rFonts w:asciiTheme="minorHAnsi" w:eastAsiaTheme="minorHAnsi" w:hAnsiTheme="minorHAnsi" w:cstheme="minorHAnsi"/>
          <w:b/>
          <w:sz w:val="22"/>
          <w:szCs w:val="22"/>
          <w:lang w:eastAsia="en-US"/>
        </w:rPr>
        <w:t>tives</w:t>
      </w:r>
    </w:p>
    <w:p w:rsidR="00F03058" w:rsidRPr="000C0AC5" w:rsidRDefault="00F03058" w:rsidP="00DC5AD2">
      <w:pPr>
        <w:spacing w:after="200" w:line="276" w:lineRule="auto"/>
        <w:jc w:val="both"/>
        <w:rPr>
          <w:rFonts w:asciiTheme="minorHAnsi" w:eastAsiaTheme="minorHAnsi" w:hAnsiTheme="minorHAnsi" w:cstheme="minorHAnsi"/>
          <w:b/>
          <w:sz w:val="22"/>
          <w:szCs w:val="22"/>
          <w:lang w:eastAsia="en-US"/>
        </w:rPr>
      </w:pPr>
      <w:r w:rsidRPr="000C0AC5">
        <w:rPr>
          <w:rFonts w:asciiTheme="minorHAnsi" w:eastAsiaTheme="minorHAnsi" w:hAnsiTheme="minorHAnsi" w:cstheme="minorHAnsi"/>
          <w:sz w:val="22"/>
          <w:szCs w:val="22"/>
          <w:lang w:eastAsia="en-US"/>
        </w:rPr>
        <w:t>With the introd</w:t>
      </w:r>
      <w:r w:rsidR="007E73D7" w:rsidRPr="000C0AC5">
        <w:rPr>
          <w:rFonts w:asciiTheme="minorHAnsi" w:eastAsiaTheme="minorHAnsi" w:hAnsiTheme="minorHAnsi" w:cstheme="minorHAnsi"/>
          <w:sz w:val="22"/>
          <w:szCs w:val="22"/>
          <w:lang w:eastAsia="en-US"/>
        </w:rPr>
        <w:t>uction of the PRIIPs Regulation</w:t>
      </w:r>
      <w:r w:rsidRPr="000C0AC5">
        <w:rPr>
          <w:rFonts w:asciiTheme="minorHAnsi" w:eastAsiaTheme="minorHAnsi" w:hAnsiTheme="minorHAnsi" w:cstheme="minorHAnsi"/>
          <w:sz w:val="22"/>
          <w:szCs w:val="22"/>
          <w:lang w:eastAsia="en-US"/>
        </w:rPr>
        <w:t>, legislators are seeking to introduce a coordinated set of transparency rules for these products when offered to retail investors. This is to ensure that investors are able to understand and compare the products they are being offe</w:t>
      </w:r>
      <w:r w:rsidR="007E73D7" w:rsidRPr="000C0AC5">
        <w:rPr>
          <w:rFonts w:asciiTheme="minorHAnsi" w:eastAsiaTheme="minorHAnsi" w:hAnsiTheme="minorHAnsi" w:cstheme="minorHAnsi"/>
          <w:sz w:val="22"/>
          <w:szCs w:val="22"/>
          <w:lang w:eastAsia="en-US"/>
        </w:rPr>
        <w:t>red. While we fully support such</w:t>
      </w:r>
      <w:r w:rsidRPr="000C0AC5">
        <w:rPr>
          <w:rFonts w:asciiTheme="minorHAnsi" w:eastAsiaTheme="minorHAnsi" w:hAnsiTheme="minorHAnsi" w:cstheme="minorHAnsi"/>
          <w:sz w:val="22"/>
          <w:szCs w:val="22"/>
          <w:lang w:eastAsia="en-US"/>
        </w:rPr>
        <w:t xml:space="preserve"> a</w:t>
      </w:r>
      <w:r w:rsidRPr="000C0AC5">
        <w:rPr>
          <w:rFonts w:asciiTheme="minorHAnsi" w:eastAsiaTheme="minorHAnsi" w:hAnsiTheme="minorHAnsi" w:cstheme="minorHAnsi"/>
          <w:sz w:val="22"/>
          <w:szCs w:val="22"/>
          <w:lang w:eastAsia="en-US"/>
        </w:rPr>
        <w:t>p</w:t>
      </w:r>
      <w:r w:rsidRPr="000C0AC5">
        <w:rPr>
          <w:rFonts w:asciiTheme="minorHAnsi" w:eastAsiaTheme="minorHAnsi" w:hAnsiTheme="minorHAnsi" w:cstheme="minorHAnsi"/>
          <w:sz w:val="22"/>
          <w:szCs w:val="22"/>
          <w:lang w:eastAsia="en-US"/>
        </w:rPr>
        <w:t xml:space="preserve">proach </w:t>
      </w:r>
      <w:r w:rsidR="007E73D7" w:rsidRPr="000C0AC5">
        <w:rPr>
          <w:rFonts w:asciiTheme="minorHAnsi" w:eastAsiaTheme="minorHAnsi" w:hAnsiTheme="minorHAnsi" w:cstheme="minorHAnsi"/>
          <w:sz w:val="22"/>
          <w:szCs w:val="22"/>
          <w:lang w:eastAsia="en-US"/>
        </w:rPr>
        <w:t xml:space="preserve">in principle (for packaged products), </w:t>
      </w:r>
      <w:r w:rsidRPr="000C0AC5">
        <w:rPr>
          <w:rFonts w:asciiTheme="minorHAnsi" w:eastAsiaTheme="minorHAnsi" w:hAnsiTheme="minorHAnsi" w:cstheme="minorHAnsi"/>
          <w:sz w:val="22"/>
          <w:szCs w:val="22"/>
          <w:lang w:eastAsia="en-US"/>
        </w:rPr>
        <w:t>we fear that the framework currently suggested by Regul</w:t>
      </w:r>
      <w:r w:rsidRPr="000C0AC5">
        <w:rPr>
          <w:rFonts w:asciiTheme="minorHAnsi" w:eastAsiaTheme="minorHAnsi" w:hAnsiTheme="minorHAnsi" w:cstheme="minorHAnsi"/>
          <w:sz w:val="22"/>
          <w:szCs w:val="22"/>
          <w:lang w:eastAsia="en-US"/>
        </w:rPr>
        <w:t>a</w:t>
      </w:r>
      <w:r w:rsidRPr="000C0AC5">
        <w:rPr>
          <w:rFonts w:asciiTheme="minorHAnsi" w:eastAsiaTheme="minorHAnsi" w:hAnsiTheme="minorHAnsi" w:cstheme="minorHAnsi"/>
          <w:sz w:val="22"/>
          <w:szCs w:val="22"/>
          <w:lang w:eastAsia="en-US"/>
        </w:rPr>
        <w:t>tors is proving too strict and uniform. As proposed, this will lead to rules that would have to be applied to products that do not fit properly into the PRIIPs framework,</w:t>
      </w:r>
      <w:r w:rsidRPr="000C0AC5">
        <w:rPr>
          <w:rFonts w:asciiTheme="minorHAnsi" w:eastAsiaTheme="minorHAnsi" w:hAnsiTheme="minorHAnsi" w:cstheme="minorHAnsi"/>
          <w:b/>
          <w:sz w:val="22"/>
          <w:szCs w:val="22"/>
          <w:lang w:eastAsia="en-US"/>
        </w:rPr>
        <w:t xml:space="preserve"> leading to these products being pote</w:t>
      </w:r>
      <w:r w:rsidRPr="000C0AC5">
        <w:rPr>
          <w:rFonts w:asciiTheme="minorHAnsi" w:eastAsiaTheme="minorHAnsi" w:hAnsiTheme="minorHAnsi" w:cstheme="minorHAnsi"/>
          <w:b/>
          <w:sz w:val="22"/>
          <w:szCs w:val="22"/>
          <w:lang w:eastAsia="en-US"/>
        </w:rPr>
        <w:t>n</w:t>
      </w:r>
      <w:r w:rsidRPr="000C0AC5">
        <w:rPr>
          <w:rFonts w:asciiTheme="minorHAnsi" w:eastAsiaTheme="minorHAnsi" w:hAnsiTheme="minorHAnsi" w:cstheme="minorHAnsi"/>
          <w:b/>
          <w:sz w:val="22"/>
          <w:szCs w:val="22"/>
          <w:lang w:eastAsia="en-US"/>
        </w:rPr>
        <w:t>tially misrepresented to the retail investor audience.</w:t>
      </w:r>
    </w:p>
    <w:p w:rsidR="00C22D1D" w:rsidRPr="000C0AC5" w:rsidRDefault="00C22D1D" w:rsidP="00DC5AD2">
      <w:pPr>
        <w:spacing w:after="200" w:line="276" w:lineRule="auto"/>
        <w:jc w:val="both"/>
        <w:rPr>
          <w:rFonts w:asciiTheme="minorHAnsi" w:eastAsiaTheme="minorHAnsi" w:hAnsiTheme="minorHAnsi" w:cstheme="minorHAnsi"/>
          <w:sz w:val="22"/>
          <w:szCs w:val="22"/>
          <w:lang w:eastAsia="en-US"/>
        </w:rPr>
      </w:pPr>
      <w:r w:rsidRPr="000C0AC5">
        <w:rPr>
          <w:rFonts w:asciiTheme="minorHAnsi" w:eastAsiaTheme="minorHAnsi" w:hAnsiTheme="minorHAnsi" w:cstheme="minorHAnsi"/>
          <w:sz w:val="22"/>
          <w:szCs w:val="22"/>
          <w:lang w:eastAsia="en-US"/>
        </w:rPr>
        <w:t xml:space="preserve">From a principle </w:t>
      </w:r>
      <w:r w:rsidR="007E73D7" w:rsidRPr="000C0AC5">
        <w:rPr>
          <w:rFonts w:asciiTheme="minorHAnsi" w:eastAsiaTheme="minorHAnsi" w:hAnsiTheme="minorHAnsi" w:cstheme="minorHAnsi"/>
          <w:sz w:val="22"/>
          <w:szCs w:val="22"/>
          <w:lang w:eastAsia="en-US"/>
        </w:rPr>
        <w:t xml:space="preserve">point of </w:t>
      </w:r>
      <w:r w:rsidRPr="000C0AC5">
        <w:rPr>
          <w:rFonts w:asciiTheme="minorHAnsi" w:eastAsiaTheme="minorHAnsi" w:hAnsiTheme="minorHAnsi" w:cstheme="minorHAnsi"/>
          <w:sz w:val="22"/>
          <w:szCs w:val="22"/>
          <w:lang w:eastAsia="en-US"/>
        </w:rPr>
        <w:t>view, we are of the opinion that listed (exchange traded)</w:t>
      </w:r>
      <w:r w:rsidR="007E73D7" w:rsidRPr="000C0AC5">
        <w:rPr>
          <w:rFonts w:asciiTheme="minorHAnsi" w:eastAsiaTheme="minorHAnsi" w:hAnsiTheme="minorHAnsi" w:cstheme="minorHAnsi"/>
          <w:sz w:val="22"/>
          <w:szCs w:val="22"/>
          <w:lang w:eastAsia="en-US"/>
        </w:rPr>
        <w:t xml:space="preserve"> </w:t>
      </w:r>
      <w:r w:rsidRPr="000C0AC5">
        <w:rPr>
          <w:rFonts w:asciiTheme="minorHAnsi" w:eastAsiaTheme="minorHAnsi" w:hAnsiTheme="minorHAnsi" w:cstheme="minorHAnsi"/>
          <w:sz w:val="22"/>
          <w:szCs w:val="22"/>
          <w:lang w:eastAsia="en-US"/>
        </w:rPr>
        <w:t>derivatives such as options and futures are not in scope of the PRIIPS Regulat</w:t>
      </w:r>
      <w:r w:rsidR="007E73D7" w:rsidRPr="000C0AC5">
        <w:rPr>
          <w:rFonts w:asciiTheme="minorHAnsi" w:eastAsiaTheme="minorHAnsi" w:hAnsiTheme="minorHAnsi" w:cstheme="minorHAnsi"/>
          <w:sz w:val="22"/>
          <w:szCs w:val="22"/>
          <w:lang w:eastAsia="en-US"/>
        </w:rPr>
        <w:t xml:space="preserve">ion. The  PRIP is described as </w:t>
      </w:r>
      <w:r w:rsidRPr="000C0AC5">
        <w:rPr>
          <w:rFonts w:asciiTheme="minorHAnsi" w:eastAsiaTheme="minorHAnsi" w:hAnsiTheme="minorHAnsi" w:cstheme="minorHAnsi"/>
          <w:sz w:val="22"/>
          <w:szCs w:val="22"/>
          <w:lang w:eastAsia="en-US"/>
        </w:rPr>
        <w:t xml:space="preserve">an </w:t>
      </w:r>
      <w:r w:rsidRPr="000C0AC5">
        <w:rPr>
          <w:rFonts w:asciiTheme="minorHAnsi" w:eastAsiaTheme="minorHAnsi" w:hAnsiTheme="minorHAnsi" w:cstheme="minorHAnsi"/>
          <w:b/>
          <w:sz w:val="22"/>
          <w:szCs w:val="22"/>
          <w:lang w:eastAsia="en-US"/>
        </w:rPr>
        <w:t>investment with an amount repayable to the retail investor</w:t>
      </w:r>
      <w:r w:rsidRPr="000C0AC5">
        <w:rPr>
          <w:rFonts w:asciiTheme="minorHAnsi" w:eastAsiaTheme="minorHAnsi" w:hAnsiTheme="minorHAnsi" w:cstheme="minorHAnsi"/>
          <w:sz w:val="22"/>
          <w:szCs w:val="22"/>
          <w:lang w:eastAsia="en-US"/>
        </w:rPr>
        <w:t xml:space="preserve">. It is important to recognise that derivatives </w:t>
      </w:r>
      <w:r w:rsidR="007E73D7" w:rsidRPr="000C0AC5">
        <w:rPr>
          <w:rFonts w:asciiTheme="minorHAnsi" w:eastAsiaTheme="minorHAnsi" w:hAnsiTheme="minorHAnsi" w:cstheme="minorHAnsi"/>
          <w:sz w:val="22"/>
          <w:szCs w:val="22"/>
          <w:lang w:eastAsia="en-US"/>
        </w:rPr>
        <w:t xml:space="preserve">such as listed options and futures </w:t>
      </w:r>
      <w:r w:rsidRPr="000C0AC5">
        <w:rPr>
          <w:rFonts w:asciiTheme="minorHAnsi" w:eastAsiaTheme="minorHAnsi" w:hAnsiTheme="minorHAnsi" w:cstheme="minorHAnsi"/>
          <w:sz w:val="22"/>
          <w:szCs w:val="22"/>
          <w:lang w:eastAsia="en-US"/>
        </w:rPr>
        <w:t xml:space="preserve">are financial </w:t>
      </w:r>
      <w:r w:rsidRPr="000C0AC5">
        <w:rPr>
          <w:rFonts w:asciiTheme="minorHAnsi" w:eastAsiaTheme="minorHAnsi" w:hAnsiTheme="minorHAnsi" w:cstheme="minorHAnsi"/>
          <w:b/>
          <w:sz w:val="22"/>
          <w:szCs w:val="22"/>
          <w:lang w:eastAsia="en-US"/>
        </w:rPr>
        <w:t>instruments</w:t>
      </w:r>
      <w:r w:rsidRPr="000C0AC5">
        <w:rPr>
          <w:rFonts w:asciiTheme="minorHAnsi" w:eastAsiaTheme="minorHAnsi" w:hAnsiTheme="minorHAnsi" w:cstheme="minorHAnsi"/>
          <w:sz w:val="22"/>
          <w:szCs w:val="22"/>
          <w:lang w:eastAsia="en-US"/>
        </w:rPr>
        <w:t xml:space="preserve"> but are not </w:t>
      </w:r>
      <w:r w:rsidRPr="000C0AC5">
        <w:rPr>
          <w:rFonts w:asciiTheme="minorHAnsi" w:eastAsiaTheme="minorHAnsi" w:hAnsiTheme="minorHAnsi" w:cstheme="minorHAnsi"/>
          <w:b/>
          <w:sz w:val="22"/>
          <w:szCs w:val="22"/>
          <w:lang w:eastAsia="en-US"/>
        </w:rPr>
        <w:t>investments</w:t>
      </w:r>
      <w:r w:rsidRPr="000C0AC5">
        <w:rPr>
          <w:rFonts w:asciiTheme="minorHAnsi" w:eastAsiaTheme="minorHAnsi" w:hAnsiTheme="minorHAnsi" w:cstheme="minorHAnsi"/>
          <w:sz w:val="22"/>
          <w:szCs w:val="22"/>
          <w:lang w:eastAsia="en-US"/>
        </w:rPr>
        <w:t xml:space="preserve"> – they are designed for risk management purposes and speculation but not “investment” in the generally understood meaning of the word. Listed derivatives such as options and futures do not match this description and therefore do not fulfil the criteria established in the PRIIPs Regulation. They are contracts, the conditions of which are designed by regulated markets. Regulated markets publish the conditions for their contracts on their website (which lists all of the information on the products and is available for everyone to read) and the traders (be it professional</w:t>
      </w:r>
      <w:r w:rsidR="00A8598D" w:rsidRPr="000C0AC5">
        <w:rPr>
          <w:rFonts w:asciiTheme="minorHAnsi" w:eastAsiaTheme="minorHAnsi" w:hAnsiTheme="minorHAnsi" w:cstheme="minorHAnsi"/>
          <w:sz w:val="22"/>
          <w:szCs w:val="22"/>
          <w:lang w:eastAsia="en-US"/>
        </w:rPr>
        <w:t>s</w:t>
      </w:r>
      <w:r w:rsidRPr="000C0AC5">
        <w:rPr>
          <w:rFonts w:asciiTheme="minorHAnsi" w:eastAsiaTheme="minorHAnsi" w:hAnsiTheme="minorHAnsi" w:cstheme="minorHAnsi"/>
          <w:sz w:val="22"/>
          <w:szCs w:val="22"/>
          <w:lang w:eastAsia="en-US"/>
        </w:rPr>
        <w:t xml:space="preserve"> or brokers acting on behalf of their clients) buy and sell these products.</w:t>
      </w:r>
    </w:p>
    <w:p w:rsidR="00C22D1D" w:rsidRPr="000C0AC5" w:rsidRDefault="00C22D1D" w:rsidP="00F03058">
      <w:pPr>
        <w:spacing w:after="200" w:line="276" w:lineRule="auto"/>
        <w:rPr>
          <w:rFonts w:asciiTheme="minorHAnsi" w:eastAsiaTheme="minorHAnsi" w:hAnsiTheme="minorHAnsi" w:cstheme="minorHAnsi"/>
          <w:b/>
          <w:sz w:val="22"/>
          <w:szCs w:val="22"/>
          <w:lang w:eastAsia="en-US"/>
        </w:rPr>
      </w:pPr>
    </w:p>
    <w:p w:rsidR="00F03058" w:rsidRPr="000C0AC5" w:rsidRDefault="00C22D1D" w:rsidP="00A8598D">
      <w:pPr>
        <w:spacing w:after="200" w:line="276" w:lineRule="auto"/>
        <w:jc w:val="both"/>
        <w:rPr>
          <w:rFonts w:asciiTheme="minorHAnsi" w:eastAsiaTheme="minorHAnsi" w:hAnsiTheme="minorHAnsi" w:cstheme="minorHAnsi"/>
          <w:sz w:val="22"/>
          <w:szCs w:val="22"/>
          <w:lang w:eastAsia="en-US"/>
        </w:rPr>
      </w:pPr>
      <w:r w:rsidRPr="000C0AC5">
        <w:rPr>
          <w:rFonts w:asciiTheme="minorHAnsi" w:eastAsiaTheme="minorHAnsi" w:hAnsiTheme="minorHAnsi" w:cstheme="minorHAnsi"/>
          <w:sz w:val="22"/>
          <w:szCs w:val="22"/>
          <w:lang w:eastAsia="en-US"/>
        </w:rPr>
        <w:lastRenderedPageBreak/>
        <w:t>Another</w:t>
      </w:r>
      <w:r w:rsidR="00F03058" w:rsidRPr="000C0AC5">
        <w:rPr>
          <w:rFonts w:asciiTheme="minorHAnsi" w:eastAsiaTheme="minorHAnsi" w:hAnsiTheme="minorHAnsi" w:cstheme="minorHAnsi"/>
          <w:sz w:val="22"/>
          <w:szCs w:val="22"/>
          <w:lang w:eastAsia="en-US"/>
        </w:rPr>
        <w:t xml:space="preserve"> key difference between listed derivatives and ‘packaged products’ in the traditional sense of the word is that </w:t>
      </w:r>
      <w:r w:rsidR="00F03058" w:rsidRPr="000C0AC5">
        <w:rPr>
          <w:rFonts w:asciiTheme="minorHAnsi" w:eastAsiaTheme="minorHAnsi" w:hAnsiTheme="minorHAnsi" w:cstheme="minorHAnsi"/>
          <w:b/>
          <w:sz w:val="22"/>
          <w:szCs w:val="22"/>
          <w:lang w:eastAsia="en-US"/>
        </w:rPr>
        <w:t xml:space="preserve">listed derivatives are not issued </w:t>
      </w:r>
      <w:r w:rsidR="00A8598D" w:rsidRPr="000C0AC5">
        <w:rPr>
          <w:rFonts w:asciiTheme="minorHAnsi" w:eastAsiaTheme="minorHAnsi" w:hAnsiTheme="minorHAnsi" w:cstheme="minorHAnsi"/>
          <w:b/>
          <w:sz w:val="22"/>
          <w:szCs w:val="22"/>
          <w:lang w:eastAsia="en-US"/>
        </w:rPr>
        <w:t xml:space="preserve">by </w:t>
      </w:r>
      <w:r w:rsidR="00F03058" w:rsidRPr="000C0AC5">
        <w:rPr>
          <w:rFonts w:asciiTheme="minorHAnsi" w:eastAsiaTheme="minorHAnsi" w:hAnsiTheme="minorHAnsi" w:cstheme="minorHAnsi"/>
          <w:b/>
          <w:sz w:val="22"/>
          <w:szCs w:val="22"/>
          <w:lang w:eastAsia="en-US"/>
        </w:rPr>
        <w:t>regulated markets</w:t>
      </w:r>
      <w:r w:rsidR="00F03058" w:rsidRPr="000C0AC5">
        <w:rPr>
          <w:rFonts w:asciiTheme="minorHAnsi" w:eastAsiaTheme="minorHAnsi" w:hAnsiTheme="minorHAnsi" w:cstheme="minorHAnsi"/>
          <w:sz w:val="22"/>
          <w:szCs w:val="22"/>
          <w:lang w:eastAsia="en-US"/>
        </w:rPr>
        <w:t xml:space="preserve">. Moreover, the regulated markets </w:t>
      </w:r>
      <w:r w:rsidR="00F03058" w:rsidRPr="000C0AC5">
        <w:rPr>
          <w:rFonts w:asciiTheme="minorHAnsi" w:eastAsiaTheme="minorHAnsi" w:hAnsiTheme="minorHAnsi" w:cstheme="minorHAnsi"/>
          <w:b/>
          <w:sz w:val="22"/>
          <w:szCs w:val="22"/>
          <w:lang w:eastAsia="en-US"/>
        </w:rPr>
        <w:t>do not become a counterparty to the retail investor</w:t>
      </w:r>
      <w:r w:rsidR="00F03058" w:rsidRPr="000C0AC5">
        <w:rPr>
          <w:rFonts w:asciiTheme="minorHAnsi" w:eastAsiaTheme="minorHAnsi" w:hAnsiTheme="minorHAnsi" w:cstheme="minorHAnsi"/>
          <w:sz w:val="22"/>
          <w:szCs w:val="22"/>
          <w:lang w:eastAsia="en-US"/>
        </w:rPr>
        <w:t xml:space="preserve"> (or anyone for that matter) committing to any pay-outs. In reality, regulated markets have no relation at all with the end investor as trading in the products occurs between members</w:t>
      </w:r>
      <w:r w:rsidR="00A8598D" w:rsidRPr="000C0AC5">
        <w:rPr>
          <w:rFonts w:asciiTheme="minorHAnsi" w:eastAsiaTheme="minorHAnsi" w:hAnsiTheme="minorHAnsi" w:cstheme="minorHAnsi"/>
          <w:sz w:val="22"/>
          <w:szCs w:val="22"/>
          <w:lang w:eastAsia="en-US"/>
        </w:rPr>
        <w:t xml:space="preserve"> of the regulated market</w:t>
      </w:r>
      <w:r w:rsidR="00F03058" w:rsidRPr="000C0AC5">
        <w:rPr>
          <w:rFonts w:asciiTheme="minorHAnsi" w:eastAsiaTheme="minorHAnsi" w:hAnsiTheme="minorHAnsi" w:cstheme="minorHAnsi"/>
          <w:sz w:val="22"/>
          <w:szCs w:val="22"/>
          <w:lang w:eastAsia="en-US"/>
        </w:rPr>
        <w:t xml:space="preserve">, i.e. </w:t>
      </w:r>
      <w:proofErr w:type="spellStart"/>
      <w:r w:rsidR="00F03058" w:rsidRPr="000C0AC5">
        <w:rPr>
          <w:rFonts w:asciiTheme="minorHAnsi" w:eastAsiaTheme="minorHAnsi" w:hAnsiTheme="minorHAnsi" w:cstheme="minorHAnsi"/>
          <w:sz w:val="22"/>
          <w:szCs w:val="22"/>
          <w:lang w:eastAsia="en-US"/>
        </w:rPr>
        <w:t>MiFID</w:t>
      </w:r>
      <w:proofErr w:type="spellEnd"/>
      <w:r w:rsidR="00F03058" w:rsidRPr="000C0AC5">
        <w:rPr>
          <w:rFonts w:asciiTheme="minorHAnsi" w:eastAsiaTheme="minorHAnsi" w:hAnsiTheme="minorHAnsi" w:cstheme="minorHAnsi"/>
          <w:sz w:val="22"/>
          <w:szCs w:val="22"/>
          <w:lang w:eastAsia="en-US"/>
        </w:rPr>
        <w:t xml:space="preserve"> licensed </w:t>
      </w:r>
      <w:r w:rsidR="00A8598D" w:rsidRPr="000C0AC5">
        <w:rPr>
          <w:rFonts w:asciiTheme="minorHAnsi" w:eastAsiaTheme="minorHAnsi" w:hAnsiTheme="minorHAnsi" w:cstheme="minorHAnsi"/>
          <w:sz w:val="22"/>
          <w:szCs w:val="22"/>
          <w:lang w:eastAsia="en-US"/>
        </w:rPr>
        <w:t xml:space="preserve">investment firms. These firms </w:t>
      </w:r>
      <w:r w:rsidR="00F03058" w:rsidRPr="000C0AC5">
        <w:rPr>
          <w:rFonts w:asciiTheme="minorHAnsi" w:eastAsiaTheme="minorHAnsi" w:hAnsiTheme="minorHAnsi" w:cstheme="minorHAnsi"/>
          <w:sz w:val="22"/>
          <w:szCs w:val="22"/>
          <w:lang w:eastAsia="en-US"/>
        </w:rPr>
        <w:t xml:space="preserve">entertain the relationship with the end investor. This difference leads to the </w:t>
      </w:r>
      <w:r w:rsidR="00F03058" w:rsidRPr="000C0AC5">
        <w:rPr>
          <w:rFonts w:asciiTheme="minorHAnsi" w:eastAsiaTheme="minorHAnsi" w:hAnsiTheme="minorHAnsi" w:cstheme="minorHAnsi"/>
          <w:b/>
          <w:sz w:val="22"/>
          <w:szCs w:val="22"/>
          <w:lang w:eastAsia="en-US"/>
        </w:rPr>
        <w:t>inability of regulated ma</w:t>
      </w:r>
      <w:r w:rsidR="00F03058" w:rsidRPr="000C0AC5">
        <w:rPr>
          <w:rFonts w:asciiTheme="minorHAnsi" w:eastAsiaTheme="minorHAnsi" w:hAnsiTheme="minorHAnsi" w:cstheme="minorHAnsi"/>
          <w:b/>
          <w:sz w:val="22"/>
          <w:szCs w:val="22"/>
          <w:lang w:eastAsia="en-US"/>
        </w:rPr>
        <w:t>r</w:t>
      </w:r>
      <w:r w:rsidR="00F03058" w:rsidRPr="000C0AC5">
        <w:rPr>
          <w:rFonts w:asciiTheme="minorHAnsi" w:eastAsiaTheme="minorHAnsi" w:hAnsiTheme="minorHAnsi" w:cstheme="minorHAnsi"/>
          <w:b/>
          <w:sz w:val="22"/>
          <w:szCs w:val="22"/>
          <w:lang w:eastAsia="en-US"/>
        </w:rPr>
        <w:t>kets to complete a KID according to the proposed set of rules</w:t>
      </w:r>
      <w:r w:rsidR="00F03058" w:rsidRPr="000C0AC5">
        <w:rPr>
          <w:rFonts w:asciiTheme="minorHAnsi" w:eastAsiaTheme="minorHAnsi" w:hAnsiTheme="minorHAnsi" w:cstheme="minorHAnsi"/>
          <w:sz w:val="22"/>
          <w:szCs w:val="22"/>
          <w:lang w:eastAsia="en-US"/>
        </w:rPr>
        <w:t xml:space="preserve">. When drafting an example KID based on the proposed set of rules, we encounter a number of practical problems preventing us, as a regulated market, from fully complying with the set of requirements. </w:t>
      </w:r>
    </w:p>
    <w:p w:rsidR="00F03058" w:rsidRPr="000C0AC5" w:rsidRDefault="00F03058" w:rsidP="00A8598D">
      <w:pPr>
        <w:spacing w:after="200" w:line="276" w:lineRule="auto"/>
        <w:jc w:val="both"/>
        <w:rPr>
          <w:rFonts w:asciiTheme="minorHAnsi" w:eastAsiaTheme="minorHAnsi" w:hAnsiTheme="minorHAnsi" w:cstheme="minorHAnsi"/>
          <w:sz w:val="22"/>
          <w:szCs w:val="22"/>
          <w:lang w:eastAsia="en-US"/>
        </w:rPr>
      </w:pPr>
      <w:r w:rsidRPr="000C0AC5">
        <w:rPr>
          <w:rFonts w:asciiTheme="minorHAnsi" w:eastAsiaTheme="minorHAnsi" w:hAnsiTheme="minorHAnsi" w:cstheme="minorHAnsi"/>
          <w:sz w:val="22"/>
          <w:szCs w:val="22"/>
          <w:lang w:eastAsia="en-US"/>
        </w:rPr>
        <w:t xml:space="preserve">In addition, we have concerns about the </w:t>
      </w:r>
      <w:r w:rsidRPr="000C0AC5">
        <w:rPr>
          <w:rFonts w:asciiTheme="minorHAnsi" w:eastAsiaTheme="minorHAnsi" w:hAnsiTheme="minorHAnsi" w:cstheme="minorHAnsi"/>
          <w:b/>
          <w:sz w:val="22"/>
          <w:szCs w:val="22"/>
          <w:lang w:eastAsia="en-US"/>
        </w:rPr>
        <w:t>positioning of these products in comparison to other products</w:t>
      </w:r>
      <w:r w:rsidRPr="000C0AC5">
        <w:rPr>
          <w:rFonts w:asciiTheme="minorHAnsi" w:eastAsiaTheme="minorHAnsi" w:hAnsiTheme="minorHAnsi" w:cstheme="minorHAnsi"/>
          <w:sz w:val="22"/>
          <w:szCs w:val="22"/>
          <w:lang w:eastAsia="en-US"/>
        </w:rPr>
        <w:t>. The rules around the KID imply that packaged products can be seen as single products which in fact they are not. This does not reflect the nature of listed derivatives as truly single, transparent products by their very nature.</w:t>
      </w:r>
    </w:p>
    <w:p w:rsidR="00F03058" w:rsidRPr="000C0AC5" w:rsidRDefault="00F03058" w:rsidP="00A8598D">
      <w:pPr>
        <w:spacing w:after="200" w:line="276" w:lineRule="auto"/>
        <w:jc w:val="both"/>
        <w:rPr>
          <w:rFonts w:asciiTheme="minorHAnsi" w:eastAsiaTheme="minorHAnsi" w:hAnsiTheme="minorHAnsi" w:cstheme="minorHAnsi"/>
          <w:sz w:val="22"/>
          <w:szCs w:val="22"/>
          <w:lang w:eastAsia="en-US"/>
        </w:rPr>
      </w:pPr>
      <w:r w:rsidRPr="000C0AC5">
        <w:rPr>
          <w:rFonts w:asciiTheme="minorHAnsi" w:eastAsiaTheme="minorHAnsi" w:hAnsiTheme="minorHAnsi" w:cstheme="minorHAnsi"/>
          <w:sz w:val="22"/>
          <w:szCs w:val="22"/>
          <w:lang w:eastAsia="en-US"/>
        </w:rPr>
        <w:t>In this paper, we will focus on listed individual equity options, index options, individual equity futures and index futures that are traded on regulated markets and which are fully pre- and post-trade transpa</w:t>
      </w:r>
      <w:r w:rsidRPr="000C0AC5">
        <w:rPr>
          <w:rFonts w:asciiTheme="minorHAnsi" w:eastAsiaTheme="minorHAnsi" w:hAnsiTheme="minorHAnsi" w:cstheme="minorHAnsi"/>
          <w:sz w:val="22"/>
          <w:szCs w:val="22"/>
          <w:lang w:eastAsia="en-US"/>
        </w:rPr>
        <w:t>r</w:t>
      </w:r>
      <w:r w:rsidRPr="000C0AC5">
        <w:rPr>
          <w:rFonts w:asciiTheme="minorHAnsi" w:eastAsiaTheme="minorHAnsi" w:hAnsiTheme="minorHAnsi" w:cstheme="minorHAnsi"/>
          <w:sz w:val="22"/>
          <w:szCs w:val="22"/>
          <w:lang w:eastAsia="en-US"/>
        </w:rPr>
        <w:t>ent.</w:t>
      </w:r>
    </w:p>
    <w:p w:rsidR="00F03058" w:rsidRPr="000C0AC5" w:rsidRDefault="00F03058" w:rsidP="00DE067D">
      <w:pPr>
        <w:spacing w:after="200" w:line="276" w:lineRule="auto"/>
        <w:jc w:val="both"/>
        <w:rPr>
          <w:rFonts w:asciiTheme="minorHAnsi" w:eastAsiaTheme="minorHAnsi" w:hAnsiTheme="minorHAnsi" w:cstheme="minorHAnsi"/>
          <w:b/>
          <w:sz w:val="22"/>
          <w:szCs w:val="22"/>
          <w:lang w:eastAsia="en-US"/>
        </w:rPr>
      </w:pPr>
      <w:r w:rsidRPr="000C0AC5">
        <w:rPr>
          <w:rFonts w:asciiTheme="minorHAnsi" w:eastAsiaTheme="minorHAnsi" w:hAnsiTheme="minorHAnsi" w:cstheme="minorHAnsi"/>
          <w:b/>
          <w:sz w:val="22"/>
          <w:szCs w:val="22"/>
          <w:lang w:eastAsia="en-US"/>
        </w:rPr>
        <w:t>The KID does not allow for an informed decision regarding standard listed derivatives:</w:t>
      </w:r>
    </w:p>
    <w:p w:rsidR="00F03058" w:rsidRPr="000C0AC5" w:rsidRDefault="00F03058" w:rsidP="00DE067D">
      <w:pPr>
        <w:spacing w:after="200" w:line="276" w:lineRule="auto"/>
        <w:jc w:val="both"/>
        <w:rPr>
          <w:rFonts w:asciiTheme="minorHAnsi" w:eastAsiaTheme="minorHAnsi" w:hAnsiTheme="minorHAnsi" w:cstheme="minorHAnsi"/>
          <w:sz w:val="22"/>
          <w:szCs w:val="22"/>
          <w:lang w:eastAsia="en-US"/>
        </w:rPr>
      </w:pPr>
      <w:r w:rsidRPr="000C0AC5">
        <w:rPr>
          <w:rFonts w:asciiTheme="minorHAnsi" w:eastAsiaTheme="minorHAnsi" w:hAnsiTheme="minorHAnsi" w:cstheme="minorHAnsi"/>
          <w:sz w:val="22"/>
          <w:szCs w:val="22"/>
          <w:lang w:eastAsia="en-US"/>
        </w:rPr>
        <w:t>The rules around the KID are very much designed to clarify the working, associated risks, issue price, disinvestment procedure, performance scenarios and costs of packaged products: in the case of a pac</w:t>
      </w:r>
      <w:r w:rsidRPr="000C0AC5">
        <w:rPr>
          <w:rFonts w:asciiTheme="minorHAnsi" w:eastAsiaTheme="minorHAnsi" w:hAnsiTheme="minorHAnsi" w:cstheme="minorHAnsi"/>
          <w:sz w:val="22"/>
          <w:szCs w:val="22"/>
          <w:lang w:eastAsia="en-US"/>
        </w:rPr>
        <w:t>k</w:t>
      </w:r>
      <w:r w:rsidRPr="000C0AC5">
        <w:rPr>
          <w:rFonts w:asciiTheme="minorHAnsi" w:eastAsiaTheme="minorHAnsi" w:hAnsiTheme="minorHAnsi" w:cstheme="minorHAnsi"/>
          <w:sz w:val="22"/>
          <w:szCs w:val="22"/>
          <w:lang w:eastAsia="en-US"/>
        </w:rPr>
        <w:t xml:space="preserve">aged products this has added value. However, while applying these rules to listed options &amp; futures </w:t>
      </w:r>
      <w:r w:rsidR="00DE067D" w:rsidRPr="000C0AC5">
        <w:rPr>
          <w:rFonts w:asciiTheme="minorHAnsi" w:eastAsiaTheme="minorHAnsi" w:hAnsiTheme="minorHAnsi" w:cstheme="minorHAnsi"/>
          <w:sz w:val="22"/>
          <w:szCs w:val="22"/>
          <w:lang w:eastAsia="en-US"/>
        </w:rPr>
        <w:t xml:space="preserve">it </w:t>
      </w:r>
      <w:r w:rsidRPr="000C0AC5">
        <w:rPr>
          <w:rFonts w:asciiTheme="minorHAnsi" w:eastAsiaTheme="minorHAnsi" w:hAnsiTheme="minorHAnsi" w:cstheme="minorHAnsi"/>
          <w:sz w:val="22"/>
          <w:szCs w:val="22"/>
          <w:lang w:eastAsia="en-US"/>
        </w:rPr>
        <w:t>might give the impression to add clarity and help to compare listed options &amp; futures with packaged products, in practice it does not. This is because:</w:t>
      </w:r>
    </w:p>
    <w:p w:rsidR="00F03058" w:rsidRPr="000C0AC5" w:rsidRDefault="00F03058" w:rsidP="00DE067D">
      <w:pPr>
        <w:numPr>
          <w:ilvl w:val="0"/>
          <w:numId w:val="56"/>
        </w:numPr>
        <w:spacing w:after="200" w:line="276" w:lineRule="auto"/>
        <w:contextualSpacing/>
        <w:jc w:val="both"/>
        <w:rPr>
          <w:rFonts w:asciiTheme="minorHAnsi" w:eastAsiaTheme="minorHAnsi" w:hAnsiTheme="minorHAnsi" w:cstheme="minorHAnsi"/>
          <w:sz w:val="22"/>
          <w:szCs w:val="22"/>
          <w:lang w:eastAsia="en-US"/>
        </w:rPr>
      </w:pPr>
      <w:r w:rsidRPr="000C0AC5">
        <w:rPr>
          <w:rFonts w:asciiTheme="minorHAnsi" w:eastAsiaTheme="minorHAnsi" w:hAnsiTheme="minorHAnsi" w:cstheme="minorHAnsi"/>
          <w:sz w:val="22"/>
          <w:szCs w:val="22"/>
          <w:lang w:eastAsia="en-US"/>
        </w:rPr>
        <w:t xml:space="preserve">Listed options &amp; futures are fully transparent in design, in </w:t>
      </w:r>
      <w:r w:rsidR="00DE067D" w:rsidRPr="000C0AC5">
        <w:rPr>
          <w:rFonts w:asciiTheme="minorHAnsi" w:eastAsiaTheme="minorHAnsi" w:hAnsiTheme="minorHAnsi" w:cstheme="minorHAnsi"/>
          <w:sz w:val="22"/>
          <w:szCs w:val="22"/>
          <w:lang w:eastAsia="en-US"/>
        </w:rPr>
        <w:t xml:space="preserve">trading </w:t>
      </w:r>
      <w:r w:rsidRPr="000C0AC5">
        <w:rPr>
          <w:rFonts w:asciiTheme="minorHAnsi" w:eastAsiaTheme="minorHAnsi" w:hAnsiTheme="minorHAnsi" w:cstheme="minorHAnsi"/>
          <w:sz w:val="22"/>
          <w:szCs w:val="22"/>
          <w:lang w:eastAsia="en-US"/>
        </w:rPr>
        <w:t>costs and in pricing;</w:t>
      </w:r>
    </w:p>
    <w:p w:rsidR="00F03058" w:rsidRPr="000C0AC5" w:rsidRDefault="00DE067D" w:rsidP="00DE067D">
      <w:pPr>
        <w:numPr>
          <w:ilvl w:val="0"/>
          <w:numId w:val="56"/>
        </w:numPr>
        <w:spacing w:after="200" w:line="276" w:lineRule="auto"/>
        <w:contextualSpacing/>
        <w:jc w:val="both"/>
        <w:rPr>
          <w:rFonts w:asciiTheme="minorHAnsi" w:eastAsiaTheme="minorHAnsi" w:hAnsiTheme="minorHAnsi" w:cstheme="minorHAnsi"/>
          <w:sz w:val="22"/>
          <w:szCs w:val="22"/>
          <w:lang w:eastAsia="en-US"/>
        </w:rPr>
      </w:pPr>
      <w:r w:rsidRPr="000C0AC5">
        <w:rPr>
          <w:rFonts w:asciiTheme="minorHAnsi" w:eastAsiaTheme="minorHAnsi" w:hAnsiTheme="minorHAnsi" w:cstheme="minorHAnsi"/>
          <w:sz w:val="22"/>
          <w:szCs w:val="22"/>
          <w:lang w:eastAsia="en-US"/>
        </w:rPr>
        <w:t>The regulated market</w:t>
      </w:r>
      <w:r w:rsidR="00F03058" w:rsidRPr="000C0AC5">
        <w:rPr>
          <w:rFonts w:asciiTheme="minorHAnsi" w:eastAsiaTheme="minorHAnsi" w:hAnsiTheme="minorHAnsi" w:cstheme="minorHAnsi"/>
          <w:sz w:val="22"/>
          <w:szCs w:val="22"/>
          <w:lang w:eastAsia="en-US"/>
        </w:rPr>
        <w:t xml:space="preserve"> is not </w:t>
      </w:r>
      <w:r w:rsidRPr="000C0AC5">
        <w:rPr>
          <w:rFonts w:asciiTheme="minorHAnsi" w:eastAsiaTheme="minorHAnsi" w:hAnsiTheme="minorHAnsi" w:cstheme="minorHAnsi"/>
          <w:sz w:val="22"/>
          <w:szCs w:val="22"/>
          <w:lang w:eastAsia="en-US"/>
        </w:rPr>
        <w:t xml:space="preserve">a </w:t>
      </w:r>
      <w:r w:rsidR="00F03058" w:rsidRPr="000C0AC5">
        <w:rPr>
          <w:rFonts w:asciiTheme="minorHAnsi" w:eastAsiaTheme="minorHAnsi" w:hAnsiTheme="minorHAnsi" w:cstheme="minorHAnsi"/>
          <w:sz w:val="22"/>
          <w:szCs w:val="22"/>
          <w:lang w:eastAsia="en-US"/>
        </w:rPr>
        <w:t>counterparty to a trade, so the regulated market does not profit from the trading price of listed options &amp; futures;</w:t>
      </w:r>
    </w:p>
    <w:p w:rsidR="00F03058" w:rsidRPr="000C0AC5" w:rsidRDefault="00F03058" w:rsidP="00DE067D">
      <w:pPr>
        <w:numPr>
          <w:ilvl w:val="0"/>
          <w:numId w:val="56"/>
        </w:numPr>
        <w:spacing w:after="200" w:line="276" w:lineRule="auto"/>
        <w:contextualSpacing/>
        <w:jc w:val="both"/>
        <w:rPr>
          <w:rFonts w:asciiTheme="minorHAnsi" w:eastAsiaTheme="minorHAnsi" w:hAnsiTheme="minorHAnsi" w:cstheme="minorHAnsi"/>
          <w:sz w:val="22"/>
          <w:szCs w:val="22"/>
          <w:lang w:eastAsia="en-US"/>
        </w:rPr>
      </w:pPr>
      <w:r w:rsidRPr="000C0AC5">
        <w:rPr>
          <w:rFonts w:asciiTheme="minorHAnsi" w:eastAsiaTheme="minorHAnsi" w:hAnsiTheme="minorHAnsi" w:cstheme="minorHAnsi"/>
          <w:sz w:val="22"/>
          <w:szCs w:val="22"/>
          <w:lang w:eastAsia="en-US"/>
        </w:rPr>
        <w:t>No counterparty to a trade can benefit at the cost of another because of an unbalanced relation between buyer and seller; and,</w:t>
      </w:r>
    </w:p>
    <w:p w:rsidR="00F03058" w:rsidRPr="000C0AC5" w:rsidRDefault="00F03058" w:rsidP="00DE067D">
      <w:pPr>
        <w:numPr>
          <w:ilvl w:val="0"/>
          <w:numId w:val="56"/>
        </w:numPr>
        <w:spacing w:after="200" w:line="276" w:lineRule="auto"/>
        <w:contextualSpacing/>
        <w:jc w:val="both"/>
        <w:rPr>
          <w:rFonts w:asciiTheme="minorHAnsi" w:eastAsiaTheme="minorHAnsi" w:hAnsiTheme="minorHAnsi" w:cstheme="minorHAnsi"/>
          <w:sz w:val="22"/>
          <w:szCs w:val="22"/>
          <w:lang w:eastAsia="en-US"/>
        </w:rPr>
      </w:pPr>
      <w:r w:rsidRPr="000C0AC5">
        <w:rPr>
          <w:rFonts w:asciiTheme="minorHAnsi" w:eastAsiaTheme="minorHAnsi" w:hAnsiTheme="minorHAnsi" w:cstheme="minorHAnsi"/>
          <w:sz w:val="22"/>
          <w:szCs w:val="22"/>
          <w:lang w:eastAsia="en-US"/>
        </w:rPr>
        <w:t>Every investor can create a long or a short position and therefore every counterparty is equal.</w:t>
      </w:r>
    </w:p>
    <w:p w:rsidR="00DE067D" w:rsidRPr="000C0AC5" w:rsidRDefault="00DE067D" w:rsidP="00DE067D">
      <w:pPr>
        <w:spacing w:after="200" w:line="276" w:lineRule="auto"/>
        <w:jc w:val="both"/>
        <w:rPr>
          <w:rFonts w:asciiTheme="minorHAnsi" w:eastAsiaTheme="minorHAnsi" w:hAnsiTheme="minorHAnsi" w:cstheme="minorHAnsi"/>
          <w:sz w:val="22"/>
          <w:szCs w:val="22"/>
          <w:lang w:eastAsia="en-US"/>
        </w:rPr>
      </w:pPr>
    </w:p>
    <w:p w:rsidR="00F03058" w:rsidRPr="00F03058" w:rsidRDefault="00F03058" w:rsidP="00DE067D">
      <w:pPr>
        <w:spacing w:after="200" w:line="276" w:lineRule="auto"/>
        <w:jc w:val="both"/>
        <w:rPr>
          <w:rFonts w:asciiTheme="minorHAnsi" w:eastAsiaTheme="minorHAnsi" w:hAnsiTheme="minorHAnsi" w:cstheme="minorHAnsi"/>
          <w:sz w:val="22"/>
          <w:szCs w:val="22"/>
          <w:lang w:eastAsia="en-US"/>
        </w:rPr>
      </w:pPr>
      <w:r w:rsidRPr="000C0AC5">
        <w:rPr>
          <w:rFonts w:asciiTheme="minorHAnsi" w:eastAsiaTheme="minorHAnsi" w:hAnsiTheme="minorHAnsi" w:cstheme="minorHAnsi"/>
          <w:sz w:val="22"/>
          <w:szCs w:val="22"/>
          <w:lang w:eastAsia="en-US"/>
        </w:rPr>
        <w:t>Below we will address the challenges of a KID particularly for listed options and futures.</w:t>
      </w:r>
    </w:p>
    <w:p w:rsidR="00F03058" w:rsidRPr="00F03058" w:rsidRDefault="00F03058" w:rsidP="00F03058">
      <w:pPr>
        <w:spacing w:after="200" w:line="276" w:lineRule="auto"/>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2. An example of a Key Information Document</w:t>
      </w:r>
    </w:p>
    <w:tbl>
      <w:tblPr>
        <w:tblStyle w:val="TableGrid3"/>
        <w:tblW w:w="0" w:type="auto"/>
        <w:tblCellMar>
          <w:top w:w="113" w:type="dxa"/>
          <w:bottom w:w="113" w:type="dxa"/>
        </w:tblCellMar>
        <w:tblLook w:val="04A0" w:firstRow="1" w:lastRow="0" w:firstColumn="1" w:lastColumn="0" w:noHBand="0" w:noVBand="1"/>
      </w:tblPr>
      <w:tblGrid>
        <w:gridCol w:w="675"/>
        <w:gridCol w:w="2410"/>
        <w:gridCol w:w="6081"/>
      </w:tblGrid>
      <w:tr w:rsidR="00F03058" w:rsidRPr="00F03058" w:rsidTr="00DC5AD2">
        <w:tc>
          <w:tcPr>
            <w:tcW w:w="9166" w:type="dxa"/>
            <w:gridSpan w:val="3"/>
            <w:shd w:val="clear" w:color="auto" w:fill="D9D9D9" w:themeFill="background1" w:themeFillShade="D9"/>
          </w:tcPr>
          <w:p w:rsidR="00F03058" w:rsidRPr="00F03058" w:rsidRDefault="00F03058" w:rsidP="00F03058">
            <w:pPr>
              <w:jc w:val="cente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KID FOR A SINGLE STOCK OPTION/FUTURE</w:t>
            </w:r>
          </w:p>
        </w:tc>
      </w:tr>
      <w:tr w:rsidR="00F03058" w:rsidRPr="00F03058" w:rsidTr="00DC5AD2">
        <w:tc>
          <w:tcPr>
            <w:tcW w:w="675"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1.</w:t>
            </w:r>
          </w:p>
        </w:tc>
        <w:tc>
          <w:tcPr>
            <w:tcW w:w="2410"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Purpose</w:t>
            </w:r>
          </w:p>
        </w:tc>
        <w:tc>
          <w:tcPr>
            <w:tcW w:w="6081" w:type="dxa"/>
          </w:tcPr>
          <w:p w:rsidR="00F03058" w:rsidRPr="00F03058" w:rsidRDefault="00F03058" w:rsidP="00DC5AD2">
            <w:pPr>
              <w:rPr>
                <w:rFonts w:asciiTheme="minorHAnsi" w:hAnsiTheme="minorHAnsi" w:cstheme="minorHAnsi"/>
                <w:b/>
                <w:color w:val="4F6228" w:themeColor="accent3" w:themeShade="80"/>
                <w:sz w:val="22"/>
                <w:szCs w:val="22"/>
                <w:lang w:eastAsia="en-US"/>
              </w:rPr>
            </w:pPr>
            <w:r w:rsidRPr="00F03058">
              <w:rPr>
                <w:rFonts w:asciiTheme="minorHAnsi" w:hAnsiTheme="minorHAnsi" w:cstheme="minorHAnsi"/>
                <w:b/>
                <w:color w:val="4F6228" w:themeColor="accent3" w:themeShade="80"/>
                <w:sz w:val="22"/>
                <w:szCs w:val="22"/>
                <w:lang w:eastAsia="en-US"/>
              </w:rPr>
              <w:t>Could be provided by a regulated market</w:t>
            </w:r>
          </w:p>
        </w:tc>
      </w:tr>
      <w:tr w:rsidR="00F03058" w:rsidRPr="00F03058" w:rsidTr="00DC5AD2">
        <w:tc>
          <w:tcPr>
            <w:tcW w:w="675"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2.</w:t>
            </w:r>
          </w:p>
        </w:tc>
        <w:tc>
          <w:tcPr>
            <w:tcW w:w="2410"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Product</w:t>
            </w:r>
          </w:p>
        </w:tc>
        <w:tc>
          <w:tcPr>
            <w:tcW w:w="6081" w:type="dxa"/>
          </w:tcPr>
          <w:p w:rsidR="00F03058" w:rsidRPr="00F03058" w:rsidRDefault="00F03058" w:rsidP="00DC5AD2">
            <w:pPr>
              <w:rPr>
                <w:rFonts w:asciiTheme="minorHAnsi" w:hAnsiTheme="minorHAnsi" w:cstheme="minorHAnsi"/>
                <w:b/>
                <w:color w:val="4F6228" w:themeColor="accent3" w:themeShade="80"/>
                <w:sz w:val="22"/>
                <w:szCs w:val="22"/>
                <w:lang w:eastAsia="en-US"/>
              </w:rPr>
            </w:pPr>
            <w:r w:rsidRPr="00F03058">
              <w:rPr>
                <w:rFonts w:asciiTheme="minorHAnsi" w:hAnsiTheme="minorHAnsi" w:cstheme="minorHAnsi"/>
                <w:b/>
                <w:color w:val="4F6228" w:themeColor="accent3" w:themeShade="80"/>
                <w:sz w:val="22"/>
                <w:szCs w:val="22"/>
                <w:lang w:eastAsia="en-US"/>
              </w:rPr>
              <w:t>Could be provided by a regulated market</w:t>
            </w:r>
          </w:p>
        </w:tc>
      </w:tr>
      <w:tr w:rsidR="00F03058" w:rsidRPr="00F03058" w:rsidTr="00DC5AD2">
        <w:tc>
          <w:tcPr>
            <w:tcW w:w="675" w:type="dxa"/>
            <w:shd w:val="clear" w:color="auto" w:fill="D9D9D9" w:themeFill="background1" w:themeFillShade="D9"/>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3.</w:t>
            </w:r>
          </w:p>
        </w:tc>
        <w:tc>
          <w:tcPr>
            <w:tcW w:w="8491" w:type="dxa"/>
            <w:gridSpan w:val="2"/>
            <w:shd w:val="clear" w:color="auto" w:fill="D9D9D9" w:themeFill="background1" w:themeFillShade="D9"/>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What is this product?</w:t>
            </w:r>
          </w:p>
        </w:tc>
      </w:tr>
      <w:tr w:rsidR="00F03058" w:rsidRPr="00F03058" w:rsidTr="00DC5AD2">
        <w:tc>
          <w:tcPr>
            <w:tcW w:w="675"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lastRenderedPageBreak/>
              <w:t>3.A</w:t>
            </w:r>
          </w:p>
        </w:tc>
        <w:tc>
          <w:tcPr>
            <w:tcW w:w="2410"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Type</w:t>
            </w:r>
          </w:p>
        </w:tc>
        <w:tc>
          <w:tcPr>
            <w:tcW w:w="6081" w:type="dxa"/>
          </w:tcPr>
          <w:p w:rsidR="00F03058" w:rsidRPr="00F03058" w:rsidRDefault="00F03058" w:rsidP="00DC5AD2">
            <w:pPr>
              <w:rPr>
                <w:rFonts w:asciiTheme="minorHAnsi" w:hAnsiTheme="minorHAnsi" w:cstheme="minorHAnsi"/>
                <w:b/>
                <w:color w:val="4F6228" w:themeColor="accent3" w:themeShade="80"/>
                <w:sz w:val="22"/>
                <w:szCs w:val="22"/>
                <w:lang w:eastAsia="en-US"/>
              </w:rPr>
            </w:pPr>
            <w:r w:rsidRPr="00F03058">
              <w:rPr>
                <w:rFonts w:asciiTheme="minorHAnsi" w:hAnsiTheme="minorHAnsi" w:cstheme="minorHAnsi"/>
                <w:b/>
                <w:color w:val="4F6228" w:themeColor="accent3" w:themeShade="80"/>
                <w:sz w:val="22"/>
                <w:szCs w:val="22"/>
                <w:lang w:eastAsia="en-US"/>
              </w:rPr>
              <w:t>Could be provided by a regulated market</w:t>
            </w:r>
          </w:p>
        </w:tc>
      </w:tr>
      <w:tr w:rsidR="00F03058" w:rsidRPr="00F03058" w:rsidTr="00DC5AD2">
        <w:tc>
          <w:tcPr>
            <w:tcW w:w="675"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3.B</w:t>
            </w:r>
          </w:p>
        </w:tc>
        <w:tc>
          <w:tcPr>
            <w:tcW w:w="2410"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Purpose</w:t>
            </w:r>
          </w:p>
        </w:tc>
        <w:tc>
          <w:tcPr>
            <w:tcW w:w="6081" w:type="dxa"/>
          </w:tcPr>
          <w:p w:rsidR="00F03058" w:rsidRPr="00F03058" w:rsidRDefault="00F03058" w:rsidP="00DE067D">
            <w:pPr>
              <w:jc w:val="both"/>
              <w:rPr>
                <w:rFonts w:asciiTheme="minorHAnsi" w:hAnsiTheme="minorHAnsi" w:cstheme="minorHAnsi"/>
                <w:b/>
                <w:sz w:val="22"/>
                <w:szCs w:val="22"/>
                <w:lang w:eastAsia="en-US"/>
              </w:rPr>
            </w:pPr>
            <w:r w:rsidRPr="00F03058">
              <w:rPr>
                <w:rFonts w:asciiTheme="minorHAnsi" w:hAnsiTheme="minorHAnsi" w:cstheme="minorHAnsi"/>
                <w:b/>
                <w:color w:val="FF0000"/>
                <w:sz w:val="22"/>
                <w:szCs w:val="22"/>
                <w:lang w:eastAsia="en-US"/>
              </w:rPr>
              <w:t>Cannot be provided by a regulated market</w:t>
            </w:r>
          </w:p>
          <w:p w:rsidR="00F03058" w:rsidRPr="00F03058" w:rsidRDefault="00F03058" w:rsidP="00DE067D">
            <w:pPr>
              <w:jc w:val="both"/>
              <w:rPr>
                <w:rFonts w:asciiTheme="minorHAnsi" w:hAnsiTheme="minorHAnsi" w:cstheme="minorHAnsi"/>
                <w:sz w:val="22"/>
                <w:szCs w:val="22"/>
                <w:lang w:eastAsia="en-US"/>
              </w:rPr>
            </w:pPr>
            <w:r w:rsidRPr="00F03058">
              <w:rPr>
                <w:rFonts w:asciiTheme="minorHAnsi" w:hAnsiTheme="minorHAnsi" w:cstheme="minorHAnsi"/>
                <w:sz w:val="22"/>
                <w:szCs w:val="22"/>
                <w:lang w:eastAsia="en-US"/>
              </w:rPr>
              <w:t>An option or future serves a range of purposes and strategies, all of which cannot be described in the given format of a KID. We refer to para</w:t>
            </w:r>
            <w:r w:rsidR="00817C54">
              <w:rPr>
                <w:rFonts w:asciiTheme="minorHAnsi" w:hAnsiTheme="minorHAnsi" w:cstheme="minorHAnsi"/>
                <w:sz w:val="22"/>
                <w:szCs w:val="22"/>
                <w:lang w:eastAsia="en-US"/>
              </w:rPr>
              <w:t>graph</w:t>
            </w:r>
            <w:r w:rsidRPr="00F03058">
              <w:rPr>
                <w:rFonts w:asciiTheme="minorHAnsi" w:hAnsiTheme="minorHAnsi" w:cstheme="minorHAnsi"/>
                <w:sz w:val="22"/>
                <w:szCs w:val="22"/>
                <w:lang w:eastAsia="en-US"/>
              </w:rPr>
              <w:t xml:space="preserve"> (3.2) below.</w:t>
            </w:r>
          </w:p>
        </w:tc>
      </w:tr>
      <w:tr w:rsidR="00F03058" w:rsidRPr="00F03058" w:rsidTr="00DC5AD2">
        <w:tc>
          <w:tcPr>
            <w:tcW w:w="675"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3.C</w:t>
            </w:r>
          </w:p>
        </w:tc>
        <w:tc>
          <w:tcPr>
            <w:tcW w:w="2410"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Intended market</w:t>
            </w:r>
          </w:p>
        </w:tc>
        <w:tc>
          <w:tcPr>
            <w:tcW w:w="6081" w:type="dxa"/>
          </w:tcPr>
          <w:p w:rsidR="00F03058" w:rsidRDefault="00F03058" w:rsidP="00DE067D">
            <w:pPr>
              <w:jc w:val="both"/>
              <w:rPr>
                <w:rFonts w:asciiTheme="minorHAnsi" w:hAnsiTheme="minorHAnsi" w:cstheme="minorHAnsi"/>
                <w:sz w:val="22"/>
                <w:szCs w:val="22"/>
                <w:lang w:eastAsia="en-US"/>
              </w:rPr>
            </w:pPr>
            <w:r w:rsidRPr="00F03058">
              <w:rPr>
                <w:rFonts w:asciiTheme="minorHAnsi" w:hAnsiTheme="minorHAnsi" w:cstheme="minorHAnsi"/>
                <w:b/>
                <w:color w:val="FF0000"/>
                <w:sz w:val="22"/>
                <w:szCs w:val="22"/>
                <w:lang w:eastAsia="en-US"/>
              </w:rPr>
              <w:t>Cannot be provided by a regulated market</w:t>
            </w:r>
          </w:p>
          <w:p w:rsidR="00F03058" w:rsidRPr="00F03058" w:rsidRDefault="00F03058" w:rsidP="00DE067D">
            <w:pPr>
              <w:jc w:val="both"/>
              <w:rPr>
                <w:rFonts w:asciiTheme="minorHAnsi" w:hAnsiTheme="minorHAnsi" w:cstheme="minorHAnsi"/>
                <w:sz w:val="22"/>
                <w:szCs w:val="22"/>
                <w:lang w:eastAsia="en-US"/>
              </w:rPr>
            </w:pPr>
            <w:r w:rsidRPr="00F03058">
              <w:rPr>
                <w:rFonts w:asciiTheme="minorHAnsi" w:hAnsiTheme="minorHAnsi" w:cstheme="minorHAnsi"/>
                <w:sz w:val="22"/>
                <w:szCs w:val="22"/>
                <w:lang w:eastAsia="en-US"/>
              </w:rPr>
              <w:t>For listed options and futures, no intended market exists – tra</w:t>
            </w:r>
            <w:r w:rsidRPr="00F03058">
              <w:rPr>
                <w:rFonts w:asciiTheme="minorHAnsi" w:hAnsiTheme="minorHAnsi" w:cstheme="minorHAnsi"/>
                <w:sz w:val="22"/>
                <w:szCs w:val="22"/>
                <w:lang w:eastAsia="en-US"/>
              </w:rPr>
              <w:t>d</w:t>
            </w:r>
            <w:r w:rsidRPr="00F03058">
              <w:rPr>
                <w:rFonts w:asciiTheme="minorHAnsi" w:hAnsiTheme="minorHAnsi" w:cstheme="minorHAnsi"/>
                <w:sz w:val="22"/>
                <w:szCs w:val="22"/>
                <w:lang w:eastAsia="en-US"/>
              </w:rPr>
              <w:t xml:space="preserve">ing is open to all that wish to trade in the product. </w:t>
            </w:r>
            <w:r w:rsidRPr="00F03058">
              <w:rPr>
                <w:rFonts w:asciiTheme="minorHAnsi" w:hAnsiTheme="minorHAnsi" w:cstheme="minorHAnsi"/>
                <w:b/>
                <w:sz w:val="22"/>
                <w:szCs w:val="22"/>
                <w:lang w:eastAsia="en-US"/>
              </w:rPr>
              <w:t>The product is not designed specifically for a target audience.</w:t>
            </w:r>
            <w:r w:rsidRPr="00F03058">
              <w:rPr>
                <w:rFonts w:asciiTheme="minorHAnsi" w:hAnsiTheme="minorHAnsi" w:cstheme="minorHAnsi"/>
                <w:sz w:val="22"/>
                <w:szCs w:val="22"/>
                <w:lang w:eastAsia="en-US"/>
              </w:rPr>
              <w:t xml:space="preserve"> If investment firms decide to market these products to specific audiences, regulated markets would not be involved in that process and therefore regulated markets cannot include any information on this.</w:t>
            </w:r>
          </w:p>
        </w:tc>
      </w:tr>
      <w:tr w:rsidR="00F03058" w:rsidRPr="00F03058" w:rsidTr="00DC5AD2">
        <w:tc>
          <w:tcPr>
            <w:tcW w:w="675" w:type="dxa"/>
            <w:shd w:val="clear" w:color="auto" w:fill="D9D9D9" w:themeFill="background1" w:themeFillShade="D9"/>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4.</w:t>
            </w:r>
          </w:p>
        </w:tc>
        <w:tc>
          <w:tcPr>
            <w:tcW w:w="8491" w:type="dxa"/>
            <w:gridSpan w:val="2"/>
            <w:shd w:val="clear" w:color="auto" w:fill="D9D9D9" w:themeFill="background1" w:themeFillShade="D9"/>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What are the risks and what could I get in return?</w:t>
            </w:r>
          </w:p>
        </w:tc>
      </w:tr>
      <w:tr w:rsidR="00F03058" w:rsidRPr="00F03058" w:rsidTr="00DC5AD2">
        <w:tc>
          <w:tcPr>
            <w:tcW w:w="675"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4.A</w:t>
            </w:r>
          </w:p>
        </w:tc>
        <w:tc>
          <w:tcPr>
            <w:tcW w:w="2410"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Risk indicator</w:t>
            </w:r>
          </w:p>
        </w:tc>
        <w:tc>
          <w:tcPr>
            <w:tcW w:w="6081" w:type="dxa"/>
          </w:tcPr>
          <w:p w:rsidR="00F03058" w:rsidRDefault="00F03058" w:rsidP="00DE067D">
            <w:pPr>
              <w:jc w:val="both"/>
              <w:rPr>
                <w:rFonts w:asciiTheme="minorHAnsi" w:hAnsiTheme="minorHAnsi" w:cstheme="minorHAnsi"/>
                <w:sz w:val="22"/>
                <w:szCs w:val="22"/>
                <w:lang w:eastAsia="en-US"/>
              </w:rPr>
            </w:pPr>
            <w:r w:rsidRPr="00F03058">
              <w:rPr>
                <w:rFonts w:asciiTheme="minorHAnsi" w:hAnsiTheme="minorHAnsi" w:cstheme="minorHAnsi"/>
                <w:b/>
                <w:color w:val="FF0000"/>
                <w:sz w:val="22"/>
                <w:szCs w:val="22"/>
                <w:lang w:eastAsia="en-US"/>
              </w:rPr>
              <w:t>Cannot be provided by a regulated market</w:t>
            </w:r>
            <w:r w:rsidRPr="00F03058">
              <w:rPr>
                <w:rFonts w:asciiTheme="minorHAnsi" w:hAnsiTheme="minorHAnsi" w:cstheme="minorHAnsi"/>
                <w:sz w:val="22"/>
                <w:szCs w:val="22"/>
                <w:lang w:eastAsia="en-US"/>
              </w:rPr>
              <w:t xml:space="preserve"> </w:t>
            </w:r>
          </w:p>
          <w:p w:rsidR="00F03058" w:rsidRPr="00F03058" w:rsidRDefault="00F03058" w:rsidP="00DE067D">
            <w:pPr>
              <w:jc w:val="both"/>
              <w:rPr>
                <w:rFonts w:asciiTheme="minorHAnsi" w:hAnsiTheme="minorHAnsi" w:cstheme="minorHAnsi"/>
                <w:sz w:val="22"/>
                <w:szCs w:val="22"/>
                <w:lang w:eastAsia="en-US"/>
              </w:rPr>
            </w:pPr>
            <w:r w:rsidRPr="00F03058">
              <w:rPr>
                <w:rFonts w:asciiTheme="minorHAnsi" w:hAnsiTheme="minorHAnsi" w:cstheme="minorHAnsi"/>
                <w:sz w:val="22"/>
                <w:szCs w:val="22"/>
                <w:lang w:eastAsia="en-US"/>
              </w:rPr>
              <w:t>The risk indicator as suggested by ESMA focuses on the individual product. As listed options and futures are often part of a hedging strategy, the risk is low. However</w:t>
            </w:r>
            <w:r w:rsidR="004D589D">
              <w:rPr>
                <w:rFonts w:asciiTheme="minorHAnsi" w:hAnsiTheme="minorHAnsi" w:cstheme="minorHAnsi"/>
                <w:sz w:val="22"/>
                <w:szCs w:val="22"/>
                <w:lang w:eastAsia="en-US"/>
              </w:rPr>
              <w:t>,</w:t>
            </w:r>
            <w:r w:rsidRPr="00F03058">
              <w:rPr>
                <w:rFonts w:asciiTheme="minorHAnsi" w:hAnsiTheme="minorHAnsi" w:cstheme="minorHAnsi"/>
                <w:sz w:val="22"/>
                <w:szCs w:val="22"/>
                <w:lang w:eastAsia="en-US"/>
              </w:rPr>
              <w:t xml:space="preserve"> ESMA suggests that listed derivatives should be based in the highest risk category.</w:t>
            </w:r>
            <w:r w:rsidRPr="00F03058">
              <w:rPr>
                <w:rFonts w:asciiTheme="minorHAnsi" w:hAnsiTheme="minorHAnsi" w:cstheme="minorHAnsi"/>
                <w:b/>
                <w:sz w:val="22"/>
                <w:szCs w:val="22"/>
                <w:lang w:eastAsia="en-US"/>
              </w:rPr>
              <w:t xml:space="preserve"> This would not do justice to the nature of the product or to the trading environment</w:t>
            </w:r>
            <w:r w:rsidR="00817C54">
              <w:rPr>
                <w:rFonts w:asciiTheme="minorHAnsi" w:hAnsiTheme="minorHAnsi" w:cstheme="minorHAnsi"/>
                <w:b/>
                <w:sz w:val="22"/>
                <w:szCs w:val="22"/>
                <w:lang w:eastAsia="en-US"/>
              </w:rPr>
              <w:t xml:space="preserve"> of the product</w:t>
            </w:r>
            <w:r w:rsidRPr="00F03058">
              <w:rPr>
                <w:rFonts w:asciiTheme="minorHAnsi" w:hAnsiTheme="minorHAnsi" w:cstheme="minorHAnsi"/>
                <w:b/>
                <w:sz w:val="22"/>
                <w:szCs w:val="22"/>
                <w:lang w:eastAsia="en-US"/>
              </w:rPr>
              <w:t>.</w:t>
            </w:r>
            <w:r w:rsidRPr="00F03058">
              <w:rPr>
                <w:rFonts w:asciiTheme="minorHAnsi" w:hAnsiTheme="minorHAnsi" w:cstheme="minorHAnsi"/>
                <w:sz w:val="22"/>
                <w:szCs w:val="22"/>
                <w:lang w:eastAsia="en-US"/>
              </w:rPr>
              <w:t xml:space="preserve"> Also, during the financial crisis, no issues have arisen in and around the trading of listed derivatives that have continuously been traded and have not been under regulatory scrutiny. We will provide further details about this below under para</w:t>
            </w:r>
            <w:r w:rsidR="00817C54">
              <w:rPr>
                <w:rFonts w:asciiTheme="minorHAnsi" w:hAnsiTheme="minorHAnsi" w:cstheme="minorHAnsi"/>
                <w:sz w:val="22"/>
                <w:szCs w:val="22"/>
                <w:lang w:eastAsia="en-US"/>
              </w:rPr>
              <w:t>graph</w:t>
            </w:r>
            <w:r w:rsidRPr="00F03058">
              <w:rPr>
                <w:rFonts w:asciiTheme="minorHAnsi" w:hAnsiTheme="minorHAnsi" w:cstheme="minorHAnsi"/>
                <w:sz w:val="22"/>
                <w:szCs w:val="22"/>
                <w:lang w:eastAsia="en-US"/>
              </w:rPr>
              <w:t xml:space="preserve"> (3).</w:t>
            </w:r>
          </w:p>
        </w:tc>
      </w:tr>
      <w:tr w:rsidR="00F03058" w:rsidRPr="00F03058" w:rsidTr="00DC5AD2">
        <w:tc>
          <w:tcPr>
            <w:tcW w:w="675"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4.B</w:t>
            </w:r>
          </w:p>
        </w:tc>
        <w:tc>
          <w:tcPr>
            <w:tcW w:w="2410"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Performance scenarios</w:t>
            </w:r>
          </w:p>
        </w:tc>
        <w:tc>
          <w:tcPr>
            <w:tcW w:w="6081" w:type="dxa"/>
          </w:tcPr>
          <w:p w:rsidR="00F03058" w:rsidRDefault="00F03058" w:rsidP="00DE067D">
            <w:pPr>
              <w:jc w:val="both"/>
              <w:rPr>
                <w:rFonts w:asciiTheme="minorHAnsi" w:hAnsiTheme="minorHAnsi" w:cstheme="minorHAnsi"/>
                <w:sz w:val="22"/>
                <w:szCs w:val="22"/>
                <w:lang w:eastAsia="en-US"/>
              </w:rPr>
            </w:pPr>
            <w:r w:rsidRPr="00F03058">
              <w:rPr>
                <w:rFonts w:asciiTheme="minorHAnsi" w:hAnsiTheme="minorHAnsi" w:cstheme="minorHAnsi"/>
                <w:b/>
                <w:color w:val="FF0000"/>
                <w:sz w:val="22"/>
                <w:szCs w:val="22"/>
                <w:lang w:eastAsia="en-US"/>
              </w:rPr>
              <w:t>Cannot be provided by a regulated market</w:t>
            </w:r>
            <w:r w:rsidRPr="00F03058">
              <w:rPr>
                <w:rFonts w:asciiTheme="minorHAnsi" w:hAnsiTheme="minorHAnsi" w:cstheme="minorHAnsi"/>
                <w:sz w:val="22"/>
                <w:szCs w:val="22"/>
                <w:lang w:eastAsia="en-US"/>
              </w:rPr>
              <w:t xml:space="preserve"> </w:t>
            </w:r>
          </w:p>
          <w:p w:rsidR="00F03058" w:rsidRPr="00F03058" w:rsidRDefault="00F03058" w:rsidP="00DE067D">
            <w:pPr>
              <w:jc w:val="both"/>
              <w:rPr>
                <w:rFonts w:asciiTheme="minorHAnsi" w:hAnsiTheme="minorHAnsi" w:cstheme="minorHAnsi"/>
                <w:sz w:val="22"/>
                <w:szCs w:val="22"/>
                <w:lang w:eastAsia="en-US"/>
              </w:rPr>
            </w:pPr>
            <w:r w:rsidRPr="00F03058">
              <w:rPr>
                <w:rFonts w:asciiTheme="minorHAnsi" w:hAnsiTheme="minorHAnsi" w:cstheme="minorHAnsi"/>
                <w:sz w:val="22"/>
                <w:szCs w:val="22"/>
                <w:lang w:eastAsia="en-US"/>
              </w:rPr>
              <w:t>The performance scenarios required in the draft regulation are not compatible with the practice of listed options and futures and, if provided,</w:t>
            </w:r>
            <w:r w:rsidRPr="00F03058">
              <w:rPr>
                <w:rFonts w:asciiTheme="minorHAnsi" w:hAnsiTheme="minorHAnsi" w:cstheme="minorHAnsi"/>
                <w:b/>
                <w:sz w:val="22"/>
                <w:szCs w:val="22"/>
                <w:lang w:eastAsia="en-US"/>
              </w:rPr>
              <w:t xml:space="preserve"> will provide meaningless information. </w:t>
            </w:r>
            <w:r w:rsidRPr="00F03058">
              <w:rPr>
                <w:rFonts w:asciiTheme="minorHAnsi" w:hAnsiTheme="minorHAnsi" w:cstheme="minorHAnsi"/>
                <w:sz w:val="22"/>
                <w:szCs w:val="22"/>
                <w:lang w:eastAsia="en-US"/>
              </w:rPr>
              <w:t>A pe</w:t>
            </w:r>
            <w:r w:rsidRPr="00F03058">
              <w:rPr>
                <w:rFonts w:asciiTheme="minorHAnsi" w:hAnsiTheme="minorHAnsi" w:cstheme="minorHAnsi"/>
                <w:sz w:val="22"/>
                <w:szCs w:val="22"/>
                <w:lang w:eastAsia="en-US"/>
              </w:rPr>
              <w:t>r</w:t>
            </w:r>
            <w:r w:rsidRPr="00F03058">
              <w:rPr>
                <w:rFonts w:asciiTheme="minorHAnsi" w:hAnsiTheme="minorHAnsi" w:cstheme="minorHAnsi"/>
                <w:sz w:val="22"/>
                <w:szCs w:val="22"/>
                <w:lang w:eastAsia="en-US"/>
              </w:rPr>
              <w:t xml:space="preserve">formance scenario differs </w:t>
            </w:r>
            <w:r w:rsidRPr="00F03058">
              <w:rPr>
                <w:rFonts w:asciiTheme="minorHAnsi" w:hAnsiTheme="minorHAnsi" w:cstheme="minorHAnsi"/>
                <w:b/>
                <w:sz w:val="22"/>
                <w:szCs w:val="22"/>
                <w:lang w:eastAsia="en-US"/>
              </w:rPr>
              <w:t xml:space="preserve">per individual trade. </w:t>
            </w:r>
            <w:r w:rsidRPr="00F03058">
              <w:rPr>
                <w:rFonts w:asciiTheme="minorHAnsi" w:hAnsiTheme="minorHAnsi" w:cstheme="minorHAnsi"/>
                <w:sz w:val="22"/>
                <w:szCs w:val="22"/>
                <w:lang w:eastAsia="en-US"/>
              </w:rPr>
              <w:t>More information on this under para</w:t>
            </w:r>
            <w:r w:rsidR="00817C54">
              <w:rPr>
                <w:rFonts w:asciiTheme="minorHAnsi" w:hAnsiTheme="minorHAnsi" w:cstheme="minorHAnsi"/>
                <w:sz w:val="22"/>
                <w:szCs w:val="22"/>
                <w:lang w:eastAsia="en-US"/>
              </w:rPr>
              <w:t>graph</w:t>
            </w:r>
            <w:r w:rsidRPr="00F03058">
              <w:rPr>
                <w:rFonts w:asciiTheme="minorHAnsi" w:hAnsiTheme="minorHAnsi" w:cstheme="minorHAnsi"/>
                <w:sz w:val="22"/>
                <w:szCs w:val="22"/>
                <w:lang w:eastAsia="en-US"/>
              </w:rPr>
              <w:t xml:space="preserve"> (3.2).</w:t>
            </w:r>
          </w:p>
        </w:tc>
      </w:tr>
      <w:tr w:rsidR="00F03058" w:rsidRPr="00F03058" w:rsidTr="004D589D">
        <w:trPr>
          <w:trHeight w:val="633"/>
        </w:trPr>
        <w:tc>
          <w:tcPr>
            <w:tcW w:w="675"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5</w:t>
            </w:r>
          </w:p>
        </w:tc>
        <w:tc>
          <w:tcPr>
            <w:tcW w:w="2410"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What happens if XYZ Asset Management is unable to pay out</w:t>
            </w:r>
          </w:p>
        </w:tc>
        <w:tc>
          <w:tcPr>
            <w:tcW w:w="6081" w:type="dxa"/>
          </w:tcPr>
          <w:p w:rsidR="00F03058" w:rsidRDefault="00F03058" w:rsidP="00DE067D">
            <w:pPr>
              <w:jc w:val="both"/>
              <w:rPr>
                <w:rFonts w:asciiTheme="minorHAnsi" w:hAnsiTheme="minorHAnsi" w:cstheme="minorHAnsi"/>
                <w:sz w:val="22"/>
                <w:szCs w:val="22"/>
                <w:lang w:eastAsia="en-US"/>
              </w:rPr>
            </w:pPr>
            <w:r w:rsidRPr="00F03058">
              <w:rPr>
                <w:rFonts w:asciiTheme="minorHAnsi" w:hAnsiTheme="minorHAnsi" w:cstheme="minorHAnsi"/>
                <w:b/>
                <w:color w:val="FF0000"/>
                <w:sz w:val="22"/>
                <w:szCs w:val="22"/>
                <w:lang w:eastAsia="en-US"/>
              </w:rPr>
              <w:t>Cannot be provided by a regulated market</w:t>
            </w:r>
            <w:r w:rsidRPr="00F03058">
              <w:rPr>
                <w:rFonts w:asciiTheme="minorHAnsi" w:hAnsiTheme="minorHAnsi" w:cstheme="minorHAnsi"/>
                <w:sz w:val="22"/>
                <w:szCs w:val="22"/>
                <w:lang w:eastAsia="en-US"/>
              </w:rPr>
              <w:t xml:space="preserve"> </w:t>
            </w:r>
          </w:p>
          <w:p w:rsidR="00F03058" w:rsidRPr="00F03058" w:rsidRDefault="00817C54" w:rsidP="00DE067D">
            <w:pPr>
              <w:jc w:val="both"/>
              <w:rPr>
                <w:rFonts w:asciiTheme="minorHAnsi" w:hAnsiTheme="minorHAnsi" w:cstheme="minorHAnsi"/>
                <w:sz w:val="22"/>
                <w:szCs w:val="22"/>
                <w:lang w:eastAsia="en-US"/>
              </w:rPr>
            </w:pPr>
            <w:r>
              <w:rPr>
                <w:rFonts w:asciiTheme="minorHAnsi" w:hAnsiTheme="minorHAnsi" w:cstheme="minorHAnsi"/>
                <w:sz w:val="22"/>
                <w:szCs w:val="22"/>
                <w:lang w:eastAsia="en-US"/>
              </w:rPr>
              <w:t>R</w:t>
            </w:r>
            <w:r w:rsidR="00F03058" w:rsidRPr="00F03058">
              <w:rPr>
                <w:rFonts w:asciiTheme="minorHAnsi" w:hAnsiTheme="minorHAnsi" w:cstheme="minorHAnsi"/>
                <w:sz w:val="22"/>
                <w:szCs w:val="22"/>
                <w:lang w:eastAsia="en-US"/>
              </w:rPr>
              <w:t>egulated markets are not issuing these products and furthe</w:t>
            </w:r>
            <w:r w:rsidR="00F03058" w:rsidRPr="00F03058">
              <w:rPr>
                <w:rFonts w:asciiTheme="minorHAnsi" w:hAnsiTheme="minorHAnsi" w:cstheme="minorHAnsi"/>
                <w:sz w:val="22"/>
                <w:szCs w:val="22"/>
                <w:lang w:eastAsia="en-US"/>
              </w:rPr>
              <w:t>r</w:t>
            </w:r>
            <w:r w:rsidR="00F03058" w:rsidRPr="00F03058">
              <w:rPr>
                <w:rFonts w:asciiTheme="minorHAnsi" w:hAnsiTheme="minorHAnsi" w:cstheme="minorHAnsi"/>
                <w:sz w:val="22"/>
                <w:szCs w:val="22"/>
                <w:lang w:eastAsia="en-US"/>
              </w:rPr>
              <w:t>more are not selling these products to investors.</w:t>
            </w:r>
          </w:p>
        </w:tc>
      </w:tr>
      <w:tr w:rsidR="00F03058" w:rsidRPr="00F03058" w:rsidTr="00DC5AD2">
        <w:tc>
          <w:tcPr>
            <w:tcW w:w="675" w:type="dxa"/>
            <w:shd w:val="clear" w:color="auto" w:fill="D9D9D9" w:themeFill="background1" w:themeFillShade="D9"/>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6</w:t>
            </w:r>
          </w:p>
        </w:tc>
        <w:tc>
          <w:tcPr>
            <w:tcW w:w="8491" w:type="dxa"/>
            <w:gridSpan w:val="2"/>
            <w:shd w:val="clear" w:color="auto" w:fill="D9D9D9" w:themeFill="background1" w:themeFillShade="D9"/>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What are the costs</w:t>
            </w:r>
          </w:p>
        </w:tc>
      </w:tr>
      <w:tr w:rsidR="00F03058" w:rsidRPr="00F03058" w:rsidTr="00DC5AD2">
        <w:tc>
          <w:tcPr>
            <w:tcW w:w="675"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6.1</w:t>
            </w:r>
          </w:p>
        </w:tc>
        <w:tc>
          <w:tcPr>
            <w:tcW w:w="2410"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Costs over time</w:t>
            </w:r>
          </w:p>
        </w:tc>
        <w:tc>
          <w:tcPr>
            <w:tcW w:w="6081" w:type="dxa"/>
          </w:tcPr>
          <w:p w:rsidR="00F03058" w:rsidRDefault="00F03058" w:rsidP="00EF6DB2">
            <w:pPr>
              <w:jc w:val="both"/>
              <w:rPr>
                <w:rFonts w:asciiTheme="minorHAnsi" w:hAnsiTheme="minorHAnsi" w:cstheme="minorHAnsi"/>
                <w:sz w:val="22"/>
                <w:szCs w:val="22"/>
                <w:lang w:eastAsia="en-US"/>
              </w:rPr>
            </w:pPr>
            <w:r w:rsidRPr="00F03058">
              <w:rPr>
                <w:rFonts w:asciiTheme="minorHAnsi" w:hAnsiTheme="minorHAnsi" w:cstheme="minorHAnsi"/>
                <w:b/>
                <w:color w:val="FF0000"/>
                <w:sz w:val="22"/>
                <w:szCs w:val="22"/>
                <w:lang w:eastAsia="en-US"/>
              </w:rPr>
              <w:t>Cannot be provided by a regulated market</w:t>
            </w:r>
          </w:p>
          <w:p w:rsidR="00F03058" w:rsidRPr="00F03058" w:rsidRDefault="00F03058" w:rsidP="00EF6DB2">
            <w:pPr>
              <w:jc w:val="both"/>
              <w:rPr>
                <w:rFonts w:asciiTheme="minorHAnsi" w:hAnsiTheme="minorHAnsi" w:cstheme="minorHAnsi"/>
                <w:sz w:val="22"/>
                <w:szCs w:val="22"/>
                <w:lang w:eastAsia="en-US"/>
              </w:rPr>
            </w:pPr>
            <w:r w:rsidRPr="00F03058">
              <w:rPr>
                <w:rFonts w:asciiTheme="minorHAnsi" w:hAnsiTheme="minorHAnsi" w:cstheme="minorHAnsi"/>
                <w:sz w:val="22"/>
                <w:szCs w:val="22"/>
                <w:lang w:eastAsia="en-US"/>
              </w:rPr>
              <w:t>The costs over time cannot be predicted by regulated markets as further explained under (4).</w:t>
            </w:r>
          </w:p>
        </w:tc>
      </w:tr>
      <w:tr w:rsidR="00F03058" w:rsidRPr="00F03058" w:rsidTr="00DC5AD2">
        <w:tc>
          <w:tcPr>
            <w:tcW w:w="675"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6.2</w:t>
            </w:r>
          </w:p>
        </w:tc>
        <w:tc>
          <w:tcPr>
            <w:tcW w:w="2410"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Composition of costs</w:t>
            </w:r>
          </w:p>
        </w:tc>
        <w:tc>
          <w:tcPr>
            <w:tcW w:w="6081" w:type="dxa"/>
          </w:tcPr>
          <w:p w:rsidR="00F03058" w:rsidRDefault="00F03058" w:rsidP="004D589D">
            <w:pPr>
              <w:jc w:val="both"/>
              <w:rPr>
                <w:rFonts w:asciiTheme="minorHAnsi" w:hAnsiTheme="minorHAnsi" w:cstheme="minorHAnsi"/>
                <w:sz w:val="22"/>
                <w:szCs w:val="22"/>
                <w:lang w:eastAsia="en-US"/>
              </w:rPr>
            </w:pPr>
            <w:r w:rsidRPr="00F03058">
              <w:rPr>
                <w:rFonts w:asciiTheme="minorHAnsi" w:hAnsiTheme="minorHAnsi" w:cstheme="minorHAnsi"/>
                <w:b/>
                <w:color w:val="FF0000"/>
                <w:sz w:val="22"/>
                <w:szCs w:val="22"/>
                <w:lang w:eastAsia="en-US"/>
              </w:rPr>
              <w:t>Cannot be provided by a regulated market</w:t>
            </w:r>
          </w:p>
          <w:p w:rsidR="00F03058" w:rsidRPr="00F03058" w:rsidRDefault="00F03058" w:rsidP="004D589D">
            <w:pPr>
              <w:jc w:val="both"/>
              <w:rPr>
                <w:rFonts w:asciiTheme="minorHAnsi" w:hAnsiTheme="minorHAnsi" w:cstheme="minorHAnsi"/>
                <w:sz w:val="22"/>
                <w:szCs w:val="22"/>
                <w:lang w:eastAsia="en-US"/>
              </w:rPr>
            </w:pPr>
            <w:r w:rsidRPr="00F03058">
              <w:rPr>
                <w:rFonts w:asciiTheme="minorHAnsi" w:hAnsiTheme="minorHAnsi" w:cstheme="minorHAnsi"/>
                <w:sz w:val="22"/>
                <w:szCs w:val="22"/>
                <w:lang w:eastAsia="en-US"/>
              </w:rPr>
              <w:t xml:space="preserve">A number of the costs detailed are not produced by or available </w:t>
            </w:r>
            <w:r w:rsidRPr="00F03058">
              <w:rPr>
                <w:rFonts w:asciiTheme="minorHAnsi" w:hAnsiTheme="minorHAnsi" w:cstheme="minorHAnsi"/>
                <w:sz w:val="22"/>
                <w:szCs w:val="22"/>
                <w:lang w:eastAsia="en-US"/>
              </w:rPr>
              <w:lastRenderedPageBreak/>
              <w:t xml:space="preserve">to regulated markets. </w:t>
            </w:r>
            <w:r w:rsidRPr="00F03058">
              <w:rPr>
                <w:rFonts w:asciiTheme="minorHAnsi" w:hAnsiTheme="minorHAnsi" w:cstheme="minorHAnsi"/>
                <w:b/>
                <w:sz w:val="22"/>
                <w:szCs w:val="22"/>
                <w:lang w:eastAsia="en-US"/>
              </w:rPr>
              <w:t>Regulated markets are unable to comply with these requirements as they have no knowledge of or influence over costs in the chain of trading a listed derivative and should not be required to do so from a competition pe</w:t>
            </w:r>
            <w:r w:rsidRPr="00F03058">
              <w:rPr>
                <w:rFonts w:asciiTheme="minorHAnsi" w:hAnsiTheme="minorHAnsi" w:cstheme="minorHAnsi"/>
                <w:b/>
                <w:sz w:val="22"/>
                <w:szCs w:val="22"/>
                <w:lang w:eastAsia="en-US"/>
              </w:rPr>
              <w:t>r</w:t>
            </w:r>
            <w:r w:rsidRPr="00F03058">
              <w:rPr>
                <w:rFonts w:asciiTheme="minorHAnsi" w:hAnsiTheme="minorHAnsi" w:cstheme="minorHAnsi"/>
                <w:b/>
                <w:sz w:val="22"/>
                <w:szCs w:val="22"/>
                <w:lang w:eastAsia="en-US"/>
              </w:rPr>
              <w:t>spective.</w:t>
            </w:r>
          </w:p>
        </w:tc>
      </w:tr>
      <w:tr w:rsidR="00F03058" w:rsidRPr="00F03058" w:rsidTr="00DC5AD2">
        <w:tc>
          <w:tcPr>
            <w:tcW w:w="675" w:type="dxa"/>
          </w:tcPr>
          <w:p w:rsidR="00F03058" w:rsidRPr="00F03058" w:rsidRDefault="00F03058" w:rsidP="00F03058">
            <w:pPr>
              <w:rPr>
                <w:rFonts w:asciiTheme="minorHAnsi" w:hAnsiTheme="minorHAnsi" w:cstheme="minorHAnsi"/>
                <w:sz w:val="22"/>
                <w:szCs w:val="22"/>
                <w:lang w:eastAsia="en-US"/>
              </w:rPr>
            </w:pPr>
            <w:r w:rsidRPr="00F03058">
              <w:rPr>
                <w:rFonts w:asciiTheme="minorHAnsi" w:hAnsiTheme="minorHAnsi" w:cstheme="minorHAnsi"/>
                <w:sz w:val="22"/>
                <w:szCs w:val="22"/>
                <w:lang w:eastAsia="en-US"/>
              </w:rPr>
              <w:lastRenderedPageBreak/>
              <w:t>7.</w:t>
            </w:r>
          </w:p>
        </w:tc>
        <w:tc>
          <w:tcPr>
            <w:tcW w:w="2410"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How long should I hold it and can I take money out early?</w:t>
            </w:r>
          </w:p>
        </w:tc>
        <w:tc>
          <w:tcPr>
            <w:tcW w:w="6081" w:type="dxa"/>
          </w:tcPr>
          <w:p w:rsidR="00F03058" w:rsidRDefault="00F03058" w:rsidP="004D589D">
            <w:pPr>
              <w:jc w:val="both"/>
              <w:rPr>
                <w:rFonts w:asciiTheme="minorHAnsi" w:hAnsiTheme="minorHAnsi" w:cstheme="minorHAnsi"/>
                <w:sz w:val="22"/>
                <w:szCs w:val="22"/>
                <w:lang w:eastAsia="en-US"/>
              </w:rPr>
            </w:pPr>
            <w:r w:rsidRPr="00F03058">
              <w:rPr>
                <w:rFonts w:asciiTheme="minorHAnsi" w:hAnsiTheme="minorHAnsi" w:cstheme="minorHAnsi"/>
                <w:b/>
                <w:color w:val="FF0000"/>
                <w:sz w:val="22"/>
                <w:szCs w:val="22"/>
                <w:lang w:eastAsia="en-US"/>
              </w:rPr>
              <w:t>Cannot be provided by a regulated market</w:t>
            </w:r>
          </w:p>
          <w:p w:rsidR="00F03058" w:rsidRPr="00F03058" w:rsidRDefault="00F03058" w:rsidP="004D589D">
            <w:pPr>
              <w:jc w:val="both"/>
              <w:rPr>
                <w:rFonts w:asciiTheme="minorHAnsi" w:hAnsiTheme="minorHAnsi" w:cstheme="minorHAnsi"/>
                <w:sz w:val="22"/>
                <w:szCs w:val="22"/>
                <w:lang w:eastAsia="en-US"/>
              </w:rPr>
            </w:pPr>
            <w:r w:rsidRPr="00F03058">
              <w:rPr>
                <w:rFonts w:asciiTheme="minorHAnsi" w:hAnsiTheme="minorHAnsi" w:cstheme="minorHAnsi"/>
                <w:sz w:val="22"/>
                <w:szCs w:val="22"/>
                <w:lang w:eastAsia="en-US"/>
              </w:rPr>
              <w:t xml:space="preserve">Regulated markets have no relationship with the </w:t>
            </w:r>
            <w:r w:rsidR="00E030CF">
              <w:rPr>
                <w:rFonts w:asciiTheme="minorHAnsi" w:hAnsiTheme="minorHAnsi" w:cstheme="minorHAnsi"/>
                <w:sz w:val="22"/>
                <w:szCs w:val="22"/>
                <w:lang w:eastAsia="en-US"/>
              </w:rPr>
              <w:t xml:space="preserve">end </w:t>
            </w:r>
            <w:r w:rsidRPr="00F03058">
              <w:rPr>
                <w:rFonts w:asciiTheme="minorHAnsi" w:hAnsiTheme="minorHAnsi" w:cstheme="minorHAnsi"/>
                <w:sz w:val="22"/>
                <w:szCs w:val="22"/>
                <w:lang w:eastAsia="en-US"/>
              </w:rPr>
              <w:t xml:space="preserve">investor nor are they </w:t>
            </w:r>
            <w:proofErr w:type="spellStart"/>
            <w:r w:rsidRPr="00F03058">
              <w:rPr>
                <w:rFonts w:asciiTheme="minorHAnsi" w:hAnsiTheme="minorHAnsi" w:cstheme="minorHAnsi"/>
                <w:sz w:val="22"/>
                <w:szCs w:val="22"/>
                <w:lang w:eastAsia="en-US"/>
              </w:rPr>
              <w:t>MiFID</w:t>
            </w:r>
            <w:proofErr w:type="spellEnd"/>
            <w:r w:rsidRPr="00F03058">
              <w:rPr>
                <w:rFonts w:asciiTheme="minorHAnsi" w:hAnsiTheme="minorHAnsi" w:cstheme="minorHAnsi"/>
                <w:sz w:val="22"/>
                <w:szCs w:val="22"/>
                <w:lang w:eastAsia="en-US"/>
              </w:rPr>
              <w:t xml:space="preserve"> licensed investment firms. For that reason it is not possible for regulated markets to provide this information. </w:t>
            </w:r>
          </w:p>
          <w:p w:rsidR="00F03058" w:rsidRPr="00F03058" w:rsidRDefault="00F03058" w:rsidP="004D589D">
            <w:pPr>
              <w:jc w:val="both"/>
              <w:rPr>
                <w:rFonts w:asciiTheme="minorHAnsi" w:hAnsiTheme="minorHAnsi" w:cstheme="minorHAnsi"/>
                <w:sz w:val="22"/>
                <w:szCs w:val="22"/>
                <w:lang w:eastAsia="en-US"/>
              </w:rPr>
            </w:pPr>
            <w:r w:rsidRPr="00F03058">
              <w:rPr>
                <w:rFonts w:asciiTheme="minorHAnsi" w:hAnsiTheme="minorHAnsi" w:cstheme="minorHAnsi"/>
                <w:sz w:val="22"/>
                <w:szCs w:val="22"/>
                <w:lang w:eastAsia="en-US"/>
              </w:rPr>
              <w:t>Listed derivatives are available for trading on every trading day so positions can always be closed against the market price.</w:t>
            </w:r>
          </w:p>
        </w:tc>
      </w:tr>
      <w:tr w:rsidR="00F03058" w:rsidRPr="00F03058" w:rsidTr="00DC5AD2">
        <w:tc>
          <w:tcPr>
            <w:tcW w:w="675" w:type="dxa"/>
          </w:tcPr>
          <w:p w:rsidR="00F03058" w:rsidRPr="00F03058" w:rsidRDefault="00F03058" w:rsidP="00F03058">
            <w:pPr>
              <w:rPr>
                <w:rFonts w:asciiTheme="minorHAnsi" w:hAnsiTheme="minorHAnsi" w:cstheme="minorHAnsi"/>
                <w:sz w:val="22"/>
                <w:szCs w:val="22"/>
                <w:lang w:eastAsia="en-US"/>
              </w:rPr>
            </w:pPr>
            <w:r w:rsidRPr="00F03058">
              <w:rPr>
                <w:rFonts w:asciiTheme="minorHAnsi" w:hAnsiTheme="minorHAnsi" w:cstheme="minorHAnsi"/>
                <w:sz w:val="22"/>
                <w:szCs w:val="22"/>
                <w:lang w:eastAsia="en-US"/>
              </w:rPr>
              <w:t>8.</w:t>
            </w:r>
          </w:p>
        </w:tc>
        <w:tc>
          <w:tcPr>
            <w:tcW w:w="2410"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How can I complain</w:t>
            </w:r>
          </w:p>
        </w:tc>
        <w:tc>
          <w:tcPr>
            <w:tcW w:w="6081" w:type="dxa"/>
          </w:tcPr>
          <w:p w:rsidR="00F03058" w:rsidRDefault="00F03058" w:rsidP="004D589D">
            <w:pPr>
              <w:jc w:val="both"/>
              <w:rPr>
                <w:rFonts w:asciiTheme="minorHAnsi" w:hAnsiTheme="minorHAnsi" w:cstheme="minorHAnsi"/>
                <w:sz w:val="22"/>
                <w:szCs w:val="22"/>
                <w:lang w:eastAsia="en-US"/>
              </w:rPr>
            </w:pPr>
            <w:r w:rsidRPr="00F03058">
              <w:rPr>
                <w:rFonts w:asciiTheme="minorHAnsi" w:hAnsiTheme="minorHAnsi" w:cstheme="minorHAnsi"/>
                <w:b/>
                <w:color w:val="FF0000"/>
                <w:sz w:val="22"/>
                <w:szCs w:val="22"/>
                <w:lang w:eastAsia="en-US"/>
              </w:rPr>
              <w:t>Cannot be provided by a regulated market</w:t>
            </w:r>
          </w:p>
          <w:p w:rsidR="00F03058" w:rsidRPr="00F03058" w:rsidRDefault="00F03058" w:rsidP="004D589D">
            <w:pPr>
              <w:jc w:val="both"/>
              <w:rPr>
                <w:rFonts w:asciiTheme="minorHAnsi" w:hAnsiTheme="minorHAnsi" w:cstheme="minorHAnsi"/>
                <w:sz w:val="22"/>
                <w:szCs w:val="22"/>
                <w:lang w:eastAsia="en-US"/>
              </w:rPr>
            </w:pPr>
            <w:r w:rsidRPr="00F03058">
              <w:rPr>
                <w:rFonts w:asciiTheme="minorHAnsi" w:hAnsiTheme="minorHAnsi" w:cstheme="minorHAnsi"/>
                <w:sz w:val="22"/>
                <w:szCs w:val="22"/>
                <w:lang w:eastAsia="en-US"/>
              </w:rPr>
              <w:t>We can provide this only to the extent of providing details of the regulated market launching the contract provisions. In essence an investor has a relationship with its broker, the investment firm. Any complaints should first and foremost be addressed to that investment firm. We cannot predict which firm will sell which product to investors so are not able to provide the full extent of this information.</w:t>
            </w:r>
          </w:p>
        </w:tc>
      </w:tr>
      <w:tr w:rsidR="00F03058" w:rsidRPr="00F03058" w:rsidTr="00DC5AD2">
        <w:tc>
          <w:tcPr>
            <w:tcW w:w="675" w:type="dxa"/>
          </w:tcPr>
          <w:p w:rsidR="00F03058" w:rsidRPr="00F03058" w:rsidRDefault="00F03058" w:rsidP="00F03058">
            <w:pPr>
              <w:rPr>
                <w:rFonts w:asciiTheme="minorHAnsi" w:hAnsiTheme="minorHAnsi" w:cstheme="minorHAnsi"/>
                <w:sz w:val="22"/>
                <w:szCs w:val="22"/>
                <w:lang w:eastAsia="en-US"/>
              </w:rPr>
            </w:pPr>
            <w:r w:rsidRPr="00F03058">
              <w:rPr>
                <w:rFonts w:asciiTheme="minorHAnsi" w:hAnsiTheme="minorHAnsi" w:cstheme="minorHAnsi"/>
                <w:sz w:val="22"/>
                <w:szCs w:val="22"/>
                <w:lang w:eastAsia="en-US"/>
              </w:rPr>
              <w:t>9.</w:t>
            </w:r>
          </w:p>
        </w:tc>
        <w:tc>
          <w:tcPr>
            <w:tcW w:w="2410" w:type="dxa"/>
          </w:tcPr>
          <w:p w:rsidR="00F03058" w:rsidRPr="00F03058" w:rsidRDefault="00F03058" w:rsidP="00F03058">
            <w:pPr>
              <w:rPr>
                <w:rFonts w:asciiTheme="minorHAnsi" w:hAnsiTheme="minorHAnsi" w:cstheme="minorHAnsi"/>
                <w:b/>
                <w:sz w:val="22"/>
                <w:szCs w:val="22"/>
                <w:lang w:eastAsia="en-US"/>
              </w:rPr>
            </w:pPr>
            <w:r w:rsidRPr="00F03058">
              <w:rPr>
                <w:rFonts w:asciiTheme="minorHAnsi" w:hAnsiTheme="minorHAnsi" w:cstheme="minorHAnsi"/>
                <w:b/>
                <w:sz w:val="22"/>
                <w:szCs w:val="22"/>
                <w:lang w:eastAsia="en-US"/>
              </w:rPr>
              <w:t>Other relevant info</w:t>
            </w:r>
            <w:r w:rsidRPr="00F03058">
              <w:rPr>
                <w:rFonts w:asciiTheme="minorHAnsi" w:hAnsiTheme="minorHAnsi" w:cstheme="minorHAnsi"/>
                <w:b/>
                <w:sz w:val="22"/>
                <w:szCs w:val="22"/>
                <w:lang w:eastAsia="en-US"/>
              </w:rPr>
              <w:t>r</w:t>
            </w:r>
            <w:r w:rsidRPr="00F03058">
              <w:rPr>
                <w:rFonts w:asciiTheme="minorHAnsi" w:hAnsiTheme="minorHAnsi" w:cstheme="minorHAnsi"/>
                <w:b/>
                <w:sz w:val="22"/>
                <w:szCs w:val="22"/>
                <w:lang w:eastAsia="en-US"/>
              </w:rPr>
              <w:t>mation</w:t>
            </w:r>
          </w:p>
        </w:tc>
        <w:tc>
          <w:tcPr>
            <w:tcW w:w="6081" w:type="dxa"/>
          </w:tcPr>
          <w:p w:rsidR="00F03058" w:rsidRPr="00F03058" w:rsidRDefault="00F03058" w:rsidP="00F03058">
            <w:pPr>
              <w:rPr>
                <w:rFonts w:asciiTheme="minorHAnsi" w:hAnsiTheme="minorHAnsi" w:cstheme="minorHAnsi"/>
                <w:b/>
                <w:color w:val="4F6228" w:themeColor="accent3" w:themeShade="80"/>
                <w:sz w:val="22"/>
                <w:szCs w:val="22"/>
                <w:lang w:eastAsia="en-US"/>
              </w:rPr>
            </w:pPr>
            <w:r w:rsidRPr="00F03058">
              <w:rPr>
                <w:rFonts w:asciiTheme="minorHAnsi" w:hAnsiTheme="minorHAnsi" w:cstheme="minorHAnsi"/>
                <w:b/>
                <w:color w:val="4F6228" w:themeColor="accent3" w:themeShade="80"/>
                <w:sz w:val="22"/>
                <w:szCs w:val="22"/>
                <w:lang w:eastAsia="en-US"/>
              </w:rPr>
              <w:t>Could be provided by a regulated market</w:t>
            </w:r>
          </w:p>
        </w:tc>
      </w:tr>
      <w:tr w:rsidR="00F03058" w:rsidRPr="00F03058" w:rsidTr="00DC5AD2">
        <w:tc>
          <w:tcPr>
            <w:tcW w:w="9166" w:type="dxa"/>
            <w:gridSpan w:val="3"/>
            <w:shd w:val="clear" w:color="auto" w:fill="D9D9D9" w:themeFill="background1" w:themeFillShade="D9"/>
          </w:tcPr>
          <w:p w:rsidR="00F03058" w:rsidRPr="00F03058" w:rsidRDefault="00F03058" w:rsidP="00F03058">
            <w:pPr>
              <w:rPr>
                <w:rFonts w:asciiTheme="minorHAnsi" w:hAnsiTheme="minorHAnsi" w:cstheme="minorHAnsi"/>
                <w:b/>
                <w:sz w:val="22"/>
                <w:szCs w:val="22"/>
                <w:lang w:eastAsia="en-US"/>
              </w:rPr>
            </w:pPr>
          </w:p>
        </w:tc>
      </w:tr>
    </w:tbl>
    <w:p w:rsidR="00F03058" w:rsidRPr="00F03058" w:rsidRDefault="00F03058" w:rsidP="00F03058">
      <w:pPr>
        <w:spacing w:after="200" w:line="276" w:lineRule="auto"/>
        <w:rPr>
          <w:rFonts w:asciiTheme="minorHAnsi" w:eastAsiaTheme="minorHAnsi" w:hAnsiTheme="minorHAnsi" w:cstheme="minorHAnsi"/>
          <w:b/>
          <w:sz w:val="22"/>
          <w:szCs w:val="22"/>
          <w:lang w:eastAsia="en-US"/>
        </w:rPr>
      </w:pPr>
    </w:p>
    <w:p w:rsidR="00F03058" w:rsidRPr="00F03058" w:rsidRDefault="00F03058" w:rsidP="00F03058">
      <w:pPr>
        <w:spacing w:after="200" w:line="276" w:lineRule="auto"/>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3. Overview of risks</w:t>
      </w:r>
    </w:p>
    <w:p w:rsidR="00F03058" w:rsidRPr="00F03058" w:rsidRDefault="00F03058" w:rsidP="00F03058">
      <w:pPr>
        <w:spacing w:after="200" w:line="276" w:lineRule="auto"/>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3.1 Risk overview - Practical challenge of providing a fitting risk overview</w:t>
      </w:r>
    </w:p>
    <w:p w:rsidR="00F03058" w:rsidRDefault="00F03058" w:rsidP="00F03058">
      <w:pPr>
        <w:spacing w:after="200" w:line="276" w:lineRule="auto"/>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From the consultation document it appears that listed derivatives are placed in the highest risk category. That does not do justice to the products and the variety of uses made of them.</w:t>
      </w:r>
    </w:p>
    <w:p w:rsidR="00871CA9" w:rsidRPr="00F03058" w:rsidRDefault="00871CA9" w:rsidP="00F03058">
      <w:pPr>
        <w:spacing w:after="200" w:line="276" w:lineRule="auto"/>
        <w:rPr>
          <w:rFonts w:asciiTheme="minorHAnsi" w:eastAsiaTheme="minorHAnsi" w:hAnsiTheme="minorHAnsi" w:cstheme="minorHAnsi"/>
          <w:sz w:val="22"/>
          <w:szCs w:val="22"/>
          <w:lang w:eastAsia="en-US"/>
        </w:rPr>
      </w:pPr>
    </w:p>
    <w:p w:rsidR="00F03058" w:rsidRPr="00F03058" w:rsidRDefault="00F03058" w:rsidP="00871CA9">
      <w:pPr>
        <w:spacing w:after="200" w:line="276" w:lineRule="auto"/>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Too many different types of usage lead to a variety of possible risk profiles:</w:t>
      </w:r>
    </w:p>
    <w:p w:rsidR="00F03058" w:rsidRPr="00F03058" w:rsidRDefault="00F03058" w:rsidP="00871CA9">
      <w:pPr>
        <w:spacing w:after="200" w:line="276" w:lineRule="auto"/>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In essence, there are two types of listed options, calls and puts. For both types a range of exercise prices are listed with various lifetimes. An example:</w:t>
      </w:r>
    </w:p>
    <w:p w:rsidR="00F03058" w:rsidRDefault="00F03058" w:rsidP="00871CA9">
      <w:pPr>
        <w:spacing w:line="276" w:lineRule="auto"/>
        <w:ind w:left="405"/>
        <w:contextualSpacing/>
        <w:jc w:val="both"/>
        <w:rPr>
          <w:rFonts w:asciiTheme="minorHAnsi" w:eastAsiaTheme="minorHAnsi" w:hAnsiTheme="minorHAnsi" w:cstheme="minorHAnsi"/>
          <w:i/>
          <w:sz w:val="22"/>
          <w:szCs w:val="22"/>
          <w:lang w:eastAsia="en-US"/>
        </w:rPr>
      </w:pPr>
      <w:r w:rsidRPr="00F03058">
        <w:rPr>
          <w:rFonts w:asciiTheme="minorHAnsi" w:eastAsiaTheme="minorHAnsi" w:hAnsiTheme="minorHAnsi" w:cstheme="minorHAnsi"/>
          <w:i/>
          <w:sz w:val="22"/>
          <w:szCs w:val="22"/>
          <w:lang w:eastAsia="en-US"/>
        </w:rPr>
        <w:t>For standard monthly options on Heineken shares, 11 expiry months are listed with a lifetime ranging from 1 month to 5 years. On any day between 140 and 180 calls and between 140 and 180 puts with a different maturity and exercise price are listed.</w:t>
      </w:r>
    </w:p>
    <w:p w:rsidR="00871CA9" w:rsidRPr="00F03058" w:rsidRDefault="00871CA9" w:rsidP="00871CA9">
      <w:pPr>
        <w:spacing w:line="276" w:lineRule="auto"/>
        <w:ind w:left="405"/>
        <w:contextualSpacing/>
        <w:jc w:val="both"/>
        <w:rPr>
          <w:rFonts w:asciiTheme="minorHAnsi" w:eastAsiaTheme="minorHAnsi" w:hAnsiTheme="minorHAnsi" w:cstheme="minorHAnsi"/>
          <w:i/>
          <w:sz w:val="22"/>
          <w:szCs w:val="22"/>
          <w:lang w:eastAsia="en-US"/>
        </w:rPr>
      </w:pPr>
    </w:p>
    <w:p w:rsidR="00F03058" w:rsidRPr="00F03058" w:rsidRDefault="00F03058" w:rsidP="00871CA9">
      <w:pPr>
        <w:spacing w:after="200" w:line="276" w:lineRule="auto"/>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 xml:space="preserve">Depending on whether the exercise price is </w:t>
      </w:r>
      <w:r w:rsidRPr="00F03058">
        <w:rPr>
          <w:rFonts w:asciiTheme="minorHAnsi" w:eastAsiaTheme="minorHAnsi" w:hAnsiTheme="minorHAnsi" w:cstheme="minorHAnsi"/>
          <w:i/>
          <w:sz w:val="22"/>
          <w:szCs w:val="22"/>
          <w:lang w:eastAsia="en-US"/>
        </w:rPr>
        <w:t xml:space="preserve">in-the-money </w:t>
      </w:r>
      <w:r w:rsidRPr="00F03058">
        <w:rPr>
          <w:rFonts w:asciiTheme="minorHAnsi" w:eastAsiaTheme="minorHAnsi" w:hAnsiTheme="minorHAnsi" w:cstheme="minorHAnsi"/>
          <w:sz w:val="22"/>
          <w:szCs w:val="22"/>
          <w:lang w:eastAsia="en-US"/>
        </w:rPr>
        <w:t xml:space="preserve">or </w:t>
      </w:r>
      <w:r w:rsidRPr="00F03058">
        <w:rPr>
          <w:rFonts w:asciiTheme="minorHAnsi" w:eastAsiaTheme="minorHAnsi" w:hAnsiTheme="minorHAnsi" w:cstheme="minorHAnsi"/>
          <w:i/>
          <w:sz w:val="22"/>
          <w:szCs w:val="22"/>
          <w:lang w:eastAsia="en-US"/>
        </w:rPr>
        <w:t>out-of-the-money</w:t>
      </w:r>
      <w:r w:rsidRPr="00F03058">
        <w:rPr>
          <w:rFonts w:asciiTheme="minorHAnsi" w:eastAsiaTheme="minorHAnsi" w:hAnsiTheme="minorHAnsi" w:cstheme="minorHAnsi"/>
          <w:sz w:val="22"/>
          <w:szCs w:val="22"/>
          <w:lang w:eastAsia="en-US"/>
        </w:rPr>
        <w:t xml:space="preserve"> and depending on the remaining lifetime, the risk is different: this changes every day when the price of the underlying value </w:t>
      </w:r>
      <w:r w:rsidRPr="00F03058">
        <w:rPr>
          <w:rFonts w:asciiTheme="minorHAnsi" w:eastAsiaTheme="minorHAnsi" w:hAnsiTheme="minorHAnsi" w:cstheme="minorHAnsi"/>
          <w:sz w:val="22"/>
          <w:szCs w:val="22"/>
          <w:lang w:eastAsia="en-US"/>
        </w:rPr>
        <w:lastRenderedPageBreak/>
        <w:t>changes. Investors can create a position by buying an option (</w:t>
      </w:r>
      <w:r w:rsidRPr="00F03058">
        <w:rPr>
          <w:rFonts w:asciiTheme="minorHAnsi" w:eastAsiaTheme="minorHAnsi" w:hAnsiTheme="minorHAnsi" w:cstheme="minorHAnsi"/>
          <w:i/>
          <w:sz w:val="22"/>
          <w:szCs w:val="22"/>
          <w:lang w:eastAsia="en-US"/>
        </w:rPr>
        <w:t>long position</w:t>
      </w:r>
      <w:r w:rsidRPr="00F03058">
        <w:rPr>
          <w:rFonts w:asciiTheme="minorHAnsi" w:eastAsiaTheme="minorHAnsi" w:hAnsiTheme="minorHAnsi" w:cstheme="minorHAnsi"/>
          <w:sz w:val="22"/>
          <w:szCs w:val="22"/>
          <w:lang w:eastAsia="en-US"/>
        </w:rPr>
        <w:t>) or selling an option (</w:t>
      </w:r>
      <w:r w:rsidRPr="00F03058">
        <w:rPr>
          <w:rFonts w:asciiTheme="minorHAnsi" w:eastAsiaTheme="minorHAnsi" w:hAnsiTheme="minorHAnsi" w:cstheme="minorHAnsi"/>
          <w:i/>
          <w:sz w:val="22"/>
          <w:szCs w:val="22"/>
          <w:lang w:eastAsia="en-US"/>
        </w:rPr>
        <w:t>short position</w:t>
      </w:r>
      <w:r w:rsidRPr="00F03058">
        <w:rPr>
          <w:rFonts w:asciiTheme="minorHAnsi" w:eastAsiaTheme="minorHAnsi" w:hAnsiTheme="minorHAnsi" w:cstheme="minorHAnsi"/>
          <w:sz w:val="22"/>
          <w:szCs w:val="22"/>
          <w:lang w:eastAsia="en-US"/>
        </w:rPr>
        <w:t xml:space="preserve">). </w:t>
      </w:r>
      <w:r w:rsidRPr="00F03058">
        <w:rPr>
          <w:rFonts w:asciiTheme="minorHAnsi" w:eastAsiaTheme="minorHAnsi" w:hAnsiTheme="minorHAnsi" w:cstheme="minorHAnsi"/>
          <w:b/>
          <w:sz w:val="22"/>
          <w:szCs w:val="22"/>
          <w:lang w:eastAsia="en-US"/>
        </w:rPr>
        <w:t>When an option is bought, the investors can lose no more than the investment</w:t>
      </w:r>
      <w:r w:rsidRPr="00F03058">
        <w:rPr>
          <w:rFonts w:asciiTheme="minorHAnsi" w:eastAsiaTheme="minorHAnsi" w:hAnsiTheme="minorHAnsi" w:cstheme="minorHAnsi"/>
          <w:sz w:val="22"/>
          <w:szCs w:val="22"/>
          <w:lang w:eastAsia="en-US"/>
        </w:rPr>
        <w:t xml:space="preserve">. When an option is sold to create a short position, the loss of the investor is not limited unless the investor is hedged: </w:t>
      </w:r>
      <w:r w:rsidRPr="00F03058">
        <w:rPr>
          <w:rFonts w:asciiTheme="minorHAnsi" w:eastAsiaTheme="minorHAnsi" w:hAnsiTheme="minorHAnsi" w:cstheme="minorHAnsi"/>
          <w:b/>
          <w:sz w:val="22"/>
          <w:szCs w:val="22"/>
          <w:lang w:eastAsia="en-US"/>
        </w:rPr>
        <w:t>in that case the risk to lose money can be zero.</w:t>
      </w:r>
      <w:r w:rsidRPr="00F03058">
        <w:rPr>
          <w:rFonts w:asciiTheme="minorHAnsi" w:eastAsiaTheme="minorHAnsi" w:hAnsiTheme="minorHAnsi" w:cstheme="minorHAnsi"/>
          <w:sz w:val="22"/>
          <w:szCs w:val="22"/>
          <w:lang w:eastAsia="en-US"/>
        </w:rPr>
        <w:t xml:space="preserve"> Creating a long position or a short position in an option has a certain pay-off structure. In addition to single positions, when positions are combined (call/put, long/short) the pay-off structure is adjusted. This allows the investor to create the pay-off structure he wants, and therewith choose the maximum level of risk he wants to create.</w:t>
      </w:r>
    </w:p>
    <w:p w:rsidR="00F03058" w:rsidRDefault="00F03058" w:rsidP="00DC0CC2">
      <w:pPr>
        <w:spacing w:after="200" w:line="276" w:lineRule="auto"/>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sz w:val="22"/>
          <w:szCs w:val="22"/>
          <w:lang w:eastAsia="en-US"/>
        </w:rPr>
        <w:t xml:space="preserve">The points mentioned above show that a KID with one SRI does not do justice to listed options, especially when the purpose of a KID - to give retail investors the opportunity to compare products - is taken into account. If, alternatively, we were to differentiate between all different calls/puts per strike price, that would lead to an unacceptable amount of KIDs: </w:t>
      </w:r>
      <w:r w:rsidRPr="00F03058">
        <w:rPr>
          <w:rFonts w:asciiTheme="minorHAnsi" w:eastAsiaTheme="minorHAnsi" w:hAnsiTheme="minorHAnsi" w:cstheme="minorHAnsi"/>
          <w:b/>
          <w:sz w:val="22"/>
          <w:szCs w:val="22"/>
          <w:lang w:eastAsia="en-US"/>
        </w:rPr>
        <w:t>comparing 180 KIDs for call options and 180 KIDs for put options on one underlying value is unfeasible</w:t>
      </w:r>
      <w:r w:rsidRPr="00F03058">
        <w:rPr>
          <w:rFonts w:asciiTheme="minorHAnsi" w:eastAsiaTheme="minorHAnsi" w:hAnsiTheme="minorHAnsi" w:cstheme="minorHAnsi"/>
          <w:sz w:val="22"/>
          <w:szCs w:val="22"/>
          <w:lang w:eastAsia="en-US"/>
        </w:rPr>
        <w:t xml:space="preserve">, especially when taken into </w:t>
      </w:r>
      <w:r w:rsidR="00DC0CC2">
        <w:rPr>
          <w:rFonts w:asciiTheme="minorHAnsi" w:eastAsiaTheme="minorHAnsi" w:hAnsiTheme="minorHAnsi" w:cstheme="minorHAnsi"/>
          <w:sz w:val="22"/>
          <w:szCs w:val="22"/>
          <w:lang w:eastAsia="en-US"/>
        </w:rPr>
        <w:t xml:space="preserve">account the fact that KIDs could </w:t>
      </w:r>
      <w:r w:rsidRPr="00F03058">
        <w:rPr>
          <w:rFonts w:asciiTheme="minorHAnsi" w:eastAsiaTheme="minorHAnsi" w:hAnsiTheme="minorHAnsi" w:cstheme="minorHAnsi"/>
          <w:sz w:val="22"/>
          <w:szCs w:val="22"/>
          <w:lang w:eastAsia="en-US"/>
        </w:rPr>
        <w:t xml:space="preserve">change regularly after a certain underlying price movement. </w:t>
      </w:r>
      <w:r w:rsidRPr="00F03058">
        <w:rPr>
          <w:rFonts w:asciiTheme="minorHAnsi" w:eastAsiaTheme="minorHAnsi" w:hAnsiTheme="minorHAnsi" w:cstheme="minorHAnsi"/>
          <w:b/>
          <w:sz w:val="22"/>
          <w:szCs w:val="22"/>
          <w:lang w:eastAsia="en-US"/>
        </w:rPr>
        <w:t>This would result in the regulated market having to produce hundreds of KIDS</w:t>
      </w:r>
      <w:r w:rsidRPr="00F03058">
        <w:rPr>
          <w:rFonts w:asciiTheme="minorHAnsi" w:eastAsiaTheme="minorHAnsi" w:hAnsiTheme="minorHAnsi" w:cstheme="minorHAnsi"/>
          <w:sz w:val="22"/>
          <w:szCs w:val="22"/>
          <w:lang w:eastAsia="en-US"/>
        </w:rPr>
        <w:t xml:space="preserve"> </w:t>
      </w:r>
      <w:r w:rsidRPr="00F03058">
        <w:rPr>
          <w:rFonts w:asciiTheme="minorHAnsi" w:eastAsiaTheme="minorHAnsi" w:hAnsiTheme="minorHAnsi" w:cstheme="minorHAnsi"/>
          <w:b/>
          <w:sz w:val="22"/>
          <w:szCs w:val="22"/>
          <w:lang w:eastAsia="en-US"/>
        </w:rPr>
        <w:t>per individual product</w:t>
      </w:r>
      <w:r w:rsidRPr="00F03058">
        <w:rPr>
          <w:rFonts w:asciiTheme="minorHAnsi" w:eastAsiaTheme="minorHAnsi" w:hAnsiTheme="minorHAnsi" w:cstheme="minorHAnsi"/>
          <w:sz w:val="22"/>
          <w:szCs w:val="22"/>
          <w:lang w:eastAsia="en-US"/>
        </w:rPr>
        <w:t xml:space="preserve"> </w:t>
      </w:r>
      <w:r w:rsidRPr="00F03058">
        <w:rPr>
          <w:rFonts w:asciiTheme="minorHAnsi" w:eastAsiaTheme="minorHAnsi" w:hAnsiTheme="minorHAnsi" w:cstheme="minorHAnsi"/>
          <w:b/>
          <w:sz w:val="22"/>
          <w:szCs w:val="22"/>
          <w:lang w:eastAsia="en-US"/>
        </w:rPr>
        <w:t>that need to be updated contin</w:t>
      </w:r>
      <w:r w:rsidRPr="00F03058">
        <w:rPr>
          <w:rFonts w:asciiTheme="minorHAnsi" w:eastAsiaTheme="minorHAnsi" w:hAnsiTheme="minorHAnsi" w:cstheme="minorHAnsi"/>
          <w:b/>
          <w:sz w:val="22"/>
          <w:szCs w:val="22"/>
          <w:lang w:eastAsia="en-US"/>
        </w:rPr>
        <w:t>u</w:t>
      </w:r>
      <w:r w:rsidRPr="00F03058">
        <w:rPr>
          <w:rFonts w:asciiTheme="minorHAnsi" w:eastAsiaTheme="minorHAnsi" w:hAnsiTheme="minorHAnsi" w:cstheme="minorHAnsi"/>
          <w:b/>
          <w:sz w:val="22"/>
          <w:szCs w:val="22"/>
          <w:lang w:eastAsia="en-US"/>
        </w:rPr>
        <w:t>ously throughout the day</w:t>
      </w:r>
      <w:r w:rsidRPr="00F03058">
        <w:rPr>
          <w:rFonts w:asciiTheme="minorHAnsi" w:eastAsiaTheme="minorHAnsi" w:hAnsiTheme="minorHAnsi" w:cstheme="minorHAnsi"/>
          <w:sz w:val="22"/>
          <w:szCs w:val="22"/>
          <w:lang w:eastAsia="en-US"/>
        </w:rPr>
        <w:t xml:space="preserve"> which would be practically impossible to comply with. </w:t>
      </w:r>
    </w:p>
    <w:p w:rsidR="00DC0CC2" w:rsidRPr="00F03058" w:rsidRDefault="00DC0CC2" w:rsidP="00DC0CC2">
      <w:pPr>
        <w:spacing w:after="200" w:line="276" w:lineRule="auto"/>
        <w:jc w:val="both"/>
        <w:rPr>
          <w:rFonts w:asciiTheme="minorHAnsi" w:eastAsiaTheme="minorHAnsi" w:hAnsiTheme="minorHAnsi" w:cstheme="minorHAnsi"/>
          <w:b/>
          <w:sz w:val="22"/>
          <w:szCs w:val="22"/>
          <w:lang w:eastAsia="en-US"/>
        </w:rPr>
      </w:pPr>
    </w:p>
    <w:p w:rsidR="00F03058" w:rsidRPr="00F03058" w:rsidRDefault="00F03058" w:rsidP="00DC0CC2">
      <w:pPr>
        <w:spacing w:after="200" w:line="276" w:lineRule="auto"/>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The assigned Market Risk Measurement does not do justice to the type of product:</w:t>
      </w:r>
    </w:p>
    <w:p w:rsidR="00F03058" w:rsidRPr="00F03058" w:rsidRDefault="00F03058" w:rsidP="00DC0CC2">
      <w:pPr>
        <w:numPr>
          <w:ilvl w:val="0"/>
          <w:numId w:val="52"/>
        </w:numPr>
        <w:spacing w:after="200" w:line="276" w:lineRule="auto"/>
        <w:contextualSpacing/>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One size fits not all:</w:t>
      </w:r>
    </w:p>
    <w:p w:rsidR="00F03058" w:rsidRPr="00F03058" w:rsidRDefault="00F03058" w:rsidP="00DC0CC2">
      <w:pPr>
        <w:spacing w:after="200" w:line="276" w:lineRule="auto"/>
        <w:ind w:left="360"/>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From the Consultation it appears that listed options are qualitatively assigned to Market Risk Mea</w:t>
      </w:r>
      <w:r w:rsidRPr="00F03058">
        <w:rPr>
          <w:rFonts w:asciiTheme="minorHAnsi" w:eastAsiaTheme="minorHAnsi" w:hAnsiTheme="minorHAnsi" w:cstheme="minorHAnsi"/>
          <w:sz w:val="22"/>
          <w:szCs w:val="22"/>
          <w:lang w:eastAsia="en-US"/>
        </w:rPr>
        <w:t>s</w:t>
      </w:r>
      <w:r w:rsidRPr="00F03058">
        <w:rPr>
          <w:rFonts w:asciiTheme="minorHAnsi" w:eastAsiaTheme="minorHAnsi" w:hAnsiTheme="minorHAnsi" w:cstheme="minorHAnsi"/>
          <w:sz w:val="22"/>
          <w:szCs w:val="22"/>
          <w:lang w:eastAsia="en-US"/>
        </w:rPr>
        <w:t xml:space="preserve">ure (MRM) 7. Given the differences in the usage/pay-off structures/many series of options, we feel this could misrepresent the product and the use of this product in different strategies and scenarios. </w:t>
      </w:r>
      <w:r w:rsidRPr="00F03058">
        <w:rPr>
          <w:rFonts w:asciiTheme="minorHAnsi" w:eastAsiaTheme="minorHAnsi" w:hAnsiTheme="minorHAnsi" w:cstheme="minorHAnsi"/>
          <w:b/>
          <w:sz w:val="22"/>
          <w:szCs w:val="22"/>
          <w:lang w:eastAsia="en-US"/>
        </w:rPr>
        <w:t>From our point of view, the retail investor would not receive the correct information on the option by applying a one size fits all risk category to this product.</w:t>
      </w:r>
      <w:r w:rsidRPr="00F03058">
        <w:rPr>
          <w:rFonts w:asciiTheme="minorHAnsi" w:eastAsiaTheme="minorHAnsi" w:hAnsiTheme="minorHAnsi" w:cstheme="minorHAnsi"/>
          <w:sz w:val="22"/>
          <w:szCs w:val="22"/>
          <w:lang w:eastAsia="en-US"/>
        </w:rPr>
        <w:t xml:space="preserve"> When a </w:t>
      </w:r>
      <w:proofErr w:type="spellStart"/>
      <w:r w:rsidRPr="00F03058">
        <w:rPr>
          <w:rFonts w:asciiTheme="minorHAnsi" w:eastAsiaTheme="minorHAnsi" w:hAnsiTheme="minorHAnsi" w:cstheme="minorHAnsi"/>
          <w:sz w:val="22"/>
          <w:szCs w:val="22"/>
          <w:lang w:eastAsia="en-US"/>
        </w:rPr>
        <w:t>VaR</w:t>
      </w:r>
      <w:proofErr w:type="spellEnd"/>
      <w:r w:rsidRPr="00F03058">
        <w:rPr>
          <w:rFonts w:asciiTheme="minorHAnsi" w:eastAsiaTheme="minorHAnsi" w:hAnsiTheme="minorHAnsi" w:cstheme="minorHAnsi"/>
          <w:sz w:val="22"/>
          <w:szCs w:val="22"/>
          <w:lang w:eastAsia="en-US"/>
        </w:rPr>
        <w:t xml:space="preserve"> is calculated instead of a</w:t>
      </w:r>
      <w:r w:rsidRPr="00F03058">
        <w:rPr>
          <w:rFonts w:asciiTheme="minorHAnsi" w:eastAsiaTheme="minorHAnsi" w:hAnsiTheme="minorHAnsi" w:cstheme="minorHAnsi"/>
          <w:sz w:val="22"/>
          <w:szCs w:val="22"/>
          <w:lang w:eastAsia="en-US"/>
        </w:rPr>
        <w:t>s</w:t>
      </w:r>
      <w:r w:rsidRPr="00F03058">
        <w:rPr>
          <w:rFonts w:asciiTheme="minorHAnsi" w:eastAsiaTheme="minorHAnsi" w:hAnsiTheme="minorHAnsi" w:cstheme="minorHAnsi"/>
          <w:sz w:val="22"/>
          <w:szCs w:val="22"/>
          <w:lang w:eastAsia="en-US"/>
        </w:rPr>
        <w:t xml:space="preserve">signing options to a risk category, the same problem arises: one </w:t>
      </w:r>
      <w:proofErr w:type="spellStart"/>
      <w:r w:rsidRPr="00F03058">
        <w:rPr>
          <w:rFonts w:asciiTheme="minorHAnsi" w:eastAsiaTheme="minorHAnsi" w:hAnsiTheme="minorHAnsi" w:cstheme="minorHAnsi"/>
          <w:sz w:val="22"/>
          <w:szCs w:val="22"/>
          <w:lang w:eastAsia="en-US"/>
        </w:rPr>
        <w:t>VaR</w:t>
      </w:r>
      <w:proofErr w:type="spellEnd"/>
      <w:r w:rsidRPr="00F03058">
        <w:rPr>
          <w:rFonts w:asciiTheme="minorHAnsi" w:eastAsiaTheme="minorHAnsi" w:hAnsiTheme="minorHAnsi" w:cstheme="minorHAnsi"/>
          <w:sz w:val="22"/>
          <w:szCs w:val="22"/>
          <w:lang w:eastAsia="en-US"/>
        </w:rPr>
        <w:t xml:space="preserve"> for all individual series does not reflect the general usage of options and one </w:t>
      </w:r>
      <w:proofErr w:type="spellStart"/>
      <w:r w:rsidRPr="00F03058">
        <w:rPr>
          <w:rFonts w:asciiTheme="minorHAnsi" w:eastAsiaTheme="minorHAnsi" w:hAnsiTheme="minorHAnsi" w:cstheme="minorHAnsi"/>
          <w:sz w:val="22"/>
          <w:szCs w:val="22"/>
          <w:lang w:eastAsia="en-US"/>
        </w:rPr>
        <w:t>VaR</w:t>
      </w:r>
      <w:proofErr w:type="spellEnd"/>
      <w:r w:rsidRPr="00F03058">
        <w:rPr>
          <w:rFonts w:asciiTheme="minorHAnsi" w:eastAsiaTheme="minorHAnsi" w:hAnsiTheme="minorHAnsi" w:cstheme="minorHAnsi"/>
          <w:sz w:val="22"/>
          <w:szCs w:val="22"/>
          <w:lang w:eastAsia="en-US"/>
        </w:rPr>
        <w:t xml:space="preserve"> per individual series will create too many MRMs for a meaningful comparison of KIDs. All of this is subject to change so a KID has a potential short lif</w:t>
      </w:r>
      <w:r w:rsidRPr="00F03058">
        <w:rPr>
          <w:rFonts w:asciiTheme="minorHAnsi" w:eastAsiaTheme="minorHAnsi" w:hAnsiTheme="minorHAnsi" w:cstheme="minorHAnsi"/>
          <w:sz w:val="22"/>
          <w:szCs w:val="22"/>
          <w:lang w:eastAsia="en-US"/>
        </w:rPr>
        <w:t>e</w:t>
      </w:r>
      <w:r w:rsidRPr="00F03058">
        <w:rPr>
          <w:rFonts w:asciiTheme="minorHAnsi" w:eastAsiaTheme="minorHAnsi" w:hAnsiTheme="minorHAnsi" w:cstheme="minorHAnsi"/>
          <w:sz w:val="22"/>
          <w:szCs w:val="22"/>
          <w:lang w:eastAsia="en-US"/>
        </w:rPr>
        <w:t xml:space="preserve">time and will require many updates. </w:t>
      </w:r>
    </w:p>
    <w:p w:rsidR="00F03058" w:rsidRPr="00F03058" w:rsidRDefault="00F03058" w:rsidP="00DC0CC2">
      <w:pPr>
        <w:numPr>
          <w:ilvl w:val="0"/>
          <w:numId w:val="52"/>
        </w:numPr>
        <w:spacing w:after="200" w:line="276" w:lineRule="auto"/>
        <w:contextualSpacing/>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The KID does not correct for trading on regulated markets:</w:t>
      </w:r>
    </w:p>
    <w:p w:rsidR="00F03058" w:rsidRPr="00F03058" w:rsidRDefault="00F03058" w:rsidP="00DC0CC2">
      <w:pPr>
        <w:spacing w:after="200" w:line="276" w:lineRule="auto"/>
        <w:ind w:left="360"/>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According to the</w:t>
      </w:r>
      <w:r w:rsidR="00DC0CC2">
        <w:rPr>
          <w:rFonts w:asciiTheme="minorHAnsi" w:eastAsiaTheme="minorHAnsi" w:hAnsiTheme="minorHAnsi" w:cstheme="minorHAnsi"/>
          <w:sz w:val="22"/>
          <w:szCs w:val="22"/>
          <w:lang w:eastAsia="en-US"/>
        </w:rPr>
        <w:t xml:space="preserve"> Joint Consultation P</w:t>
      </w:r>
      <w:r w:rsidRPr="00F03058">
        <w:rPr>
          <w:rFonts w:asciiTheme="minorHAnsi" w:eastAsiaTheme="minorHAnsi" w:hAnsiTheme="minorHAnsi" w:cstheme="minorHAnsi"/>
          <w:sz w:val="22"/>
          <w:szCs w:val="22"/>
          <w:lang w:eastAsia="en-US"/>
        </w:rPr>
        <w:t>aper standard derivatives are qualitatively assigned to the hig</w:t>
      </w:r>
      <w:r w:rsidRPr="00F03058">
        <w:rPr>
          <w:rFonts w:asciiTheme="minorHAnsi" w:eastAsiaTheme="minorHAnsi" w:hAnsiTheme="minorHAnsi" w:cstheme="minorHAnsi"/>
          <w:sz w:val="22"/>
          <w:szCs w:val="22"/>
          <w:lang w:eastAsia="en-US"/>
        </w:rPr>
        <w:t>h</w:t>
      </w:r>
      <w:r w:rsidRPr="00F03058">
        <w:rPr>
          <w:rFonts w:asciiTheme="minorHAnsi" w:eastAsiaTheme="minorHAnsi" w:hAnsiTheme="minorHAnsi" w:cstheme="minorHAnsi"/>
          <w:sz w:val="22"/>
          <w:szCs w:val="22"/>
          <w:lang w:eastAsia="en-US"/>
        </w:rPr>
        <w:t>est risk category. The KID rules only seem to take into account the structure of the product and i</w:t>
      </w:r>
      <w:r w:rsidRPr="00F03058">
        <w:rPr>
          <w:rFonts w:asciiTheme="minorHAnsi" w:eastAsiaTheme="minorHAnsi" w:hAnsiTheme="minorHAnsi" w:cstheme="minorHAnsi"/>
          <w:sz w:val="22"/>
          <w:szCs w:val="22"/>
          <w:lang w:eastAsia="en-US"/>
        </w:rPr>
        <w:t>g</w:t>
      </w:r>
      <w:r w:rsidRPr="00F03058">
        <w:rPr>
          <w:rFonts w:asciiTheme="minorHAnsi" w:eastAsiaTheme="minorHAnsi" w:hAnsiTheme="minorHAnsi" w:cstheme="minorHAnsi"/>
          <w:sz w:val="22"/>
          <w:szCs w:val="22"/>
          <w:lang w:eastAsia="en-US"/>
        </w:rPr>
        <w:t xml:space="preserve">nore the trading environment. </w:t>
      </w:r>
      <w:r w:rsidRPr="00F03058">
        <w:rPr>
          <w:rFonts w:asciiTheme="minorHAnsi" w:eastAsiaTheme="minorHAnsi" w:hAnsiTheme="minorHAnsi" w:cstheme="minorHAnsi"/>
          <w:b/>
          <w:sz w:val="22"/>
          <w:szCs w:val="22"/>
          <w:lang w:eastAsia="en-US"/>
        </w:rPr>
        <w:t>We believe that the trading environment has a bearing on the risk profile of the products and should be included in the risk profile.</w:t>
      </w:r>
      <w:r w:rsidRPr="00F03058">
        <w:rPr>
          <w:rFonts w:asciiTheme="minorHAnsi" w:eastAsiaTheme="minorHAnsi" w:hAnsiTheme="minorHAnsi" w:cstheme="minorHAnsi"/>
          <w:sz w:val="22"/>
          <w:szCs w:val="22"/>
          <w:lang w:eastAsia="en-US"/>
        </w:rPr>
        <w:t xml:space="preserve"> Exchange traded derivatives are traded on a regulated market and are fully transparent: transparent in construction and in trading. </w:t>
      </w:r>
      <w:r w:rsidRPr="00F03058">
        <w:rPr>
          <w:rFonts w:asciiTheme="minorHAnsi" w:eastAsiaTheme="minorHAnsi" w:hAnsiTheme="minorHAnsi" w:cstheme="minorHAnsi"/>
          <w:b/>
          <w:sz w:val="22"/>
          <w:szCs w:val="22"/>
          <w:lang w:eastAsia="en-US"/>
        </w:rPr>
        <w:t>Derivatives traded on regulated markets benefit from a highly liquid market which allows for the disposal of the products at any given time.</w:t>
      </w:r>
      <w:r w:rsidRPr="00F03058">
        <w:rPr>
          <w:rFonts w:asciiTheme="minorHAnsi" w:eastAsiaTheme="minorHAnsi" w:hAnsiTheme="minorHAnsi" w:cstheme="minorHAnsi"/>
          <w:sz w:val="22"/>
          <w:szCs w:val="22"/>
          <w:lang w:eastAsia="en-US"/>
        </w:rPr>
        <w:t xml:space="preserve"> Furthermore, as clearing and settlement is guaranteed, payment and settlement risk are sufficiently addressed. Comparing this to packaged products that can also be traded - and are traded - on non-regulated markets or OTC, we believe that these diffe</w:t>
      </w:r>
      <w:r w:rsidRPr="00F03058">
        <w:rPr>
          <w:rFonts w:asciiTheme="minorHAnsi" w:eastAsiaTheme="minorHAnsi" w:hAnsiTheme="minorHAnsi" w:cstheme="minorHAnsi"/>
          <w:sz w:val="22"/>
          <w:szCs w:val="22"/>
          <w:lang w:eastAsia="en-US"/>
        </w:rPr>
        <w:t>r</w:t>
      </w:r>
      <w:r w:rsidRPr="00F03058">
        <w:rPr>
          <w:rFonts w:asciiTheme="minorHAnsi" w:eastAsiaTheme="minorHAnsi" w:hAnsiTheme="minorHAnsi" w:cstheme="minorHAnsi"/>
          <w:sz w:val="22"/>
          <w:szCs w:val="22"/>
          <w:lang w:eastAsia="en-US"/>
        </w:rPr>
        <w:t xml:space="preserve">ences in the trading environment are relevant for the assessments included in the KID and thus to the end investor. For this reason we believe the trading environment should be an element of the </w:t>
      </w:r>
      <w:r w:rsidRPr="00F03058">
        <w:rPr>
          <w:rFonts w:asciiTheme="minorHAnsi" w:eastAsiaTheme="minorHAnsi" w:hAnsiTheme="minorHAnsi" w:cstheme="minorHAnsi"/>
          <w:sz w:val="22"/>
          <w:szCs w:val="22"/>
          <w:lang w:eastAsia="en-US"/>
        </w:rPr>
        <w:lastRenderedPageBreak/>
        <w:t>risk assessment. The KID does not take this into account: packaged products can have an equal or lower SRI than exchange traded derivatives while the risk of trading against prices that originate from less liquid or less transparent markets is much higher.</w:t>
      </w:r>
    </w:p>
    <w:p w:rsidR="00F03058" w:rsidRPr="00F03058" w:rsidRDefault="00F03058" w:rsidP="00DC0CC2">
      <w:pPr>
        <w:numPr>
          <w:ilvl w:val="0"/>
          <w:numId w:val="52"/>
        </w:numPr>
        <w:spacing w:after="200" w:line="276" w:lineRule="auto"/>
        <w:contextualSpacing/>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Credit risk mitigation:</w:t>
      </w:r>
    </w:p>
    <w:p w:rsidR="00F03058" w:rsidRPr="00F03058" w:rsidRDefault="00F03058" w:rsidP="00DC0CC2">
      <w:pPr>
        <w:spacing w:after="200" w:line="276" w:lineRule="auto"/>
        <w:ind w:left="360"/>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Suggestion - An open position in listed options &amp; futures is guaranteed by the clearing house to cover counterparty risk. The mitigation of the credit risk is addre</w:t>
      </w:r>
      <w:r w:rsidR="00DC0CC2">
        <w:rPr>
          <w:rFonts w:asciiTheme="minorHAnsi" w:eastAsiaTheme="minorHAnsi" w:hAnsiTheme="minorHAnsi" w:cstheme="minorHAnsi"/>
          <w:sz w:val="22"/>
          <w:szCs w:val="22"/>
          <w:lang w:eastAsia="en-US"/>
        </w:rPr>
        <w:t xml:space="preserve">ssed in the Joint Consultation </w:t>
      </w:r>
      <w:r w:rsidRPr="00F03058">
        <w:rPr>
          <w:rFonts w:asciiTheme="minorHAnsi" w:eastAsiaTheme="minorHAnsi" w:hAnsiTheme="minorHAnsi" w:cstheme="minorHAnsi"/>
          <w:sz w:val="22"/>
          <w:szCs w:val="22"/>
          <w:lang w:eastAsia="en-US"/>
        </w:rPr>
        <w:t>Paper,  A</w:t>
      </w:r>
      <w:r w:rsidRPr="00F03058">
        <w:rPr>
          <w:rFonts w:asciiTheme="minorHAnsi" w:eastAsiaTheme="minorHAnsi" w:hAnsiTheme="minorHAnsi" w:cstheme="minorHAnsi"/>
          <w:sz w:val="22"/>
          <w:szCs w:val="22"/>
          <w:lang w:eastAsia="en-US"/>
        </w:rPr>
        <w:t>n</w:t>
      </w:r>
      <w:r w:rsidRPr="00F03058">
        <w:rPr>
          <w:rFonts w:asciiTheme="minorHAnsi" w:eastAsiaTheme="minorHAnsi" w:hAnsiTheme="minorHAnsi" w:cstheme="minorHAnsi"/>
          <w:sz w:val="22"/>
          <w:szCs w:val="22"/>
          <w:lang w:eastAsia="en-US"/>
        </w:rPr>
        <w:t>nex II, paragraph 65(a). Listed options and futures traded on regulated markets have a guaranteed clearing and settlement system that should lead to the conclusion that the credit risk exposure for these products can be deemed immaterial and should therefore be allocated to credit risk class 1.</w:t>
      </w:r>
    </w:p>
    <w:p w:rsidR="00F03058" w:rsidRPr="00F03058" w:rsidRDefault="00F03058" w:rsidP="00DC0CC2">
      <w:pPr>
        <w:numPr>
          <w:ilvl w:val="0"/>
          <w:numId w:val="52"/>
        </w:numPr>
        <w:spacing w:after="200" w:line="276" w:lineRule="auto"/>
        <w:contextualSpacing/>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b/>
          <w:sz w:val="22"/>
          <w:szCs w:val="22"/>
          <w:lang w:eastAsia="en-US"/>
        </w:rPr>
        <w:t>VAR calculation:</w:t>
      </w:r>
    </w:p>
    <w:p w:rsidR="00F03058" w:rsidRPr="00F03058" w:rsidRDefault="00F03058" w:rsidP="00DC0CC2">
      <w:pPr>
        <w:spacing w:line="276" w:lineRule="auto"/>
        <w:ind w:left="360"/>
        <w:contextualSpacing/>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 xml:space="preserve">The regulated market is not in the position to execute </w:t>
      </w:r>
      <w:proofErr w:type="spellStart"/>
      <w:r w:rsidRPr="00F03058">
        <w:rPr>
          <w:rFonts w:asciiTheme="minorHAnsi" w:eastAsiaTheme="minorHAnsi" w:hAnsiTheme="minorHAnsi" w:cstheme="minorHAnsi"/>
          <w:sz w:val="22"/>
          <w:szCs w:val="22"/>
          <w:lang w:eastAsia="en-US"/>
        </w:rPr>
        <w:t>VaR</w:t>
      </w:r>
      <w:proofErr w:type="spellEnd"/>
      <w:r w:rsidRPr="00F03058">
        <w:rPr>
          <w:rFonts w:asciiTheme="minorHAnsi" w:eastAsiaTheme="minorHAnsi" w:hAnsiTheme="minorHAnsi" w:cstheme="minorHAnsi"/>
          <w:sz w:val="22"/>
          <w:szCs w:val="22"/>
          <w:lang w:eastAsia="en-US"/>
        </w:rPr>
        <w:t xml:space="preserve"> calculations. All market risk and credit risk calculations are outsourced to the CCP.</w:t>
      </w:r>
    </w:p>
    <w:p w:rsidR="00F03058" w:rsidRPr="00F03058" w:rsidRDefault="00F03058" w:rsidP="00DC0CC2">
      <w:pPr>
        <w:spacing w:after="200" w:line="276" w:lineRule="auto"/>
        <w:jc w:val="both"/>
        <w:rPr>
          <w:rFonts w:asciiTheme="minorHAnsi" w:eastAsiaTheme="minorHAnsi" w:hAnsiTheme="minorHAnsi" w:cstheme="minorHAnsi"/>
          <w:b/>
          <w:sz w:val="22"/>
          <w:szCs w:val="22"/>
          <w:lang w:eastAsia="en-US"/>
        </w:rPr>
      </w:pPr>
    </w:p>
    <w:tbl>
      <w:tblPr>
        <w:tblStyle w:val="TableGrid3"/>
        <w:tblW w:w="0" w:type="auto"/>
        <w:shd w:val="clear" w:color="auto" w:fill="D9D9D9" w:themeFill="background1" w:themeFillShade="D9"/>
        <w:tblLook w:val="04A0" w:firstRow="1" w:lastRow="0" w:firstColumn="1" w:lastColumn="0" w:noHBand="0" w:noVBand="1"/>
      </w:tblPr>
      <w:tblGrid>
        <w:gridCol w:w="9166"/>
      </w:tblGrid>
      <w:tr w:rsidR="00F03058" w:rsidRPr="00F03058" w:rsidTr="00DC5AD2">
        <w:tc>
          <w:tcPr>
            <w:tcW w:w="9166" w:type="dxa"/>
            <w:shd w:val="clear" w:color="auto" w:fill="D9D9D9" w:themeFill="background1" w:themeFillShade="D9"/>
          </w:tcPr>
          <w:p w:rsidR="00F03058" w:rsidRPr="00F03058" w:rsidRDefault="00F03058" w:rsidP="00DC0CC2">
            <w:pPr>
              <w:jc w:val="both"/>
              <w:rPr>
                <w:rFonts w:asciiTheme="minorHAnsi" w:hAnsiTheme="minorHAnsi" w:cstheme="minorHAnsi"/>
                <w:b/>
                <w:sz w:val="22"/>
                <w:szCs w:val="22"/>
                <w:lang w:eastAsia="en-US"/>
              </w:rPr>
            </w:pPr>
          </w:p>
          <w:p w:rsidR="00F03058" w:rsidRPr="00F03058" w:rsidRDefault="00F03058" w:rsidP="00DC0CC2">
            <w:pPr>
              <w:jc w:val="both"/>
              <w:rPr>
                <w:rFonts w:asciiTheme="minorHAnsi" w:hAnsiTheme="minorHAnsi" w:cstheme="minorHAnsi"/>
                <w:sz w:val="22"/>
                <w:szCs w:val="22"/>
                <w:lang w:eastAsia="en-US"/>
              </w:rPr>
            </w:pPr>
            <w:r w:rsidRPr="00F03058">
              <w:rPr>
                <w:rFonts w:asciiTheme="minorHAnsi" w:hAnsiTheme="minorHAnsi" w:cstheme="minorHAnsi"/>
                <w:b/>
                <w:sz w:val="22"/>
                <w:szCs w:val="22"/>
                <w:lang w:eastAsia="en-US"/>
              </w:rPr>
              <w:t xml:space="preserve">Proposal: </w:t>
            </w:r>
            <w:r w:rsidRPr="00F03058">
              <w:rPr>
                <w:rFonts w:asciiTheme="minorHAnsi" w:hAnsiTheme="minorHAnsi" w:cstheme="minorHAnsi"/>
                <w:sz w:val="22"/>
                <w:szCs w:val="22"/>
                <w:lang w:eastAsia="en-US"/>
              </w:rPr>
              <w:t>instead of</w:t>
            </w:r>
            <w:r w:rsidRPr="00F03058">
              <w:rPr>
                <w:rFonts w:asciiTheme="minorHAnsi" w:hAnsiTheme="minorHAnsi" w:cstheme="minorHAnsi"/>
                <w:b/>
                <w:sz w:val="22"/>
                <w:szCs w:val="22"/>
                <w:lang w:eastAsia="en-US"/>
              </w:rPr>
              <w:t xml:space="preserve"> </w:t>
            </w:r>
            <w:r w:rsidRPr="00F03058">
              <w:rPr>
                <w:rFonts w:asciiTheme="minorHAnsi" w:hAnsiTheme="minorHAnsi" w:cstheme="minorHAnsi"/>
                <w:sz w:val="22"/>
                <w:szCs w:val="22"/>
                <w:lang w:eastAsia="en-US"/>
              </w:rPr>
              <w:t xml:space="preserve">assigning a Summary Risk Indicator to derivatives, we suggest a more in-depth explanation of the workings of a listed derivative (see for example </w:t>
            </w:r>
            <w:r w:rsidR="00785F2C">
              <w:rPr>
                <w:rFonts w:asciiTheme="minorHAnsi" w:hAnsiTheme="minorHAnsi" w:cstheme="minorHAnsi"/>
                <w:sz w:val="22"/>
                <w:szCs w:val="22"/>
                <w:lang w:eastAsia="en-US"/>
              </w:rPr>
              <w:t xml:space="preserve">the attached </w:t>
            </w:r>
            <w:r w:rsidRPr="00F03058">
              <w:rPr>
                <w:rFonts w:asciiTheme="minorHAnsi" w:hAnsiTheme="minorHAnsi" w:cstheme="minorHAnsi"/>
                <w:sz w:val="22"/>
                <w:szCs w:val="22"/>
                <w:lang w:eastAsia="en-US"/>
              </w:rPr>
              <w:t>explanatory mem</w:t>
            </w:r>
            <w:r w:rsidRPr="00F03058">
              <w:rPr>
                <w:rFonts w:asciiTheme="minorHAnsi" w:hAnsiTheme="minorHAnsi" w:cstheme="minorHAnsi"/>
                <w:sz w:val="22"/>
                <w:szCs w:val="22"/>
                <w:lang w:eastAsia="en-US"/>
              </w:rPr>
              <w:t>o</w:t>
            </w:r>
            <w:r w:rsidRPr="00F03058">
              <w:rPr>
                <w:rFonts w:asciiTheme="minorHAnsi" w:hAnsiTheme="minorHAnsi" w:cstheme="minorHAnsi"/>
                <w:sz w:val="22"/>
                <w:szCs w:val="22"/>
                <w:lang w:eastAsia="en-US"/>
              </w:rPr>
              <w:t xml:space="preserve">randum – options and futures). If an SRI is required, we would suggest not assigning a single SRI category to derivatives, but rather assign a range of SRI categories and explain the rationale behind this. </w:t>
            </w:r>
          </w:p>
        </w:tc>
      </w:tr>
    </w:tbl>
    <w:p w:rsidR="00F03058" w:rsidRPr="00F03058" w:rsidRDefault="00F03058" w:rsidP="00DC0CC2">
      <w:pPr>
        <w:spacing w:after="200" w:line="276" w:lineRule="auto"/>
        <w:jc w:val="both"/>
        <w:rPr>
          <w:rFonts w:asciiTheme="minorHAnsi" w:eastAsiaTheme="minorHAnsi" w:hAnsiTheme="minorHAnsi" w:cstheme="minorHAnsi"/>
          <w:b/>
          <w:sz w:val="22"/>
          <w:szCs w:val="22"/>
          <w:lang w:eastAsia="en-US"/>
        </w:rPr>
      </w:pPr>
    </w:p>
    <w:p w:rsidR="00F03058" w:rsidRPr="00F03058" w:rsidRDefault="00F03058" w:rsidP="00DC0CC2">
      <w:pPr>
        <w:spacing w:after="200" w:line="276" w:lineRule="auto"/>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3.2 Performance scenario</w:t>
      </w:r>
    </w:p>
    <w:p w:rsidR="00F03058" w:rsidRPr="00F03058" w:rsidRDefault="00F03058" w:rsidP="00DC0CC2">
      <w:pPr>
        <w:numPr>
          <w:ilvl w:val="0"/>
          <w:numId w:val="52"/>
        </w:numPr>
        <w:spacing w:after="200" w:line="276" w:lineRule="auto"/>
        <w:contextualSpacing/>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To do justice to the re</w:t>
      </w:r>
      <w:r w:rsidR="00785F2C">
        <w:rPr>
          <w:rFonts w:asciiTheme="minorHAnsi" w:eastAsiaTheme="minorHAnsi" w:hAnsiTheme="minorHAnsi" w:cstheme="minorHAnsi"/>
          <w:b/>
          <w:sz w:val="22"/>
          <w:szCs w:val="22"/>
          <w:lang w:eastAsia="en-US"/>
        </w:rPr>
        <w:t>ality of possible performances a</w:t>
      </w:r>
      <w:r w:rsidRPr="00F03058">
        <w:rPr>
          <w:rFonts w:asciiTheme="minorHAnsi" w:eastAsiaTheme="minorHAnsi" w:hAnsiTheme="minorHAnsi" w:cstheme="minorHAnsi"/>
          <w:b/>
          <w:sz w:val="22"/>
          <w:szCs w:val="22"/>
          <w:lang w:eastAsia="en-US"/>
        </w:rPr>
        <w:t>n unrealistic amount of scenarios will need to be produced:</w:t>
      </w:r>
    </w:p>
    <w:p w:rsidR="00F03058" w:rsidRPr="00F03058" w:rsidRDefault="00F03058" w:rsidP="00DC0CC2">
      <w:pPr>
        <w:spacing w:after="200" w:line="276" w:lineRule="auto"/>
        <w:ind w:left="360"/>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 xml:space="preserve">When an investor buys a single listed call or put, he can choose from various strike prices which all behave differently on underlying price movements. </w:t>
      </w:r>
      <w:r w:rsidRPr="00F03058">
        <w:rPr>
          <w:rFonts w:asciiTheme="minorHAnsi" w:eastAsiaTheme="minorHAnsi" w:hAnsiTheme="minorHAnsi" w:cstheme="minorHAnsi"/>
          <w:b/>
          <w:sz w:val="22"/>
          <w:szCs w:val="22"/>
          <w:lang w:eastAsia="en-US"/>
        </w:rPr>
        <w:t xml:space="preserve">Creating one KID per option series will result in an unmanageable number of KIDs </w:t>
      </w:r>
      <w:r w:rsidRPr="00F03058">
        <w:rPr>
          <w:rFonts w:asciiTheme="minorHAnsi" w:eastAsiaTheme="minorHAnsi" w:hAnsiTheme="minorHAnsi" w:cstheme="minorHAnsi"/>
          <w:sz w:val="22"/>
          <w:szCs w:val="22"/>
          <w:lang w:eastAsia="en-US"/>
        </w:rPr>
        <w:t>which will also need to be updated regularly after underlying price changes. Creating one general KID for all option series will include performance scenar</w:t>
      </w:r>
      <w:r w:rsidR="009A695F">
        <w:rPr>
          <w:rFonts w:asciiTheme="minorHAnsi" w:eastAsiaTheme="minorHAnsi" w:hAnsiTheme="minorHAnsi" w:cstheme="minorHAnsi"/>
          <w:sz w:val="22"/>
          <w:szCs w:val="22"/>
          <w:lang w:eastAsia="en-US"/>
        </w:rPr>
        <w:t xml:space="preserve">ios that would be meaningless or </w:t>
      </w:r>
      <w:r w:rsidRPr="00F03058">
        <w:rPr>
          <w:rFonts w:asciiTheme="minorHAnsi" w:eastAsiaTheme="minorHAnsi" w:hAnsiTheme="minorHAnsi" w:cstheme="minorHAnsi"/>
          <w:sz w:val="22"/>
          <w:szCs w:val="22"/>
          <w:lang w:eastAsia="en-US"/>
        </w:rPr>
        <w:t>even misleading.</w:t>
      </w:r>
    </w:p>
    <w:p w:rsidR="00F03058" w:rsidRPr="00F03058" w:rsidRDefault="00F03058" w:rsidP="00DC0CC2">
      <w:pPr>
        <w:numPr>
          <w:ilvl w:val="0"/>
          <w:numId w:val="52"/>
        </w:numPr>
        <w:spacing w:after="200" w:line="276" w:lineRule="auto"/>
        <w:contextualSpacing/>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An alternative could be provided:</w:t>
      </w:r>
    </w:p>
    <w:p w:rsidR="00F03058" w:rsidRPr="00F03058" w:rsidRDefault="00F03058" w:rsidP="00DC0CC2">
      <w:pPr>
        <w:spacing w:after="200" w:line="276" w:lineRule="auto"/>
        <w:ind w:left="360"/>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A KID requires performance scenarios defined to represent an unfavourable, moderate and favour</w:t>
      </w:r>
      <w:r w:rsidRPr="00F03058">
        <w:rPr>
          <w:rFonts w:asciiTheme="minorHAnsi" w:eastAsiaTheme="minorHAnsi" w:hAnsiTheme="minorHAnsi" w:cstheme="minorHAnsi"/>
          <w:sz w:val="22"/>
          <w:szCs w:val="22"/>
          <w:lang w:eastAsia="en-US"/>
        </w:rPr>
        <w:t>a</w:t>
      </w:r>
      <w:r w:rsidRPr="00F03058">
        <w:rPr>
          <w:rFonts w:asciiTheme="minorHAnsi" w:eastAsiaTheme="minorHAnsi" w:hAnsiTheme="minorHAnsi" w:cstheme="minorHAnsi"/>
          <w:sz w:val="22"/>
          <w:szCs w:val="22"/>
          <w:lang w:eastAsia="en-US"/>
        </w:rPr>
        <w:t>ble scenario. Performance should be presented in monetary units and in percentage terms. Normally for listed options and futures a pay-off graph is used to show performance for all scenarios. The graph below shows a generic example of the pay-off structure of a long call option (this example uses a strike price of 64). The horizontal axis shows the various possible prices of the underlying value and the vertical axis shows the profit or loss. The graph clearly shows what the pay-off is of the call o</w:t>
      </w:r>
      <w:r w:rsidRPr="00F03058">
        <w:rPr>
          <w:rFonts w:asciiTheme="minorHAnsi" w:eastAsiaTheme="minorHAnsi" w:hAnsiTheme="minorHAnsi" w:cstheme="minorHAnsi"/>
          <w:sz w:val="22"/>
          <w:szCs w:val="22"/>
          <w:lang w:eastAsia="en-US"/>
        </w:rPr>
        <w:t>p</w:t>
      </w:r>
      <w:r w:rsidRPr="00F03058">
        <w:rPr>
          <w:rFonts w:asciiTheme="minorHAnsi" w:eastAsiaTheme="minorHAnsi" w:hAnsiTheme="minorHAnsi" w:cstheme="minorHAnsi"/>
          <w:sz w:val="22"/>
          <w:szCs w:val="22"/>
          <w:lang w:eastAsia="en-US"/>
        </w:rPr>
        <w:t>tion for different levels of the underlying value.</w:t>
      </w:r>
    </w:p>
    <w:p w:rsidR="00F03058" w:rsidRPr="00F03058" w:rsidRDefault="00F03058" w:rsidP="00DC0CC2">
      <w:pPr>
        <w:spacing w:after="200" w:line="276" w:lineRule="auto"/>
        <w:ind w:left="360"/>
        <w:jc w:val="both"/>
        <w:rPr>
          <w:rFonts w:asciiTheme="minorHAnsi" w:eastAsiaTheme="minorHAnsi" w:hAnsiTheme="minorHAnsi" w:cstheme="minorHAnsi"/>
          <w:sz w:val="22"/>
          <w:szCs w:val="22"/>
          <w:lang w:eastAsia="en-US"/>
        </w:rPr>
      </w:pPr>
    </w:p>
    <w:p w:rsidR="00F03058" w:rsidRPr="00F03058" w:rsidRDefault="00F03058" w:rsidP="00DC0CC2">
      <w:pPr>
        <w:spacing w:after="200" w:line="276" w:lineRule="auto"/>
        <w:ind w:left="360"/>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noProof/>
          <w:sz w:val="22"/>
          <w:szCs w:val="22"/>
          <w:lang w:val="nl-NL" w:eastAsia="nl-NL"/>
        </w:rPr>
        <w:lastRenderedPageBreak/>
        <w:drawing>
          <wp:inline distT="0" distB="0" distL="0" distR="0" wp14:anchorId="3BF9AD55" wp14:editId="747B6CA5">
            <wp:extent cx="4638675" cy="2724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8675" cy="2724150"/>
                    </a:xfrm>
                    <a:prstGeom prst="rect">
                      <a:avLst/>
                    </a:prstGeom>
                    <a:noFill/>
                    <a:ln>
                      <a:noFill/>
                    </a:ln>
                  </pic:spPr>
                </pic:pic>
              </a:graphicData>
            </a:graphic>
          </wp:inline>
        </w:drawing>
      </w:r>
    </w:p>
    <w:p w:rsidR="00F03058" w:rsidRPr="00F03058" w:rsidRDefault="00F03058" w:rsidP="00DC0CC2">
      <w:pPr>
        <w:spacing w:after="200" w:line="276" w:lineRule="auto"/>
        <w:ind w:left="360"/>
        <w:jc w:val="both"/>
        <w:rPr>
          <w:rFonts w:asciiTheme="minorHAnsi" w:eastAsiaTheme="minorHAnsi" w:hAnsiTheme="minorHAnsi" w:cstheme="minorHAnsi"/>
          <w:sz w:val="22"/>
          <w:szCs w:val="22"/>
          <w:lang w:eastAsia="en-US"/>
        </w:rPr>
      </w:pPr>
    </w:p>
    <w:p w:rsidR="00F03058" w:rsidRPr="00F03058" w:rsidRDefault="00F03058" w:rsidP="00DC0CC2">
      <w:pPr>
        <w:spacing w:after="200" w:line="276" w:lineRule="auto"/>
        <w:ind w:left="360"/>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For listed options &amp; futures this graph contains much more valuable informative than selecting three subjective scenarios.</w:t>
      </w:r>
    </w:p>
    <w:p w:rsidR="00F03058" w:rsidRPr="00F03058" w:rsidRDefault="00F03058" w:rsidP="00DC0CC2">
      <w:pPr>
        <w:spacing w:after="200" w:line="276" w:lineRule="auto"/>
        <w:jc w:val="both"/>
        <w:rPr>
          <w:rFonts w:asciiTheme="minorHAnsi" w:eastAsiaTheme="minorHAnsi" w:hAnsiTheme="minorHAnsi" w:cstheme="minorHAnsi"/>
          <w:sz w:val="22"/>
          <w:szCs w:val="22"/>
          <w:lang w:eastAsia="en-US"/>
        </w:rPr>
      </w:pPr>
    </w:p>
    <w:tbl>
      <w:tblPr>
        <w:tblStyle w:val="TableGrid3"/>
        <w:tblW w:w="0" w:type="auto"/>
        <w:shd w:val="clear" w:color="auto" w:fill="D9D9D9" w:themeFill="background1" w:themeFillShade="D9"/>
        <w:tblLook w:val="04A0" w:firstRow="1" w:lastRow="0" w:firstColumn="1" w:lastColumn="0" w:noHBand="0" w:noVBand="1"/>
      </w:tblPr>
      <w:tblGrid>
        <w:gridCol w:w="9166"/>
      </w:tblGrid>
      <w:tr w:rsidR="00F03058" w:rsidRPr="00F03058" w:rsidTr="00DC5AD2">
        <w:tc>
          <w:tcPr>
            <w:tcW w:w="9166" w:type="dxa"/>
            <w:shd w:val="clear" w:color="auto" w:fill="D9D9D9" w:themeFill="background1" w:themeFillShade="D9"/>
          </w:tcPr>
          <w:p w:rsidR="00F03058" w:rsidRPr="00F03058" w:rsidRDefault="00F03058" w:rsidP="00DC0CC2">
            <w:pPr>
              <w:jc w:val="both"/>
              <w:rPr>
                <w:rFonts w:asciiTheme="minorHAnsi" w:hAnsiTheme="minorHAnsi" w:cstheme="minorHAnsi"/>
                <w:b/>
                <w:sz w:val="22"/>
                <w:szCs w:val="22"/>
                <w:lang w:eastAsia="en-US"/>
              </w:rPr>
            </w:pPr>
          </w:p>
          <w:p w:rsidR="00F03058" w:rsidRPr="00F03058" w:rsidRDefault="00F03058" w:rsidP="00DC0CC2">
            <w:pPr>
              <w:jc w:val="both"/>
              <w:rPr>
                <w:rFonts w:asciiTheme="minorHAnsi" w:hAnsiTheme="minorHAnsi" w:cstheme="minorHAnsi"/>
                <w:sz w:val="22"/>
                <w:szCs w:val="22"/>
                <w:lang w:eastAsia="en-US"/>
              </w:rPr>
            </w:pPr>
            <w:r w:rsidRPr="00F03058">
              <w:rPr>
                <w:rFonts w:asciiTheme="minorHAnsi" w:hAnsiTheme="minorHAnsi" w:cstheme="minorHAnsi"/>
                <w:b/>
                <w:sz w:val="22"/>
                <w:szCs w:val="22"/>
                <w:lang w:eastAsia="en-US"/>
              </w:rPr>
              <w:t>Proposal:</w:t>
            </w:r>
            <w:r w:rsidRPr="00F03058">
              <w:rPr>
                <w:rFonts w:asciiTheme="minorHAnsi" w:hAnsiTheme="minorHAnsi" w:cstheme="minorHAnsi"/>
                <w:sz w:val="22"/>
                <w:szCs w:val="22"/>
                <w:lang w:eastAsia="en-US"/>
              </w:rPr>
              <w:t xml:space="preserve"> we would suggest creating a performance scenario in line with the graph above where the investor can see, for every price of the underlying value, what the resulting profit or loss will be and at which price of the underlying value the profit or loss will be zero.</w:t>
            </w:r>
          </w:p>
        </w:tc>
      </w:tr>
    </w:tbl>
    <w:p w:rsidR="00F03058" w:rsidRPr="00F03058" w:rsidRDefault="00F03058" w:rsidP="00DC0CC2">
      <w:pPr>
        <w:spacing w:after="200" w:line="276" w:lineRule="auto"/>
        <w:jc w:val="both"/>
        <w:rPr>
          <w:rFonts w:asciiTheme="minorHAnsi" w:eastAsiaTheme="minorHAnsi" w:hAnsiTheme="minorHAnsi" w:cstheme="minorHAnsi"/>
          <w:b/>
          <w:sz w:val="22"/>
          <w:szCs w:val="22"/>
          <w:lang w:eastAsia="en-US"/>
        </w:rPr>
      </w:pPr>
    </w:p>
    <w:p w:rsidR="00F03058" w:rsidRPr="00F03058" w:rsidRDefault="00F03058" w:rsidP="00DC0CC2">
      <w:pPr>
        <w:spacing w:after="200" w:line="276" w:lineRule="auto"/>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4. Costs</w:t>
      </w:r>
    </w:p>
    <w:p w:rsidR="00F03058" w:rsidRPr="00F03058" w:rsidRDefault="00F03058" w:rsidP="00DC0CC2">
      <w:pPr>
        <w:spacing w:after="200" w:line="276" w:lineRule="auto"/>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The overview of costs is very specific to firms creating, issuing, marketing and managing PRIIPS. The requirements do not match the reality of listed option and future trading. Below a specification per item. We believe that for trading of listed options and futures there are a number of costs that arise which do not necessarily align with the tables presented by the ESAs. The costs are:</w:t>
      </w:r>
    </w:p>
    <w:p w:rsidR="00F03058" w:rsidRPr="00F03058" w:rsidRDefault="00F03058" w:rsidP="00DC0CC2">
      <w:pPr>
        <w:numPr>
          <w:ilvl w:val="0"/>
          <w:numId w:val="53"/>
        </w:numPr>
        <w:spacing w:after="200" w:line="276" w:lineRule="auto"/>
        <w:contextualSpacing/>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b/>
          <w:sz w:val="22"/>
          <w:szCs w:val="22"/>
          <w:lang w:eastAsia="en-US"/>
        </w:rPr>
        <w:t>Trading costs charged by the regulated market</w:t>
      </w:r>
      <w:r w:rsidRPr="00F03058">
        <w:rPr>
          <w:rFonts w:asciiTheme="minorHAnsi" w:eastAsiaTheme="minorHAnsi" w:hAnsiTheme="minorHAnsi" w:cstheme="minorHAnsi"/>
          <w:sz w:val="22"/>
          <w:szCs w:val="22"/>
          <w:lang w:eastAsia="en-US"/>
        </w:rPr>
        <w:t xml:space="preserve">: </w:t>
      </w:r>
    </w:p>
    <w:p w:rsidR="00F03058" w:rsidRPr="00F03058" w:rsidRDefault="00F03058" w:rsidP="00DC0CC2">
      <w:pPr>
        <w:spacing w:line="276" w:lineRule="auto"/>
        <w:ind w:left="720"/>
        <w:contextualSpacing/>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We are able to provide a general overview of the costs per contract. Depending on the number of trades a retail investor conducts, costs can be calculated accordingly.</w:t>
      </w:r>
    </w:p>
    <w:p w:rsidR="00F03058" w:rsidRPr="00F03058" w:rsidRDefault="00F03058" w:rsidP="00DC0CC2">
      <w:pPr>
        <w:numPr>
          <w:ilvl w:val="0"/>
          <w:numId w:val="53"/>
        </w:numPr>
        <w:spacing w:after="200" w:line="276" w:lineRule="auto"/>
        <w:contextualSpacing/>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b/>
          <w:sz w:val="22"/>
          <w:szCs w:val="22"/>
          <w:lang w:eastAsia="en-US"/>
        </w:rPr>
        <w:t>Trading costs charged by the broker (or brokers where applicable)</w:t>
      </w:r>
      <w:r w:rsidRPr="00F03058">
        <w:rPr>
          <w:rFonts w:asciiTheme="minorHAnsi" w:eastAsiaTheme="minorHAnsi" w:hAnsiTheme="minorHAnsi" w:cstheme="minorHAnsi"/>
          <w:sz w:val="22"/>
          <w:szCs w:val="22"/>
          <w:lang w:eastAsia="en-US"/>
        </w:rPr>
        <w:t xml:space="preserve">: </w:t>
      </w:r>
    </w:p>
    <w:p w:rsidR="00F03058" w:rsidRPr="00F03058" w:rsidRDefault="00F03058" w:rsidP="00DC0CC2">
      <w:pPr>
        <w:spacing w:line="276" w:lineRule="auto"/>
        <w:ind w:left="720"/>
        <w:contextualSpacing/>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This depends on the type of broker and the relationship with the end investor. Regulated ma</w:t>
      </w:r>
      <w:r w:rsidRPr="00F03058">
        <w:rPr>
          <w:rFonts w:asciiTheme="minorHAnsi" w:eastAsiaTheme="minorHAnsi" w:hAnsiTheme="minorHAnsi" w:cstheme="minorHAnsi"/>
          <w:sz w:val="22"/>
          <w:szCs w:val="22"/>
          <w:lang w:eastAsia="en-US"/>
        </w:rPr>
        <w:t>r</w:t>
      </w:r>
      <w:r w:rsidRPr="00F03058">
        <w:rPr>
          <w:rFonts w:asciiTheme="minorHAnsi" w:eastAsiaTheme="minorHAnsi" w:hAnsiTheme="minorHAnsi" w:cstheme="minorHAnsi"/>
          <w:sz w:val="22"/>
          <w:szCs w:val="22"/>
          <w:lang w:eastAsia="en-US"/>
        </w:rPr>
        <w:t>kets have no access to this information and are not able to specify this as it differs per investor.</w:t>
      </w:r>
    </w:p>
    <w:p w:rsidR="00F03058" w:rsidRPr="00F03058" w:rsidRDefault="00F03058" w:rsidP="00DC0CC2">
      <w:pPr>
        <w:numPr>
          <w:ilvl w:val="0"/>
          <w:numId w:val="53"/>
        </w:numPr>
        <w:spacing w:after="200" w:line="276" w:lineRule="auto"/>
        <w:contextualSpacing/>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 xml:space="preserve">Clearing and settlement costs: </w:t>
      </w:r>
    </w:p>
    <w:p w:rsidR="00F03058" w:rsidRPr="00F03058" w:rsidRDefault="00F03058" w:rsidP="00DC0CC2">
      <w:pPr>
        <w:spacing w:line="276" w:lineRule="auto"/>
        <w:ind w:left="720"/>
        <w:contextualSpacing/>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sz w:val="22"/>
          <w:szCs w:val="22"/>
          <w:lang w:eastAsia="en-US"/>
        </w:rPr>
        <w:t>These costs are charged by the CCP and CSD and should be provided by those entities. As CCPs and different CSD</w:t>
      </w:r>
      <w:r w:rsidR="002C2F50">
        <w:rPr>
          <w:rFonts w:asciiTheme="minorHAnsi" w:eastAsiaTheme="minorHAnsi" w:hAnsiTheme="minorHAnsi" w:cstheme="minorHAnsi"/>
          <w:sz w:val="22"/>
          <w:szCs w:val="22"/>
          <w:lang w:eastAsia="en-US"/>
        </w:rPr>
        <w:t>s act in our markets,</w:t>
      </w:r>
      <w:r w:rsidRPr="00F03058">
        <w:rPr>
          <w:rFonts w:asciiTheme="minorHAnsi" w:eastAsiaTheme="minorHAnsi" w:hAnsiTheme="minorHAnsi" w:cstheme="minorHAnsi"/>
          <w:sz w:val="22"/>
          <w:szCs w:val="22"/>
          <w:lang w:eastAsia="en-US"/>
        </w:rPr>
        <w:t xml:space="preserve"> regulated markets cannot provide a comprehensive ove</w:t>
      </w:r>
      <w:r w:rsidRPr="00F03058">
        <w:rPr>
          <w:rFonts w:asciiTheme="minorHAnsi" w:eastAsiaTheme="minorHAnsi" w:hAnsiTheme="minorHAnsi" w:cstheme="minorHAnsi"/>
          <w:sz w:val="22"/>
          <w:szCs w:val="22"/>
          <w:lang w:eastAsia="en-US"/>
        </w:rPr>
        <w:t>r</w:t>
      </w:r>
      <w:r w:rsidRPr="00F03058">
        <w:rPr>
          <w:rFonts w:asciiTheme="minorHAnsi" w:eastAsiaTheme="minorHAnsi" w:hAnsiTheme="minorHAnsi" w:cstheme="minorHAnsi"/>
          <w:sz w:val="22"/>
          <w:szCs w:val="22"/>
          <w:lang w:eastAsia="en-US"/>
        </w:rPr>
        <w:t>view of all those costs. Furthermore, the chain of clearing costs will differ depending on the number of clearing members and brokers that an investor has to go through.</w:t>
      </w:r>
    </w:p>
    <w:p w:rsidR="00F03058" w:rsidRPr="00F03058" w:rsidRDefault="00F03058" w:rsidP="00DC0CC2">
      <w:pPr>
        <w:numPr>
          <w:ilvl w:val="0"/>
          <w:numId w:val="53"/>
        </w:numPr>
        <w:spacing w:after="200" w:line="276" w:lineRule="auto"/>
        <w:contextualSpacing/>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lastRenderedPageBreak/>
        <w:t>Margin requirements:</w:t>
      </w:r>
      <w:r w:rsidRPr="00F03058">
        <w:rPr>
          <w:rFonts w:asciiTheme="minorHAnsi" w:eastAsiaTheme="minorHAnsi" w:hAnsiTheme="minorHAnsi" w:cstheme="minorHAnsi"/>
          <w:sz w:val="22"/>
          <w:szCs w:val="22"/>
          <w:lang w:eastAsia="en-US"/>
        </w:rPr>
        <w:t xml:space="preserve"> </w:t>
      </w:r>
    </w:p>
    <w:p w:rsidR="00F03058" w:rsidRPr="00F03058" w:rsidRDefault="00F03058" w:rsidP="00DC0CC2">
      <w:pPr>
        <w:spacing w:line="276" w:lineRule="auto"/>
        <w:ind w:left="720"/>
        <w:contextualSpacing/>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sz w:val="22"/>
          <w:szCs w:val="22"/>
          <w:lang w:eastAsia="en-US"/>
        </w:rPr>
        <w:t>These requirements are set by the CCP and will depend on the type of clearing account and clearing member. Regulated markets have no insight to this.</w:t>
      </w:r>
    </w:p>
    <w:p w:rsidR="00F03058" w:rsidRPr="00F03058" w:rsidRDefault="00F03058" w:rsidP="00DC0CC2">
      <w:pPr>
        <w:spacing w:after="200" w:line="276" w:lineRule="auto"/>
        <w:jc w:val="both"/>
        <w:rPr>
          <w:rFonts w:asciiTheme="minorHAnsi" w:eastAsiaTheme="minorHAnsi" w:hAnsiTheme="minorHAnsi" w:cstheme="minorHAnsi"/>
          <w:sz w:val="22"/>
          <w:szCs w:val="22"/>
          <w:lang w:eastAsia="en-US"/>
        </w:rPr>
      </w:pPr>
    </w:p>
    <w:p w:rsidR="00F03058" w:rsidRPr="00F03058" w:rsidRDefault="00F03058" w:rsidP="00DC0CC2">
      <w:pPr>
        <w:spacing w:after="200" w:line="276" w:lineRule="auto"/>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Below an overview of the cost items required to be included in a KID and an explanation (in as far poss</w:t>
      </w:r>
      <w:r w:rsidRPr="00F03058">
        <w:rPr>
          <w:rFonts w:asciiTheme="minorHAnsi" w:eastAsiaTheme="minorHAnsi" w:hAnsiTheme="minorHAnsi" w:cstheme="minorHAnsi"/>
          <w:sz w:val="22"/>
          <w:szCs w:val="22"/>
          <w:lang w:eastAsia="en-US"/>
        </w:rPr>
        <w:t>i</w:t>
      </w:r>
      <w:r w:rsidRPr="00F03058">
        <w:rPr>
          <w:rFonts w:asciiTheme="minorHAnsi" w:eastAsiaTheme="minorHAnsi" w:hAnsiTheme="minorHAnsi" w:cstheme="minorHAnsi"/>
          <w:sz w:val="22"/>
          <w:szCs w:val="22"/>
          <w:lang w:eastAsia="en-US"/>
        </w:rPr>
        <w:t xml:space="preserve">ble) as to why this does not match the structure of listed derivatives. </w:t>
      </w:r>
    </w:p>
    <w:p w:rsidR="00F03058" w:rsidRPr="00F03058" w:rsidRDefault="00F03058" w:rsidP="00DC0CC2">
      <w:pPr>
        <w:spacing w:after="200" w:line="276" w:lineRule="auto"/>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One-off costs:</w:t>
      </w:r>
    </w:p>
    <w:p w:rsidR="00F03058" w:rsidRPr="00F03058" w:rsidRDefault="00F03058" w:rsidP="00DC0CC2">
      <w:pPr>
        <w:numPr>
          <w:ilvl w:val="0"/>
          <w:numId w:val="55"/>
        </w:numPr>
        <w:spacing w:after="200" w:line="276" w:lineRule="auto"/>
        <w:contextualSpacing/>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Sales commissions:</w:t>
      </w:r>
    </w:p>
    <w:p w:rsidR="00F03058" w:rsidRPr="00F03058" w:rsidRDefault="00F03058" w:rsidP="00DC0CC2">
      <w:pPr>
        <w:spacing w:after="200" w:line="276" w:lineRule="auto"/>
        <w:ind w:firstLine="708"/>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Regulated markets do not have that information</w:t>
      </w:r>
    </w:p>
    <w:p w:rsidR="00F03058" w:rsidRPr="00F03058" w:rsidRDefault="00F03058" w:rsidP="00DC0CC2">
      <w:pPr>
        <w:numPr>
          <w:ilvl w:val="0"/>
          <w:numId w:val="55"/>
        </w:numPr>
        <w:spacing w:after="200" w:line="276" w:lineRule="auto"/>
        <w:contextualSpacing/>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Structuring costs:</w:t>
      </w:r>
    </w:p>
    <w:p w:rsidR="00F03058" w:rsidRPr="00F03058" w:rsidRDefault="00F03058" w:rsidP="00DC0CC2">
      <w:pPr>
        <w:spacing w:after="200" w:line="276" w:lineRule="auto"/>
        <w:ind w:left="708"/>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Regulated markets do not have that information, market-making costs are at the expense of the individual market maker that chooses to take a position in this contract and regulated markets have no prior information on that. Settlement costs depend on the costs by the clearing and se</w:t>
      </w:r>
      <w:r w:rsidRPr="00F03058">
        <w:rPr>
          <w:rFonts w:asciiTheme="minorHAnsi" w:eastAsiaTheme="minorHAnsi" w:hAnsiTheme="minorHAnsi" w:cstheme="minorHAnsi"/>
          <w:sz w:val="22"/>
          <w:szCs w:val="22"/>
          <w:lang w:eastAsia="en-US"/>
        </w:rPr>
        <w:t>t</w:t>
      </w:r>
      <w:r w:rsidRPr="00F03058">
        <w:rPr>
          <w:rFonts w:asciiTheme="minorHAnsi" w:eastAsiaTheme="minorHAnsi" w:hAnsiTheme="minorHAnsi" w:cstheme="minorHAnsi"/>
          <w:sz w:val="22"/>
          <w:szCs w:val="22"/>
          <w:lang w:eastAsia="en-US"/>
        </w:rPr>
        <w:t>tlement organisations and the investors’ relationship with its broker. Regulated markets are not a party to this.</w:t>
      </w:r>
    </w:p>
    <w:p w:rsidR="00F03058" w:rsidRPr="00F03058" w:rsidRDefault="00F03058" w:rsidP="00DC0CC2">
      <w:pPr>
        <w:numPr>
          <w:ilvl w:val="0"/>
          <w:numId w:val="55"/>
        </w:numPr>
        <w:spacing w:after="200" w:line="276" w:lineRule="auto"/>
        <w:contextualSpacing/>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b/>
          <w:sz w:val="22"/>
          <w:szCs w:val="22"/>
          <w:lang w:eastAsia="en-US"/>
        </w:rPr>
        <w:t>Hedging costs:</w:t>
      </w:r>
    </w:p>
    <w:p w:rsidR="00F03058" w:rsidRPr="00F03058" w:rsidRDefault="00F03058" w:rsidP="00DC0CC2">
      <w:pPr>
        <w:spacing w:after="200" w:line="276" w:lineRule="auto"/>
        <w:ind w:firstLine="708"/>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N/A as there is a public market, regulated markets do not hedge anything.</w:t>
      </w:r>
    </w:p>
    <w:p w:rsidR="00F03058" w:rsidRPr="00F03058" w:rsidRDefault="00F03058" w:rsidP="00DC0CC2">
      <w:pPr>
        <w:numPr>
          <w:ilvl w:val="0"/>
          <w:numId w:val="55"/>
        </w:numPr>
        <w:spacing w:after="200" w:line="276" w:lineRule="auto"/>
        <w:contextualSpacing/>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b/>
          <w:sz w:val="22"/>
          <w:szCs w:val="22"/>
          <w:lang w:eastAsia="en-US"/>
        </w:rPr>
        <w:t>Legal fees:</w:t>
      </w:r>
    </w:p>
    <w:p w:rsidR="00F03058" w:rsidRPr="00F03058" w:rsidRDefault="00F03058" w:rsidP="00DC0CC2">
      <w:pPr>
        <w:spacing w:after="200" w:line="276" w:lineRule="auto"/>
        <w:ind w:firstLine="708"/>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N/A</w:t>
      </w:r>
    </w:p>
    <w:p w:rsidR="00F03058" w:rsidRPr="00F03058" w:rsidRDefault="00F03058" w:rsidP="00DC0CC2">
      <w:pPr>
        <w:numPr>
          <w:ilvl w:val="0"/>
          <w:numId w:val="55"/>
        </w:numPr>
        <w:spacing w:after="200" w:line="276" w:lineRule="auto"/>
        <w:contextualSpacing/>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Costs for capital guarantee:</w:t>
      </w:r>
    </w:p>
    <w:p w:rsidR="00F03058" w:rsidRPr="00F03058" w:rsidRDefault="00F03058" w:rsidP="00DC0CC2">
      <w:pPr>
        <w:spacing w:after="200" w:line="276" w:lineRule="auto"/>
        <w:ind w:left="708"/>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N/A. Any capital guarantee would be required by the investment firm and not by regulated ma</w:t>
      </w:r>
      <w:r w:rsidRPr="00F03058">
        <w:rPr>
          <w:rFonts w:asciiTheme="minorHAnsi" w:eastAsiaTheme="minorHAnsi" w:hAnsiTheme="minorHAnsi" w:cstheme="minorHAnsi"/>
          <w:sz w:val="22"/>
          <w:szCs w:val="22"/>
          <w:lang w:eastAsia="en-US"/>
        </w:rPr>
        <w:t>r</w:t>
      </w:r>
      <w:r w:rsidRPr="00F03058">
        <w:rPr>
          <w:rFonts w:asciiTheme="minorHAnsi" w:eastAsiaTheme="minorHAnsi" w:hAnsiTheme="minorHAnsi" w:cstheme="minorHAnsi"/>
          <w:sz w:val="22"/>
          <w:szCs w:val="22"/>
          <w:lang w:eastAsia="en-US"/>
        </w:rPr>
        <w:t>kets. Additionally the CCP will ensure these guarantees are taken care of.</w:t>
      </w:r>
    </w:p>
    <w:p w:rsidR="00F03058" w:rsidRPr="00F03058" w:rsidRDefault="00F03058" w:rsidP="00DC0CC2">
      <w:pPr>
        <w:numPr>
          <w:ilvl w:val="0"/>
          <w:numId w:val="55"/>
        </w:numPr>
        <w:spacing w:after="200" w:line="276" w:lineRule="auto"/>
        <w:contextualSpacing/>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Implicit premium paid to the issuer:</w:t>
      </w:r>
    </w:p>
    <w:p w:rsidR="00F03058" w:rsidRPr="00F03058" w:rsidRDefault="00F03058" w:rsidP="00DC0CC2">
      <w:pPr>
        <w:spacing w:after="200" w:line="276" w:lineRule="auto"/>
        <w:ind w:firstLine="708"/>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N/A as there is no issuer.</w:t>
      </w:r>
    </w:p>
    <w:p w:rsidR="00F03058" w:rsidRPr="00F03058" w:rsidRDefault="00F03058" w:rsidP="00DC0CC2">
      <w:pPr>
        <w:numPr>
          <w:ilvl w:val="0"/>
          <w:numId w:val="55"/>
        </w:numPr>
        <w:spacing w:after="200" w:line="276" w:lineRule="auto"/>
        <w:contextualSpacing/>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Proportional fees:</w:t>
      </w:r>
    </w:p>
    <w:p w:rsidR="00F03058" w:rsidRPr="00F03058" w:rsidRDefault="00F03058" w:rsidP="00DC0CC2">
      <w:pPr>
        <w:spacing w:after="200" w:line="276" w:lineRule="auto"/>
        <w:ind w:left="360" w:firstLine="348"/>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Not clear what is meant by this.</w:t>
      </w:r>
    </w:p>
    <w:p w:rsidR="00F03058" w:rsidRPr="00F03058" w:rsidRDefault="00F03058" w:rsidP="00DC0CC2">
      <w:pPr>
        <w:numPr>
          <w:ilvl w:val="0"/>
          <w:numId w:val="55"/>
        </w:numPr>
        <w:spacing w:after="200" w:line="276" w:lineRule="auto"/>
        <w:contextualSpacing/>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Bid-mid spread:</w:t>
      </w:r>
    </w:p>
    <w:p w:rsidR="00F03058" w:rsidRPr="00F03058" w:rsidRDefault="00F03058" w:rsidP="00DC0CC2">
      <w:pPr>
        <w:spacing w:after="200" w:line="276" w:lineRule="auto"/>
        <w:ind w:left="708"/>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Any spread is maintained by individual market makers and brokers in accordance with our ma</w:t>
      </w:r>
      <w:r w:rsidRPr="00F03058">
        <w:rPr>
          <w:rFonts w:asciiTheme="minorHAnsi" w:eastAsiaTheme="minorHAnsi" w:hAnsiTheme="minorHAnsi" w:cstheme="minorHAnsi"/>
          <w:sz w:val="22"/>
          <w:szCs w:val="22"/>
          <w:lang w:eastAsia="en-US"/>
        </w:rPr>
        <w:t>r</w:t>
      </w:r>
      <w:r w:rsidRPr="00F03058">
        <w:rPr>
          <w:rFonts w:asciiTheme="minorHAnsi" w:eastAsiaTheme="minorHAnsi" w:hAnsiTheme="minorHAnsi" w:cstheme="minorHAnsi"/>
          <w:sz w:val="22"/>
          <w:szCs w:val="22"/>
          <w:lang w:eastAsia="en-US"/>
        </w:rPr>
        <w:t>ket rules. In addition to this, listed derivatives are traded via a public market where anyone can send buy or sell orders to the market. The result is that the spread is often reduced due to res</w:t>
      </w:r>
      <w:r w:rsidRPr="00F03058">
        <w:rPr>
          <w:rFonts w:asciiTheme="minorHAnsi" w:eastAsiaTheme="minorHAnsi" w:hAnsiTheme="minorHAnsi" w:cstheme="minorHAnsi"/>
          <w:sz w:val="22"/>
          <w:szCs w:val="22"/>
          <w:lang w:eastAsia="en-US"/>
        </w:rPr>
        <w:t>t</w:t>
      </w:r>
      <w:r w:rsidRPr="00F03058">
        <w:rPr>
          <w:rFonts w:asciiTheme="minorHAnsi" w:eastAsiaTheme="minorHAnsi" w:hAnsiTheme="minorHAnsi" w:cstheme="minorHAnsi"/>
          <w:sz w:val="22"/>
          <w:szCs w:val="22"/>
          <w:lang w:eastAsia="en-US"/>
        </w:rPr>
        <w:t>ing orders in the order book.</w:t>
      </w:r>
    </w:p>
    <w:p w:rsidR="00F03058" w:rsidRPr="00F03058" w:rsidRDefault="00F03058" w:rsidP="00DC0CC2">
      <w:pPr>
        <w:spacing w:after="200" w:line="276" w:lineRule="auto"/>
        <w:jc w:val="both"/>
        <w:rPr>
          <w:rFonts w:asciiTheme="minorHAnsi" w:eastAsiaTheme="minorHAnsi" w:hAnsiTheme="minorHAnsi" w:cstheme="minorHAnsi"/>
          <w:sz w:val="22"/>
          <w:szCs w:val="22"/>
          <w:lang w:eastAsia="en-US"/>
        </w:rPr>
      </w:pPr>
    </w:p>
    <w:p w:rsidR="00F03058" w:rsidRPr="00F03058" w:rsidRDefault="00F03058" w:rsidP="00DC0CC2">
      <w:pPr>
        <w:spacing w:after="200" w:line="276" w:lineRule="auto"/>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Recurring costs</w:t>
      </w:r>
    </w:p>
    <w:p w:rsidR="00F03058" w:rsidRPr="00F03058" w:rsidRDefault="00F03058" w:rsidP="00DC0CC2">
      <w:pPr>
        <w:spacing w:after="200" w:line="276" w:lineRule="auto"/>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N/A</w:t>
      </w:r>
    </w:p>
    <w:p w:rsidR="00F03058" w:rsidRPr="00F03058" w:rsidRDefault="00F03058" w:rsidP="00DC0CC2">
      <w:pPr>
        <w:spacing w:line="276" w:lineRule="auto"/>
        <w:ind w:left="720"/>
        <w:contextualSpacing/>
        <w:jc w:val="both"/>
        <w:rPr>
          <w:rFonts w:asciiTheme="minorHAnsi" w:eastAsiaTheme="minorHAnsi" w:hAnsiTheme="minorHAnsi" w:cstheme="minorHAnsi"/>
          <w:sz w:val="22"/>
          <w:szCs w:val="22"/>
          <w:lang w:eastAsia="en-US"/>
        </w:rPr>
      </w:pPr>
    </w:p>
    <w:p w:rsidR="00F03058" w:rsidRPr="00F03058" w:rsidRDefault="00F03058" w:rsidP="00DC0CC2">
      <w:pPr>
        <w:spacing w:after="200" w:line="276" w:lineRule="auto"/>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b/>
          <w:sz w:val="22"/>
          <w:szCs w:val="22"/>
          <w:lang w:eastAsia="en-US"/>
        </w:rPr>
        <w:t>Implicit costs</w:t>
      </w:r>
    </w:p>
    <w:p w:rsidR="00F03058" w:rsidRPr="00F03058" w:rsidRDefault="00F03058" w:rsidP="00DC0CC2">
      <w:pPr>
        <w:spacing w:after="200" w:line="276" w:lineRule="auto"/>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sz w:val="22"/>
          <w:szCs w:val="22"/>
          <w:lang w:eastAsia="en-US"/>
        </w:rPr>
        <w:t xml:space="preserve">Implicit costs embedded in the PRIIP are not applicable to listed derivatives. Firstly, the issue price is relevant; it must be noted that </w:t>
      </w:r>
      <w:r w:rsidRPr="00F03058">
        <w:rPr>
          <w:rFonts w:asciiTheme="minorHAnsi" w:eastAsiaTheme="minorHAnsi" w:hAnsiTheme="minorHAnsi" w:cstheme="minorHAnsi"/>
          <w:b/>
          <w:sz w:val="22"/>
          <w:szCs w:val="22"/>
          <w:lang w:eastAsia="en-US"/>
        </w:rPr>
        <w:t>a listed option or future does not have an issue price as the contract is not issued.</w:t>
      </w:r>
      <w:r w:rsidRPr="00F03058">
        <w:rPr>
          <w:rFonts w:asciiTheme="minorHAnsi" w:eastAsiaTheme="minorHAnsi" w:hAnsiTheme="minorHAnsi" w:cstheme="minorHAnsi"/>
          <w:sz w:val="22"/>
          <w:szCs w:val="22"/>
          <w:lang w:eastAsia="en-US"/>
        </w:rPr>
        <w:t xml:space="preserve"> Contract terms are designed and contracts are only created when they are traded by the two counterparties. The first trades in the book mark the market price of that moment. The regulated ma</w:t>
      </w:r>
      <w:r w:rsidRPr="00F03058">
        <w:rPr>
          <w:rFonts w:asciiTheme="minorHAnsi" w:eastAsiaTheme="minorHAnsi" w:hAnsiTheme="minorHAnsi" w:cstheme="minorHAnsi"/>
          <w:sz w:val="22"/>
          <w:szCs w:val="22"/>
          <w:lang w:eastAsia="en-US"/>
        </w:rPr>
        <w:t>r</w:t>
      </w:r>
      <w:r w:rsidRPr="00F03058">
        <w:rPr>
          <w:rFonts w:asciiTheme="minorHAnsi" w:eastAsiaTheme="minorHAnsi" w:hAnsiTheme="minorHAnsi" w:cstheme="minorHAnsi"/>
          <w:sz w:val="22"/>
          <w:szCs w:val="22"/>
          <w:lang w:eastAsia="en-US"/>
        </w:rPr>
        <w:t xml:space="preserve">kets have no influence over or involvement with the first price in the order book. </w:t>
      </w:r>
      <w:r w:rsidRPr="00F03058">
        <w:rPr>
          <w:rFonts w:asciiTheme="minorHAnsi" w:eastAsiaTheme="minorHAnsi" w:hAnsiTheme="minorHAnsi" w:cstheme="minorHAnsi"/>
          <w:b/>
          <w:sz w:val="22"/>
          <w:szCs w:val="22"/>
          <w:lang w:eastAsia="en-US"/>
        </w:rPr>
        <w:t>Secondly, the price available to purchase or sell a listed option or future is established in the public market;</w:t>
      </w:r>
      <w:r w:rsidRPr="00F03058">
        <w:rPr>
          <w:rFonts w:asciiTheme="minorHAnsi" w:eastAsiaTheme="minorHAnsi" w:hAnsiTheme="minorHAnsi" w:cstheme="minorHAnsi"/>
          <w:sz w:val="22"/>
          <w:szCs w:val="22"/>
          <w:lang w:eastAsia="en-US"/>
        </w:rPr>
        <w:t xml:space="preserve"> if the available price in the public market would deviate from the fair value it will immediately be corrected via the arbitrage mechanism which is not something that can be predicted or pre-estimated. </w:t>
      </w:r>
    </w:p>
    <w:p w:rsidR="00F03058" w:rsidRPr="00F03058" w:rsidRDefault="00F03058" w:rsidP="00DC0CC2">
      <w:pPr>
        <w:spacing w:after="200" w:line="276" w:lineRule="auto"/>
        <w:ind w:left="720"/>
        <w:jc w:val="both"/>
        <w:rPr>
          <w:rFonts w:asciiTheme="minorHAnsi" w:eastAsiaTheme="minorHAnsi" w:hAnsiTheme="minorHAnsi" w:cstheme="minorHAnsi"/>
          <w:b/>
          <w:sz w:val="22"/>
          <w:szCs w:val="22"/>
          <w:lang w:eastAsia="en-US"/>
        </w:rPr>
      </w:pPr>
    </w:p>
    <w:tbl>
      <w:tblPr>
        <w:tblStyle w:val="TableGrid3"/>
        <w:tblW w:w="0" w:type="auto"/>
        <w:shd w:val="clear" w:color="auto" w:fill="D9D9D9" w:themeFill="background1" w:themeFillShade="D9"/>
        <w:tblLook w:val="04A0" w:firstRow="1" w:lastRow="0" w:firstColumn="1" w:lastColumn="0" w:noHBand="0" w:noVBand="1"/>
      </w:tblPr>
      <w:tblGrid>
        <w:gridCol w:w="9166"/>
      </w:tblGrid>
      <w:tr w:rsidR="00F03058" w:rsidRPr="00F03058" w:rsidTr="00DC5AD2">
        <w:tc>
          <w:tcPr>
            <w:tcW w:w="9166" w:type="dxa"/>
            <w:shd w:val="clear" w:color="auto" w:fill="D9D9D9" w:themeFill="background1" w:themeFillShade="D9"/>
          </w:tcPr>
          <w:p w:rsidR="00F03058" w:rsidRPr="00F03058" w:rsidRDefault="00F03058" w:rsidP="00DC0CC2">
            <w:pPr>
              <w:jc w:val="both"/>
              <w:rPr>
                <w:rFonts w:asciiTheme="minorHAnsi" w:hAnsiTheme="minorHAnsi" w:cstheme="minorHAnsi"/>
                <w:b/>
                <w:sz w:val="22"/>
                <w:szCs w:val="22"/>
                <w:lang w:eastAsia="en-US"/>
              </w:rPr>
            </w:pPr>
          </w:p>
          <w:p w:rsidR="00F03058" w:rsidRPr="00F03058" w:rsidRDefault="00F03058" w:rsidP="00DC0CC2">
            <w:pPr>
              <w:jc w:val="both"/>
              <w:rPr>
                <w:rFonts w:asciiTheme="minorHAnsi" w:hAnsiTheme="minorHAnsi" w:cstheme="minorHAnsi"/>
                <w:sz w:val="22"/>
                <w:szCs w:val="22"/>
                <w:lang w:eastAsia="en-US"/>
              </w:rPr>
            </w:pPr>
            <w:r w:rsidRPr="00F03058">
              <w:rPr>
                <w:rFonts w:asciiTheme="minorHAnsi" w:hAnsiTheme="minorHAnsi" w:cstheme="minorHAnsi"/>
                <w:b/>
                <w:sz w:val="22"/>
                <w:szCs w:val="22"/>
                <w:lang w:eastAsia="en-US"/>
              </w:rPr>
              <w:t xml:space="preserve">Proposal: </w:t>
            </w:r>
            <w:r w:rsidRPr="00F03058">
              <w:rPr>
                <w:rFonts w:asciiTheme="minorHAnsi" w:hAnsiTheme="minorHAnsi" w:cstheme="minorHAnsi"/>
                <w:sz w:val="22"/>
                <w:szCs w:val="22"/>
                <w:lang w:eastAsia="en-US"/>
              </w:rPr>
              <w:t>we suggest</w:t>
            </w:r>
            <w:r w:rsidRPr="00F03058">
              <w:rPr>
                <w:rFonts w:asciiTheme="minorHAnsi" w:hAnsiTheme="minorHAnsi" w:cstheme="minorHAnsi"/>
                <w:b/>
                <w:sz w:val="22"/>
                <w:szCs w:val="22"/>
                <w:lang w:eastAsia="en-US"/>
              </w:rPr>
              <w:t xml:space="preserve"> </w:t>
            </w:r>
            <w:r w:rsidRPr="00F03058">
              <w:rPr>
                <w:rFonts w:asciiTheme="minorHAnsi" w:hAnsiTheme="minorHAnsi" w:cstheme="minorHAnsi"/>
                <w:sz w:val="22"/>
                <w:szCs w:val="22"/>
                <w:lang w:eastAsia="en-US"/>
              </w:rPr>
              <w:t>allowing the regulated markets an exemption from providing a cost overview as they are unable to provide it.</w:t>
            </w:r>
          </w:p>
          <w:p w:rsidR="00F03058" w:rsidRPr="00F03058" w:rsidRDefault="00F03058" w:rsidP="00DC0CC2">
            <w:pPr>
              <w:jc w:val="both"/>
              <w:rPr>
                <w:rFonts w:asciiTheme="minorHAnsi" w:hAnsiTheme="minorHAnsi" w:cstheme="minorHAnsi"/>
                <w:sz w:val="22"/>
                <w:szCs w:val="22"/>
                <w:lang w:eastAsia="en-US"/>
              </w:rPr>
            </w:pPr>
          </w:p>
        </w:tc>
      </w:tr>
    </w:tbl>
    <w:p w:rsidR="00F03058" w:rsidRPr="00F03058" w:rsidRDefault="00F03058" w:rsidP="00DC0CC2">
      <w:pPr>
        <w:spacing w:after="200" w:line="276" w:lineRule="auto"/>
        <w:jc w:val="both"/>
        <w:rPr>
          <w:rFonts w:asciiTheme="minorHAnsi" w:eastAsiaTheme="minorHAnsi" w:hAnsiTheme="minorHAnsi" w:cstheme="minorHAnsi"/>
          <w:sz w:val="22"/>
          <w:szCs w:val="22"/>
          <w:lang w:eastAsia="en-US"/>
        </w:rPr>
      </w:pPr>
    </w:p>
    <w:p w:rsidR="00F03058" w:rsidRPr="00F03058" w:rsidRDefault="00F03058" w:rsidP="00DC0CC2">
      <w:pPr>
        <w:spacing w:after="200" w:line="276" w:lineRule="auto"/>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b/>
          <w:sz w:val="22"/>
          <w:szCs w:val="22"/>
          <w:lang w:eastAsia="en-US"/>
        </w:rPr>
        <w:t>5. Investment advice</w:t>
      </w:r>
    </w:p>
    <w:p w:rsidR="00F03058" w:rsidRPr="00F03058" w:rsidRDefault="00F03058" w:rsidP="00DC0CC2">
      <w:pPr>
        <w:spacing w:after="200" w:line="276" w:lineRule="auto"/>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sz w:val="22"/>
          <w:szCs w:val="22"/>
          <w:lang w:eastAsia="en-US"/>
        </w:rPr>
        <w:t>Regulated markets are not investment firms and as such cannot be required to provide any investment advice (no matter how general). In addition, there are some practical objections. When a KID is required for each individual option series, the documents could be regarded as investment advice because inve</w:t>
      </w:r>
      <w:r w:rsidRPr="00F03058">
        <w:rPr>
          <w:rFonts w:asciiTheme="minorHAnsi" w:eastAsiaTheme="minorHAnsi" w:hAnsiTheme="minorHAnsi" w:cstheme="minorHAnsi"/>
          <w:sz w:val="22"/>
          <w:szCs w:val="22"/>
          <w:lang w:eastAsia="en-US"/>
        </w:rPr>
        <w:t>s</w:t>
      </w:r>
      <w:r w:rsidRPr="00F03058">
        <w:rPr>
          <w:rFonts w:asciiTheme="minorHAnsi" w:eastAsiaTheme="minorHAnsi" w:hAnsiTheme="minorHAnsi" w:cstheme="minorHAnsi"/>
          <w:sz w:val="22"/>
          <w:szCs w:val="22"/>
          <w:lang w:eastAsia="en-US"/>
        </w:rPr>
        <w:t>tors could select a certain option series based on the performance scenarios of all option series. Me</w:t>
      </w:r>
      <w:r w:rsidRPr="00F03058">
        <w:rPr>
          <w:rFonts w:asciiTheme="minorHAnsi" w:eastAsiaTheme="minorHAnsi" w:hAnsiTheme="minorHAnsi" w:cstheme="minorHAnsi"/>
          <w:sz w:val="22"/>
          <w:szCs w:val="22"/>
          <w:lang w:eastAsia="en-US"/>
        </w:rPr>
        <w:t>n</w:t>
      </w:r>
      <w:r w:rsidRPr="00F03058">
        <w:rPr>
          <w:rFonts w:asciiTheme="minorHAnsi" w:eastAsiaTheme="minorHAnsi" w:hAnsiTheme="minorHAnsi" w:cstheme="minorHAnsi"/>
          <w:sz w:val="22"/>
          <w:szCs w:val="22"/>
          <w:lang w:eastAsia="en-US"/>
        </w:rPr>
        <w:t xml:space="preserve">tioning a recommended holding period can also be considered to be investment advice. A regulated market is not supposed to recommend an investment or a holding period. </w:t>
      </w:r>
    </w:p>
    <w:p w:rsidR="00F03058" w:rsidRPr="00F03058" w:rsidRDefault="00F03058" w:rsidP="00DC0CC2">
      <w:pPr>
        <w:spacing w:after="200" w:line="276" w:lineRule="auto"/>
        <w:jc w:val="both"/>
        <w:rPr>
          <w:rFonts w:asciiTheme="minorHAnsi" w:eastAsiaTheme="minorHAnsi" w:hAnsiTheme="minorHAnsi" w:cstheme="minorHAnsi"/>
          <w:b/>
          <w:sz w:val="22"/>
          <w:szCs w:val="22"/>
          <w:lang w:eastAsia="en-US"/>
        </w:rPr>
      </w:pPr>
    </w:p>
    <w:tbl>
      <w:tblPr>
        <w:tblStyle w:val="TableGrid3"/>
        <w:tblW w:w="0" w:type="auto"/>
        <w:shd w:val="clear" w:color="auto" w:fill="D9D9D9" w:themeFill="background1" w:themeFillShade="D9"/>
        <w:tblLook w:val="04A0" w:firstRow="1" w:lastRow="0" w:firstColumn="1" w:lastColumn="0" w:noHBand="0" w:noVBand="1"/>
      </w:tblPr>
      <w:tblGrid>
        <w:gridCol w:w="9166"/>
      </w:tblGrid>
      <w:tr w:rsidR="00F03058" w:rsidRPr="00F03058" w:rsidTr="00DC5AD2">
        <w:tc>
          <w:tcPr>
            <w:tcW w:w="9166" w:type="dxa"/>
            <w:shd w:val="clear" w:color="auto" w:fill="D9D9D9" w:themeFill="background1" w:themeFillShade="D9"/>
          </w:tcPr>
          <w:p w:rsidR="00F03058" w:rsidRPr="00F03058" w:rsidRDefault="00F03058" w:rsidP="00DC0CC2">
            <w:pPr>
              <w:jc w:val="both"/>
              <w:rPr>
                <w:rFonts w:asciiTheme="minorHAnsi" w:hAnsiTheme="minorHAnsi" w:cstheme="minorHAnsi"/>
                <w:b/>
                <w:sz w:val="22"/>
                <w:szCs w:val="22"/>
                <w:lang w:eastAsia="en-US"/>
              </w:rPr>
            </w:pPr>
          </w:p>
          <w:p w:rsidR="00F03058" w:rsidRPr="00F03058" w:rsidRDefault="00F03058" w:rsidP="00DC0CC2">
            <w:pPr>
              <w:jc w:val="both"/>
              <w:rPr>
                <w:rFonts w:asciiTheme="minorHAnsi" w:hAnsiTheme="minorHAnsi" w:cstheme="minorHAnsi"/>
                <w:sz w:val="22"/>
                <w:szCs w:val="22"/>
                <w:lang w:eastAsia="en-US"/>
              </w:rPr>
            </w:pPr>
            <w:r w:rsidRPr="00F03058">
              <w:rPr>
                <w:rFonts w:asciiTheme="minorHAnsi" w:hAnsiTheme="minorHAnsi" w:cstheme="minorHAnsi"/>
                <w:b/>
                <w:sz w:val="22"/>
                <w:szCs w:val="22"/>
                <w:lang w:eastAsia="en-US"/>
              </w:rPr>
              <w:t xml:space="preserve">Proposal: </w:t>
            </w:r>
            <w:r w:rsidRPr="00F03058">
              <w:rPr>
                <w:rFonts w:asciiTheme="minorHAnsi" w:hAnsiTheme="minorHAnsi" w:cstheme="minorHAnsi"/>
                <w:sz w:val="22"/>
                <w:szCs w:val="22"/>
                <w:lang w:eastAsia="en-US"/>
              </w:rPr>
              <w:t>we suggest</w:t>
            </w:r>
            <w:r w:rsidRPr="00F03058">
              <w:rPr>
                <w:rFonts w:asciiTheme="minorHAnsi" w:hAnsiTheme="minorHAnsi" w:cstheme="minorHAnsi"/>
                <w:b/>
                <w:sz w:val="22"/>
                <w:szCs w:val="22"/>
                <w:lang w:eastAsia="en-US"/>
              </w:rPr>
              <w:t xml:space="preserve"> </w:t>
            </w:r>
            <w:r w:rsidRPr="00F03058">
              <w:rPr>
                <w:rFonts w:asciiTheme="minorHAnsi" w:hAnsiTheme="minorHAnsi" w:cstheme="minorHAnsi"/>
                <w:sz w:val="22"/>
                <w:szCs w:val="22"/>
                <w:lang w:eastAsia="en-US"/>
              </w:rPr>
              <w:t>allowing the regulated markets an exemption from providing this information as they are unable to provide it and not licensed to.</w:t>
            </w:r>
          </w:p>
          <w:p w:rsidR="00F03058" w:rsidRPr="00F03058" w:rsidRDefault="00F03058" w:rsidP="00DC0CC2">
            <w:pPr>
              <w:jc w:val="both"/>
              <w:rPr>
                <w:rFonts w:asciiTheme="minorHAnsi" w:hAnsiTheme="minorHAnsi" w:cstheme="minorHAnsi"/>
                <w:sz w:val="22"/>
                <w:szCs w:val="22"/>
                <w:lang w:eastAsia="en-US"/>
              </w:rPr>
            </w:pPr>
          </w:p>
        </w:tc>
      </w:tr>
    </w:tbl>
    <w:p w:rsidR="00F03058" w:rsidRPr="00F03058" w:rsidRDefault="00F03058" w:rsidP="00DC0CC2">
      <w:pPr>
        <w:spacing w:after="200" w:line="276" w:lineRule="auto"/>
        <w:jc w:val="both"/>
        <w:rPr>
          <w:rFonts w:asciiTheme="minorHAnsi" w:eastAsiaTheme="minorHAnsi" w:hAnsiTheme="minorHAnsi" w:cstheme="minorHAnsi"/>
          <w:b/>
          <w:sz w:val="22"/>
          <w:szCs w:val="22"/>
          <w:lang w:eastAsia="en-US"/>
        </w:rPr>
      </w:pPr>
    </w:p>
    <w:p w:rsidR="00F03058" w:rsidRPr="00F03058" w:rsidRDefault="00F03058" w:rsidP="00DC0CC2">
      <w:pPr>
        <w:spacing w:after="200" w:line="276" w:lineRule="auto"/>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6. Complaints</w:t>
      </w:r>
    </w:p>
    <w:p w:rsidR="00F03058" w:rsidRPr="00F03058" w:rsidRDefault="00F03058" w:rsidP="00DC0CC2">
      <w:pPr>
        <w:spacing w:after="200" w:line="276" w:lineRule="auto"/>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In essence, a retail investor has a contractual relationship with its broker and is the first point of contact. We feel it would be justified to include a language to that extent in the KID. Should there be any co</w:t>
      </w:r>
      <w:r w:rsidRPr="00F03058">
        <w:rPr>
          <w:rFonts w:asciiTheme="minorHAnsi" w:eastAsiaTheme="minorHAnsi" w:hAnsiTheme="minorHAnsi" w:cstheme="minorHAnsi"/>
          <w:sz w:val="22"/>
          <w:szCs w:val="22"/>
          <w:lang w:eastAsia="en-US"/>
        </w:rPr>
        <w:t>m</w:t>
      </w:r>
      <w:r w:rsidRPr="00F03058">
        <w:rPr>
          <w:rFonts w:asciiTheme="minorHAnsi" w:eastAsiaTheme="minorHAnsi" w:hAnsiTheme="minorHAnsi" w:cstheme="minorHAnsi"/>
          <w:sz w:val="22"/>
          <w:szCs w:val="22"/>
          <w:lang w:eastAsia="en-US"/>
        </w:rPr>
        <w:t>plaints about contract terms, brokers (i.e. members of the regulated market) can direct their complaints to the regulated market. This is part of the regulatory framework of regulated market memberships. Regulated market rulebooks establish that members act always in their own name even on behalf of third parties and in many jurisdictions this principle is also vindicated by the statutory environment or case law.</w:t>
      </w:r>
    </w:p>
    <w:p w:rsidR="00F03058" w:rsidRPr="00F03058" w:rsidRDefault="00F03058" w:rsidP="00DC0CC2">
      <w:pPr>
        <w:spacing w:after="200" w:line="276" w:lineRule="auto"/>
        <w:jc w:val="both"/>
        <w:rPr>
          <w:rFonts w:asciiTheme="minorHAnsi" w:eastAsiaTheme="minorHAnsi" w:hAnsiTheme="minorHAnsi" w:cstheme="minorHAnsi"/>
          <w:b/>
          <w:sz w:val="22"/>
          <w:szCs w:val="22"/>
          <w:lang w:eastAsia="en-US"/>
        </w:rPr>
      </w:pPr>
    </w:p>
    <w:tbl>
      <w:tblPr>
        <w:tblStyle w:val="TableGrid3"/>
        <w:tblW w:w="0" w:type="auto"/>
        <w:shd w:val="clear" w:color="auto" w:fill="D9D9D9" w:themeFill="background1" w:themeFillShade="D9"/>
        <w:tblLook w:val="04A0" w:firstRow="1" w:lastRow="0" w:firstColumn="1" w:lastColumn="0" w:noHBand="0" w:noVBand="1"/>
      </w:tblPr>
      <w:tblGrid>
        <w:gridCol w:w="9166"/>
      </w:tblGrid>
      <w:tr w:rsidR="00F03058" w:rsidRPr="00F03058" w:rsidTr="00DC5AD2">
        <w:tc>
          <w:tcPr>
            <w:tcW w:w="9166" w:type="dxa"/>
            <w:shd w:val="clear" w:color="auto" w:fill="D9D9D9" w:themeFill="background1" w:themeFillShade="D9"/>
          </w:tcPr>
          <w:p w:rsidR="00F03058" w:rsidRPr="00F03058" w:rsidRDefault="00F03058" w:rsidP="00DC0CC2">
            <w:pPr>
              <w:jc w:val="both"/>
              <w:rPr>
                <w:rFonts w:asciiTheme="minorHAnsi" w:hAnsiTheme="minorHAnsi" w:cstheme="minorHAnsi"/>
                <w:b/>
                <w:sz w:val="22"/>
                <w:szCs w:val="22"/>
                <w:lang w:eastAsia="en-US"/>
              </w:rPr>
            </w:pPr>
          </w:p>
          <w:p w:rsidR="00F03058" w:rsidRPr="00F03058" w:rsidRDefault="00F03058" w:rsidP="00DC0CC2">
            <w:pPr>
              <w:jc w:val="both"/>
              <w:rPr>
                <w:rFonts w:asciiTheme="minorHAnsi" w:hAnsiTheme="minorHAnsi" w:cstheme="minorHAnsi"/>
                <w:sz w:val="22"/>
                <w:szCs w:val="22"/>
                <w:lang w:eastAsia="en-US"/>
              </w:rPr>
            </w:pPr>
            <w:r w:rsidRPr="00F03058">
              <w:rPr>
                <w:rFonts w:asciiTheme="minorHAnsi" w:hAnsiTheme="minorHAnsi" w:cstheme="minorHAnsi"/>
                <w:b/>
                <w:sz w:val="22"/>
                <w:szCs w:val="22"/>
                <w:lang w:eastAsia="en-US"/>
              </w:rPr>
              <w:t xml:space="preserve">Proposal: </w:t>
            </w:r>
            <w:r w:rsidRPr="00F03058">
              <w:rPr>
                <w:rFonts w:asciiTheme="minorHAnsi" w:hAnsiTheme="minorHAnsi" w:cstheme="minorHAnsi"/>
                <w:sz w:val="22"/>
                <w:szCs w:val="22"/>
                <w:lang w:eastAsia="en-US"/>
              </w:rPr>
              <w:t>we suggest</w:t>
            </w:r>
            <w:r w:rsidRPr="00F03058">
              <w:rPr>
                <w:rFonts w:asciiTheme="minorHAnsi" w:hAnsiTheme="minorHAnsi" w:cstheme="minorHAnsi"/>
                <w:b/>
                <w:sz w:val="22"/>
                <w:szCs w:val="22"/>
                <w:lang w:eastAsia="en-US"/>
              </w:rPr>
              <w:t xml:space="preserve"> </w:t>
            </w:r>
            <w:r w:rsidRPr="00F03058">
              <w:rPr>
                <w:rFonts w:asciiTheme="minorHAnsi" w:hAnsiTheme="minorHAnsi" w:cstheme="minorHAnsi"/>
                <w:sz w:val="22"/>
                <w:szCs w:val="22"/>
                <w:lang w:eastAsia="en-US"/>
              </w:rPr>
              <w:t>it should be confirmed by regulators that a retail investor should in any case address its investment firm or adviser in case of complaints as regulated markets have no contra</w:t>
            </w:r>
            <w:r w:rsidRPr="00F03058">
              <w:rPr>
                <w:rFonts w:asciiTheme="minorHAnsi" w:hAnsiTheme="minorHAnsi" w:cstheme="minorHAnsi"/>
                <w:sz w:val="22"/>
                <w:szCs w:val="22"/>
                <w:lang w:eastAsia="en-US"/>
              </w:rPr>
              <w:t>c</w:t>
            </w:r>
            <w:r w:rsidRPr="00F03058">
              <w:rPr>
                <w:rFonts w:asciiTheme="minorHAnsi" w:hAnsiTheme="minorHAnsi" w:cstheme="minorHAnsi"/>
                <w:sz w:val="22"/>
                <w:szCs w:val="22"/>
                <w:lang w:eastAsia="en-US"/>
              </w:rPr>
              <w:t>tual relationships with end investors.</w:t>
            </w:r>
          </w:p>
          <w:p w:rsidR="00F03058" w:rsidRPr="00F03058" w:rsidRDefault="00F03058" w:rsidP="00DC0CC2">
            <w:pPr>
              <w:jc w:val="both"/>
              <w:rPr>
                <w:rFonts w:asciiTheme="minorHAnsi" w:hAnsiTheme="minorHAnsi" w:cstheme="minorHAnsi"/>
                <w:sz w:val="22"/>
                <w:szCs w:val="22"/>
                <w:lang w:eastAsia="en-US"/>
              </w:rPr>
            </w:pPr>
          </w:p>
        </w:tc>
      </w:tr>
    </w:tbl>
    <w:p w:rsidR="00F03058" w:rsidRPr="00F03058" w:rsidRDefault="00F03058" w:rsidP="00DC0CC2">
      <w:pPr>
        <w:spacing w:after="200" w:line="276" w:lineRule="auto"/>
        <w:jc w:val="both"/>
        <w:rPr>
          <w:rFonts w:asciiTheme="minorHAnsi" w:eastAsiaTheme="minorHAnsi" w:hAnsiTheme="minorHAnsi" w:cstheme="minorHAnsi"/>
          <w:b/>
          <w:sz w:val="22"/>
          <w:szCs w:val="22"/>
          <w:lang w:eastAsia="en-US"/>
        </w:rPr>
      </w:pPr>
    </w:p>
    <w:p w:rsidR="00F03058" w:rsidRPr="00F03058" w:rsidRDefault="00F03058" w:rsidP="00DC0CC2">
      <w:pPr>
        <w:spacing w:after="200" w:line="276" w:lineRule="auto"/>
        <w:jc w:val="both"/>
        <w:rPr>
          <w:rFonts w:asciiTheme="minorHAnsi" w:eastAsiaTheme="minorHAnsi" w:hAnsiTheme="minorHAnsi" w:cstheme="minorHAnsi"/>
          <w:b/>
          <w:sz w:val="22"/>
          <w:szCs w:val="22"/>
          <w:lang w:eastAsia="en-US"/>
        </w:rPr>
      </w:pPr>
      <w:r w:rsidRPr="00F03058">
        <w:rPr>
          <w:rFonts w:asciiTheme="minorHAnsi" w:eastAsiaTheme="minorHAnsi" w:hAnsiTheme="minorHAnsi" w:cstheme="minorHAnsi"/>
          <w:b/>
          <w:sz w:val="22"/>
          <w:szCs w:val="22"/>
          <w:lang w:eastAsia="en-US"/>
        </w:rPr>
        <w:t>7. Alternative proposal</w:t>
      </w:r>
    </w:p>
    <w:p w:rsidR="00F03058" w:rsidRPr="00F03058" w:rsidRDefault="00F03058" w:rsidP="0028436C">
      <w:pPr>
        <w:spacing w:after="200" w:line="276" w:lineRule="auto"/>
        <w:jc w:val="both"/>
        <w:rPr>
          <w:rFonts w:asciiTheme="minorHAnsi" w:eastAsiaTheme="minorHAnsi" w:hAnsiTheme="minorHAnsi" w:cstheme="minorHAnsi"/>
          <w:sz w:val="22"/>
          <w:szCs w:val="22"/>
          <w:lang w:eastAsia="en-US"/>
        </w:rPr>
      </w:pPr>
      <w:r w:rsidRPr="00F03058">
        <w:rPr>
          <w:rFonts w:asciiTheme="minorHAnsi" w:eastAsiaTheme="minorHAnsi" w:hAnsiTheme="minorHAnsi" w:cstheme="minorHAnsi"/>
          <w:sz w:val="22"/>
          <w:szCs w:val="22"/>
          <w:lang w:eastAsia="en-US"/>
        </w:rPr>
        <w:t xml:space="preserve">Regulated markets do provide general information about the listed options and futures which should be fitting to the need of investors. </w:t>
      </w:r>
      <w:r w:rsidR="0028436C">
        <w:rPr>
          <w:rFonts w:asciiTheme="minorHAnsi" w:eastAsiaTheme="minorHAnsi" w:hAnsiTheme="minorHAnsi" w:cstheme="minorHAnsi"/>
          <w:sz w:val="22"/>
          <w:szCs w:val="22"/>
          <w:lang w:eastAsia="en-US"/>
        </w:rPr>
        <w:t>We feel a standard document that presents the general elements of options and futures</w:t>
      </w:r>
      <w:r w:rsidRPr="00F03058">
        <w:rPr>
          <w:rFonts w:asciiTheme="minorHAnsi" w:eastAsiaTheme="minorHAnsi" w:hAnsiTheme="minorHAnsi" w:cstheme="minorHAnsi"/>
          <w:sz w:val="22"/>
          <w:szCs w:val="22"/>
          <w:lang w:eastAsia="en-US"/>
        </w:rPr>
        <w:t xml:space="preserve"> could be – in combination with the specific contract specs of the product– an alte</w:t>
      </w:r>
      <w:r w:rsidRPr="00F03058">
        <w:rPr>
          <w:rFonts w:asciiTheme="minorHAnsi" w:eastAsiaTheme="minorHAnsi" w:hAnsiTheme="minorHAnsi" w:cstheme="minorHAnsi"/>
          <w:sz w:val="22"/>
          <w:szCs w:val="22"/>
          <w:lang w:eastAsia="en-US"/>
        </w:rPr>
        <w:t>r</w:t>
      </w:r>
      <w:r w:rsidR="004740A9">
        <w:rPr>
          <w:rFonts w:asciiTheme="minorHAnsi" w:eastAsiaTheme="minorHAnsi" w:hAnsiTheme="minorHAnsi" w:cstheme="minorHAnsi"/>
          <w:sz w:val="22"/>
          <w:szCs w:val="22"/>
          <w:lang w:eastAsia="en-US"/>
        </w:rPr>
        <w:t>native KID.</w:t>
      </w:r>
      <w:bookmarkStart w:id="3" w:name="_GoBack"/>
      <w:bookmarkEnd w:id="3"/>
    </w:p>
    <w:permEnd w:id="2043045360"/>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50796" w:rsidRDefault="00750796" w:rsidP="00750796">
      <w:permStart w:id="1700950205" w:edGrp="everyone"/>
      <w:r>
        <w:t>TYPE YOUR TEXT HERE</w:t>
      </w:r>
    </w:p>
    <w:permEnd w:id="1700950205"/>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750796" w:rsidRDefault="00750796" w:rsidP="00750796">
      <w:permStart w:id="20455649" w:edGrp="everyone"/>
      <w:r>
        <w:t>TYPE YOUR TEXT HERE</w:t>
      </w:r>
    </w:p>
    <w:permEnd w:id="20455649"/>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Pr="00540B3F" w:rsidRDefault="00B61CEF" w:rsidP="00540B3F">
      <w:pPr>
        <w:spacing w:after="200" w:line="276" w:lineRule="auto"/>
        <w:jc w:val="both"/>
        <w:rPr>
          <w:rFonts w:asciiTheme="minorHAnsi" w:eastAsiaTheme="minorHAnsi" w:hAnsiTheme="minorHAnsi" w:cstheme="minorHAnsi"/>
          <w:sz w:val="22"/>
          <w:szCs w:val="22"/>
          <w:lang w:eastAsia="en-US"/>
        </w:rPr>
      </w:pPr>
      <w:permStart w:id="1655339091" w:edGrp="everyone"/>
      <w:r w:rsidRPr="00B61CEF">
        <w:rPr>
          <w:rFonts w:asciiTheme="minorHAnsi" w:eastAsiaTheme="minorHAnsi" w:hAnsiTheme="minorHAnsi" w:cstheme="minorHAnsi"/>
          <w:sz w:val="22"/>
          <w:szCs w:val="22"/>
          <w:lang w:eastAsia="en-US"/>
        </w:rPr>
        <w:t xml:space="preserve">The regulated market is not in the position to execute </w:t>
      </w:r>
      <w:proofErr w:type="spellStart"/>
      <w:r w:rsidRPr="00B61CEF">
        <w:rPr>
          <w:rFonts w:asciiTheme="minorHAnsi" w:eastAsiaTheme="minorHAnsi" w:hAnsiTheme="minorHAnsi" w:cstheme="minorHAnsi"/>
          <w:sz w:val="22"/>
          <w:szCs w:val="22"/>
          <w:lang w:eastAsia="en-US"/>
        </w:rPr>
        <w:t>VaR</w:t>
      </w:r>
      <w:proofErr w:type="spellEnd"/>
      <w:r w:rsidRPr="00B61CEF">
        <w:rPr>
          <w:rFonts w:asciiTheme="minorHAnsi" w:eastAsiaTheme="minorHAnsi" w:hAnsiTheme="minorHAnsi" w:cstheme="minorHAnsi"/>
          <w:sz w:val="22"/>
          <w:szCs w:val="22"/>
          <w:lang w:eastAsia="en-US"/>
        </w:rPr>
        <w:t xml:space="preserve"> calculations. All market risk and credit risk calculations are outsourced to CCPs.</w:t>
      </w:r>
    </w:p>
    <w:permEnd w:id="1655339091"/>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Pr="00C22D1D" w:rsidRDefault="00750796" w:rsidP="00750796">
      <w:pPr>
        <w:rPr>
          <w:lang w:val="fr-FR"/>
        </w:rPr>
      </w:pPr>
      <w:permStart w:id="584735380" w:edGrp="everyone"/>
    </w:p>
    <w:permEnd w:id="584735380"/>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B61CEF" w:rsidRPr="00B61CEF" w:rsidRDefault="00B61CEF" w:rsidP="00B61CEF">
      <w:pPr>
        <w:spacing w:after="200" w:line="276" w:lineRule="auto"/>
        <w:jc w:val="both"/>
        <w:rPr>
          <w:rFonts w:asciiTheme="minorHAnsi" w:eastAsiaTheme="minorHAnsi" w:hAnsiTheme="minorHAnsi" w:cstheme="minorHAnsi"/>
          <w:sz w:val="22"/>
          <w:szCs w:val="22"/>
          <w:lang w:eastAsia="en-US"/>
        </w:rPr>
      </w:pPr>
      <w:permStart w:id="229785170" w:edGrp="everyone"/>
      <w:r w:rsidRPr="00B61CEF">
        <w:rPr>
          <w:rFonts w:asciiTheme="minorHAnsi" w:eastAsiaTheme="minorHAnsi" w:hAnsiTheme="minorHAnsi" w:cstheme="minorHAnsi"/>
          <w:sz w:val="22"/>
          <w:szCs w:val="22"/>
          <w:lang w:eastAsia="en-US"/>
        </w:rPr>
        <w:t>We believe that listed options and derivatives are standard by nature and could benefit from a ‘one size fits all’ KID. Including different overviews of compensation or guarantee schemes would not benefit the intended clarity of the KID as this will differ per products, per EU member state and possibly per type of investor. It would add a layer of complexity which PRIIPS aims to avoid.</w:t>
      </w:r>
    </w:p>
    <w:permEnd w:id="229785170"/>
    <w:p w:rsidR="00750796" w:rsidRPr="00580880" w:rsidRDefault="00750796" w:rsidP="00750796">
      <w:pPr>
        <w:rPr>
          <w:lang w:val="fr-FR"/>
        </w:rPr>
      </w:pPr>
      <w:r w:rsidRPr="00580880">
        <w:rPr>
          <w:lang w:val="fr-FR"/>
        </w:rPr>
        <w:lastRenderedPageBreak/>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540B3F" w:rsidRPr="00540B3F" w:rsidRDefault="00540B3F" w:rsidP="00540B3F">
      <w:pPr>
        <w:spacing w:after="200" w:line="276" w:lineRule="auto"/>
        <w:jc w:val="both"/>
        <w:rPr>
          <w:rFonts w:asciiTheme="minorHAnsi" w:eastAsiaTheme="minorHAnsi" w:hAnsiTheme="minorHAnsi" w:cstheme="minorHAnsi"/>
          <w:sz w:val="22"/>
          <w:szCs w:val="22"/>
          <w:lang w:eastAsia="en-US"/>
        </w:rPr>
      </w:pPr>
      <w:permStart w:id="585706282" w:edGrp="everyone"/>
      <w:r w:rsidRPr="00540B3F">
        <w:rPr>
          <w:rFonts w:asciiTheme="minorHAnsi" w:eastAsiaTheme="minorHAnsi" w:hAnsiTheme="minorHAnsi" w:cstheme="minorHAnsi"/>
          <w:sz w:val="22"/>
          <w:szCs w:val="22"/>
          <w:lang w:eastAsia="en-US"/>
        </w:rPr>
        <w:t>We do not agree with the indicator that has been set for listed derivatives. We would certainly not call for a higher category and would not volunteer this. Ple</w:t>
      </w:r>
      <w:r w:rsidR="00642947">
        <w:rPr>
          <w:rFonts w:asciiTheme="minorHAnsi" w:eastAsiaTheme="minorHAnsi" w:hAnsiTheme="minorHAnsi" w:cstheme="minorHAnsi"/>
          <w:sz w:val="22"/>
          <w:szCs w:val="22"/>
          <w:lang w:eastAsia="en-US"/>
        </w:rPr>
        <w:t>ase refer to the general intro</w:t>
      </w:r>
      <w:r w:rsidR="00A80FE0">
        <w:rPr>
          <w:rFonts w:asciiTheme="minorHAnsi" w:eastAsiaTheme="minorHAnsi" w:hAnsiTheme="minorHAnsi" w:cstheme="minorHAnsi"/>
          <w:sz w:val="22"/>
          <w:szCs w:val="22"/>
          <w:lang w:eastAsia="en-US"/>
        </w:rPr>
        <w:t>d</w:t>
      </w:r>
      <w:r w:rsidR="00642947">
        <w:rPr>
          <w:rFonts w:asciiTheme="minorHAnsi" w:eastAsiaTheme="minorHAnsi" w:hAnsiTheme="minorHAnsi" w:cstheme="minorHAnsi"/>
          <w:sz w:val="22"/>
          <w:szCs w:val="22"/>
          <w:lang w:eastAsia="en-US"/>
        </w:rPr>
        <w:t>uction</w:t>
      </w:r>
      <w:r w:rsidRPr="00540B3F">
        <w:rPr>
          <w:rFonts w:asciiTheme="minorHAnsi" w:eastAsiaTheme="minorHAnsi" w:hAnsiTheme="minorHAnsi" w:cstheme="minorHAnsi"/>
          <w:sz w:val="22"/>
          <w:szCs w:val="22"/>
          <w:lang w:eastAsia="en-US"/>
        </w:rPr>
        <w:t xml:space="preserve"> under 3.1 (Question 1).</w:t>
      </w:r>
    </w:p>
    <w:p w:rsidR="003E4B00" w:rsidRDefault="003E4B00" w:rsidP="003E4B00"/>
    <w:permEnd w:id="585706282"/>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3E4B00" w:rsidP="003E4B00">
      <w:permStart w:id="1183189867" w:edGrp="everyone"/>
      <w:r>
        <w:t>TYPE YOUR TEXT HERE</w:t>
      </w:r>
    </w:p>
    <w:permEnd w:id="1183189867"/>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Default="003E4B00" w:rsidP="003E4B00">
      <w:permStart w:id="279003647" w:edGrp="everyone"/>
      <w:r>
        <w:t>TYPE YOUR TEXT HERE</w:t>
      </w:r>
    </w:p>
    <w:permEnd w:id="279003647"/>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Default="003E4B00" w:rsidP="003E4B00">
      <w:permStart w:id="1910580789" w:edGrp="everyone"/>
      <w:r>
        <w:t>TYPE YOUR TEXT HERE</w:t>
      </w:r>
    </w:p>
    <w:permEnd w:id="1910580789"/>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lastRenderedPageBreak/>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540B3F" w:rsidRPr="00540B3F" w:rsidRDefault="00540B3F" w:rsidP="00540B3F">
      <w:pPr>
        <w:spacing w:after="200" w:line="276" w:lineRule="auto"/>
        <w:jc w:val="both"/>
        <w:rPr>
          <w:rFonts w:asciiTheme="minorHAnsi" w:eastAsiaTheme="minorHAnsi" w:hAnsiTheme="minorHAnsi" w:cstheme="minorHAnsi"/>
          <w:sz w:val="22"/>
          <w:szCs w:val="22"/>
          <w:lang w:eastAsia="en-US"/>
        </w:rPr>
      </w:pPr>
      <w:permStart w:id="1233002576" w:edGrp="everyone"/>
      <w:r w:rsidRPr="00540B3F">
        <w:rPr>
          <w:rFonts w:asciiTheme="minorHAnsi" w:eastAsiaTheme="minorHAnsi" w:hAnsiTheme="minorHAnsi" w:cstheme="minorHAnsi"/>
          <w:sz w:val="22"/>
          <w:szCs w:val="22"/>
          <w:lang w:eastAsia="en-US"/>
        </w:rPr>
        <w:t xml:space="preserve">We agree with the possibility for mitigation, especially in the context of trading listed </w:t>
      </w:r>
      <w:r w:rsidR="00A80FE0">
        <w:rPr>
          <w:rFonts w:asciiTheme="minorHAnsi" w:eastAsiaTheme="minorHAnsi" w:hAnsiTheme="minorHAnsi" w:cstheme="minorHAnsi"/>
          <w:sz w:val="22"/>
          <w:szCs w:val="22"/>
          <w:lang w:eastAsia="en-US"/>
        </w:rPr>
        <w:t xml:space="preserve">derivatives that are </w:t>
      </w:r>
      <w:r w:rsidRPr="00540B3F">
        <w:rPr>
          <w:rFonts w:asciiTheme="minorHAnsi" w:eastAsiaTheme="minorHAnsi" w:hAnsiTheme="minorHAnsi" w:cstheme="minorHAnsi"/>
          <w:sz w:val="22"/>
          <w:szCs w:val="22"/>
          <w:lang w:eastAsia="en-US"/>
        </w:rPr>
        <w:t xml:space="preserve">cleared when traded on regulated markets. The CCP safeguards the counterparty risk and as described </w:t>
      </w:r>
      <w:r w:rsidR="00642947">
        <w:rPr>
          <w:rFonts w:asciiTheme="minorHAnsi" w:eastAsiaTheme="minorHAnsi" w:hAnsiTheme="minorHAnsi" w:cstheme="minorHAnsi"/>
          <w:sz w:val="22"/>
          <w:szCs w:val="22"/>
          <w:lang w:eastAsia="en-US"/>
        </w:rPr>
        <w:t xml:space="preserve">in the general introduction </w:t>
      </w:r>
      <w:r w:rsidRPr="00540B3F">
        <w:rPr>
          <w:rFonts w:asciiTheme="minorHAnsi" w:eastAsiaTheme="minorHAnsi" w:hAnsiTheme="minorHAnsi" w:cstheme="minorHAnsi"/>
          <w:sz w:val="22"/>
          <w:szCs w:val="22"/>
          <w:lang w:eastAsia="en-US"/>
        </w:rPr>
        <w:t>under paragraph 3.1 (Question 1), that should be a significant mitigating factor.</w:t>
      </w:r>
    </w:p>
    <w:permEnd w:id="1233002576"/>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2068917160" w:edGrp="everyone"/>
      <w:r>
        <w:t>TYPE YOUR TEXT HERE</w:t>
      </w:r>
    </w:p>
    <w:permEnd w:id="2068917160"/>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540B3F" w:rsidRPr="00540B3F" w:rsidRDefault="00540B3F" w:rsidP="00540B3F">
      <w:pPr>
        <w:spacing w:after="200" w:line="276" w:lineRule="auto"/>
        <w:jc w:val="both"/>
        <w:rPr>
          <w:rFonts w:asciiTheme="minorHAnsi" w:eastAsiaTheme="minorHAnsi" w:hAnsiTheme="minorHAnsi" w:cstheme="minorHAnsi"/>
          <w:sz w:val="22"/>
          <w:szCs w:val="22"/>
          <w:lang w:eastAsia="en-US"/>
        </w:rPr>
      </w:pPr>
      <w:permStart w:id="1205740270" w:edGrp="everyone"/>
      <w:r w:rsidRPr="00540B3F">
        <w:rPr>
          <w:rFonts w:asciiTheme="minorHAnsi" w:eastAsiaTheme="minorHAnsi" w:hAnsiTheme="minorHAnsi" w:cstheme="minorHAnsi"/>
          <w:sz w:val="22"/>
          <w:szCs w:val="22"/>
          <w:lang w:eastAsia="en-US"/>
        </w:rPr>
        <w:t xml:space="preserve">We believe the currency should not be taken into account when drafting a KID as the decision to invest in a different currency is often </w:t>
      </w:r>
      <w:r w:rsidRPr="00540B3F">
        <w:rPr>
          <w:rFonts w:asciiTheme="minorHAnsi" w:eastAsiaTheme="minorHAnsi" w:hAnsiTheme="minorHAnsi" w:cstheme="minorHAnsi"/>
          <w:b/>
          <w:sz w:val="22"/>
          <w:szCs w:val="22"/>
          <w:lang w:eastAsia="en-US"/>
        </w:rPr>
        <w:t>not product related by investment related</w:t>
      </w:r>
      <w:r w:rsidRPr="00540B3F">
        <w:rPr>
          <w:rFonts w:asciiTheme="minorHAnsi" w:eastAsiaTheme="minorHAnsi" w:hAnsiTheme="minorHAnsi" w:cstheme="minorHAnsi"/>
          <w:sz w:val="22"/>
          <w:szCs w:val="22"/>
          <w:lang w:eastAsia="en-US"/>
        </w:rPr>
        <w:t>. There is no specific link to the products when offered in a different currency. Investing in multiple currencies is a choice by the investor regardless and should be addressed in the advice relationship he or she has with his or her advisor.</w:t>
      </w:r>
    </w:p>
    <w:permEnd w:id="1205740270"/>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3E4B00" w:rsidP="003E4B00">
      <w:permStart w:id="438132866" w:edGrp="everyone"/>
      <w:r>
        <w:t>TYPE YOUR TEXT HERE</w:t>
      </w:r>
    </w:p>
    <w:permEnd w:id="438132866"/>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lastRenderedPageBreak/>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1304235387" w:edGrp="everyone"/>
      <w:r>
        <w:t>TYPE YOUR TEXT HERE</w:t>
      </w:r>
    </w:p>
    <w:permEnd w:id="1304235387"/>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540B3F" w:rsidRPr="00540B3F" w:rsidRDefault="00540B3F" w:rsidP="00540B3F">
      <w:pPr>
        <w:spacing w:after="200" w:line="276" w:lineRule="auto"/>
        <w:jc w:val="both"/>
        <w:rPr>
          <w:rFonts w:asciiTheme="minorHAnsi" w:eastAsiaTheme="minorHAnsi" w:hAnsiTheme="minorHAnsi" w:cstheme="minorHAnsi"/>
          <w:sz w:val="22"/>
          <w:szCs w:val="22"/>
          <w:lang w:eastAsia="en-US"/>
        </w:rPr>
      </w:pPr>
      <w:permStart w:id="759761237" w:edGrp="everyone"/>
      <w:r w:rsidRPr="00540B3F">
        <w:rPr>
          <w:rFonts w:asciiTheme="minorHAnsi" w:eastAsiaTheme="minorHAnsi" w:hAnsiTheme="minorHAnsi" w:cstheme="minorHAnsi"/>
          <w:sz w:val="22"/>
          <w:szCs w:val="22"/>
          <w:lang w:eastAsia="en-US"/>
        </w:rPr>
        <w:t xml:space="preserve">Please refer to our </w:t>
      </w:r>
      <w:r>
        <w:rPr>
          <w:rFonts w:asciiTheme="minorHAnsi" w:eastAsiaTheme="minorHAnsi" w:hAnsiTheme="minorHAnsi" w:cstheme="minorHAnsi"/>
          <w:sz w:val="22"/>
          <w:szCs w:val="22"/>
          <w:lang w:eastAsia="en-US"/>
        </w:rPr>
        <w:t>general introduction</w:t>
      </w:r>
      <w:r w:rsidRPr="00540B3F">
        <w:rPr>
          <w:rFonts w:asciiTheme="minorHAnsi" w:eastAsiaTheme="minorHAnsi" w:hAnsiTheme="minorHAnsi" w:cstheme="minorHAnsi"/>
          <w:sz w:val="22"/>
          <w:szCs w:val="22"/>
          <w:lang w:eastAsia="en-US"/>
        </w:rPr>
        <w:t xml:space="preserve"> under paragraph 3.2 (under Question 1) where we suggest an alternative scenario for listed derivatives.</w:t>
      </w:r>
    </w:p>
    <w:permEnd w:id="759761237"/>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1022261237" w:edGrp="everyone"/>
      <w:r>
        <w:t>TYPE YOUR TEXT HERE</w:t>
      </w:r>
    </w:p>
    <w:permEnd w:id="1022261237"/>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1941782598" w:edGrp="everyone"/>
      <w:r>
        <w:t>TYPE YOUR TEXT HERE</w:t>
      </w:r>
    </w:p>
    <w:permEnd w:id="1941782598"/>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lastRenderedPageBreak/>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540B3F" w:rsidRPr="00540B3F" w:rsidRDefault="00540B3F" w:rsidP="00540B3F">
      <w:pPr>
        <w:spacing w:after="200" w:line="276" w:lineRule="auto"/>
        <w:jc w:val="both"/>
        <w:rPr>
          <w:rFonts w:asciiTheme="minorHAnsi" w:eastAsiaTheme="minorHAnsi" w:hAnsiTheme="minorHAnsi" w:cstheme="minorHAnsi"/>
          <w:sz w:val="22"/>
          <w:szCs w:val="22"/>
          <w:lang w:eastAsia="en-US"/>
        </w:rPr>
      </w:pPr>
      <w:permStart w:id="1159420655" w:edGrp="everyone"/>
      <w:r w:rsidRPr="00540B3F">
        <w:rPr>
          <w:rFonts w:asciiTheme="minorHAnsi" w:eastAsiaTheme="minorHAnsi" w:hAnsiTheme="minorHAnsi" w:cstheme="minorHAnsi"/>
          <w:sz w:val="22"/>
          <w:szCs w:val="22"/>
          <w:lang w:eastAsia="en-US"/>
        </w:rPr>
        <w:t xml:space="preserve">For listed derivatives the regulated market only charges a trading fee per contract when the contract is traded, </w:t>
      </w:r>
      <w:r w:rsidRPr="00540B3F">
        <w:rPr>
          <w:rFonts w:asciiTheme="minorHAnsi" w:eastAsiaTheme="minorHAnsi" w:hAnsiTheme="minorHAnsi" w:cstheme="minorHAnsi"/>
          <w:b/>
          <w:sz w:val="22"/>
          <w:szCs w:val="22"/>
          <w:lang w:eastAsia="en-US"/>
        </w:rPr>
        <w:t>these costs are not impacted by the holding period.</w:t>
      </w:r>
      <w:r w:rsidRPr="00540B3F">
        <w:rPr>
          <w:rFonts w:asciiTheme="minorHAnsi" w:eastAsiaTheme="minorHAnsi" w:hAnsiTheme="minorHAnsi" w:cstheme="minorHAnsi"/>
          <w:sz w:val="22"/>
          <w:szCs w:val="22"/>
          <w:lang w:eastAsia="en-US"/>
        </w:rPr>
        <w:t xml:space="preserve"> Listed derivatives have a range of different lifetimes. Providing an annualised trading fee figure would give meaningless information because it will not reflect the actual cost of the specific contract. Next to this mentioning a recommended holding period can also be considered to be investment advice. A regulated market is not supposed to reco</w:t>
      </w:r>
      <w:r w:rsidRPr="00540B3F">
        <w:rPr>
          <w:rFonts w:asciiTheme="minorHAnsi" w:eastAsiaTheme="minorHAnsi" w:hAnsiTheme="minorHAnsi" w:cstheme="minorHAnsi"/>
          <w:sz w:val="22"/>
          <w:szCs w:val="22"/>
          <w:lang w:eastAsia="en-US"/>
        </w:rPr>
        <w:t>m</w:t>
      </w:r>
      <w:r w:rsidRPr="00540B3F">
        <w:rPr>
          <w:rFonts w:asciiTheme="minorHAnsi" w:eastAsiaTheme="minorHAnsi" w:hAnsiTheme="minorHAnsi" w:cstheme="minorHAnsi"/>
          <w:sz w:val="22"/>
          <w:szCs w:val="22"/>
          <w:lang w:eastAsia="en-US"/>
        </w:rPr>
        <w:t>mend an investment or a holding period.</w:t>
      </w:r>
    </w:p>
    <w:permEnd w:id="1159420655"/>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1614702384" w:edGrp="everyone"/>
      <w:r>
        <w:t>TYPE YOUR TEXT HERE</w:t>
      </w:r>
    </w:p>
    <w:permEnd w:id="1614702384"/>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491E49" w:rsidP="00491E49">
      <w:permStart w:id="1986227133" w:edGrp="everyone"/>
      <w:r>
        <w:t>TYPE YOUR TEXT HERE</w:t>
      </w:r>
    </w:p>
    <w:permEnd w:id="1986227133"/>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lastRenderedPageBreak/>
        <w:t>&lt;ESMA_QUESTION_PRIIPS_21&gt;</w:t>
      </w:r>
    </w:p>
    <w:p w:rsidR="00491E49" w:rsidRDefault="00491E49" w:rsidP="00491E49">
      <w:permStart w:id="2097354612" w:edGrp="everyone"/>
      <w:r>
        <w:t>TYPE YOUR TEXT HERE</w:t>
      </w:r>
    </w:p>
    <w:permEnd w:id="2097354612"/>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491E49" w:rsidP="00491E49">
      <w:permStart w:id="824983059" w:edGrp="everyone"/>
      <w:r>
        <w:t>TYPE YOUR TEXT HERE</w:t>
      </w:r>
    </w:p>
    <w:permEnd w:id="824983059"/>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491E49" w:rsidP="00491E49">
      <w:permStart w:id="877992228" w:edGrp="everyone"/>
      <w:r>
        <w:t>TYPE YOUR TEXT HERE</w:t>
      </w:r>
    </w:p>
    <w:permEnd w:id="877992228"/>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491E49" w:rsidP="00491E49">
      <w:permStart w:id="1436835070" w:edGrp="everyone"/>
      <w:r>
        <w:t>TYPE YOUR TEXT HERE</w:t>
      </w:r>
    </w:p>
    <w:permEnd w:id="1436835070"/>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906118089" w:edGrp="everyone"/>
      <w:r>
        <w:t>TYPE YOUR TEXT HERE</w:t>
      </w:r>
    </w:p>
    <w:permEnd w:id="906118089"/>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 xml:space="preserve">tion of the different types of costs, as suggested in the Annex, including a split between one-off, recurring </w:t>
      </w:r>
      <w:r w:rsidRPr="00847BB0">
        <w:rPr>
          <w:rFonts w:ascii="Calibri" w:hAnsi="Calibri"/>
          <w:i/>
          <w:iCs/>
          <w:sz w:val="22"/>
          <w:lang w:eastAsia="en-US"/>
        </w:rPr>
        <w:lastRenderedPageBreak/>
        <w:t>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540B3F" w:rsidRPr="00540B3F" w:rsidRDefault="00540B3F" w:rsidP="00540B3F">
      <w:pPr>
        <w:spacing w:after="200" w:line="276" w:lineRule="auto"/>
        <w:jc w:val="both"/>
        <w:rPr>
          <w:rFonts w:asciiTheme="minorHAnsi" w:eastAsiaTheme="minorHAnsi" w:hAnsiTheme="minorHAnsi" w:cstheme="minorHAnsi"/>
          <w:sz w:val="22"/>
          <w:szCs w:val="22"/>
          <w:lang w:eastAsia="en-US"/>
        </w:rPr>
      </w:pPr>
      <w:permStart w:id="1688804422" w:edGrp="everyone"/>
      <w:r w:rsidRPr="00540B3F">
        <w:rPr>
          <w:rFonts w:asciiTheme="minorHAnsi" w:eastAsiaTheme="minorHAnsi" w:hAnsiTheme="minorHAnsi" w:cstheme="minorHAnsi"/>
          <w:sz w:val="22"/>
          <w:szCs w:val="22"/>
          <w:lang w:eastAsia="en-US"/>
        </w:rPr>
        <w:t xml:space="preserve">Please refer to our input under </w:t>
      </w:r>
      <w:r>
        <w:rPr>
          <w:rFonts w:asciiTheme="minorHAnsi" w:eastAsiaTheme="minorHAnsi" w:hAnsiTheme="minorHAnsi" w:cstheme="minorHAnsi"/>
          <w:sz w:val="22"/>
          <w:szCs w:val="22"/>
          <w:lang w:eastAsia="en-US"/>
        </w:rPr>
        <w:t xml:space="preserve">the general introduction under </w:t>
      </w:r>
      <w:r w:rsidRPr="00540B3F">
        <w:rPr>
          <w:rFonts w:asciiTheme="minorHAnsi" w:eastAsiaTheme="minorHAnsi" w:hAnsiTheme="minorHAnsi" w:cstheme="minorHAnsi"/>
          <w:sz w:val="22"/>
          <w:szCs w:val="22"/>
          <w:lang w:eastAsia="en-US"/>
        </w:rPr>
        <w:t>paragraph 4 (Question 1).</w:t>
      </w:r>
    </w:p>
    <w:p w:rsidR="00540B3F" w:rsidRPr="00540B3F" w:rsidRDefault="00540B3F" w:rsidP="00540B3F">
      <w:pPr>
        <w:spacing w:line="276" w:lineRule="auto"/>
        <w:jc w:val="both"/>
        <w:rPr>
          <w:rFonts w:asciiTheme="minorHAnsi" w:eastAsiaTheme="minorHAnsi" w:hAnsiTheme="minorHAnsi" w:cstheme="minorHAnsi"/>
          <w:sz w:val="22"/>
          <w:szCs w:val="22"/>
          <w:lang w:eastAsia="en-US"/>
        </w:rPr>
      </w:pPr>
      <w:r w:rsidRPr="00540B3F">
        <w:rPr>
          <w:rFonts w:asciiTheme="minorHAnsi" w:eastAsiaTheme="minorHAnsi" w:hAnsiTheme="minorHAnsi" w:cstheme="minorHAnsi"/>
          <w:sz w:val="22"/>
          <w:szCs w:val="22"/>
          <w:lang w:eastAsia="en-US"/>
        </w:rPr>
        <w:t>The overview of costs is very specific to firms creating, issuing, marketing and managing PRIIPS. The requirements do not match the reality of listed option and future trading. Below a specification per item. We believe that for trading of listed options and futures there are a number of costs that arise which do not necessarily align with the tables presented by the ESAs. The costs are:</w:t>
      </w:r>
    </w:p>
    <w:p w:rsidR="00540B3F" w:rsidRPr="00540B3F" w:rsidRDefault="00540B3F" w:rsidP="00540B3F">
      <w:pPr>
        <w:numPr>
          <w:ilvl w:val="0"/>
          <w:numId w:val="53"/>
        </w:numPr>
        <w:spacing w:after="200" w:line="276" w:lineRule="auto"/>
        <w:contextualSpacing/>
        <w:jc w:val="both"/>
        <w:rPr>
          <w:rFonts w:asciiTheme="minorHAnsi" w:eastAsiaTheme="minorHAnsi" w:hAnsiTheme="minorHAnsi" w:cstheme="minorHAnsi"/>
          <w:sz w:val="22"/>
          <w:szCs w:val="22"/>
          <w:lang w:eastAsia="en-US"/>
        </w:rPr>
      </w:pPr>
      <w:r w:rsidRPr="00540B3F">
        <w:rPr>
          <w:rFonts w:asciiTheme="minorHAnsi" w:eastAsiaTheme="minorHAnsi" w:hAnsiTheme="minorHAnsi" w:cstheme="minorHAnsi"/>
          <w:b/>
          <w:sz w:val="22"/>
          <w:szCs w:val="22"/>
          <w:lang w:eastAsia="en-US"/>
        </w:rPr>
        <w:t>Trading costs charged by the regulated market</w:t>
      </w:r>
      <w:r w:rsidRPr="00540B3F">
        <w:rPr>
          <w:rFonts w:asciiTheme="minorHAnsi" w:eastAsiaTheme="minorHAnsi" w:hAnsiTheme="minorHAnsi" w:cstheme="minorHAnsi"/>
          <w:sz w:val="22"/>
          <w:szCs w:val="22"/>
          <w:lang w:eastAsia="en-US"/>
        </w:rPr>
        <w:t>. We are able to provide a general overview of the costs per contract. Depending on the number of trades a retail investor conducts, costs can be calculated accordingly.</w:t>
      </w:r>
    </w:p>
    <w:p w:rsidR="00540B3F" w:rsidRPr="00540B3F" w:rsidRDefault="00540B3F" w:rsidP="00540B3F">
      <w:pPr>
        <w:numPr>
          <w:ilvl w:val="0"/>
          <w:numId w:val="53"/>
        </w:numPr>
        <w:spacing w:after="200" w:line="276" w:lineRule="auto"/>
        <w:contextualSpacing/>
        <w:jc w:val="both"/>
        <w:rPr>
          <w:rFonts w:asciiTheme="minorHAnsi" w:eastAsiaTheme="minorHAnsi" w:hAnsiTheme="minorHAnsi" w:cstheme="minorHAnsi"/>
          <w:sz w:val="22"/>
          <w:szCs w:val="22"/>
          <w:lang w:eastAsia="en-US"/>
        </w:rPr>
      </w:pPr>
      <w:r w:rsidRPr="00540B3F">
        <w:rPr>
          <w:rFonts w:asciiTheme="minorHAnsi" w:eastAsiaTheme="minorHAnsi" w:hAnsiTheme="minorHAnsi" w:cstheme="minorHAnsi"/>
          <w:b/>
          <w:sz w:val="22"/>
          <w:szCs w:val="22"/>
          <w:lang w:eastAsia="en-US"/>
        </w:rPr>
        <w:t>Trading costs charged by the broker (or brokers where applicable)</w:t>
      </w:r>
      <w:r w:rsidRPr="00540B3F">
        <w:rPr>
          <w:rFonts w:asciiTheme="minorHAnsi" w:eastAsiaTheme="minorHAnsi" w:hAnsiTheme="minorHAnsi" w:cstheme="minorHAnsi"/>
          <w:sz w:val="22"/>
          <w:szCs w:val="22"/>
          <w:lang w:eastAsia="en-US"/>
        </w:rPr>
        <w:t>. This depends on the type of broker and the relationship with the end investor. Regulated markets have no access to this i</w:t>
      </w:r>
      <w:r w:rsidRPr="00540B3F">
        <w:rPr>
          <w:rFonts w:asciiTheme="minorHAnsi" w:eastAsiaTheme="minorHAnsi" w:hAnsiTheme="minorHAnsi" w:cstheme="minorHAnsi"/>
          <w:sz w:val="22"/>
          <w:szCs w:val="22"/>
          <w:lang w:eastAsia="en-US"/>
        </w:rPr>
        <w:t>n</w:t>
      </w:r>
      <w:r w:rsidRPr="00540B3F">
        <w:rPr>
          <w:rFonts w:asciiTheme="minorHAnsi" w:eastAsiaTheme="minorHAnsi" w:hAnsiTheme="minorHAnsi" w:cstheme="minorHAnsi"/>
          <w:sz w:val="22"/>
          <w:szCs w:val="22"/>
          <w:lang w:eastAsia="en-US"/>
        </w:rPr>
        <w:t>formation and are not able to specify this as it differs per investor.</w:t>
      </w:r>
    </w:p>
    <w:p w:rsidR="00540B3F" w:rsidRPr="00540B3F" w:rsidRDefault="00540B3F" w:rsidP="00540B3F">
      <w:pPr>
        <w:numPr>
          <w:ilvl w:val="0"/>
          <w:numId w:val="53"/>
        </w:numPr>
        <w:spacing w:after="200" w:line="276" w:lineRule="auto"/>
        <w:contextualSpacing/>
        <w:jc w:val="both"/>
        <w:rPr>
          <w:rFonts w:asciiTheme="minorHAnsi" w:eastAsiaTheme="minorHAnsi" w:hAnsiTheme="minorHAnsi" w:cstheme="minorHAnsi"/>
          <w:b/>
          <w:sz w:val="22"/>
          <w:szCs w:val="22"/>
          <w:lang w:eastAsia="en-US"/>
        </w:rPr>
      </w:pPr>
      <w:r w:rsidRPr="00540B3F">
        <w:rPr>
          <w:rFonts w:asciiTheme="minorHAnsi" w:eastAsiaTheme="minorHAnsi" w:hAnsiTheme="minorHAnsi" w:cstheme="minorHAnsi"/>
          <w:b/>
          <w:sz w:val="22"/>
          <w:szCs w:val="22"/>
          <w:lang w:eastAsia="en-US"/>
        </w:rPr>
        <w:t xml:space="preserve">Clearing and settlement costs. </w:t>
      </w:r>
      <w:r w:rsidRPr="00540B3F">
        <w:rPr>
          <w:rFonts w:asciiTheme="minorHAnsi" w:eastAsiaTheme="minorHAnsi" w:hAnsiTheme="minorHAnsi" w:cstheme="minorHAnsi"/>
          <w:sz w:val="22"/>
          <w:szCs w:val="22"/>
          <w:lang w:eastAsia="en-US"/>
        </w:rPr>
        <w:t>These costs are charged by the CCP and CSD and should be pr</w:t>
      </w:r>
      <w:r w:rsidRPr="00540B3F">
        <w:rPr>
          <w:rFonts w:asciiTheme="minorHAnsi" w:eastAsiaTheme="minorHAnsi" w:hAnsiTheme="minorHAnsi" w:cstheme="minorHAnsi"/>
          <w:sz w:val="22"/>
          <w:szCs w:val="22"/>
          <w:lang w:eastAsia="en-US"/>
        </w:rPr>
        <w:t>o</w:t>
      </w:r>
      <w:r w:rsidRPr="00540B3F">
        <w:rPr>
          <w:rFonts w:asciiTheme="minorHAnsi" w:eastAsiaTheme="minorHAnsi" w:hAnsiTheme="minorHAnsi" w:cstheme="minorHAnsi"/>
          <w:sz w:val="22"/>
          <w:szCs w:val="22"/>
          <w:lang w:eastAsia="en-US"/>
        </w:rPr>
        <w:t>vided by those entities. As CCPs and different CSD</w:t>
      </w:r>
      <w:r w:rsidR="000D213F">
        <w:rPr>
          <w:rFonts w:asciiTheme="minorHAnsi" w:eastAsiaTheme="minorHAnsi" w:hAnsiTheme="minorHAnsi" w:cstheme="minorHAnsi"/>
          <w:sz w:val="22"/>
          <w:szCs w:val="22"/>
          <w:lang w:eastAsia="en-US"/>
        </w:rPr>
        <w:t>s</w:t>
      </w:r>
      <w:r w:rsidRPr="00540B3F">
        <w:rPr>
          <w:rFonts w:asciiTheme="minorHAnsi" w:eastAsiaTheme="minorHAnsi" w:hAnsiTheme="minorHAnsi" w:cstheme="minorHAnsi"/>
          <w:sz w:val="22"/>
          <w:szCs w:val="22"/>
          <w:lang w:eastAsia="en-US"/>
        </w:rPr>
        <w:t xml:space="preserve"> act in our ma</w:t>
      </w:r>
      <w:r w:rsidR="000D213F">
        <w:rPr>
          <w:rFonts w:asciiTheme="minorHAnsi" w:eastAsiaTheme="minorHAnsi" w:hAnsiTheme="minorHAnsi" w:cstheme="minorHAnsi"/>
          <w:sz w:val="22"/>
          <w:szCs w:val="22"/>
          <w:lang w:eastAsia="en-US"/>
        </w:rPr>
        <w:t>rkets, r</w:t>
      </w:r>
      <w:r w:rsidRPr="00540B3F">
        <w:rPr>
          <w:rFonts w:asciiTheme="minorHAnsi" w:eastAsiaTheme="minorHAnsi" w:hAnsiTheme="minorHAnsi" w:cstheme="minorHAnsi"/>
          <w:sz w:val="22"/>
          <w:szCs w:val="22"/>
          <w:lang w:eastAsia="en-US"/>
        </w:rPr>
        <w:t>egulated markets cannot provide a comprehensive overview of all those costs. Furthermore, the chain of clearing costs will differ depending on the number of clearing members and brokers that an investor has to go through.</w:t>
      </w:r>
    </w:p>
    <w:p w:rsidR="00847BB0" w:rsidRPr="00E757F4" w:rsidRDefault="00540B3F" w:rsidP="00847BB0">
      <w:pPr>
        <w:numPr>
          <w:ilvl w:val="0"/>
          <w:numId w:val="53"/>
        </w:numPr>
        <w:spacing w:after="200" w:line="276" w:lineRule="auto"/>
        <w:contextualSpacing/>
        <w:jc w:val="both"/>
        <w:rPr>
          <w:rFonts w:asciiTheme="minorHAnsi" w:eastAsiaTheme="minorHAnsi" w:hAnsiTheme="minorHAnsi" w:cstheme="minorHAnsi"/>
          <w:b/>
          <w:sz w:val="22"/>
          <w:szCs w:val="22"/>
          <w:lang w:eastAsia="en-US"/>
        </w:rPr>
      </w:pPr>
      <w:r w:rsidRPr="00540B3F">
        <w:rPr>
          <w:rFonts w:asciiTheme="minorHAnsi" w:eastAsiaTheme="minorHAnsi" w:hAnsiTheme="minorHAnsi" w:cstheme="minorHAnsi"/>
          <w:b/>
          <w:sz w:val="22"/>
          <w:szCs w:val="22"/>
          <w:lang w:eastAsia="en-US"/>
        </w:rPr>
        <w:t>Margin requirements.</w:t>
      </w:r>
      <w:r w:rsidRPr="00540B3F">
        <w:rPr>
          <w:rFonts w:asciiTheme="minorHAnsi" w:eastAsiaTheme="minorHAnsi" w:hAnsiTheme="minorHAnsi" w:cstheme="minorHAnsi"/>
          <w:sz w:val="22"/>
          <w:szCs w:val="22"/>
          <w:lang w:eastAsia="en-US"/>
        </w:rPr>
        <w:t xml:space="preserve"> These requirements are set by the CCP and will depend </w:t>
      </w:r>
      <w:r w:rsidR="000D213F">
        <w:rPr>
          <w:rFonts w:asciiTheme="minorHAnsi" w:eastAsiaTheme="minorHAnsi" w:hAnsiTheme="minorHAnsi" w:cstheme="minorHAnsi"/>
          <w:sz w:val="22"/>
          <w:szCs w:val="22"/>
          <w:lang w:eastAsia="en-US"/>
        </w:rPr>
        <w:t>o</w:t>
      </w:r>
      <w:r w:rsidRPr="00540B3F">
        <w:rPr>
          <w:rFonts w:asciiTheme="minorHAnsi" w:eastAsiaTheme="minorHAnsi" w:hAnsiTheme="minorHAnsi" w:cstheme="minorHAnsi"/>
          <w:sz w:val="22"/>
          <w:szCs w:val="22"/>
          <w:lang w:eastAsia="en-US"/>
        </w:rPr>
        <w:t>n the type of clearing account and clearing member. Regulated markets have no insight to this.</w:t>
      </w:r>
    </w:p>
    <w:permEnd w:id="1688804422"/>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Default="00847BB0" w:rsidP="00847BB0">
      <w:permStart w:id="1387162129" w:edGrp="everyone"/>
      <w:r>
        <w:t>TYPE YOUR TEXT HERE</w:t>
      </w:r>
    </w:p>
    <w:permEnd w:id="1387162129"/>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491E49" w:rsidRDefault="00491E49" w:rsidP="00491E49">
      <w:permStart w:id="572470712" w:edGrp="everyone"/>
      <w:r>
        <w:t>TYPE YOUR TEXT HERE</w:t>
      </w:r>
    </w:p>
    <w:permEnd w:id="572470712"/>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67D" w:rsidRDefault="00DE067D">
      <w:r>
        <w:separator/>
      </w:r>
    </w:p>
    <w:p w:rsidR="00DE067D" w:rsidRDefault="00DE067D"/>
  </w:endnote>
  <w:endnote w:type="continuationSeparator" w:id="0">
    <w:p w:rsidR="00DE067D" w:rsidRDefault="00DE067D">
      <w:r>
        <w:continuationSeparator/>
      </w:r>
    </w:p>
    <w:p w:rsidR="00DE067D" w:rsidRDefault="00DE067D"/>
  </w:endnote>
  <w:endnote w:type="continuationNotice" w:id="1">
    <w:p w:rsidR="00DE067D" w:rsidRDefault="00DE0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E067D" w:rsidRPr="00616B9B" w:rsidTr="00315E96">
      <w:trPr>
        <w:trHeight w:val="284"/>
      </w:trPr>
      <w:tc>
        <w:tcPr>
          <w:tcW w:w="8460" w:type="dxa"/>
        </w:tcPr>
        <w:p w:rsidR="00DE067D" w:rsidRPr="00315E96" w:rsidRDefault="00DE067D" w:rsidP="00315E96">
          <w:pPr>
            <w:pStyle w:val="00Footer"/>
            <w:rPr>
              <w:lang w:val="fr-FR"/>
            </w:rPr>
          </w:pPr>
        </w:p>
      </w:tc>
      <w:tc>
        <w:tcPr>
          <w:tcW w:w="952" w:type="dxa"/>
        </w:tcPr>
        <w:p w:rsidR="00DE067D" w:rsidRPr="00616B9B" w:rsidRDefault="00DE067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740A9">
            <w:rPr>
              <w:rFonts w:cs="Arial"/>
              <w:noProof/>
              <w:sz w:val="22"/>
              <w:szCs w:val="22"/>
            </w:rPr>
            <w:t>13</w:t>
          </w:r>
          <w:r w:rsidRPr="00616B9B">
            <w:rPr>
              <w:rFonts w:cs="Arial"/>
              <w:noProof/>
              <w:sz w:val="22"/>
              <w:szCs w:val="22"/>
            </w:rPr>
            <w:fldChar w:fldCharType="end"/>
          </w:r>
        </w:p>
      </w:tc>
    </w:tr>
  </w:tbl>
  <w:p w:rsidR="00DE067D" w:rsidRDefault="00DE0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67D" w:rsidRDefault="00DE0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67D" w:rsidRDefault="00DE067D">
      <w:r>
        <w:separator/>
      </w:r>
    </w:p>
    <w:p w:rsidR="00DE067D" w:rsidRDefault="00DE067D"/>
  </w:footnote>
  <w:footnote w:type="continuationSeparator" w:id="0">
    <w:p w:rsidR="00DE067D" w:rsidRDefault="00DE067D">
      <w:r>
        <w:continuationSeparator/>
      </w:r>
    </w:p>
    <w:p w:rsidR="00DE067D" w:rsidRDefault="00DE067D"/>
  </w:footnote>
  <w:footnote w:type="continuationNotice" w:id="1">
    <w:p w:rsidR="00DE067D" w:rsidRDefault="00DE06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67D" w:rsidRDefault="00DE067D">
    <w:pPr>
      <w:pStyle w:val="Header"/>
    </w:pPr>
    <w:r>
      <w:rPr>
        <w:noProof/>
        <w:lang w:val="nl-NL" w:eastAsia="nl-NL"/>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67D" w:rsidRDefault="00DE067D" w:rsidP="00013CCE">
    <w:pPr>
      <w:pStyle w:val="Header"/>
      <w:jc w:val="right"/>
    </w:pPr>
    <w:r>
      <w:rPr>
        <w:noProof/>
        <w:lang w:val="nl-NL" w:eastAsia="nl-NL"/>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67D" w:rsidRDefault="00DE067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E067D" w:rsidRPr="002F4496" w:rsidTr="000C06C9">
      <w:trPr>
        <w:trHeight w:val="284"/>
      </w:trPr>
      <w:tc>
        <w:tcPr>
          <w:tcW w:w="8460" w:type="dxa"/>
        </w:tcPr>
        <w:p w:rsidR="00DE067D" w:rsidRPr="000C3B6D" w:rsidRDefault="00DE067D" w:rsidP="000C06C9">
          <w:pPr>
            <w:pStyle w:val="00Footer"/>
            <w:rPr>
              <w:lang w:val="fr-FR"/>
            </w:rPr>
          </w:pPr>
        </w:p>
      </w:tc>
      <w:tc>
        <w:tcPr>
          <w:tcW w:w="952" w:type="dxa"/>
        </w:tcPr>
        <w:p w:rsidR="00DE067D" w:rsidRPr="00146B34" w:rsidRDefault="00DE067D" w:rsidP="000C06C9">
          <w:pPr>
            <w:pStyle w:val="00aPagenumber"/>
            <w:rPr>
              <w:lang w:val="fr-FR"/>
            </w:rPr>
          </w:pPr>
        </w:p>
      </w:tc>
    </w:tr>
  </w:tbl>
  <w:p w:rsidR="00DE067D" w:rsidRPr="00DB46C3" w:rsidRDefault="00DE067D">
    <w:pPr>
      <w:rPr>
        <w:lang w:val="fr-FR"/>
      </w:rPr>
    </w:pPr>
  </w:p>
  <w:p w:rsidR="00DE067D" w:rsidRPr="002F4496" w:rsidRDefault="00DE067D">
    <w:pPr>
      <w:pStyle w:val="Header"/>
      <w:rPr>
        <w:lang w:val="fr-FR"/>
      </w:rPr>
    </w:pPr>
  </w:p>
  <w:p w:rsidR="00DE067D" w:rsidRPr="002F4496" w:rsidRDefault="00DE067D" w:rsidP="000C06C9">
    <w:pPr>
      <w:pStyle w:val="Header"/>
      <w:tabs>
        <w:tab w:val="clear" w:pos="4536"/>
        <w:tab w:val="clear" w:pos="9072"/>
        <w:tab w:val="left" w:pos="8227"/>
      </w:tabs>
      <w:rPr>
        <w:lang w:val="fr-FR"/>
      </w:rPr>
    </w:pPr>
  </w:p>
  <w:p w:rsidR="00DE067D" w:rsidRPr="002F4496" w:rsidRDefault="00DE067D" w:rsidP="000C06C9">
    <w:pPr>
      <w:pStyle w:val="Header"/>
      <w:tabs>
        <w:tab w:val="clear" w:pos="4536"/>
        <w:tab w:val="clear" w:pos="9072"/>
        <w:tab w:val="left" w:pos="8227"/>
      </w:tabs>
      <w:rPr>
        <w:lang w:val="fr-FR"/>
      </w:rPr>
    </w:pPr>
  </w:p>
  <w:p w:rsidR="00DE067D" w:rsidRPr="002F4496" w:rsidRDefault="00DE067D">
    <w:pPr>
      <w:pStyle w:val="Header"/>
      <w:rPr>
        <w:lang w:val="fr-FR"/>
      </w:rPr>
    </w:pPr>
  </w:p>
  <w:p w:rsidR="00DE067D" w:rsidRPr="002F4496" w:rsidRDefault="00DE067D">
    <w:pPr>
      <w:pStyle w:val="Header"/>
      <w:rPr>
        <w:lang w:val="fr-FR"/>
      </w:rPr>
    </w:pPr>
  </w:p>
  <w:p w:rsidR="00DE067D" w:rsidRPr="002F4496" w:rsidRDefault="00DE067D">
    <w:pPr>
      <w:pStyle w:val="Header"/>
      <w:rPr>
        <w:lang w:val="fr-FR"/>
      </w:rPr>
    </w:pPr>
  </w:p>
  <w:p w:rsidR="00DE067D" w:rsidRPr="002F4496" w:rsidRDefault="00DE067D">
    <w:pPr>
      <w:pStyle w:val="Header"/>
      <w:rPr>
        <w:lang w:val="fr-FR"/>
      </w:rPr>
    </w:pPr>
  </w:p>
  <w:p w:rsidR="00DE067D" w:rsidRPr="002F4496" w:rsidRDefault="00DE067D">
    <w:pPr>
      <w:pStyle w:val="Header"/>
      <w:rPr>
        <w:highlight w:val="yellow"/>
        <w:lang w:val="fr-FR"/>
      </w:rPr>
    </w:pPr>
  </w:p>
  <w:p w:rsidR="00DE067D" w:rsidRDefault="00DE067D">
    <w:pPr>
      <w:pStyle w:val="Header"/>
    </w:pPr>
    <w:r>
      <w:rPr>
        <w:noProof/>
        <w:lang w:val="nl-NL" w:eastAsia="nl-NL"/>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nl-NL" w:eastAsia="nl-NL"/>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7EC"/>
    <w:multiLevelType w:val="hybridMultilevel"/>
    <w:tmpl w:val="657EEA70"/>
    <w:lvl w:ilvl="0" w:tplc="5C94115C">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534BB8"/>
    <w:multiLevelType w:val="hybridMultilevel"/>
    <w:tmpl w:val="8DF4653E"/>
    <w:lvl w:ilvl="0" w:tplc="DAD47F9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D13E96"/>
    <w:multiLevelType w:val="hybridMultilevel"/>
    <w:tmpl w:val="63C03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2DD8787D"/>
    <w:multiLevelType w:val="hybridMultilevel"/>
    <w:tmpl w:val="DB18DA86"/>
    <w:lvl w:ilvl="0" w:tplc="21E2435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4CDF592B"/>
    <w:multiLevelType w:val="hybridMultilevel"/>
    <w:tmpl w:val="7A42D454"/>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2"/>
  </w:num>
  <w:num w:numId="3">
    <w:abstractNumId w:val="15"/>
  </w:num>
  <w:num w:numId="4">
    <w:abstractNumId w:val="29"/>
  </w:num>
  <w:num w:numId="5">
    <w:abstractNumId w:val="31"/>
  </w:num>
  <w:num w:numId="6">
    <w:abstractNumId w:val="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7"/>
  </w:num>
  <w:num w:numId="15">
    <w:abstractNumId w:val="13"/>
  </w:num>
  <w:num w:numId="16">
    <w:abstractNumId w:val="2"/>
  </w:num>
  <w:num w:numId="17">
    <w:abstractNumId w:val="18"/>
  </w:num>
  <w:num w:numId="18">
    <w:abstractNumId w:val="19"/>
  </w:num>
  <w:num w:numId="19">
    <w:abstractNumId w:val="21"/>
  </w:num>
  <w:num w:numId="20">
    <w:abstractNumId w:val="32"/>
  </w:num>
  <w:num w:numId="21">
    <w:abstractNumId w:val="41"/>
  </w:num>
  <w:num w:numId="22">
    <w:abstractNumId w:val="30"/>
  </w:num>
  <w:num w:numId="23">
    <w:abstractNumId w:val="12"/>
  </w:num>
  <w:num w:numId="24">
    <w:abstractNumId w:val="35"/>
  </w:num>
  <w:num w:numId="25">
    <w:abstractNumId w:val="34"/>
  </w:num>
  <w:num w:numId="26">
    <w:abstractNumId w:val="23"/>
  </w:num>
  <w:num w:numId="27">
    <w:abstractNumId w:val="38"/>
  </w:num>
  <w:num w:numId="28">
    <w:abstractNumId w:val="43"/>
  </w:num>
  <w:num w:numId="29">
    <w:abstractNumId w:val="10"/>
  </w:num>
  <w:num w:numId="30">
    <w:abstractNumId w:val="4"/>
  </w:num>
  <w:num w:numId="31">
    <w:abstractNumId w:val="26"/>
  </w:num>
  <w:num w:numId="32">
    <w:abstractNumId w:val="3"/>
  </w:num>
  <w:num w:numId="33">
    <w:abstractNumId w:val="8"/>
  </w:num>
  <w:num w:numId="34">
    <w:abstractNumId w:val="24"/>
  </w:num>
  <w:num w:numId="35">
    <w:abstractNumId w:val="40"/>
  </w:num>
  <w:num w:numId="36">
    <w:abstractNumId w:val="40"/>
    <w:lvlOverride w:ilvl="0">
      <w:startOverride w:val="1"/>
    </w:lvlOverride>
  </w:num>
  <w:num w:numId="37">
    <w:abstractNumId w:val="40"/>
    <w:lvlOverride w:ilvl="0">
      <w:startOverride w:val="1"/>
    </w:lvlOverride>
  </w:num>
  <w:num w:numId="38">
    <w:abstractNumId w:val="40"/>
    <w:lvlOverride w:ilvl="0">
      <w:startOverride w:val="1"/>
    </w:lvlOverride>
  </w:num>
  <w:num w:numId="39">
    <w:abstractNumId w:val="40"/>
    <w:lvlOverride w:ilvl="0">
      <w:startOverride w:val="1"/>
    </w:lvlOverride>
  </w:num>
  <w:num w:numId="40">
    <w:abstractNumId w:val="40"/>
    <w:lvlOverride w:ilvl="0">
      <w:startOverride w:val="1"/>
    </w:lvlOverride>
  </w:num>
  <w:num w:numId="41">
    <w:abstractNumId w:val="40"/>
  </w:num>
  <w:num w:numId="42">
    <w:abstractNumId w:val="40"/>
    <w:lvlOverride w:ilvl="0">
      <w:startOverride w:val="1"/>
    </w:lvlOverride>
  </w:num>
  <w:num w:numId="43">
    <w:abstractNumId w:val="40"/>
    <w:lvlOverride w:ilvl="0">
      <w:startOverride w:val="1"/>
    </w:lvlOverride>
  </w:num>
  <w:num w:numId="44">
    <w:abstractNumId w:val="40"/>
    <w:lvlOverride w:ilvl="0">
      <w:startOverride w:val="1"/>
    </w:lvlOverride>
  </w:num>
  <w:num w:numId="45">
    <w:abstractNumId w:val="40"/>
    <w:lvlOverride w:ilvl="0">
      <w:startOverride w:val="1"/>
    </w:lvlOverride>
  </w:num>
  <w:num w:numId="46">
    <w:abstractNumId w:val="40"/>
    <w:lvlOverride w:ilvl="0">
      <w:startOverride w:val="1"/>
    </w:lvlOverride>
  </w:num>
  <w:num w:numId="47">
    <w:abstractNumId w:val="39"/>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num>
  <w:num w:numId="50">
    <w:abstractNumId w:val="16"/>
  </w:num>
  <w:num w:numId="51">
    <w:abstractNumId w:val="25"/>
  </w:num>
  <w:num w:numId="52">
    <w:abstractNumId w:val="9"/>
  </w:num>
  <w:num w:numId="53">
    <w:abstractNumId w:val="5"/>
  </w:num>
  <w:num w:numId="54">
    <w:abstractNumId w:val="14"/>
  </w:num>
  <w:num w:numId="55">
    <w:abstractNumId w:val="28"/>
  </w:num>
  <w:num w:numId="5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2048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37B1"/>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0AC5"/>
    <w:rsid w:val="000C1DCC"/>
    <w:rsid w:val="000C1FBC"/>
    <w:rsid w:val="000C2B6A"/>
    <w:rsid w:val="000C2F88"/>
    <w:rsid w:val="000C55C8"/>
    <w:rsid w:val="000C57C4"/>
    <w:rsid w:val="000C5FD3"/>
    <w:rsid w:val="000C701D"/>
    <w:rsid w:val="000C7C4A"/>
    <w:rsid w:val="000D17AA"/>
    <w:rsid w:val="000D213F"/>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3D21"/>
    <w:rsid w:val="002754B5"/>
    <w:rsid w:val="002764C5"/>
    <w:rsid w:val="002772AE"/>
    <w:rsid w:val="00280613"/>
    <w:rsid w:val="0028274D"/>
    <w:rsid w:val="00282B96"/>
    <w:rsid w:val="002833D6"/>
    <w:rsid w:val="00283F51"/>
    <w:rsid w:val="0028436C"/>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2F50"/>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40A9"/>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89D"/>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0B3F"/>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47"/>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52B6"/>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5F2C"/>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E73D7"/>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7C54"/>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CA9"/>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1565"/>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6E3D"/>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695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2BE5"/>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0FE0"/>
    <w:rsid w:val="00A824A7"/>
    <w:rsid w:val="00A83644"/>
    <w:rsid w:val="00A83C07"/>
    <w:rsid w:val="00A83F40"/>
    <w:rsid w:val="00A84945"/>
    <w:rsid w:val="00A85543"/>
    <w:rsid w:val="00A8598D"/>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C6BCD"/>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CEF"/>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2D1D"/>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CC2"/>
    <w:rsid w:val="00DC16AF"/>
    <w:rsid w:val="00DC2A9A"/>
    <w:rsid w:val="00DC2E2E"/>
    <w:rsid w:val="00DC4D68"/>
    <w:rsid w:val="00DC5AD2"/>
    <w:rsid w:val="00DC6463"/>
    <w:rsid w:val="00DC7822"/>
    <w:rsid w:val="00DC7AF1"/>
    <w:rsid w:val="00DD2D92"/>
    <w:rsid w:val="00DD3026"/>
    <w:rsid w:val="00DD33DC"/>
    <w:rsid w:val="00DD3BB0"/>
    <w:rsid w:val="00DD61F5"/>
    <w:rsid w:val="00DE067D"/>
    <w:rsid w:val="00DE64A6"/>
    <w:rsid w:val="00DE66EB"/>
    <w:rsid w:val="00DE7035"/>
    <w:rsid w:val="00DF12E3"/>
    <w:rsid w:val="00DF3F1D"/>
    <w:rsid w:val="00DF595C"/>
    <w:rsid w:val="00DF7EA7"/>
    <w:rsid w:val="00E030CF"/>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0"/>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7F4"/>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DB2"/>
    <w:rsid w:val="00EF6E68"/>
    <w:rsid w:val="00EF76DB"/>
    <w:rsid w:val="00F005FD"/>
    <w:rsid w:val="00F01A08"/>
    <w:rsid w:val="00F02C04"/>
    <w:rsid w:val="00F03058"/>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3BF8"/>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 w:type="table" w:customStyle="1" w:styleId="TableGrid3">
    <w:name w:val="Table Grid3"/>
    <w:basedOn w:val="TableNormal"/>
    <w:next w:val="TableGrid"/>
    <w:uiPriority w:val="59"/>
    <w:rsid w:val="00F0305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 w:type="table" w:customStyle="1" w:styleId="TableGrid3">
    <w:name w:val="Table Grid3"/>
    <w:basedOn w:val="TableNormal"/>
    <w:next w:val="TableGrid"/>
    <w:uiPriority w:val="59"/>
    <w:rsid w:val="00F0305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1A794-F66B-42B2-92E5-94FF7A746CAA}">
  <ds:schemaRefs>
    <ds:schemaRef ds:uri="http://schemas.openxmlformats.org/officeDocument/2006/bibliography"/>
  </ds:schemaRefs>
</ds:datastoreItem>
</file>

<file path=customXml/itemProps2.xml><?xml version="1.0" encoding="utf-8"?>
<ds:datastoreItem xmlns:ds="http://schemas.openxmlformats.org/officeDocument/2006/customXml" ds:itemID="{27CC9FE8-0F51-42B9-A16B-F1A2BA78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6363</Words>
  <Characters>33792</Characters>
  <Application>Microsoft Office Word</Application>
  <DocSecurity>8</DocSecurity>
  <Lines>281</Lines>
  <Paragraphs>80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40075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Daphne VanDerStam</cp:lastModifiedBy>
  <cp:revision>4</cp:revision>
  <cp:lastPrinted>2015-02-18T11:01:00Z</cp:lastPrinted>
  <dcterms:created xsi:type="dcterms:W3CDTF">2016-01-29T12:54:00Z</dcterms:created>
  <dcterms:modified xsi:type="dcterms:W3CDTF">2016-01-29T13:01:00Z</dcterms:modified>
</cp:coreProperties>
</file>