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w:t>
      </w:r>
      <w:bookmarkStart w:id="1" w:name="_GoBack"/>
      <w:bookmarkEnd w:id="1"/>
      <w:r w:rsidRPr="00EF0769">
        <w:rPr>
          <w:rFonts w:cs="Arial"/>
        </w:rPr>
        <w:t xml:space="preserve">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1F7DEE" w:rsidRPr="001F7DEE" w:rsidRDefault="001F7DEE" w:rsidP="001F7DEE">
      <w:pPr>
        <w:jc w:val="both"/>
        <w:rPr>
          <w:b/>
        </w:rPr>
      </w:pPr>
      <w:permStart w:id="1805409111" w:edGrp="everyone"/>
      <w:r>
        <w:rPr>
          <w:b/>
        </w:rPr>
        <w:t>Introduction</w:t>
      </w:r>
    </w:p>
    <w:p w:rsidR="001D55AA" w:rsidRDefault="001D55AA" w:rsidP="00223F7D">
      <w:pPr>
        <w:spacing w:line="276" w:lineRule="auto"/>
        <w:jc w:val="both"/>
      </w:pPr>
      <w:r>
        <w:t>Eurex welcomes the opportunity to respond to ESAs joint consultation paper on ‘</w:t>
      </w:r>
      <w:r w:rsidRPr="000137FB">
        <w:t>PRIIPs Key Information Documents</w:t>
      </w:r>
      <w:r>
        <w:t xml:space="preserve">’. The response to this questionnaire is focused on the </w:t>
      </w:r>
      <w:r w:rsidR="00913F5B">
        <w:t>clarification o</w:t>
      </w:r>
      <w:r w:rsidR="00223F7D">
        <w:t>f</w:t>
      </w:r>
      <w:r w:rsidR="00913F5B">
        <w:t xml:space="preserve"> the role of the </w:t>
      </w:r>
      <w:r>
        <w:t>regula</w:t>
      </w:r>
      <w:r>
        <w:t>t</w:t>
      </w:r>
      <w:r>
        <w:t>ed market Eurex Deutschland administered and operated by Eurex Frankfurt AG (‘Eurex’).</w:t>
      </w:r>
    </w:p>
    <w:p w:rsidR="001D55AA" w:rsidRDefault="001D55AA" w:rsidP="00223F7D">
      <w:pPr>
        <w:spacing w:line="276" w:lineRule="auto"/>
        <w:jc w:val="both"/>
      </w:pPr>
    </w:p>
    <w:p w:rsidR="001D55AA" w:rsidRDefault="001D55AA" w:rsidP="00223F7D">
      <w:pPr>
        <w:spacing w:line="276" w:lineRule="auto"/>
        <w:jc w:val="both"/>
      </w:pPr>
      <w:r>
        <w:t xml:space="preserve">Eurex is one of the world's leading derivatives exchange organizations and is owned by Deutsche Börse AG. Eurex offers a broad range of international derivatives benchmark products and operates the most liquid fixed income markets in the world, featuring open and low-cost electronic access. </w:t>
      </w:r>
    </w:p>
    <w:p w:rsidR="001D55AA" w:rsidRDefault="001D55AA" w:rsidP="00223F7D">
      <w:pPr>
        <w:spacing w:line="276" w:lineRule="auto"/>
        <w:jc w:val="both"/>
      </w:pPr>
    </w:p>
    <w:p w:rsidR="001D55AA" w:rsidRDefault="001D55AA" w:rsidP="00223F7D">
      <w:pPr>
        <w:spacing w:line="276" w:lineRule="auto"/>
        <w:jc w:val="both"/>
      </w:pPr>
      <w:r>
        <w:t>Aside from operating a fully electronic trading platform, Eurex Group provides an automated and integra</w:t>
      </w:r>
      <w:r>
        <w:t>t</w:t>
      </w:r>
      <w:r>
        <w:t>ed joint Clearing House. Eurex Clearing is Europe's largest central counterparty clearing house, pr</w:t>
      </w:r>
      <w:r>
        <w:t>o</w:t>
      </w:r>
      <w:r>
        <w:t>cessing gross risks valued at almost EUR 10 trillion every month, with fully-automated, straight-through post-trade services. And it is the world's only major clearing provider to control risk continuously by reca</w:t>
      </w:r>
      <w:r>
        <w:t>l</w:t>
      </w:r>
      <w:r>
        <w:t>culating position risk in realtime. Since its inception in 1998, Eurex has continually set a proven track record in electronic trading and clearing and is providing highly efficient liquidity pools. The deep market</w:t>
      </w:r>
    </w:p>
    <w:p w:rsidR="001D55AA" w:rsidRDefault="001D55AA" w:rsidP="00223F7D">
      <w:pPr>
        <w:spacing w:line="276" w:lineRule="auto"/>
        <w:jc w:val="both"/>
      </w:pPr>
      <w:r>
        <w:t>liquidity of Eurex products and the diversity of trading participants ensure fair, transparent and competitive pricing.</w:t>
      </w:r>
    </w:p>
    <w:p w:rsidR="001D55AA" w:rsidRDefault="001D55AA" w:rsidP="00223F7D">
      <w:pPr>
        <w:spacing w:line="276" w:lineRule="auto"/>
        <w:jc w:val="both"/>
      </w:pPr>
    </w:p>
    <w:p w:rsidR="000137FB" w:rsidRDefault="001D55AA" w:rsidP="00223F7D">
      <w:pPr>
        <w:spacing w:line="276" w:lineRule="auto"/>
        <w:jc w:val="both"/>
      </w:pPr>
      <w:r>
        <w:t>Neutrality to the markets, a clear and binding regulatory framework and the supervision through the r</w:t>
      </w:r>
      <w:r>
        <w:t>e</w:t>
      </w:r>
      <w:r>
        <w:t xml:space="preserve">sponsible authorities is key, especially in volatile market conditions. We have three levels of oversight: federal, state and internal regulatory measures. </w:t>
      </w:r>
    </w:p>
    <w:p w:rsidR="001B06CF" w:rsidRDefault="001B06CF" w:rsidP="00223F7D">
      <w:pPr>
        <w:spacing w:line="276" w:lineRule="auto"/>
        <w:jc w:val="both"/>
        <w:rPr>
          <w:b/>
        </w:rPr>
      </w:pPr>
    </w:p>
    <w:p w:rsidR="001F7DEE" w:rsidRDefault="001F7DEE" w:rsidP="00223F7D">
      <w:pPr>
        <w:spacing w:line="276" w:lineRule="auto"/>
        <w:jc w:val="both"/>
        <w:rPr>
          <w:b/>
        </w:rPr>
      </w:pPr>
      <w:r w:rsidRPr="001F7DEE">
        <w:rPr>
          <w:b/>
        </w:rPr>
        <w:t>Summary of response</w:t>
      </w:r>
    </w:p>
    <w:p w:rsidR="003441F6" w:rsidRPr="00597AB4" w:rsidRDefault="003441F6" w:rsidP="00223F7D">
      <w:pPr>
        <w:spacing w:line="276" w:lineRule="auto"/>
        <w:jc w:val="both"/>
        <w:rPr>
          <w:rFonts w:cs="Arial"/>
        </w:rPr>
      </w:pPr>
      <w:r w:rsidRPr="001D55AA">
        <w:rPr>
          <w:rFonts w:cs="Arial"/>
        </w:rPr>
        <w:t xml:space="preserve">In this response </w:t>
      </w:r>
      <w:r w:rsidRPr="008C75CF">
        <w:rPr>
          <w:rFonts w:cs="Arial"/>
          <w:b/>
        </w:rPr>
        <w:t>we present our reasoning, why exchanges and exchange traded derivatives are out of scope of the PRIIPs Regulation, and hereby confirm the understanding based on the Level 1 text and the reasoning in this consultation that regulated markets and ETD contracts are not in scope of this Regulation.</w:t>
      </w:r>
      <w:r w:rsidR="0033249D" w:rsidRPr="00597AB4">
        <w:rPr>
          <w:rFonts w:cs="Arial"/>
        </w:rPr>
        <w:t xml:space="preserve"> This reasoning is shared by all members of FESE whose contribution to th</w:t>
      </w:r>
      <w:r w:rsidR="000C0EC9" w:rsidRPr="00597AB4">
        <w:rPr>
          <w:rFonts w:cs="Arial"/>
        </w:rPr>
        <w:t>is</w:t>
      </w:r>
      <w:r w:rsidR="0033249D" w:rsidRPr="00597AB4">
        <w:rPr>
          <w:rFonts w:cs="Arial"/>
        </w:rPr>
        <w:t xml:space="preserve"> consult</w:t>
      </w:r>
      <w:r w:rsidR="0033249D" w:rsidRPr="00597AB4">
        <w:rPr>
          <w:rFonts w:cs="Arial"/>
        </w:rPr>
        <w:t>a</w:t>
      </w:r>
      <w:r w:rsidR="0033249D" w:rsidRPr="00597AB4">
        <w:rPr>
          <w:rFonts w:cs="Arial"/>
        </w:rPr>
        <w:t>tion we su</w:t>
      </w:r>
      <w:r w:rsidR="0033249D" w:rsidRPr="00597AB4">
        <w:rPr>
          <w:rFonts w:cs="Arial"/>
        </w:rPr>
        <w:t>p</w:t>
      </w:r>
      <w:r w:rsidR="0033249D" w:rsidRPr="00597AB4">
        <w:rPr>
          <w:rFonts w:cs="Arial"/>
        </w:rPr>
        <w:t>port.</w:t>
      </w:r>
    </w:p>
    <w:p w:rsidR="003441F6" w:rsidRDefault="003441F6" w:rsidP="00223F7D">
      <w:pPr>
        <w:spacing w:line="276" w:lineRule="auto"/>
        <w:jc w:val="both"/>
        <w:rPr>
          <w:rFonts w:cs="Calibri"/>
          <w:lang w:val="en-US"/>
        </w:rPr>
      </w:pPr>
    </w:p>
    <w:p w:rsidR="003441F6" w:rsidRDefault="003441F6" w:rsidP="00223F7D">
      <w:pPr>
        <w:spacing w:line="276" w:lineRule="auto"/>
        <w:jc w:val="both"/>
        <w:rPr>
          <w:rFonts w:cs="Calibri"/>
          <w:lang w:val="en-US"/>
        </w:rPr>
      </w:pPr>
      <w:r>
        <w:rPr>
          <w:rFonts w:cs="Calibri"/>
          <w:lang w:val="en-US"/>
        </w:rPr>
        <w:t>From our assessment of EU legislative texts, explanatory memorandum, impact assessments as well as Commission Communications, we find no explicit reference to the fact that listed derivatives are automat</w:t>
      </w:r>
      <w:r>
        <w:rPr>
          <w:rFonts w:cs="Calibri"/>
          <w:lang w:val="en-US"/>
        </w:rPr>
        <w:t>i</w:t>
      </w:r>
      <w:r>
        <w:rPr>
          <w:rFonts w:cs="Calibri"/>
          <w:lang w:val="en-US"/>
        </w:rPr>
        <w:t>cally and necessarily captured within the scope of the PRIIPs Regulation.</w:t>
      </w:r>
    </w:p>
    <w:p w:rsidR="003441F6" w:rsidRDefault="003441F6" w:rsidP="00223F7D">
      <w:pPr>
        <w:spacing w:line="276" w:lineRule="auto"/>
        <w:jc w:val="both"/>
        <w:rPr>
          <w:rFonts w:cs="Calibri"/>
          <w:lang w:val="en-US"/>
        </w:rPr>
      </w:pPr>
    </w:p>
    <w:p w:rsidR="003441F6" w:rsidRPr="00913F5B" w:rsidRDefault="003441F6" w:rsidP="00223F7D">
      <w:pPr>
        <w:pStyle w:val="Default"/>
        <w:spacing w:line="276" w:lineRule="auto"/>
        <w:jc w:val="both"/>
        <w:rPr>
          <w:rFonts w:ascii="Arial" w:hAnsi="Arial" w:cs="Arial"/>
          <w:bCs/>
          <w:sz w:val="20"/>
          <w:szCs w:val="20"/>
          <w:lang w:val="en-GB"/>
        </w:rPr>
      </w:pPr>
      <w:r w:rsidRPr="00913F5B">
        <w:rPr>
          <w:rFonts w:ascii="Arial" w:hAnsi="Arial" w:cs="Arial"/>
          <w:sz w:val="20"/>
          <w:szCs w:val="20"/>
          <w:lang w:val="en-GB"/>
        </w:rPr>
        <w:t>A ‘Packaged Retail Investment Product’ (‘PRIP’) is defined in Article 4(1) of the PRIIPs Regulation (</w:t>
      </w:r>
      <w:r w:rsidRPr="00913F5B">
        <w:rPr>
          <w:rFonts w:ascii="Arial" w:hAnsi="Arial" w:cs="Arial"/>
          <w:bCs/>
          <w:sz w:val="20"/>
          <w:szCs w:val="20"/>
          <w:lang w:val="en-GB"/>
        </w:rPr>
        <w:t>Reg</w:t>
      </w:r>
      <w:r w:rsidRPr="00913F5B">
        <w:rPr>
          <w:rFonts w:ascii="Arial" w:hAnsi="Arial" w:cs="Arial"/>
          <w:bCs/>
          <w:sz w:val="20"/>
          <w:szCs w:val="20"/>
          <w:lang w:val="en-GB"/>
        </w:rPr>
        <w:t>u</w:t>
      </w:r>
      <w:r w:rsidRPr="00913F5B">
        <w:rPr>
          <w:rFonts w:ascii="Arial" w:hAnsi="Arial" w:cs="Arial"/>
          <w:bCs/>
          <w:sz w:val="20"/>
          <w:szCs w:val="20"/>
          <w:lang w:val="en-GB"/>
        </w:rPr>
        <w:t>lation (EU) No 1286/2014):</w:t>
      </w:r>
    </w:p>
    <w:p w:rsidR="003441F6" w:rsidRPr="00913F5B" w:rsidRDefault="003441F6" w:rsidP="00223F7D">
      <w:pPr>
        <w:pStyle w:val="Default"/>
        <w:spacing w:line="276" w:lineRule="auto"/>
        <w:jc w:val="both"/>
        <w:rPr>
          <w:rFonts w:ascii="Arial" w:hAnsi="Arial" w:cs="Arial"/>
          <w:sz w:val="20"/>
          <w:szCs w:val="20"/>
          <w:lang w:val="en-GB"/>
        </w:rPr>
      </w:pPr>
    </w:p>
    <w:p w:rsidR="003441F6" w:rsidRPr="00913F5B" w:rsidRDefault="003441F6" w:rsidP="00223F7D">
      <w:pPr>
        <w:pStyle w:val="CM4"/>
        <w:spacing w:line="276" w:lineRule="auto"/>
        <w:jc w:val="both"/>
        <w:rPr>
          <w:rFonts w:ascii="Arial" w:hAnsi="Arial" w:cs="Arial"/>
          <w:i/>
          <w:color w:val="000000"/>
          <w:sz w:val="18"/>
          <w:szCs w:val="18"/>
          <w:lang w:val="en-GB"/>
        </w:rPr>
      </w:pPr>
      <w:r w:rsidRPr="00913F5B">
        <w:rPr>
          <w:rFonts w:ascii="Arial" w:hAnsi="Arial" w:cs="Arial"/>
          <w:i/>
          <w:color w:val="000000"/>
          <w:sz w:val="18"/>
          <w:szCs w:val="18"/>
          <w:lang w:val="en-GB"/>
        </w:rPr>
        <w:t xml:space="preserve">For the purposes of this Regulation, the following definitions apply: </w:t>
      </w:r>
    </w:p>
    <w:p w:rsidR="003441F6" w:rsidRPr="00507963" w:rsidRDefault="003441F6" w:rsidP="00223F7D">
      <w:pPr>
        <w:spacing w:line="276" w:lineRule="auto"/>
        <w:rPr>
          <w:lang w:val="en-US" w:eastAsia="en-US"/>
        </w:rPr>
      </w:pPr>
    </w:p>
    <w:p w:rsidR="003441F6" w:rsidRPr="00913F5B" w:rsidRDefault="003441F6" w:rsidP="00223F7D">
      <w:pPr>
        <w:pStyle w:val="CM4"/>
        <w:numPr>
          <w:ilvl w:val="0"/>
          <w:numId w:val="40"/>
        </w:numPr>
        <w:spacing w:line="276" w:lineRule="auto"/>
        <w:jc w:val="both"/>
        <w:rPr>
          <w:rFonts w:ascii="Arial" w:hAnsi="Arial" w:cs="Arial"/>
          <w:i/>
          <w:color w:val="000000"/>
          <w:sz w:val="18"/>
          <w:szCs w:val="18"/>
          <w:lang w:val="en-GB"/>
        </w:rPr>
      </w:pPr>
      <w:r w:rsidRPr="00913F5B">
        <w:rPr>
          <w:rFonts w:ascii="Arial" w:hAnsi="Arial" w:cs="Arial"/>
          <w:i/>
          <w:color w:val="000000"/>
          <w:sz w:val="18"/>
          <w:szCs w:val="18"/>
          <w:lang w:val="en-GB"/>
        </w:rPr>
        <w:t xml:space="preserve">‘packaged retail investment product’ or </w:t>
      </w:r>
      <w:r w:rsidRPr="00913F5B">
        <w:rPr>
          <w:rFonts w:ascii="Arial" w:hAnsi="Arial" w:cs="Arial"/>
          <w:b/>
          <w:i/>
          <w:color w:val="000000"/>
          <w:sz w:val="18"/>
          <w:szCs w:val="18"/>
          <w:lang w:val="en-GB"/>
        </w:rPr>
        <w:t xml:space="preserve">‘PRIP’ </w:t>
      </w:r>
      <w:r w:rsidRPr="00913F5B">
        <w:rPr>
          <w:rFonts w:ascii="Arial" w:hAnsi="Arial" w:cs="Arial"/>
          <w:i/>
          <w:color w:val="000000"/>
          <w:sz w:val="18"/>
          <w:szCs w:val="18"/>
          <w:lang w:val="en-GB"/>
        </w:rPr>
        <w:t xml:space="preserve">means </w:t>
      </w:r>
      <w:r w:rsidRPr="00913F5B">
        <w:rPr>
          <w:rFonts w:ascii="Arial" w:hAnsi="Arial" w:cs="Arial"/>
          <w:b/>
          <w:i/>
          <w:color w:val="000000"/>
          <w:sz w:val="18"/>
          <w:szCs w:val="18"/>
          <w:lang w:val="en-GB"/>
        </w:rPr>
        <w:t xml:space="preserve">an investment, including instruments issued by special purpose vehicles </w:t>
      </w:r>
      <w:r w:rsidRPr="00913F5B">
        <w:rPr>
          <w:rFonts w:ascii="Arial" w:hAnsi="Arial" w:cs="Arial"/>
          <w:i/>
          <w:color w:val="000000"/>
          <w:sz w:val="18"/>
          <w:szCs w:val="18"/>
          <w:lang w:val="en-GB"/>
        </w:rPr>
        <w:t xml:space="preserve">as defined in point (26) of Article 13 of Directive 2009/138/EC </w:t>
      </w:r>
      <w:r w:rsidRPr="00913F5B">
        <w:rPr>
          <w:rFonts w:ascii="Arial" w:hAnsi="Arial" w:cs="Arial"/>
          <w:b/>
          <w:i/>
          <w:color w:val="000000"/>
          <w:sz w:val="18"/>
          <w:szCs w:val="18"/>
          <w:lang w:val="en-GB"/>
        </w:rPr>
        <w:t xml:space="preserve">or securitisation special purpose entities </w:t>
      </w:r>
      <w:r w:rsidRPr="00913F5B">
        <w:rPr>
          <w:rFonts w:ascii="Arial" w:hAnsi="Arial" w:cs="Arial"/>
          <w:i/>
          <w:color w:val="000000"/>
          <w:sz w:val="18"/>
          <w:szCs w:val="18"/>
          <w:lang w:val="en-GB"/>
        </w:rPr>
        <w:t>as defined in point (an) of Article 4(1) of the Directive 2011/61/EU of the European Parliament and of the Council ( 2 ), where, regardless of the legal form of the investment, the amount repa</w:t>
      </w:r>
      <w:r w:rsidRPr="00913F5B">
        <w:rPr>
          <w:rFonts w:ascii="Arial" w:hAnsi="Arial" w:cs="Arial"/>
          <w:i/>
          <w:color w:val="000000"/>
          <w:sz w:val="18"/>
          <w:szCs w:val="18"/>
          <w:lang w:val="en-GB"/>
        </w:rPr>
        <w:t>y</w:t>
      </w:r>
      <w:r w:rsidRPr="00913F5B">
        <w:rPr>
          <w:rFonts w:ascii="Arial" w:hAnsi="Arial" w:cs="Arial"/>
          <w:i/>
          <w:color w:val="000000"/>
          <w:sz w:val="18"/>
          <w:szCs w:val="18"/>
          <w:lang w:val="en-GB"/>
        </w:rPr>
        <w:t>able to the retail investor is subject to fluctuations because of exposure to reference values or to the perfo</w:t>
      </w:r>
      <w:r w:rsidRPr="00913F5B">
        <w:rPr>
          <w:rFonts w:ascii="Arial" w:hAnsi="Arial" w:cs="Arial"/>
          <w:i/>
          <w:color w:val="000000"/>
          <w:sz w:val="18"/>
          <w:szCs w:val="18"/>
          <w:lang w:val="en-GB"/>
        </w:rPr>
        <w:t>r</w:t>
      </w:r>
      <w:r w:rsidRPr="00913F5B">
        <w:rPr>
          <w:rFonts w:ascii="Arial" w:hAnsi="Arial" w:cs="Arial"/>
          <w:i/>
          <w:color w:val="000000"/>
          <w:sz w:val="18"/>
          <w:szCs w:val="18"/>
          <w:lang w:val="en-GB"/>
        </w:rPr>
        <w:t xml:space="preserve">mance of one or more assets which are not directly purchased by the retail investor; </w:t>
      </w:r>
    </w:p>
    <w:p w:rsidR="00913F5B" w:rsidRDefault="00913F5B" w:rsidP="00223F7D">
      <w:pPr>
        <w:spacing w:line="276" w:lineRule="auto"/>
        <w:jc w:val="both"/>
        <w:rPr>
          <w:rFonts w:cs="Arial"/>
        </w:rPr>
      </w:pPr>
      <w:r>
        <w:rPr>
          <w:rFonts w:cs="Arial"/>
        </w:rPr>
        <w:lastRenderedPageBreak/>
        <w:t>Moreover, Recital 6 further differentiates the understanding of the PRIPs</w:t>
      </w:r>
    </w:p>
    <w:p w:rsidR="00913F5B" w:rsidRPr="00913F5B" w:rsidRDefault="00913F5B" w:rsidP="00223F7D">
      <w:pPr>
        <w:spacing w:line="276" w:lineRule="auto"/>
        <w:jc w:val="both"/>
        <w:rPr>
          <w:rFonts w:cs="Arial"/>
        </w:rPr>
      </w:pPr>
    </w:p>
    <w:p w:rsidR="00913F5B" w:rsidRPr="00913F5B" w:rsidRDefault="00913F5B" w:rsidP="00223F7D">
      <w:pPr>
        <w:pStyle w:val="CM4"/>
        <w:spacing w:line="276" w:lineRule="auto"/>
        <w:ind w:left="709" w:hanging="425"/>
        <w:jc w:val="both"/>
        <w:rPr>
          <w:rFonts w:ascii="Arial" w:hAnsi="Arial" w:cs="Arial"/>
          <w:i/>
          <w:color w:val="000000"/>
          <w:sz w:val="18"/>
          <w:szCs w:val="18"/>
          <w:lang w:val="en-GB"/>
        </w:rPr>
      </w:pPr>
      <w:r w:rsidRPr="00913F5B">
        <w:rPr>
          <w:rFonts w:ascii="Arial" w:hAnsi="Arial" w:cs="Arial"/>
          <w:i/>
          <w:color w:val="000000"/>
          <w:sz w:val="18"/>
          <w:szCs w:val="18"/>
          <w:lang w:val="en-GB"/>
        </w:rPr>
        <w:t xml:space="preserve">(6) </w:t>
      </w:r>
      <w:r>
        <w:rPr>
          <w:rFonts w:ascii="Arial" w:hAnsi="Arial" w:cs="Arial"/>
          <w:i/>
          <w:color w:val="000000"/>
          <w:sz w:val="18"/>
          <w:szCs w:val="18"/>
          <w:lang w:val="en-GB"/>
        </w:rPr>
        <w:t xml:space="preserve">  </w:t>
      </w:r>
      <w:r w:rsidRPr="00913F5B">
        <w:rPr>
          <w:rFonts w:ascii="Arial" w:hAnsi="Arial" w:cs="Arial"/>
          <w:i/>
          <w:color w:val="000000"/>
          <w:sz w:val="18"/>
          <w:szCs w:val="18"/>
          <w:lang w:val="en-GB"/>
        </w:rPr>
        <w:t xml:space="preserve">This Regulation should </w:t>
      </w:r>
      <w:r w:rsidRPr="00913F5B">
        <w:rPr>
          <w:rFonts w:ascii="Arial" w:hAnsi="Arial" w:cs="Arial"/>
          <w:b/>
          <w:i/>
          <w:color w:val="000000"/>
          <w:sz w:val="18"/>
          <w:szCs w:val="18"/>
          <w:lang w:val="en-GB"/>
        </w:rPr>
        <w:t>apply to all products, regardless of their form or construction, that are manufa</w:t>
      </w:r>
      <w:r w:rsidRPr="00913F5B">
        <w:rPr>
          <w:rFonts w:ascii="Arial" w:hAnsi="Arial" w:cs="Arial"/>
          <w:b/>
          <w:i/>
          <w:color w:val="000000"/>
          <w:sz w:val="18"/>
          <w:szCs w:val="18"/>
          <w:lang w:val="en-GB"/>
        </w:rPr>
        <w:t>c</w:t>
      </w:r>
      <w:r w:rsidRPr="00913F5B">
        <w:rPr>
          <w:rFonts w:ascii="Arial" w:hAnsi="Arial" w:cs="Arial"/>
          <w:b/>
          <w:i/>
          <w:color w:val="000000"/>
          <w:sz w:val="18"/>
          <w:szCs w:val="18"/>
          <w:lang w:val="en-GB"/>
        </w:rPr>
        <w:t>tured by the financial services industry to provide investment opportunities to retail investors</w:t>
      </w:r>
      <w:r w:rsidRPr="00913F5B">
        <w:rPr>
          <w:rFonts w:ascii="Arial" w:hAnsi="Arial" w:cs="Arial"/>
          <w:i/>
          <w:color w:val="000000"/>
          <w:sz w:val="18"/>
          <w:szCs w:val="18"/>
          <w:lang w:val="en-GB"/>
        </w:rPr>
        <w:t xml:space="preserve">, where the amount repayable to the retail investor is subject to fluctuation because of exposure to reference values, or subject to the performance of one or more assets which are not directly purchased by the retail investor. </w:t>
      </w:r>
      <w:r w:rsidRPr="00913F5B">
        <w:rPr>
          <w:rFonts w:ascii="Arial" w:hAnsi="Arial" w:cs="Arial"/>
          <w:b/>
          <w:i/>
          <w:color w:val="000000"/>
          <w:sz w:val="18"/>
          <w:szCs w:val="18"/>
          <w:lang w:val="en-GB"/>
        </w:rPr>
        <w:t>Those products should be known as PRIIPs for the purposes of this Regulation and should include, among other things, investment products such as investment funds, life insurance policies with an investment element, structured products and structured deposits.</w:t>
      </w:r>
      <w:r w:rsidRPr="00913F5B">
        <w:rPr>
          <w:rFonts w:ascii="Arial" w:hAnsi="Arial" w:cs="Arial"/>
          <w:i/>
          <w:color w:val="000000"/>
          <w:sz w:val="18"/>
          <w:szCs w:val="18"/>
          <w:lang w:val="en-GB"/>
        </w:rPr>
        <w:t xml:space="preserve"> Financial instruments issued by sp</w:t>
      </w:r>
      <w:r w:rsidRPr="00913F5B">
        <w:rPr>
          <w:rFonts w:ascii="Arial" w:hAnsi="Arial" w:cs="Arial"/>
          <w:i/>
          <w:color w:val="000000"/>
          <w:sz w:val="18"/>
          <w:szCs w:val="18"/>
          <w:lang w:val="en-GB"/>
        </w:rPr>
        <w:t>e</w:t>
      </w:r>
      <w:r w:rsidRPr="00913F5B">
        <w:rPr>
          <w:rFonts w:ascii="Arial" w:hAnsi="Arial" w:cs="Arial"/>
          <w:i/>
          <w:color w:val="000000"/>
          <w:sz w:val="18"/>
          <w:szCs w:val="18"/>
          <w:lang w:val="en-GB"/>
        </w:rPr>
        <w:t>cial purpose vehicles that conform to the definition of PRIIPs should also fall within the scope of this Regul</w:t>
      </w:r>
      <w:r w:rsidRPr="00913F5B">
        <w:rPr>
          <w:rFonts w:ascii="Arial" w:hAnsi="Arial" w:cs="Arial"/>
          <w:i/>
          <w:color w:val="000000"/>
          <w:sz w:val="18"/>
          <w:szCs w:val="18"/>
          <w:lang w:val="en-GB"/>
        </w:rPr>
        <w:t>a</w:t>
      </w:r>
      <w:r w:rsidRPr="00913F5B">
        <w:rPr>
          <w:rFonts w:ascii="Arial" w:hAnsi="Arial" w:cs="Arial"/>
          <w:i/>
          <w:color w:val="000000"/>
          <w:sz w:val="18"/>
          <w:szCs w:val="18"/>
          <w:lang w:val="en-GB"/>
        </w:rPr>
        <w:t>tion. For all those products, investments are not of the direct kind that is achieved when buying or holding a</w:t>
      </w:r>
      <w:r w:rsidRPr="00913F5B">
        <w:rPr>
          <w:rFonts w:ascii="Arial" w:hAnsi="Arial" w:cs="Arial"/>
          <w:i/>
          <w:color w:val="000000"/>
          <w:sz w:val="18"/>
          <w:szCs w:val="18"/>
          <w:lang w:val="en-GB"/>
        </w:rPr>
        <w:t>s</w:t>
      </w:r>
      <w:r w:rsidRPr="00913F5B">
        <w:rPr>
          <w:rFonts w:ascii="Arial" w:hAnsi="Arial" w:cs="Arial"/>
          <w:i/>
          <w:color w:val="000000"/>
          <w:sz w:val="18"/>
          <w:szCs w:val="18"/>
          <w:lang w:val="en-GB"/>
        </w:rPr>
        <w:t>sets themselves. Instead these products intercede between the retail investor and the markets through a process of packaging or wrapping together assets so as to create different exposures, provide different pro</w:t>
      </w:r>
      <w:r w:rsidRPr="00913F5B">
        <w:rPr>
          <w:rFonts w:ascii="Arial" w:hAnsi="Arial" w:cs="Arial"/>
          <w:i/>
          <w:color w:val="000000"/>
          <w:sz w:val="18"/>
          <w:szCs w:val="18"/>
          <w:lang w:val="en-GB"/>
        </w:rPr>
        <w:t>d</w:t>
      </w:r>
      <w:r w:rsidRPr="00913F5B">
        <w:rPr>
          <w:rFonts w:ascii="Arial" w:hAnsi="Arial" w:cs="Arial"/>
          <w:i/>
          <w:color w:val="000000"/>
          <w:sz w:val="18"/>
          <w:szCs w:val="18"/>
          <w:lang w:val="en-GB"/>
        </w:rPr>
        <w:t>uct features, or achieve different cost structures as compared with a direct holding. Such packaging can a</w:t>
      </w:r>
      <w:r w:rsidRPr="00913F5B">
        <w:rPr>
          <w:rFonts w:ascii="Arial" w:hAnsi="Arial" w:cs="Arial"/>
          <w:i/>
          <w:color w:val="000000"/>
          <w:sz w:val="18"/>
          <w:szCs w:val="18"/>
          <w:lang w:val="en-GB"/>
        </w:rPr>
        <w:t>l</w:t>
      </w:r>
      <w:r w:rsidRPr="00913F5B">
        <w:rPr>
          <w:rFonts w:ascii="Arial" w:hAnsi="Arial" w:cs="Arial"/>
          <w:i/>
          <w:color w:val="000000"/>
          <w:sz w:val="18"/>
          <w:szCs w:val="18"/>
          <w:lang w:val="en-GB"/>
        </w:rPr>
        <w:t>low retail investors to engage in investment strategies that would otherwise be inaccessible or impractical, but can also require additional information to be made available, in particular to enable compar</w:t>
      </w:r>
      <w:r w:rsidRPr="00913F5B">
        <w:rPr>
          <w:rFonts w:ascii="Arial" w:hAnsi="Arial" w:cs="Arial"/>
          <w:i/>
          <w:color w:val="000000"/>
          <w:sz w:val="18"/>
          <w:szCs w:val="18"/>
          <w:lang w:val="en-GB"/>
        </w:rPr>
        <w:t>i</w:t>
      </w:r>
      <w:r w:rsidRPr="00913F5B">
        <w:rPr>
          <w:rFonts w:ascii="Arial" w:hAnsi="Arial" w:cs="Arial"/>
          <w:i/>
          <w:color w:val="000000"/>
          <w:sz w:val="18"/>
          <w:szCs w:val="18"/>
          <w:lang w:val="en-GB"/>
        </w:rPr>
        <w:t>sons between different ways of packaging investments.</w:t>
      </w:r>
    </w:p>
    <w:p w:rsidR="00913F5B" w:rsidRDefault="00913F5B" w:rsidP="00223F7D">
      <w:pPr>
        <w:spacing w:line="276" w:lineRule="auto"/>
        <w:jc w:val="both"/>
        <w:rPr>
          <w:rFonts w:cs="Arial"/>
        </w:rPr>
      </w:pPr>
    </w:p>
    <w:p w:rsidR="003441F6" w:rsidRDefault="003441F6" w:rsidP="00223F7D">
      <w:pPr>
        <w:spacing w:line="276" w:lineRule="auto"/>
        <w:jc w:val="both"/>
        <w:rPr>
          <w:rFonts w:cs="Arial"/>
        </w:rPr>
      </w:pPr>
      <w:r w:rsidRPr="00B72613">
        <w:rPr>
          <w:rFonts w:cs="Arial"/>
        </w:rPr>
        <w:t>As such</w:t>
      </w:r>
      <w:r>
        <w:rPr>
          <w:rFonts w:cs="Arial"/>
        </w:rPr>
        <w:t>, it is clearly laid down</w:t>
      </w:r>
      <w:r w:rsidRPr="00B72613">
        <w:rPr>
          <w:rFonts w:cs="Arial"/>
        </w:rPr>
        <w:t xml:space="preserve"> </w:t>
      </w:r>
      <w:r>
        <w:rPr>
          <w:rFonts w:cs="Arial"/>
        </w:rPr>
        <w:t xml:space="preserve">in the Regulation that when referring to a ‘PRIIP’, what is meant is an investment including instruments issued by a </w:t>
      </w:r>
      <w:r w:rsidRPr="00B72613">
        <w:rPr>
          <w:rFonts w:cs="Arial"/>
        </w:rPr>
        <w:t>special purpose vehicle</w:t>
      </w:r>
      <w:r>
        <w:rPr>
          <w:rFonts w:cs="Arial"/>
        </w:rPr>
        <w:t xml:space="preserve"> or securitized instruments by sp</w:t>
      </w:r>
      <w:r>
        <w:rPr>
          <w:rFonts w:cs="Arial"/>
        </w:rPr>
        <w:t>e</w:t>
      </w:r>
      <w:r w:rsidR="00913F5B">
        <w:rPr>
          <w:rFonts w:cs="Arial"/>
        </w:rPr>
        <w:t>cial purpose entities, besides the traditional investment funds.</w:t>
      </w:r>
    </w:p>
    <w:p w:rsidR="003441F6" w:rsidRDefault="003441F6" w:rsidP="00223F7D">
      <w:pPr>
        <w:spacing w:line="276" w:lineRule="auto"/>
        <w:jc w:val="both"/>
        <w:rPr>
          <w:rFonts w:cs="Arial"/>
        </w:rPr>
      </w:pPr>
    </w:p>
    <w:p w:rsidR="003441F6" w:rsidRDefault="003441F6" w:rsidP="00223F7D">
      <w:pPr>
        <w:spacing w:line="276" w:lineRule="auto"/>
        <w:jc w:val="both"/>
        <w:rPr>
          <w:rFonts w:cs="Arial"/>
        </w:rPr>
      </w:pPr>
      <w:r>
        <w:rPr>
          <w:rFonts w:cs="Arial"/>
        </w:rPr>
        <w:t>In addition, the definition of a ‘PRIIP manufacturer’ (Article 4(4) of the PRIIPs Regulation) refers back to the PRIP/PRIIP definition:</w:t>
      </w:r>
    </w:p>
    <w:p w:rsidR="003441F6" w:rsidRDefault="003441F6" w:rsidP="00223F7D">
      <w:pPr>
        <w:spacing w:line="276" w:lineRule="auto"/>
        <w:jc w:val="both"/>
        <w:rPr>
          <w:rFonts w:cs="Arial"/>
        </w:rPr>
      </w:pPr>
    </w:p>
    <w:p w:rsidR="003441F6" w:rsidRPr="00913F5B" w:rsidRDefault="003441F6" w:rsidP="00223F7D">
      <w:pPr>
        <w:pStyle w:val="CM4"/>
        <w:numPr>
          <w:ilvl w:val="0"/>
          <w:numId w:val="41"/>
        </w:numPr>
        <w:spacing w:line="276" w:lineRule="auto"/>
        <w:jc w:val="both"/>
        <w:rPr>
          <w:rFonts w:ascii="Arial" w:hAnsi="Arial" w:cs="Arial"/>
          <w:i/>
          <w:color w:val="000000"/>
          <w:sz w:val="18"/>
          <w:szCs w:val="18"/>
          <w:lang w:val="en-GB"/>
        </w:rPr>
      </w:pPr>
      <w:r w:rsidRPr="00913F5B">
        <w:rPr>
          <w:rFonts w:ascii="Arial" w:hAnsi="Arial" w:cs="Arial"/>
          <w:i/>
          <w:color w:val="000000"/>
          <w:sz w:val="18"/>
          <w:szCs w:val="18"/>
          <w:lang w:val="en-GB"/>
        </w:rPr>
        <w:t xml:space="preserve"> ‘packaged retail and insurance-based investment product manufacturer’ or ‘</w:t>
      </w:r>
      <w:r w:rsidRPr="00913F5B">
        <w:rPr>
          <w:rFonts w:ascii="Arial" w:hAnsi="Arial" w:cs="Arial"/>
          <w:b/>
          <w:i/>
          <w:color w:val="000000"/>
          <w:sz w:val="18"/>
          <w:szCs w:val="18"/>
          <w:lang w:val="en-GB"/>
        </w:rPr>
        <w:t>PRIIP manufacturer’</w:t>
      </w:r>
      <w:r w:rsidRPr="00913F5B">
        <w:rPr>
          <w:rFonts w:ascii="Arial" w:hAnsi="Arial" w:cs="Arial"/>
          <w:i/>
          <w:color w:val="000000"/>
          <w:sz w:val="18"/>
          <w:szCs w:val="18"/>
          <w:lang w:val="en-GB"/>
        </w:rPr>
        <w:t xml:space="preserve"> means:</w:t>
      </w:r>
    </w:p>
    <w:p w:rsidR="003441F6" w:rsidRPr="00E41415" w:rsidRDefault="003441F6" w:rsidP="00223F7D">
      <w:pPr>
        <w:spacing w:line="276" w:lineRule="auto"/>
        <w:rPr>
          <w:lang w:val="en-US" w:eastAsia="en-US"/>
        </w:rPr>
      </w:pPr>
    </w:p>
    <w:p w:rsidR="003441F6" w:rsidRPr="00913F5B" w:rsidRDefault="003441F6" w:rsidP="00223F7D">
      <w:pPr>
        <w:pStyle w:val="CM4"/>
        <w:spacing w:line="276" w:lineRule="auto"/>
        <w:ind w:left="426" w:firstLine="294"/>
        <w:jc w:val="both"/>
        <w:rPr>
          <w:rFonts w:ascii="Arial" w:hAnsi="Arial" w:cs="Arial"/>
          <w:i/>
          <w:color w:val="000000"/>
          <w:sz w:val="18"/>
          <w:szCs w:val="18"/>
          <w:lang w:val="en-GB"/>
        </w:rPr>
      </w:pPr>
      <w:r w:rsidRPr="00913F5B">
        <w:rPr>
          <w:rFonts w:ascii="Arial" w:hAnsi="Arial" w:cs="Arial"/>
          <w:i/>
          <w:color w:val="000000"/>
          <w:sz w:val="18"/>
          <w:szCs w:val="18"/>
          <w:lang w:val="en-GB"/>
        </w:rPr>
        <w:t xml:space="preserve">(a) </w:t>
      </w:r>
      <w:r w:rsidRPr="00913F5B">
        <w:rPr>
          <w:rFonts w:ascii="Arial" w:hAnsi="Arial" w:cs="Arial"/>
          <w:b/>
          <w:i/>
          <w:color w:val="000000"/>
          <w:sz w:val="18"/>
          <w:szCs w:val="18"/>
          <w:lang w:val="en-GB"/>
        </w:rPr>
        <w:t>any entity that manufactures PRIIPs;</w:t>
      </w:r>
      <w:r w:rsidRPr="00913F5B">
        <w:rPr>
          <w:rFonts w:ascii="Arial" w:hAnsi="Arial" w:cs="Arial"/>
          <w:i/>
          <w:color w:val="000000"/>
          <w:sz w:val="18"/>
          <w:szCs w:val="18"/>
          <w:lang w:val="en-GB"/>
        </w:rPr>
        <w:t xml:space="preserve"> </w:t>
      </w:r>
    </w:p>
    <w:p w:rsidR="003441F6" w:rsidRPr="00913F5B" w:rsidRDefault="003441F6" w:rsidP="00223F7D">
      <w:pPr>
        <w:pStyle w:val="CM4"/>
        <w:spacing w:line="276" w:lineRule="auto"/>
        <w:ind w:left="720"/>
        <w:jc w:val="both"/>
        <w:rPr>
          <w:rFonts w:ascii="Arial" w:hAnsi="Arial" w:cs="Arial"/>
          <w:i/>
          <w:color w:val="000000"/>
          <w:sz w:val="18"/>
          <w:szCs w:val="18"/>
          <w:lang w:val="en-GB"/>
        </w:rPr>
      </w:pPr>
    </w:p>
    <w:p w:rsidR="003441F6" w:rsidRPr="00913F5B" w:rsidRDefault="003441F6" w:rsidP="00223F7D">
      <w:pPr>
        <w:pStyle w:val="CM4"/>
        <w:spacing w:line="276" w:lineRule="auto"/>
        <w:ind w:left="720"/>
        <w:jc w:val="both"/>
        <w:rPr>
          <w:rFonts w:ascii="Arial" w:hAnsi="Arial" w:cs="Arial"/>
          <w:i/>
          <w:color w:val="000000"/>
          <w:sz w:val="18"/>
          <w:szCs w:val="18"/>
          <w:lang w:val="en-GB"/>
        </w:rPr>
      </w:pPr>
      <w:r w:rsidRPr="00913F5B">
        <w:rPr>
          <w:rFonts w:ascii="Arial" w:hAnsi="Arial" w:cs="Arial"/>
          <w:i/>
          <w:color w:val="000000"/>
          <w:sz w:val="18"/>
          <w:szCs w:val="18"/>
          <w:lang w:val="en-GB"/>
        </w:rPr>
        <w:t xml:space="preserve">(b) any entity that makes </w:t>
      </w:r>
      <w:r w:rsidRPr="00913F5B">
        <w:rPr>
          <w:rFonts w:ascii="Arial" w:hAnsi="Arial" w:cs="Arial"/>
          <w:b/>
          <w:i/>
          <w:color w:val="000000"/>
          <w:sz w:val="18"/>
          <w:szCs w:val="18"/>
          <w:lang w:val="en-GB"/>
        </w:rPr>
        <w:t>changes to an existing PRIIP</w:t>
      </w:r>
      <w:r w:rsidRPr="00913F5B">
        <w:rPr>
          <w:rFonts w:ascii="Arial" w:hAnsi="Arial" w:cs="Arial"/>
          <w:i/>
          <w:color w:val="000000"/>
          <w:sz w:val="18"/>
          <w:szCs w:val="18"/>
          <w:lang w:val="en-GB"/>
        </w:rPr>
        <w:t xml:space="preserve"> including, but not limited to, altering its risk and r</w:t>
      </w:r>
      <w:r w:rsidRPr="00913F5B">
        <w:rPr>
          <w:rFonts w:ascii="Arial" w:hAnsi="Arial" w:cs="Arial"/>
          <w:i/>
          <w:color w:val="000000"/>
          <w:sz w:val="18"/>
          <w:szCs w:val="18"/>
          <w:lang w:val="en-GB"/>
        </w:rPr>
        <w:t>e</w:t>
      </w:r>
      <w:r w:rsidRPr="00913F5B">
        <w:rPr>
          <w:rFonts w:ascii="Arial" w:hAnsi="Arial" w:cs="Arial"/>
          <w:i/>
          <w:color w:val="000000"/>
          <w:sz w:val="18"/>
          <w:szCs w:val="18"/>
          <w:lang w:val="en-GB"/>
        </w:rPr>
        <w:t xml:space="preserve">ward profile or the costs associated with an investment in a PRIIP; </w:t>
      </w:r>
    </w:p>
    <w:p w:rsidR="003441F6" w:rsidRPr="004719AF" w:rsidRDefault="003441F6" w:rsidP="00223F7D">
      <w:pPr>
        <w:spacing w:line="276" w:lineRule="auto"/>
        <w:jc w:val="both"/>
        <w:rPr>
          <w:rFonts w:cs="Arial"/>
          <w:sz w:val="18"/>
          <w:szCs w:val="18"/>
        </w:rPr>
      </w:pPr>
    </w:p>
    <w:p w:rsidR="003441F6" w:rsidRPr="00913F5B" w:rsidRDefault="003441F6" w:rsidP="00223F7D">
      <w:pPr>
        <w:spacing w:line="276" w:lineRule="auto"/>
        <w:jc w:val="both"/>
        <w:rPr>
          <w:rFonts w:cs="Arial"/>
          <w:b/>
          <w:i/>
        </w:rPr>
      </w:pPr>
      <w:r w:rsidRPr="0033249D">
        <w:rPr>
          <w:rFonts w:cs="Arial"/>
          <w:b/>
        </w:rPr>
        <w:t>Clearly, regulated markets/exchanges are not issuers, and are not a special purpose vehicle offe</w:t>
      </w:r>
      <w:r w:rsidRPr="0033249D">
        <w:rPr>
          <w:rFonts w:cs="Arial"/>
          <w:b/>
        </w:rPr>
        <w:t>r</w:t>
      </w:r>
      <w:r w:rsidRPr="0033249D">
        <w:rPr>
          <w:rFonts w:cs="Arial"/>
          <w:b/>
        </w:rPr>
        <w:t>ing an investment, and are also not securitizing instruments. As a consequence, a regulated ma</w:t>
      </w:r>
      <w:r w:rsidRPr="0033249D">
        <w:rPr>
          <w:rFonts w:cs="Arial"/>
          <w:b/>
        </w:rPr>
        <w:t>r</w:t>
      </w:r>
      <w:r w:rsidRPr="0033249D">
        <w:rPr>
          <w:rFonts w:cs="Arial"/>
          <w:b/>
        </w:rPr>
        <w:t>ket is not ca</w:t>
      </w:r>
      <w:r w:rsidRPr="0033249D">
        <w:rPr>
          <w:rFonts w:cs="Arial"/>
          <w:b/>
        </w:rPr>
        <w:t>p</w:t>
      </w:r>
      <w:r w:rsidRPr="0033249D">
        <w:rPr>
          <w:rFonts w:cs="Arial"/>
          <w:b/>
        </w:rPr>
        <w:t>tured in this definition in Article 4(1).</w:t>
      </w:r>
      <w:r>
        <w:rPr>
          <w:rFonts w:cs="Arial"/>
        </w:rPr>
        <w:t xml:space="preserve"> Stemming from this understanding, it is further concluded that a regulated market is also not a manufacturer, since the definition in Article 4(4) describes a manufacturer as an entity that is manufacturing such PRIPs/PRIIPs and thus refers back to Article 4(1). Moreover, Recital 12 of the PRIIPs Regulation gives further guidance on the understanding of who actua</w:t>
      </w:r>
      <w:r>
        <w:rPr>
          <w:rFonts w:cs="Arial"/>
        </w:rPr>
        <w:t>l</w:t>
      </w:r>
      <w:r>
        <w:rPr>
          <w:rFonts w:cs="Arial"/>
        </w:rPr>
        <w:t xml:space="preserve">ly would qualify as a </w:t>
      </w:r>
      <w:r w:rsidRPr="00913F5B">
        <w:rPr>
          <w:rFonts w:cs="Arial"/>
          <w:b/>
          <w:i/>
        </w:rPr>
        <w:t>PRIIP manufacturer, namely, a fund manager, insurance undertaking, credit institution or investment firm.</w:t>
      </w:r>
    </w:p>
    <w:p w:rsidR="003441F6" w:rsidRDefault="003441F6" w:rsidP="00223F7D">
      <w:pPr>
        <w:spacing w:line="276" w:lineRule="auto"/>
        <w:jc w:val="both"/>
        <w:rPr>
          <w:rFonts w:cs="Arial"/>
        </w:rPr>
      </w:pPr>
    </w:p>
    <w:p w:rsidR="006460C4" w:rsidRDefault="006460C4" w:rsidP="006460C4">
      <w:pPr>
        <w:spacing w:line="276" w:lineRule="auto"/>
        <w:jc w:val="both"/>
        <w:rPr>
          <w:rFonts w:cs="Calibri"/>
          <w:lang w:val="en-US"/>
        </w:rPr>
      </w:pPr>
      <w:r>
        <w:rPr>
          <w:rFonts w:cs="Calibri"/>
          <w:lang w:val="en-US"/>
        </w:rPr>
        <w:t>An important additional reference can be found in Section 3.4.1 of the Commission Proposal’s Explanatory Me</w:t>
      </w:r>
      <w:r>
        <w:rPr>
          <w:rFonts w:cs="Calibri"/>
          <w:lang w:val="en-US"/>
        </w:rPr>
        <w:t>m</w:t>
      </w:r>
      <w:r>
        <w:rPr>
          <w:rFonts w:cs="Calibri"/>
          <w:lang w:val="en-US"/>
        </w:rPr>
        <w:t>orandum which states that:</w:t>
      </w:r>
    </w:p>
    <w:p w:rsidR="006460C4" w:rsidRDefault="006460C4" w:rsidP="006460C4">
      <w:pPr>
        <w:spacing w:line="276" w:lineRule="auto"/>
        <w:jc w:val="both"/>
        <w:rPr>
          <w:rFonts w:cs="Calibri"/>
          <w:lang w:val="en-US"/>
        </w:rPr>
      </w:pPr>
    </w:p>
    <w:p w:rsidR="006460C4" w:rsidRPr="007077CB" w:rsidRDefault="006460C4" w:rsidP="006460C4">
      <w:pPr>
        <w:spacing w:line="276" w:lineRule="auto"/>
        <w:ind w:left="720"/>
        <w:jc w:val="both"/>
        <w:rPr>
          <w:rFonts w:cs="Calibri"/>
          <w:i/>
          <w:sz w:val="18"/>
          <w:szCs w:val="18"/>
          <w:lang w:val="en-US"/>
        </w:rPr>
      </w:pPr>
      <w:r w:rsidRPr="007077CB">
        <w:rPr>
          <w:rFonts w:cs="Calibri"/>
          <w:i/>
          <w:sz w:val="18"/>
          <w:szCs w:val="18"/>
          <w:lang w:val="en-US"/>
        </w:rPr>
        <w:t xml:space="preserve">“Such investment products expose the investor to fluctuations in the market value of assets or in the payouts to be achieved from assets. But this exposure is not of the direct kind, as for instance when an investor buys specific assets themselves. </w:t>
      </w:r>
      <w:r w:rsidRPr="007077CB">
        <w:rPr>
          <w:rFonts w:cs="Calibri"/>
          <w:i/>
          <w:sz w:val="18"/>
          <w:szCs w:val="18"/>
          <w:u w:val="single"/>
          <w:lang w:val="en-US"/>
        </w:rPr>
        <w:t>Instead these products and those that manufacture them intercede between the investor and the markets</w:t>
      </w:r>
      <w:r w:rsidRPr="007077CB">
        <w:rPr>
          <w:rFonts w:cs="Calibri"/>
          <w:i/>
          <w:sz w:val="18"/>
          <w:szCs w:val="18"/>
          <w:lang w:val="en-US"/>
        </w:rPr>
        <w:t xml:space="preserve">, </w:t>
      </w:r>
      <w:r w:rsidRPr="007077CB">
        <w:rPr>
          <w:rFonts w:cs="Calibri"/>
          <w:i/>
          <w:sz w:val="18"/>
          <w:szCs w:val="18"/>
          <w:u w:val="single"/>
          <w:lang w:val="en-US"/>
        </w:rPr>
        <w:t>through a combination of wrapping of those assets, or other mechanisms that di</w:t>
      </w:r>
      <w:r w:rsidRPr="007077CB">
        <w:rPr>
          <w:rFonts w:cs="Calibri"/>
          <w:i/>
          <w:sz w:val="18"/>
          <w:szCs w:val="18"/>
          <w:u w:val="single"/>
          <w:lang w:val="en-US"/>
        </w:rPr>
        <w:t>f</w:t>
      </w:r>
      <w:r w:rsidRPr="007077CB">
        <w:rPr>
          <w:rFonts w:cs="Calibri"/>
          <w:i/>
          <w:sz w:val="18"/>
          <w:szCs w:val="18"/>
          <w:u w:val="single"/>
          <w:lang w:val="en-US"/>
        </w:rPr>
        <w:t xml:space="preserve">fer from a direct holding </w:t>
      </w:r>
      <w:r w:rsidRPr="007077CB">
        <w:rPr>
          <w:rFonts w:cs="Calibri"/>
          <w:i/>
          <w:sz w:val="18"/>
          <w:szCs w:val="18"/>
          <w:lang w:val="en-US"/>
        </w:rPr>
        <w:t xml:space="preserve">("packaging"). </w:t>
      </w:r>
    </w:p>
    <w:p w:rsidR="006460C4" w:rsidRDefault="006460C4" w:rsidP="006460C4">
      <w:pPr>
        <w:spacing w:line="276" w:lineRule="auto"/>
        <w:jc w:val="both"/>
        <w:rPr>
          <w:rFonts w:cstheme="minorBidi"/>
          <w:lang w:val="en-US"/>
        </w:rPr>
      </w:pPr>
    </w:p>
    <w:p w:rsidR="006460C4" w:rsidRDefault="006460C4" w:rsidP="006460C4">
      <w:pPr>
        <w:spacing w:line="276" w:lineRule="auto"/>
        <w:jc w:val="both"/>
        <w:rPr>
          <w:rFonts w:cs="Calibri"/>
          <w:lang w:val="en-US"/>
        </w:rPr>
      </w:pPr>
      <w:r>
        <w:rPr>
          <w:lang w:val="en-US"/>
        </w:rPr>
        <w:t xml:space="preserve">Listed derivatives such as options and futures do not match this description and therefore do not fulfill the criteria established in the PRIIPs Regulation. They are contracts, the </w:t>
      </w:r>
      <w:r w:rsidRPr="00507963">
        <w:rPr>
          <w:lang w:val="en-US"/>
        </w:rPr>
        <w:t xml:space="preserve">conditions of which are designed by </w:t>
      </w:r>
      <w:r w:rsidRPr="00507963">
        <w:rPr>
          <w:lang w:val="en-US"/>
        </w:rPr>
        <w:lastRenderedPageBreak/>
        <w:t xml:space="preserve">Regulated Markets. In no way does a Regulated Market intercede between the market and the investors, as we are the market. </w:t>
      </w:r>
      <w:r w:rsidRPr="00507963">
        <w:rPr>
          <w:rFonts w:cs="Calibri"/>
          <w:lang w:val="en-US"/>
        </w:rPr>
        <w:t>Regulated Markets publish the conditions for their contracts on their website (which lists all of the information on the products and is available for everyone to read) and the traders (be it</w:t>
      </w:r>
      <w:r>
        <w:rPr>
          <w:rFonts w:cs="Calibri"/>
          <w:lang w:val="en-US"/>
        </w:rPr>
        <w:t xml:space="preserve"> professional or brokers acting on behalf of their clients) buy and sell these products. </w:t>
      </w:r>
    </w:p>
    <w:p w:rsidR="006460C4" w:rsidRDefault="006460C4" w:rsidP="00223F7D">
      <w:pPr>
        <w:spacing w:line="276" w:lineRule="auto"/>
        <w:jc w:val="both"/>
        <w:rPr>
          <w:rFonts w:cs="Arial"/>
        </w:rPr>
      </w:pPr>
    </w:p>
    <w:p w:rsidR="003441F6" w:rsidRDefault="00913F5B" w:rsidP="00223F7D">
      <w:pPr>
        <w:spacing w:line="276" w:lineRule="auto"/>
        <w:jc w:val="both"/>
      </w:pPr>
      <w:r>
        <w:t>Regulated markets are neutral market places, offering opportunity for trading. They are neutral and do not assume any position and do not</w:t>
      </w:r>
      <w:r w:rsidR="00D818DC">
        <w:t xml:space="preserve"> provide judgement or guidance on what instrument to enter into. E</w:t>
      </w:r>
      <w:r w:rsidR="00D818DC">
        <w:t>x</w:t>
      </w:r>
      <w:r w:rsidR="00D818DC">
        <w:t xml:space="preserve">change traded derivatives contracts provide a framework for parties to agree on, and only when parties agree, the contract comes into existence. An exchange is not the seller, or buyer, of any investment, and thus cannot be captured as a manufacturer. By law, the exchange is required to be a neutral trading platform regulated under public law. </w:t>
      </w:r>
    </w:p>
    <w:p w:rsidR="00D818DC" w:rsidRPr="00D818DC" w:rsidRDefault="00D818DC" w:rsidP="00223F7D">
      <w:pPr>
        <w:spacing w:line="276" w:lineRule="auto"/>
        <w:jc w:val="both"/>
      </w:pPr>
    </w:p>
    <w:p w:rsidR="003441F6" w:rsidRDefault="003441F6" w:rsidP="00223F7D">
      <w:pPr>
        <w:spacing w:line="276" w:lineRule="auto"/>
        <w:jc w:val="both"/>
        <w:rPr>
          <w:rFonts w:cs="Calibri"/>
          <w:lang w:val="en-US"/>
        </w:rPr>
      </w:pPr>
      <w:r w:rsidRPr="00507963">
        <w:rPr>
          <w:rFonts w:cs="Calibri"/>
          <w:lang w:val="en-US"/>
        </w:rPr>
        <w:t xml:space="preserve">Furthermore, options and futures are not packaged, and do not modify the nature of the exposure of the purchaser to the underlying. In listed derivatives such as </w:t>
      </w:r>
      <w:r w:rsidR="0033249D">
        <w:rPr>
          <w:rFonts w:cs="Calibri"/>
          <w:lang w:val="en-US"/>
        </w:rPr>
        <w:t>o</w:t>
      </w:r>
      <w:r w:rsidRPr="00507963">
        <w:rPr>
          <w:rFonts w:cs="Calibri"/>
          <w:lang w:val="en-US"/>
        </w:rPr>
        <w:t xml:space="preserve">ptions and </w:t>
      </w:r>
      <w:r w:rsidR="0033249D">
        <w:rPr>
          <w:rFonts w:cs="Calibri"/>
          <w:lang w:val="en-US"/>
        </w:rPr>
        <w:t>f</w:t>
      </w:r>
      <w:r w:rsidRPr="00507963">
        <w:rPr>
          <w:rFonts w:cs="Calibri"/>
          <w:lang w:val="en-US"/>
        </w:rPr>
        <w:t>utures, there are no additional layers of complexity, or packaging which would make the investment less transparent. There is no cre</w:t>
      </w:r>
      <w:r w:rsidRPr="00507963">
        <w:rPr>
          <w:rFonts w:cs="Calibri"/>
          <w:lang w:val="en-US"/>
        </w:rPr>
        <w:t>a</w:t>
      </w:r>
      <w:r w:rsidRPr="00507963">
        <w:rPr>
          <w:rFonts w:cs="Calibri"/>
          <w:lang w:val="en-US"/>
        </w:rPr>
        <w:t>tion or packaging of specifically tailored products that promise or indicate a return on investment</w:t>
      </w:r>
      <w:r>
        <w:rPr>
          <w:rFonts w:cs="Calibri"/>
          <w:lang w:val="en-US"/>
        </w:rPr>
        <w:t>. The opposite is the case: options and futures do not promise any return on investment but simply reflect the direction of the underlying and traders can use that (for instance) as a hedge to their equity investments. In this respect we cannot see how this proposal was ever intended to - and could - legally capture these products.</w:t>
      </w:r>
    </w:p>
    <w:p w:rsidR="00A9691F" w:rsidRDefault="00A9691F" w:rsidP="00223F7D">
      <w:pPr>
        <w:spacing w:line="276" w:lineRule="auto"/>
        <w:jc w:val="both"/>
        <w:rPr>
          <w:rFonts w:cs="Calibri"/>
          <w:lang w:val="en-US"/>
        </w:rPr>
      </w:pPr>
    </w:p>
    <w:p w:rsidR="00A9691F" w:rsidRDefault="00A9691F" w:rsidP="00223F7D">
      <w:pPr>
        <w:spacing w:line="276" w:lineRule="auto"/>
        <w:jc w:val="both"/>
        <w:rPr>
          <w:rFonts w:cs="Calibri"/>
          <w:lang w:val="en-US"/>
        </w:rPr>
      </w:pPr>
      <w:r>
        <w:rPr>
          <w:rFonts w:cs="Calibri"/>
          <w:lang w:val="en-US"/>
        </w:rPr>
        <w:t>The description of listed derivatives we provide clearly demonstrates that the criteria of the definition of a packaged retail investment product that were originally captured by the regulation are not fulfilled. E</w:t>
      </w:r>
      <w:r>
        <w:rPr>
          <w:rFonts w:cs="Calibri"/>
          <w:lang w:val="en-US"/>
        </w:rPr>
        <w:t>x</w:t>
      </w:r>
      <w:r>
        <w:rPr>
          <w:rFonts w:cs="Calibri"/>
          <w:lang w:val="en-US"/>
        </w:rPr>
        <w:t xml:space="preserve">change traded/ listed derivatives are traded transparently on a highly regulated neutral trading platform. Information is readily available on the website, the instruments are highly standardized and each product has contract specifications. Our understanding has been that the PRIIPs regulation intended to capture investments, substitutes to funds, in order to increase transparency und understanding in the funds and structured finance industry, especially after the financial crisis and the fall of Lehmann. </w:t>
      </w:r>
    </w:p>
    <w:p w:rsidR="00A9691F" w:rsidRDefault="00A9691F" w:rsidP="00223F7D">
      <w:pPr>
        <w:spacing w:line="276" w:lineRule="auto"/>
        <w:jc w:val="both"/>
        <w:rPr>
          <w:rFonts w:cs="Calibri"/>
          <w:lang w:val="en-US"/>
        </w:rPr>
      </w:pPr>
    </w:p>
    <w:p w:rsidR="00A9691F" w:rsidRDefault="00A9691F" w:rsidP="00223F7D">
      <w:pPr>
        <w:spacing w:line="276" w:lineRule="auto"/>
        <w:jc w:val="both"/>
        <w:rPr>
          <w:rFonts w:cs="Calibri"/>
          <w:lang w:val="en-US"/>
        </w:rPr>
      </w:pPr>
      <w:r>
        <w:rPr>
          <w:rFonts w:cs="Calibri"/>
          <w:lang w:val="en-US"/>
        </w:rPr>
        <w:t>The G20 has come to the conclusion that increased transparency and efficient processes need to be introduced in all markets, like in the case of neutral market places, like regulated markets and exchange traded/ listed derivatives, who served as a blueprint. It is therefore understood that exchanges already satisfy all transparency requirements.</w:t>
      </w:r>
    </w:p>
    <w:p w:rsidR="00A9691F" w:rsidRDefault="00A9691F" w:rsidP="00223F7D">
      <w:pPr>
        <w:spacing w:line="276" w:lineRule="auto"/>
        <w:jc w:val="both"/>
        <w:rPr>
          <w:rFonts w:cs="Calibri"/>
          <w:lang w:val="en-US"/>
        </w:rPr>
      </w:pPr>
    </w:p>
    <w:p w:rsidR="00D818DC" w:rsidRDefault="00A9691F" w:rsidP="00223F7D">
      <w:pPr>
        <w:spacing w:line="276" w:lineRule="auto"/>
        <w:jc w:val="both"/>
        <w:rPr>
          <w:rFonts w:cs="Calibri"/>
          <w:lang w:val="en-US"/>
        </w:rPr>
      </w:pPr>
      <w:r>
        <w:rPr>
          <w:rFonts w:cs="Calibri"/>
          <w:lang w:val="en-US"/>
        </w:rPr>
        <w:t>It is the understanding that the products in scope that qualify as PRIIPs are not exchange traded deriv</w:t>
      </w:r>
      <w:r>
        <w:rPr>
          <w:rFonts w:cs="Calibri"/>
          <w:lang w:val="en-US"/>
        </w:rPr>
        <w:t>a</w:t>
      </w:r>
      <w:r>
        <w:rPr>
          <w:rFonts w:cs="Calibri"/>
          <w:lang w:val="en-US"/>
        </w:rPr>
        <w:t xml:space="preserve">tives. </w:t>
      </w:r>
      <w:r w:rsidR="00D818DC">
        <w:rPr>
          <w:rFonts w:cs="Calibri"/>
          <w:lang w:val="en-US"/>
        </w:rPr>
        <w:t>In this regard, we also would like to refer to the Communication from the Commission to the</w:t>
      </w:r>
      <w:r w:rsidR="00D818DC" w:rsidRPr="00D818DC">
        <w:rPr>
          <w:rFonts w:cs="Calibri"/>
          <w:lang w:val="en-US"/>
        </w:rPr>
        <w:t xml:space="preserve"> E</w:t>
      </w:r>
      <w:r w:rsidR="00D818DC">
        <w:rPr>
          <w:rFonts w:cs="Calibri"/>
          <w:lang w:val="en-US"/>
        </w:rPr>
        <w:t>ur</w:t>
      </w:r>
      <w:r w:rsidR="00D818DC">
        <w:rPr>
          <w:rFonts w:cs="Calibri"/>
          <w:lang w:val="en-US"/>
        </w:rPr>
        <w:t>o</w:t>
      </w:r>
      <w:r w:rsidR="00D818DC">
        <w:rPr>
          <w:rFonts w:cs="Calibri"/>
          <w:lang w:val="en-US"/>
        </w:rPr>
        <w:t>pean</w:t>
      </w:r>
      <w:r>
        <w:rPr>
          <w:rFonts w:cs="Calibri"/>
          <w:lang w:val="en-US"/>
        </w:rPr>
        <w:t xml:space="preserve"> </w:t>
      </w:r>
      <w:r w:rsidR="00D818DC">
        <w:rPr>
          <w:rFonts w:cs="Calibri"/>
          <w:lang w:val="en-US"/>
        </w:rPr>
        <w:t xml:space="preserve">Parliament and the Council on Packaged Retail Investment Products (April 30, 2009). </w:t>
      </w:r>
      <w:r>
        <w:rPr>
          <w:rFonts w:cs="Calibri"/>
          <w:lang w:val="en-US"/>
        </w:rPr>
        <w:t>The unde</w:t>
      </w:r>
      <w:r>
        <w:rPr>
          <w:rFonts w:cs="Calibri"/>
          <w:lang w:val="en-US"/>
        </w:rPr>
        <w:t>r</w:t>
      </w:r>
      <w:r>
        <w:rPr>
          <w:rFonts w:cs="Calibri"/>
          <w:lang w:val="en-US"/>
        </w:rPr>
        <w:t>standing is depicted under Level 1 on</w:t>
      </w:r>
      <w:r w:rsidR="00D818DC">
        <w:rPr>
          <w:rFonts w:cs="Calibri"/>
          <w:lang w:val="en-US"/>
        </w:rPr>
        <w:t xml:space="preserve"> which products are in scope of the regulation. See page 3 and 4 </w:t>
      </w:r>
      <w:r w:rsidR="00D818DC" w:rsidRPr="00A9691F">
        <w:rPr>
          <w:rFonts w:cs="Calibri"/>
          <w:lang w:val="en-US"/>
        </w:rPr>
        <w:t>Box 1: Families of Packaged Retail Investment Products</w:t>
      </w:r>
      <w:r>
        <w:rPr>
          <w:rFonts w:cs="Calibri"/>
          <w:lang w:val="en-US"/>
        </w:rPr>
        <w:t>:</w:t>
      </w:r>
    </w:p>
    <w:p w:rsidR="00A9691F" w:rsidRPr="00A9691F" w:rsidRDefault="00A9691F" w:rsidP="00223F7D">
      <w:pPr>
        <w:spacing w:line="276" w:lineRule="auto"/>
        <w:jc w:val="both"/>
        <w:rPr>
          <w:rFonts w:cs="Calibri"/>
          <w:lang w:val="en-US"/>
        </w:rPr>
      </w:pPr>
    </w:p>
    <w:p w:rsidR="00D818DC" w:rsidRPr="00A9691F" w:rsidRDefault="00D818DC" w:rsidP="00223F7D">
      <w:pPr>
        <w:spacing w:line="276" w:lineRule="auto"/>
        <w:jc w:val="both"/>
        <w:rPr>
          <w:rFonts w:cs="Calibri"/>
          <w:lang w:val="en-US"/>
        </w:rPr>
      </w:pPr>
      <w:r w:rsidRPr="00A9691F">
        <w:rPr>
          <w:rFonts w:cs="Calibri"/>
          <w:lang w:val="en-US"/>
        </w:rPr>
        <w:t>The product descriptions that follow are indicative only; in most cases, there are currently no</w:t>
      </w:r>
      <w:r w:rsidR="00A9691F">
        <w:rPr>
          <w:rFonts w:cs="Calibri"/>
          <w:lang w:val="en-US"/>
        </w:rPr>
        <w:t xml:space="preserve"> </w:t>
      </w:r>
      <w:r w:rsidRPr="00A9691F">
        <w:rPr>
          <w:rFonts w:cs="Calibri"/>
          <w:lang w:val="en-US"/>
        </w:rPr>
        <w:t>widely-accepted legal definitions of the product families in question.</w:t>
      </w:r>
    </w:p>
    <w:p w:rsidR="00D818DC" w:rsidRPr="00A9691F" w:rsidRDefault="00D818DC" w:rsidP="00223F7D">
      <w:pPr>
        <w:pStyle w:val="ListParagraph"/>
        <w:numPr>
          <w:ilvl w:val="1"/>
          <w:numId w:val="48"/>
        </w:numPr>
        <w:spacing w:line="276" w:lineRule="auto"/>
        <w:ind w:left="426" w:hanging="284"/>
        <w:jc w:val="both"/>
        <w:rPr>
          <w:rFonts w:cs="Calibri"/>
          <w:lang w:val="en-US"/>
        </w:rPr>
      </w:pPr>
      <w:r w:rsidRPr="00A9691F">
        <w:rPr>
          <w:rFonts w:cs="Calibri"/>
          <w:lang w:val="en-US"/>
        </w:rPr>
        <w:t>Investment (or mutual) funds. Investment funds are a form of collective investment</w:t>
      </w:r>
      <w:r w:rsidR="00A9691F" w:rsidRPr="00A9691F">
        <w:rPr>
          <w:rFonts w:cs="Calibri"/>
          <w:lang w:val="en-US"/>
        </w:rPr>
        <w:t xml:space="preserve"> </w:t>
      </w:r>
      <w:r w:rsidRPr="00A9691F">
        <w:rPr>
          <w:rFonts w:cs="Calibri"/>
          <w:lang w:val="en-US"/>
        </w:rPr>
        <w:t>vehicle that invest the pooled funds of a large number of investors for a fee. Funds raise</w:t>
      </w:r>
      <w:r w:rsidR="00A9691F" w:rsidRPr="00A9691F">
        <w:rPr>
          <w:rFonts w:cs="Calibri"/>
          <w:lang w:val="en-US"/>
        </w:rPr>
        <w:t xml:space="preserve"> </w:t>
      </w:r>
      <w:r w:rsidRPr="00A9691F">
        <w:rPr>
          <w:rFonts w:cs="Calibri"/>
          <w:lang w:val="en-US"/>
        </w:rPr>
        <w:t>money by selling 'units' of the fund to investors. In the EU, investment funds can be either</w:t>
      </w:r>
      <w:r w:rsidR="00A9691F" w:rsidRPr="00A9691F">
        <w:rPr>
          <w:rFonts w:cs="Calibri"/>
          <w:lang w:val="en-US"/>
        </w:rPr>
        <w:t xml:space="preserve"> </w:t>
      </w:r>
      <w:r w:rsidRPr="00A9691F">
        <w:rPr>
          <w:rFonts w:cs="Calibri"/>
          <w:lang w:val="en-US"/>
        </w:rPr>
        <w:t>UCITS ('Undertakings for Collective I</w:t>
      </w:r>
      <w:r w:rsidRPr="00A9691F">
        <w:rPr>
          <w:rFonts w:cs="Calibri"/>
          <w:lang w:val="en-US"/>
        </w:rPr>
        <w:t>n</w:t>
      </w:r>
      <w:r w:rsidRPr="00A9691F">
        <w:rPr>
          <w:rFonts w:cs="Calibri"/>
          <w:lang w:val="en-US"/>
        </w:rPr>
        <w:t xml:space="preserve">vestment in Transferable Securities', as </w:t>
      </w:r>
      <w:r w:rsidR="00A9691F" w:rsidRPr="00A9691F">
        <w:rPr>
          <w:rFonts w:cs="Calibri"/>
          <w:lang w:val="en-US"/>
        </w:rPr>
        <w:t xml:space="preserve">harmonized </w:t>
      </w:r>
      <w:r w:rsidRPr="00A9691F">
        <w:rPr>
          <w:rFonts w:cs="Calibri"/>
          <w:lang w:val="en-US"/>
        </w:rPr>
        <w:t>by the UCITS Directive), or nationally regulated funds (non-harmonised funds or non-</w:t>
      </w:r>
      <w:r w:rsidR="00A9691F" w:rsidRPr="00A9691F">
        <w:rPr>
          <w:rFonts w:cs="Calibri"/>
          <w:lang w:val="en-US"/>
        </w:rPr>
        <w:t xml:space="preserve"> </w:t>
      </w:r>
      <w:r w:rsidRPr="00A9691F">
        <w:rPr>
          <w:rFonts w:cs="Calibri"/>
          <w:lang w:val="en-US"/>
        </w:rPr>
        <w:t>UCITS).</w:t>
      </w:r>
    </w:p>
    <w:p w:rsidR="00D818DC" w:rsidRPr="00A9691F" w:rsidRDefault="00D818DC" w:rsidP="00223F7D">
      <w:pPr>
        <w:pStyle w:val="ListParagraph"/>
        <w:numPr>
          <w:ilvl w:val="1"/>
          <w:numId w:val="48"/>
        </w:numPr>
        <w:spacing w:line="276" w:lineRule="auto"/>
        <w:ind w:left="426" w:hanging="284"/>
        <w:jc w:val="both"/>
        <w:rPr>
          <w:rFonts w:cs="Calibri"/>
          <w:lang w:val="en-US"/>
        </w:rPr>
      </w:pPr>
      <w:r w:rsidRPr="00A9691F">
        <w:rPr>
          <w:rFonts w:cs="Calibri"/>
          <w:lang w:val="en-US"/>
        </w:rPr>
        <w:t>Investments packaged as life insurance policies. In unit-linked life insurance policies a</w:t>
      </w:r>
      <w:r w:rsidR="00A9691F" w:rsidRPr="00A9691F">
        <w:rPr>
          <w:rFonts w:cs="Calibri"/>
          <w:lang w:val="en-US"/>
        </w:rPr>
        <w:t xml:space="preserve"> </w:t>
      </w:r>
      <w:r w:rsidRPr="00A9691F">
        <w:rPr>
          <w:rFonts w:cs="Calibri"/>
          <w:lang w:val="en-US"/>
        </w:rPr>
        <w:t>portion of the premium is used to purchase life cover (the sum assured) with the balance</w:t>
      </w:r>
      <w:r w:rsidR="00A9691F" w:rsidRPr="00A9691F">
        <w:rPr>
          <w:rFonts w:cs="Calibri"/>
          <w:lang w:val="en-US"/>
        </w:rPr>
        <w:t xml:space="preserve"> </w:t>
      </w:r>
      <w:r w:rsidRPr="00A9691F">
        <w:rPr>
          <w:rFonts w:cs="Calibri"/>
          <w:lang w:val="en-US"/>
        </w:rPr>
        <w:t>invested in a fund such as a UCITS. The return on the policy is linked to the performance</w:t>
      </w:r>
      <w:r w:rsidR="00A9691F" w:rsidRPr="00A9691F">
        <w:rPr>
          <w:rFonts w:cs="Calibri"/>
          <w:lang w:val="en-US"/>
        </w:rPr>
        <w:t xml:space="preserve"> </w:t>
      </w:r>
      <w:r w:rsidRPr="00A9691F">
        <w:rPr>
          <w:rFonts w:cs="Calibri"/>
          <w:lang w:val="en-US"/>
        </w:rPr>
        <w:t>of the funds. As opposed to trad</w:t>
      </w:r>
      <w:r w:rsidRPr="00A9691F">
        <w:rPr>
          <w:rFonts w:cs="Calibri"/>
          <w:lang w:val="en-US"/>
        </w:rPr>
        <w:t>i</w:t>
      </w:r>
      <w:r w:rsidRPr="00A9691F">
        <w:rPr>
          <w:rFonts w:cs="Calibri"/>
          <w:lang w:val="en-US"/>
        </w:rPr>
        <w:t xml:space="preserve">tional </w:t>
      </w:r>
      <w:r w:rsidRPr="00A9691F">
        <w:rPr>
          <w:rFonts w:cs="Calibri"/>
          <w:lang w:val="en-US"/>
        </w:rPr>
        <w:lastRenderedPageBreak/>
        <w:t>life insurance products, unit-linked policies usually</w:t>
      </w:r>
      <w:r w:rsidR="00A9691F" w:rsidRPr="00A9691F">
        <w:rPr>
          <w:rFonts w:cs="Calibri"/>
          <w:lang w:val="en-US"/>
        </w:rPr>
        <w:t xml:space="preserve"> </w:t>
      </w:r>
      <w:r w:rsidRPr="00A9691F">
        <w:rPr>
          <w:rFonts w:cs="Calibri"/>
          <w:lang w:val="en-US"/>
        </w:rPr>
        <w:t>do not guarantee the payment of a determined f</w:t>
      </w:r>
      <w:r w:rsidRPr="00A9691F">
        <w:rPr>
          <w:rFonts w:cs="Calibri"/>
          <w:lang w:val="en-US"/>
        </w:rPr>
        <w:t>i</w:t>
      </w:r>
      <w:r w:rsidRPr="00A9691F">
        <w:rPr>
          <w:rFonts w:cs="Calibri"/>
          <w:lang w:val="en-US"/>
        </w:rPr>
        <w:t>nancial amount in particular in the case of</w:t>
      </w:r>
      <w:r w:rsidR="00A9691F" w:rsidRPr="00A9691F">
        <w:rPr>
          <w:rFonts w:cs="Calibri"/>
          <w:lang w:val="en-US"/>
        </w:rPr>
        <w:t xml:space="preserve"> </w:t>
      </w:r>
      <w:r w:rsidRPr="00A9691F">
        <w:rPr>
          <w:rFonts w:cs="Calibri"/>
          <w:lang w:val="en-US"/>
        </w:rPr>
        <w:t>death / survival, but instead an amount which is a multiple of the market value of one or</w:t>
      </w:r>
      <w:r w:rsidR="00A9691F" w:rsidRPr="00A9691F">
        <w:rPr>
          <w:rFonts w:cs="Calibri"/>
          <w:lang w:val="en-US"/>
        </w:rPr>
        <w:t xml:space="preserve"> </w:t>
      </w:r>
      <w:r w:rsidRPr="00A9691F">
        <w:rPr>
          <w:rFonts w:cs="Calibri"/>
          <w:lang w:val="en-US"/>
        </w:rPr>
        <w:t>several units. Therefore, by definition, the policy holder bears the i</w:t>
      </w:r>
      <w:r w:rsidRPr="00A9691F">
        <w:rPr>
          <w:rFonts w:cs="Calibri"/>
          <w:lang w:val="en-US"/>
        </w:rPr>
        <w:t>n</w:t>
      </w:r>
      <w:r w:rsidRPr="00A9691F">
        <w:rPr>
          <w:rFonts w:cs="Calibri"/>
          <w:lang w:val="en-US"/>
        </w:rPr>
        <w:t>vestment risk.</w:t>
      </w:r>
    </w:p>
    <w:p w:rsidR="00D818DC" w:rsidRPr="00A9691F" w:rsidRDefault="00D818DC" w:rsidP="00223F7D">
      <w:pPr>
        <w:pStyle w:val="ListParagraph"/>
        <w:numPr>
          <w:ilvl w:val="1"/>
          <w:numId w:val="48"/>
        </w:numPr>
        <w:spacing w:line="276" w:lineRule="auto"/>
        <w:ind w:left="426" w:hanging="284"/>
        <w:jc w:val="both"/>
        <w:rPr>
          <w:rFonts w:cs="Calibri"/>
          <w:lang w:val="en-US"/>
        </w:rPr>
      </w:pPr>
      <w:r w:rsidRPr="00A9691F">
        <w:rPr>
          <w:rFonts w:cs="Calibri"/>
          <w:lang w:val="en-US"/>
        </w:rPr>
        <w:t>Retail structured securities. Structured securities are derived from or based on a single</w:t>
      </w:r>
      <w:r w:rsidR="00A9691F" w:rsidRPr="00A9691F">
        <w:rPr>
          <w:rFonts w:cs="Calibri"/>
          <w:lang w:val="en-US"/>
        </w:rPr>
        <w:t xml:space="preserve"> </w:t>
      </w:r>
      <w:r w:rsidRPr="00A9691F">
        <w:rPr>
          <w:rFonts w:cs="Calibri"/>
          <w:lang w:val="en-US"/>
        </w:rPr>
        <w:t>security, a basket of securities, an index, a commodity, a debt issue and/or a foreign</w:t>
      </w:r>
      <w:r w:rsidR="00A9691F" w:rsidRPr="00A9691F">
        <w:rPr>
          <w:rFonts w:cs="Calibri"/>
          <w:lang w:val="en-US"/>
        </w:rPr>
        <w:t xml:space="preserve"> </w:t>
      </w:r>
      <w:r w:rsidRPr="00A9691F">
        <w:rPr>
          <w:rFonts w:cs="Calibri"/>
          <w:lang w:val="en-US"/>
        </w:rPr>
        <w:t>currency. Normally in a structured security an investment bank promises to make, at a predetermined</w:t>
      </w:r>
      <w:r w:rsidR="00A9691F" w:rsidRPr="00A9691F">
        <w:rPr>
          <w:rFonts w:cs="Calibri"/>
          <w:lang w:val="en-US"/>
        </w:rPr>
        <w:t xml:space="preserve"> </w:t>
      </w:r>
      <w:r w:rsidRPr="00A9691F">
        <w:rPr>
          <w:rFonts w:cs="Calibri"/>
          <w:lang w:val="en-US"/>
        </w:rPr>
        <w:t>time, a payout based on a pre-determined formula. The majority of structured</w:t>
      </w:r>
      <w:r w:rsidR="00A9691F" w:rsidRPr="00A9691F">
        <w:rPr>
          <w:rFonts w:cs="Calibri"/>
          <w:lang w:val="en-US"/>
        </w:rPr>
        <w:t xml:space="preserve"> </w:t>
      </w:r>
      <w:r w:rsidRPr="00A9691F">
        <w:rPr>
          <w:rFonts w:cs="Calibri"/>
          <w:lang w:val="en-US"/>
        </w:rPr>
        <w:t>securities offer full protection of the principal invested at the end of their term, whereas</w:t>
      </w:r>
      <w:r w:rsidR="00A9691F" w:rsidRPr="00A9691F">
        <w:rPr>
          <w:rFonts w:cs="Calibri"/>
          <w:lang w:val="en-US"/>
        </w:rPr>
        <w:t xml:space="preserve"> </w:t>
      </w:r>
      <w:r w:rsidRPr="00A9691F">
        <w:rPr>
          <w:rFonts w:cs="Calibri"/>
          <w:lang w:val="en-US"/>
        </w:rPr>
        <w:t>others offer leveraged returns but limited or no protection of the principal. They may be</w:t>
      </w:r>
      <w:r w:rsidR="00A9691F" w:rsidRPr="00A9691F">
        <w:rPr>
          <w:rFonts w:cs="Calibri"/>
          <w:lang w:val="en-US"/>
        </w:rPr>
        <w:t xml:space="preserve"> </w:t>
      </w:r>
      <w:r w:rsidRPr="00A9691F">
        <w:rPr>
          <w:rFonts w:cs="Calibri"/>
          <w:lang w:val="en-US"/>
        </w:rPr>
        <w:t>sold to investors as, inter alia, certificates, structured notes (bonds) or warrants.</w:t>
      </w:r>
    </w:p>
    <w:p w:rsidR="00D818DC" w:rsidRPr="00A9691F" w:rsidRDefault="00D818DC" w:rsidP="00223F7D">
      <w:pPr>
        <w:pStyle w:val="ListParagraph"/>
        <w:numPr>
          <w:ilvl w:val="1"/>
          <w:numId w:val="48"/>
        </w:numPr>
        <w:spacing w:line="276" w:lineRule="auto"/>
        <w:ind w:left="426" w:hanging="284"/>
        <w:jc w:val="both"/>
        <w:rPr>
          <w:rFonts w:cs="Calibri"/>
          <w:lang w:val="en-US"/>
        </w:rPr>
      </w:pPr>
      <w:r w:rsidRPr="00A9691F">
        <w:rPr>
          <w:rFonts w:cs="Calibri"/>
          <w:lang w:val="en-US"/>
        </w:rPr>
        <w:t>Structured term deposits. Structured term deposits offer a combination of a term deposit</w:t>
      </w:r>
      <w:r w:rsidR="00A9691F" w:rsidRPr="00A9691F">
        <w:rPr>
          <w:rFonts w:cs="Calibri"/>
          <w:lang w:val="en-US"/>
        </w:rPr>
        <w:t xml:space="preserve"> </w:t>
      </w:r>
      <w:r w:rsidRPr="00A9691F">
        <w:rPr>
          <w:rFonts w:cs="Calibri"/>
          <w:lang w:val="en-US"/>
        </w:rPr>
        <w:t>with an e</w:t>
      </w:r>
      <w:r w:rsidRPr="00A9691F">
        <w:rPr>
          <w:rFonts w:cs="Calibri"/>
          <w:lang w:val="en-US"/>
        </w:rPr>
        <w:t>m</w:t>
      </w:r>
      <w:r w:rsidRPr="00A9691F">
        <w:rPr>
          <w:rFonts w:cs="Calibri"/>
          <w:lang w:val="en-US"/>
        </w:rPr>
        <w:t>bedded option or an interest rate structure. They are designed to achieve a</w:t>
      </w:r>
      <w:r w:rsidR="00A9691F" w:rsidRPr="00A9691F">
        <w:rPr>
          <w:rFonts w:cs="Calibri"/>
          <w:lang w:val="en-US"/>
        </w:rPr>
        <w:t xml:space="preserve"> specific payoff profile, which </w:t>
      </w:r>
      <w:r w:rsidRPr="00A9691F">
        <w:rPr>
          <w:rFonts w:cs="Calibri"/>
          <w:lang w:val="en-US"/>
        </w:rPr>
        <w:t>they achieve through transactions in derivatives such as</w:t>
      </w:r>
      <w:r w:rsidR="00A9691F" w:rsidRPr="00A9691F">
        <w:rPr>
          <w:rFonts w:cs="Calibri"/>
          <w:lang w:val="en-US"/>
        </w:rPr>
        <w:t xml:space="preserve"> </w:t>
      </w:r>
      <w:r w:rsidRPr="00A9691F">
        <w:rPr>
          <w:rFonts w:cs="Calibri"/>
          <w:lang w:val="en-US"/>
        </w:rPr>
        <w:t>interest rate and currency options.</w:t>
      </w:r>
    </w:p>
    <w:p w:rsidR="00D818DC" w:rsidRDefault="00D818DC" w:rsidP="00223F7D">
      <w:pPr>
        <w:spacing w:line="276" w:lineRule="auto"/>
        <w:jc w:val="both"/>
        <w:rPr>
          <w:rFonts w:cs="Calibri"/>
          <w:lang w:val="en-US"/>
        </w:rPr>
      </w:pPr>
    </w:p>
    <w:p w:rsidR="003441F6" w:rsidRDefault="00A9691F" w:rsidP="00223F7D">
      <w:pPr>
        <w:spacing w:line="276" w:lineRule="auto"/>
        <w:jc w:val="both"/>
        <w:rPr>
          <w:rFonts w:cs="Calibri"/>
          <w:lang w:val="en-US"/>
        </w:rPr>
      </w:pPr>
      <w:r>
        <w:rPr>
          <w:rFonts w:cs="Calibri"/>
          <w:lang w:val="en-US"/>
        </w:rPr>
        <w:t>Exchange traded derivatives are very different to these types</w:t>
      </w:r>
      <w:r w:rsidR="00742118">
        <w:rPr>
          <w:rFonts w:cs="Calibri"/>
          <w:lang w:val="en-US"/>
        </w:rPr>
        <w:t xml:space="preserve"> of </w:t>
      </w:r>
      <w:r>
        <w:rPr>
          <w:rFonts w:cs="Calibri"/>
          <w:lang w:val="en-US"/>
        </w:rPr>
        <w:t xml:space="preserve">products </w:t>
      </w:r>
      <w:r w:rsidR="00742118">
        <w:rPr>
          <w:rFonts w:cs="Calibri"/>
          <w:lang w:val="en-US"/>
        </w:rPr>
        <w:t>enumerated by the EU Commi</w:t>
      </w:r>
      <w:r w:rsidR="00742118">
        <w:rPr>
          <w:rFonts w:cs="Calibri"/>
          <w:lang w:val="en-US"/>
        </w:rPr>
        <w:t>s</w:t>
      </w:r>
      <w:r w:rsidR="00742118">
        <w:rPr>
          <w:rFonts w:cs="Calibri"/>
          <w:lang w:val="en-US"/>
        </w:rPr>
        <w:t xml:space="preserve">sion in 2009, as well as the instruments included in Recital 6 </w:t>
      </w:r>
      <w:r w:rsidR="00CA1F1C">
        <w:rPr>
          <w:rFonts w:cs="Calibri"/>
          <w:lang w:val="en-US"/>
        </w:rPr>
        <w:t xml:space="preserve">of the Regulation </w:t>
      </w:r>
      <w:r>
        <w:rPr>
          <w:rFonts w:cs="Calibri"/>
          <w:lang w:val="en-US"/>
        </w:rPr>
        <w:t xml:space="preserve">and </w:t>
      </w:r>
      <w:r w:rsidR="00742118">
        <w:rPr>
          <w:rFonts w:cs="Calibri"/>
          <w:lang w:val="en-US"/>
        </w:rPr>
        <w:t xml:space="preserve">furthermore, </w:t>
      </w:r>
      <w:r>
        <w:rPr>
          <w:rFonts w:cs="Calibri"/>
          <w:lang w:val="en-US"/>
        </w:rPr>
        <w:t>excha</w:t>
      </w:r>
      <w:r w:rsidR="00742118">
        <w:rPr>
          <w:rFonts w:cs="Calibri"/>
          <w:lang w:val="en-US"/>
        </w:rPr>
        <w:t>n</w:t>
      </w:r>
      <w:r w:rsidR="00742118">
        <w:rPr>
          <w:rFonts w:cs="Calibri"/>
          <w:lang w:val="en-US"/>
        </w:rPr>
        <w:t>g</w:t>
      </w:r>
      <w:r w:rsidR="00742118">
        <w:rPr>
          <w:rFonts w:cs="Calibri"/>
          <w:lang w:val="en-US"/>
        </w:rPr>
        <w:t xml:space="preserve">es are a totally different </w:t>
      </w:r>
      <w:r w:rsidR="00CA1F1C">
        <w:rPr>
          <w:rFonts w:cs="Calibri"/>
          <w:lang w:val="en-US"/>
        </w:rPr>
        <w:t xml:space="preserve">organization </w:t>
      </w:r>
      <w:r w:rsidR="00742118">
        <w:rPr>
          <w:rFonts w:cs="Calibri"/>
          <w:lang w:val="en-US"/>
        </w:rPr>
        <w:t>to the issuer and special purpose entities further interpreted under Recit</w:t>
      </w:r>
      <w:r w:rsidR="00CA1F1C">
        <w:rPr>
          <w:rFonts w:cs="Calibri"/>
          <w:lang w:val="en-US"/>
        </w:rPr>
        <w:t>al 12 of this R</w:t>
      </w:r>
      <w:r w:rsidR="00742118">
        <w:rPr>
          <w:rFonts w:cs="Calibri"/>
          <w:lang w:val="en-US"/>
        </w:rPr>
        <w:t>egulation.</w:t>
      </w:r>
    </w:p>
    <w:p w:rsidR="00742118" w:rsidRDefault="00742118" w:rsidP="00223F7D">
      <w:pPr>
        <w:spacing w:line="276" w:lineRule="auto"/>
        <w:jc w:val="both"/>
        <w:rPr>
          <w:rFonts w:cs="Calibri"/>
          <w:lang w:val="en-US"/>
        </w:rPr>
      </w:pPr>
    </w:p>
    <w:p w:rsidR="00742118" w:rsidRPr="00E75465" w:rsidRDefault="00742118" w:rsidP="00223F7D">
      <w:pPr>
        <w:spacing w:line="276" w:lineRule="auto"/>
        <w:jc w:val="both"/>
        <w:rPr>
          <w:rFonts w:cs="Calibri"/>
          <w:b/>
          <w:lang w:val="en-US"/>
        </w:rPr>
      </w:pPr>
      <w:r w:rsidRPr="00E75465">
        <w:rPr>
          <w:rFonts w:cs="Calibri"/>
          <w:b/>
          <w:lang w:val="en-US"/>
        </w:rPr>
        <w:t>As such, it is clear for us that exchange traded derivatives and regulated markets have never been i</w:t>
      </w:r>
      <w:r w:rsidRPr="00E75465">
        <w:rPr>
          <w:rFonts w:cs="Calibri"/>
          <w:b/>
          <w:lang w:val="en-US"/>
        </w:rPr>
        <w:t>n</w:t>
      </w:r>
      <w:r w:rsidR="00CA1F1C" w:rsidRPr="00E75465">
        <w:rPr>
          <w:rFonts w:cs="Calibri"/>
          <w:b/>
          <w:lang w:val="en-US"/>
        </w:rPr>
        <w:t>tended to be in</w:t>
      </w:r>
      <w:r w:rsidRPr="00E75465">
        <w:rPr>
          <w:rFonts w:cs="Calibri"/>
          <w:b/>
          <w:lang w:val="en-US"/>
        </w:rPr>
        <w:t xml:space="preserve"> scope of the PRIIPs Regulation and therefore, there never was a need to include them in a potential exemption under Article 2.</w:t>
      </w:r>
    </w:p>
    <w:p w:rsidR="003441F6" w:rsidRDefault="003441F6" w:rsidP="00223F7D">
      <w:pPr>
        <w:spacing w:line="276" w:lineRule="auto"/>
        <w:jc w:val="both"/>
        <w:rPr>
          <w:rFonts w:cs="Arial"/>
        </w:rPr>
      </w:pPr>
    </w:p>
    <w:p w:rsidR="003441F6" w:rsidRDefault="003441F6" w:rsidP="00223F7D">
      <w:pPr>
        <w:spacing w:line="276" w:lineRule="auto"/>
        <w:jc w:val="both"/>
        <w:rPr>
          <w:rFonts w:cs="Arial"/>
        </w:rPr>
      </w:pPr>
      <w:r>
        <w:rPr>
          <w:rFonts w:cs="Arial"/>
        </w:rPr>
        <w:t xml:space="preserve">While it is clear in the Level 1 text that listed derivatives, </w:t>
      </w:r>
      <w:r w:rsidR="00742118">
        <w:rPr>
          <w:rFonts w:cs="Arial"/>
        </w:rPr>
        <w:t>such as options and futures, cannot be</w:t>
      </w:r>
      <w:r>
        <w:rPr>
          <w:rFonts w:cs="Arial"/>
        </w:rPr>
        <w:t xml:space="preserve"> captured in the scope of the PRIIPs Regulation, this understanding is further strengthened by the ESAs in this consultation paper, where further clarification is provided that the PRIIPs Regulation covers investments or instruments that are issued as securitized instruments or have been issued by special purpose veh</w:t>
      </w:r>
      <w:r>
        <w:rPr>
          <w:rFonts w:cs="Arial"/>
        </w:rPr>
        <w:t>i</w:t>
      </w:r>
      <w:r>
        <w:rPr>
          <w:rFonts w:cs="Arial"/>
        </w:rPr>
        <w:t>cles.</w:t>
      </w:r>
    </w:p>
    <w:p w:rsidR="003441F6" w:rsidRDefault="003441F6" w:rsidP="00223F7D">
      <w:pPr>
        <w:spacing w:line="276" w:lineRule="auto"/>
        <w:jc w:val="both"/>
        <w:rPr>
          <w:rFonts w:cs="Arial"/>
        </w:rPr>
      </w:pPr>
    </w:p>
    <w:p w:rsidR="003441F6" w:rsidRDefault="003441F6" w:rsidP="00223F7D">
      <w:pPr>
        <w:spacing w:line="276" w:lineRule="auto"/>
        <w:jc w:val="both"/>
        <w:rPr>
          <w:rFonts w:cs="Arial"/>
        </w:rPr>
      </w:pPr>
      <w:r>
        <w:rPr>
          <w:rFonts w:cs="Arial"/>
        </w:rPr>
        <w:t xml:space="preserve">In the context of derivatives, the ESAs clarify in Annex II, Part 1, point 9 of the draft RTS (attached to the consultation paper) which instruments are included. It is specified in sub-point c </w:t>
      </w:r>
      <w:r w:rsidRPr="00507963">
        <w:rPr>
          <w:rFonts w:cs="Arial"/>
        </w:rPr>
        <w:t xml:space="preserve">that derivatives that qualify as PRIIPs within part C of Annex I of Directive 2014/65/EU are included. </w:t>
      </w:r>
      <w:r w:rsidRPr="00E75465">
        <w:rPr>
          <w:rFonts w:cs="Arial"/>
          <w:b/>
        </w:rPr>
        <w:t>That means that not all derivatives are within the scope of the Regulation; only those derivatives that qualify as PRIIPs are in the scope.</w:t>
      </w:r>
      <w:r w:rsidR="00CA1F1C" w:rsidRPr="00E75465">
        <w:rPr>
          <w:rFonts w:cs="Arial"/>
          <w:b/>
        </w:rPr>
        <w:t xml:space="preserve"> Clearly, the one group of derivatives that does not qualify as PRIPs are exchange traded deriv</w:t>
      </w:r>
      <w:r w:rsidR="00CA1F1C" w:rsidRPr="00E75465">
        <w:rPr>
          <w:rFonts w:cs="Arial"/>
          <w:b/>
        </w:rPr>
        <w:t>a</w:t>
      </w:r>
      <w:r w:rsidR="00CA1F1C" w:rsidRPr="00E75465">
        <w:rPr>
          <w:rFonts w:cs="Arial"/>
          <w:b/>
        </w:rPr>
        <w:t>tives traded on regulated markets.</w:t>
      </w:r>
    </w:p>
    <w:p w:rsidR="00742118" w:rsidRDefault="00742118" w:rsidP="00223F7D">
      <w:pPr>
        <w:spacing w:line="276" w:lineRule="auto"/>
        <w:jc w:val="both"/>
        <w:rPr>
          <w:rFonts w:cs="Arial"/>
        </w:rPr>
      </w:pPr>
    </w:p>
    <w:p w:rsidR="00742118" w:rsidRPr="00742118" w:rsidRDefault="00742118" w:rsidP="00223F7D">
      <w:pPr>
        <w:spacing w:line="276" w:lineRule="auto"/>
        <w:jc w:val="both"/>
        <w:rPr>
          <w:rFonts w:cs="Calibri"/>
          <w:lang w:val="en-US"/>
        </w:rPr>
      </w:pPr>
      <w:r w:rsidRPr="000E32DA">
        <w:rPr>
          <w:rFonts w:cs="Arial"/>
        </w:rPr>
        <w:t xml:space="preserve">The derivative instruments that satisfy the definition of a PRIIP could be for example </w:t>
      </w:r>
      <w:r w:rsidRPr="007B71BA">
        <w:rPr>
          <w:rFonts w:cs="Arial"/>
        </w:rPr>
        <w:t>securitized deriv</w:t>
      </w:r>
      <w:r w:rsidRPr="007B71BA">
        <w:rPr>
          <w:rFonts w:cs="Arial"/>
        </w:rPr>
        <w:t>a</w:t>
      </w:r>
      <w:r w:rsidRPr="007B71BA">
        <w:rPr>
          <w:rFonts w:cs="Arial"/>
        </w:rPr>
        <w:t xml:space="preserve">tives, such as certificates and warrants, potentially also mortgage backed securities (MBS) or asset backed securities (ABS) and alike. </w:t>
      </w:r>
      <w:r w:rsidRPr="000E32DA">
        <w:rPr>
          <w:rFonts w:cs="Calibri"/>
          <w:lang w:val="en-US"/>
        </w:rPr>
        <w:t>In contrast to listed derivatives</w:t>
      </w:r>
      <w:r>
        <w:rPr>
          <w:rFonts w:cs="Calibri"/>
          <w:lang w:val="en-US"/>
        </w:rPr>
        <w:t xml:space="preserve"> </w:t>
      </w:r>
      <w:r w:rsidRPr="000E32DA">
        <w:rPr>
          <w:rFonts w:cs="Calibri"/>
          <w:lang w:val="en-US"/>
        </w:rPr>
        <w:t>we fully support the fact that covered warrants &amp; certificates do fall within the scope of the PRIIPs Regulation as a result of the fact that they are offered as a packaged investment product. Covered warrants &amp; certificates provide a useful counter-example of derivatives which constitute a truly packaged retail investment product, i.e. one where the purchaser is offered exposure to underlying financial assets, but in packaged forms which modify that exposure compared with direct holdings. Such financial products have been explicitly identified by the Commission when explaining what constitutes a packaged retail investment product.</w:t>
      </w:r>
      <w:r>
        <w:rPr>
          <w:rFonts w:cs="Calibri"/>
          <w:lang w:val="en-US"/>
        </w:rPr>
        <w:t xml:space="preserve"> </w:t>
      </w:r>
      <w:r w:rsidRPr="00507963">
        <w:rPr>
          <w:rFonts w:cs="Calibri"/>
          <w:lang w:val="en-US"/>
        </w:rPr>
        <w:t>A clear distinction can be made between options and futures on the one hand and covered warran</w:t>
      </w:r>
      <w:r>
        <w:rPr>
          <w:rFonts w:cs="Calibri"/>
          <w:lang w:val="en-US"/>
        </w:rPr>
        <w:t>ts &amp; certificates on the other.</w:t>
      </w:r>
    </w:p>
    <w:p w:rsidR="003441F6" w:rsidRDefault="003441F6" w:rsidP="00223F7D">
      <w:pPr>
        <w:spacing w:line="276" w:lineRule="auto"/>
        <w:jc w:val="both"/>
        <w:rPr>
          <w:rFonts w:cs="Arial"/>
        </w:rPr>
      </w:pPr>
    </w:p>
    <w:p w:rsidR="003441F6" w:rsidRDefault="003441F6" w:rsidP="00223F7D">
      <w:pPr>
        <w:spacing w:line="276" w:lineRule="auto"/>
        <w:jc w:val="both"/>
        <w:rPr>
          <w:rFonts w:cs="Arial"/>
        </w:rPr>
      </w:pPr>
      <w:r w:rsidRPr="00E75465">
        <w:rPr>
          <w:rFonts w:cs="Arial"/>
          <w:b/>
        </w:rPr>
        <w:lastRenderedPageBreak/>
        <w:t>A further argument why exchange traded derivatives available for trading on exchanges/regulated markets are not in scope of PRIIPs, is the concept of the KID as proposed by the ESAs and pr</w:t>
      </w:r>
      <w:r w:rsidRPr="00E75465">
        <w:rPr>
          <w:rFonts w:cs="Arial"/>
          <w:b/>
        </w:rPr>
        <w:t>e</w:t>
      </w:r>
      <w:r w:rsidRPr="00E75465">
        <w:rPr>
          <w:rFonts w:cs="Arial"/>
          <w:b/>
        </w:rPr>
        <w:t>sented in this consultation.</w:t>
      </w:r>
      <w:r>
        <w:rPr>
          <w:rFonts w:cs="Arial"/>
        </w:rPr>
        <w:t xml:space="preserve"> The way the KID is designed and the questions and input parameters form</w:t>
      </w:r>
      <w:r>
        <w:rPr>
          <w:rFonts w:cs="Arial"/>
        </w:rPr>
        <w:t>u</w:t>
      </w:r>
      <w:r>
        <w:rPr>
          <w:rFonts w:cs="Arial"/>
        </w:rPr>
        <w:t>lated clearly indicate that the KID is customized towards the entities that offer investments as a special purpose veh</w:t>
      </w:r>
      <w:r>
        <w:rPr>
          <w:rFonts w:cs="Arial"/>
        </w:rPr>
        <w:t>i</w:t>
      </w:r>
      <w:r>
        <w:rPr>
          <w:rFonts w:cs="Arial"/>
        </w:rPr>
        <w:t>cle, issuer or entity that securitizes instruments.</w:t>
      </w:r>
    </w:p>
    <w:p w:rsidR="003441F6" w:rsidRPr="007077CB" w:rsidRDefault="003441F6" w:rsidP="00223F7D">
      <w:pPr>
        <w:spacing w:line="276" w:lineRule="auto"/>
        <w:jc w:val="both"/>
        <w:rPr>
          <w:rFonts w:cs="Arial"/>
        </w:rPr>
      </w:pPr>
    </w:p>
    <w:p w:rsidR="003441F6" w:rsidRDefault="003441F6" w:rsidP="00223F7D">
      <w:pPr>
        <w:spacing w:line="276" w:lineRule="auto"/>
        <w:jc w:val="both"/>
        <w:rPr>
          <w:rFonts w:cs="Arial"/>
        </w:rPr>
      </w:pPr>
      <w:r w:rsidRPr="00E75465">
        <w:rPr>
          <w:rFonts w:cs="Arial"/>
          <w:b/>
        </w:rPr>
        <w:t>The KID ultimately cannot be appropriately completed by a neutral regulated market, focused on instr</w:t>
      </w:r>
      <w:r w:rsidRPr="00E75465">
        <w:rPr>
          <w:rFonts w:cs="Arial"/>
          <w:b/>
        </w:rPr>
        <w:t>u</w:t>
      </w:r>
      <w:r w:rsidRPr="00E75465">
        <w:rPr>
          <w:rFonts w:cs="Arial"/>
          <w:b/>
        </w:rPr>
        <w:t>ments that do not actually qualify as PRIIPs.</w:t>
      </w:r>
      <w:r>
        <w:rPr>
          <w:rFonts w:cs="Arial"/>
        </w:rPr>
        <w:t xml:space="preserve"> In order to support this argument, please find below the proposed draft KID highlighting which sections cannot be in a meaningful way completed by regulated markets for exchange traded derivatives, and why. </w:t>
      </w:r>
    </w:p>
    <w:p w:rsidR="003441F6" w:rsidRPr="00A041B1" w:rsidRDefault="003441F6" w:rsidP="00223F7D">
      <w:pPr>
        <w:spacing w:line="276" w:lineRule="auto"/>
        <w:rPr>
          <w:b/>
          <w:szCs w:val="20"/>
        </w:rPr>
      </w:pPr>
    </w:p>
    <w:tbl>
      <w:tblPr>
        <w:tblStyle w:val="TableGrid"/>
        <w:tblW w:w="0" w:type="auto"/>
        <w:tblCellMar>
          <w:top w:w="113" w:type="dxa"/>
          <w:bottom w:w="113" w:type="dxa"/>
        </w:tblCellMar>
        <w:tblLook w:val="04A0" w:firstRow="1" w:lastRow="0" w:firstColumn="1" w:lastColumn="0" w:noHBand="0" w:noVBand="1"/>
      </w:tblPr>
      <w:tblGrid>
        <w:gridCol w:w="675"/>
        <w:gridCol w:w="2410"/>
        <w:gridCol w:w="6081"/>
      </w:tblGrid>
      <w:tr w:rsidR="003441F6" w:rsidTr="001B06CF">
        <w:tc>
          <w:tcPr>
            <w:tcW w:w="9166" w:type="dxa"/>
            <w:gridSpan w:val="3"/>
            <w:shd w:val="clear" w:color="auto" w:fill="D9D9D9" w:themeFill="background1" w:themeFillShade="D9"/>
          </w:tcPr>
          <w:p w:rsidR="003441F6" w:rsidRPr="00736B99" w:rsidRDefault="00B55DD2" w:rsidP="00223F7D">
            <w:pPr>
              <w:spacing w:line="276" w:lineRule="auto"/>
              <w:jc w:val="both"/>
              <w:rPr>
                <w:b/>
              </w:rPr>
            </w:pPr>
            <w:r>
              <w:rPr>
                <w:b/>
              </w:rPr>
              <w:t xml:space="preserve">Example: </w:t>
            </w:r>
            <w:r w:rsidR="003441F6" w:rsidRPr="00736B99">
              <w:rPr>
                <w:b/>
              </w:rPr>
              <w:t>KID FOR A SINGLE STOCK OPTION</w:t>
            </w:r>
          </w:p>
        </w:tc>
      </w:tr>
      <w:tr w:rsidR="003441F6" w:rsidTr="001B06CF">
        <w:tc>
          <w:tcPr>
            <w:tcW w:w="675" w:type="dxa"/>
          </w:tcPr>
          <w:p w:rsidR="003441F6" w:rsidRPr="002F7F66" w:rsidRDefault="003441F6" w:rsidP="00223F7D">
            <w:pPr>
              <w:spacing w:line="276" w:lineRule="auto"/>
              <w:jc w:val="both"/>
              <w:rPr>
                <w:b/>
              </w:rPr>
            </w:pPr>
            <w:r w:rsidRPr="002F7F66">
              <w:rPr>
                <w:b/>
              </w:rPr>
              <w:t>1.</w:t>
            </w:r>
          </w:p>
        </w:tc>
        <w:tc>
          <w:tcPr>
            <w:tcW w:w="2410" w:type="dxa"/>
          </w:tcPr>
          <w:p w:rsidR="003441F6" w:rsidRPr="00040F69" w:rsidRDefault="003441F6" w:rsidP="00223F7D">
            <w:pPr>
              <w:spacing w:line="276" w:lineRule="auto"/>
              <w:jc w:val="both"/>
              <w:rPr>
                <w:b/>
              </w:rPr>
            </w:pPr>
            <w:r w:rsidRPr="00040F69">
              <w:rPr>
                <w:b/>
              </w:rPr>
              <w:t>Purpose</w:t>
            </w:r>
          </w:p>
        </w:tc>
        <w:tc>
          <w:tcPr>
            <w:tcW w:w="6081" w:type="dxa"/>
          </w:tcPr>
          <w:p w:rsidR="003441F6" w:rsidRPr="00A041B1" w:rsidRDefault="003441F6" w:rsidP="00223F7D">
            <w:pPr>
              <w:spacing w:line="276" w:lineRule="auto"/>
              <w:jc w:val="both"/>
              <w:rPr>
                <w:b/>
                <w:color w:val="00B050"/>
              </w:rPr>
            </w:pPr>
            <w:r w:rsidRPr="00A041B1">
              <w:rPr>
                <w:b/>
                <w:color w:val="00B050"/>
              </w:rPr>
              <w:t>Could be provided by a regulated market</w:t>
            </w:r>
          </w:p>
        </w:tc>
      </w:tr>
      <w:tr w:rsidR="003441F6" w:rsidTr="001B06CF">
        <w:tc>
          <w:tcPr>
            <w:tcW w:w="675" w:type="dxa"/>
          </w:tcPr>
          <w:p w:rsidR="003441F6" w:rsidRPr="002F7F66" w:rsidRDefault="003441F6" w:rsidP="00223F7D">
            <w:pPr>
              <w:spacing w:line="276" w:lineRule="auto"/>
              <w:jc w:val="both"/>
              <w:rPr>
                <w:b/>
              </w:rPr>
            </w:pPr>
            <w:r w:rsidRPr="002F7F66">
              <w:rPr>
                <w:b/>
              </w:rPr>
              <w:t>2.</w:t>
            </w:r>
          </w:p>
        </w:tc>
        <w:tc>
          <w:tcPr>
            <w:tcW w:w="2410" w:type="dxa"/>
          </w:tcPr>
          <w:p w:rsidR="003441F6" w:rsidRPr="00040F69" w:rsidRDefault="003441F6" w:rsidP="00223F7D">
            <w:pPr>
              <w:spacing w:line="276" w:lineRule="auto"/>
              <w:jc w:val="both"/>
              <w:rPr>
                <w:b/>
              </w:rPr>
            </w:pPr>
            <w:r w:rsidRPr="00040F69">
              <w:rPr>
                <w:b/>
              </w:rPr>
              <w:t>Product</w:t>
            </w:r>
          </w:p>
        </w:tc>
        <w:tc>
          <w:tcPr>
            <w:tcW w:w="6081" w:type="dxa"/>
          </w:tcPr>
          <w:p w:rsidR="003441F6" w:rsidRPr="00A041B1" w:rsidRDefault="003441F6" w:rsidP="00223F7D">
            <w:pPr>
              <w:spacing w:line="276" w:lineRule="auto"/>
              <w:jc w:val="both"/>
              <w:rPr>
                <w:b/>
                <w:color w:val="00B050"/>
              </w:rPr>
            </w:pPr>
            <w:r w:rsidRPr="00A041B1">
              <w:rPr>
                <w:b/>
                <w:color w:val="00B050"/>
              </w:rPr>
              <w:t>Could be provided by a regulated market</w:t>
            </w:r>
          </w:p>
        </w:tc>
      </w:tr>
      <w:tr w:rsidR="003441F6" w:rsidTr="001B06CF">
        <w:tc>
          <w:tcPr>
            <w:tcW w:w="675" w:type="dxa"/>
            <w:shd w:val="clear" w:color="auto" w:fill="D9D9D9" w:themeFill="background1" w:themeFillShade="D9"/>
          </w:tcPr>
          <w:p w:rsidR="003441F6" w:rsidRPr="002F7F66" w:rsidRDefault="003441F6" w:rsidP="00223F7D">
            <w:pPr>
              <w:spacing w:line="276" w:lineRule="auto"/>
              <w:jc w:val="both"/>
              <w:rPr>
                <w:b/>
              </w:rPr>
            </w:pPr>
            <w:r w:rsidRPr="002F7F66">
              <w:rPr>
                <w:b/>
              </w:rPr>
              <w:t>3.</w:t>
            </w:r>
          </w:p>
        </w:tc>
        <w:tc>
          <w:tcPr>
            <w:tcW w:w="8491" w:type="dxa"/>
            <w:gridSpan w:val="2"/>
            <w:shd w:val="clear" w:color="auto" w:fill="D9D9D9" w:themeFill="background1" w:themeFillShade="D9"/>
          </w:tcPr>
          <w:p w:rsidR="003441F6" w:rsidRPr="00040F69" w:rsidRDefault="003441F6" w:rsidP="00223F7D">
            <w:pPr>
              <w:spacing w:line="276" w:lineRule="auto"/>
              <w:jc w:val="both"/>
              <w:rPr>
                <w:b/>
              </w:rPr>
            </w:pPr>
            <w:r w:rsidRPr="00040F69">
              <w:rPr>
                <w:b/>
              </w:rPr>
              <w:t>What is this product?</w:t>
            </w:r>
          </w:p>
        </w:tc>
      </w:tr>
      <w:tr w:rsidR="003441F6" w:rsidTr="001B06CF">
        <w:tc>
          <w:tcPr>
            <w:tcW w:w="675" w:type="dxa"/>
          </w:tcPr>
          <w:p w:rsidR="003441F6" w:rsidRPr="002F7F66" w:rsidRDefault="003441F6" w:rsidP="00223F7D">
            <w:pPr>
              <w:spacing w:line="276" w:lineRule="auto"/>
              <w:jc w:val="both"/>
              <w:rPr>
                <w:b/>
              </w:rPr>
            </w:pPr>
            <w:r w:rsidRPr="002F7F66">
              <w:rPr>
                <w:b/>
              </w:rPr>
              <w:t>3.A</w:t>
            </w:r>
          </w:p>
        </w:tc>
        <w:tc>
          <w:tcPr>
            <w:tcW w:w="2410" w:type="dxa"/>
          </w:tcPr>
          <w:p w:rsidR="003441F6" w:rsidRPr="00040F69" w:rsidRDefault="003441F6" w:rsidP="00223F7D">
            <w:pPr>
              <w:spacing w:line="276" w:lineRule="auto"/>
              <w:jc w:val="both"/>
              <w:rPr>
                <w:b/>
              </w:rPr>
            </w:pPr>
            <w:r w:rsidRPr="00040F69">
              <w:rPr>
                <w:b/>
              </w:rPr>
              <w:t>Type</w:t>
            </w:r>
          </w:p>
        </w:tc>
        <w:tc>
          <w:tcPr>
            <w:tcW w:w="6081" w:type="dxa"/>
          </w:tcPr>
          <w:p w:rsidR="003441F6" w:rsidRPr="00BD5D3A" w:rsidRDefault="003441F6" w:rsidP="00223F7D">
            <w:pPr>
              <w:spacing w:line="276" w:lineRule="auto"/>
              <w:jc w:val="both"/>
              <w:rPr>
                <w:b/>
              </w:rPr>
            </w:pPr>
            <w:r w:rsidRPr="00A041B1">
              <w:rPr>
                <w:b/>
                <w:color w:val="00B050"/>
              </w:rPr>
              <w:t>Could be provided by a regulated market</w:t>
            </w:r>
          </w:p>
        </w:tc>
      </w:tr>
      <w:tr w:rsidR="003441F6" w:rsidTr="001B06CF">
        <w:tc>
          <w:tcPr>
            <w:tcW w:w="675" w:type="dxa"/>
          </w:tcPr>
          <w:p w:rsidR="003441F6" w:rsidRPr="002F7F66" w:rsidRDefault="003441F6" w:rsidP="00223F7D">
            <w:pPr>
              <w:spacing w:line="276" w:lineRule="auto"/>
              <w:jc w:val="both"/>
              <w:rPr>
                <w:b/>
              </w:rPr>
            </w:pPr>
            <w:r w:rsidRPr="002F7F66">
              <w:rPr>
                <w:b/>
              </w:rPr>
              <w:t>3.</w:t>
            </w:r>
            <w:r>
              <w:rPr>
                <w:b/>
              </w:rPr>
              <w:t>B</w:t>
            </w:r>
          </w:p>
        </w:tc>
        <w:tc>
          <w:tcPr>
            <w:tcW w:w="2410" w:type="dxa"/>
          </w:tcPr>
          <w:p w:rsidR="003441F6" w:rsidRPr="00040F69" w:rsidRDefault="003441F6" w:rsidP="00223F7D">
            <w:pPr>
              <w:spacing w:line="276" w:lineRule="auto"/>
              <w:jc w:val="both"/>
              <w:rPr>
                <w:b/>
              </w:rPr>
            </w:pPr>
            <w:r w:rsidRPr="00040F69">
              <w:rPr>
                <w:b/>
              </w:rPr>
              <w:t>Purpose</w:t>
            </w:r>
          </w:p>
        </w:tc>
        <w:tc>
          <w:tcPr>
            <w:tcW w:w="6081" w:type="dxa"/>
          </w:tcPr>
          <w:p w:rsidR="003441F6" w:rsidRPr="00BD5D3A" w:rsidRDefault="003441F6" w:rsidP="00223F7D">
            <w:pPr>
              <w:spacing w:line="276" w:lineRule="auto"/>
              <w:jc w:val="both"/>
              <w:rPr>
                <w:b/>
                <w:color w:val="FF0000"/>
              </w:rPr>
            </w:pPr>
            <w:r>
              <w:rPr>
                <w:b/>
                <w:color w:val="FF0000"/>
              </w:rPr>
              <w:t>Cannot be provided by a</w:t>
            </w:r>
            <w:r w:rsidRPr="00BD5D3A">
              <w:rPr>
                <w:b/>
                <w:color w:val="FF0000"/>
              </w:rPr>
              <w:t xml:space="preserve"> regulated market:</w:t>
            </w:r>
          </w:p>
          <w:p w:rsidR="003441F6" w:rsidRPr="008427B7" w:rsidRDefault="003441F6" w:rsidP="00223F7D">
            <w:pPr>
              <w:spacing w:line="276" w:lineRule="auto"/>
              <w:jc w:val="both"/>
            </w:pPr>
            <w:r>
              <w:t>An exchange traded derivative (ETD) contract, such as a</w:t>
            </w:r>
            <w:r w:rsidRPr="008427B7">
              <w:t>n option or future</w:t>
            </w:r>
            <w:r>
              <w:t>,</w:t>
            </w:r>
            <w:r w:rsidRPr="008427B7">
              <w:t xml:space="preserve"> serves a range of purposes and strategies, all of which cannot be described in the given </w:t>
            </w:r>
            <w:r>
              <w:t xml:space="preserve">format of a KID. </w:t>
            </w:r>
            <w:r w:rsidRPr="00D07485">
              <w:rPr>
                <w:b/>
              </w:rPr>
              <w:t>The specific constellation for which an instrument might be sold by an investment firm to a retail investor cannot be described by the regulated market operating markets in ETDs.</w:t>
            </w:r>
            <w:r>
              <w:t xml:space="preserve"> In addition, an </w:t>
            </w:r>
            <w:r w:rsidRPr="009904D4">
              <w:rPr>
                <w:b/>
              </w:rPr>
              <w:t>ETD contract does no</w:t>
            </w:r>
            <w:r>
              <w:rPr>
                <w:b/>
              </w:rPr>
              <w:t>t satisfy the definition of PRI</w:t>
            </w:r>
            <w:r w:rsidRPr="009904D4">
              <w:rPr>
                <w:b/>
              </w:rPr>
              <w:t>Ps</w:t>
            </w:r>
            <w:r>
              <w:t xml:space="preserve"> and second, </w:t>
            </w:r>
            <w:r w:rsidRPr="009904D4">
              <w:rPr>
                <w:b/>
              </w:rPr>
              <w:t>a regulated market has no contractual agreement with a retail investor.</w:t>
            </w:r>
          </w:p>
        </w:tc>
      </w:tr>
      <w:tr w:rsidR="003441F6" w:rsidTr="001B06CF">
        <w:tc>
          <w:tcPr>
            <w:tcW w:w="675" w:type="dxa"/>
          </w:tcPr>
          <w:p w:rsidR="003441F6" w:rsidRPr="002F7F66" w:rsidRDefault="003441F6" w:rsidP="00223F7D">
            <w:pPr>
              <w:spacing w:line="276" w:lineRule="auto"/>
              <w:jc w:val="both"/>
              <w:rPr>
                <w:b/>
              </w:rPr>
            </w:pPr>
            <w:r w:rsidRPr="002F7F66">
              <w:rPr>
                <w:b/>
              </w:rPr>
              <w:t>3.</w:t>
            </w:r>
            <w:r>
              <w:rPr>
                <w:b/>
              </w:rPr>
              <w:t>C</w:t>
            </w:r>
          </w:p>
        </w:tc>
        <w:tc>
          <w:tcPr>
            <w:tcW w:w="2410" w:type="dxa"/>
          </w:tcPr>
          <w:p w:rsidR="003441F6" w:rsidRPr="00040F69" w:rsidRDefault="003441F6" w:rsidP="00223F7D">
            <w:pPr>
              <w:spacing w:line="276" w:lineRule="auto"/>
              <w:jc w:val="both"/>
              <w:rPr>
                <w:b/>
              </w:rPr>
            </w:pPr>
            <w:r w:rsidRPr="00040F69">
              <w:rPr>
                <w:b/>
              </w:rPr>
              <w:t>Intended market</w:t>
            </w:r>
          </w:p>
        </w:tc>
        <w:tc>
          <w:tcPr>
            <w:tcW w:w="6081" w:type="dxa"/>
          </w:tcPr>
          <w:p w:rsidR="003441F6" w:rsidRPr="00BD5D3A" w:rsidRDefault="003441F6" w:rsidP="00223F7D">
            <w:pPr>
              <w:spacing w:line="276" w:lineRule="auto"/>
              <w:jc w:val="both"/>
              <w:rPr>
                <w:b/>
                <w:color w:val="FF0000"/>
              </w:rPr>
            </w:pPr>
            <w:r w:rsidRPr="00BD5D3A">
              <w:rPr>
                <w:b/>
                <w:color w:val="FF0000"/>
              </w:rPr>
              <w:t xml:space="preserve">Cannot be provided by </w:t>
            </w:r>
            <w:r>
              <w:rPr>
                <w:b/>
                <w:color w:val="FF0000"/>
              </w:rPr>
              <w:t>a</w:t>
            </w:r>
            <w:r w:rsidRPr="00BD5D3A">
              <w:rPr>
                <w:b/>
                <w:color w:val="FF0000"/>
              </w:rPr>
              <w:t xml:space="preserve"> regulated market:</w:t>
            </w:r>
          </w:p>
          <w:p w:rsidR="003441F6" w:rsidRDefault="003441F6" w:rsidP="00223F7D">
            <w:pPr>
              <w:spacing w:line="276" w:lineRule="auto"/>
              <w:jc w:val="both"/>
            </w:pPr>
            <w:r>
              <w:t xml:space="preserve">According to MiFID Article 16 and 24(2) it appears the target group is meant here. For ETD contracts, such as options and futures, no intended market/ target group is specifically declared. Clearly, </w:t>
            </w:r>
            <w:r w:rsidRPr="00EC3D82">
              <w:rPr>
                <w:b/>
              </w:rPr>
              <w:t>a regulated market does not sell instruments</w:t>
            </w:r>
            <w:r>
              <w:t xml:space="preserve">, as much as it also does not buy instruments. No position is assumed as a market operator. MiFID II is very clear that regulated markets cannot engage in any sort of proprietary trading. Moreover, </w:t>
            </w:r>
            <w:r>
              <w:rPr>
                <w:b/>
              </w:rPr>
              <w:t>th</w:t>
            </w:r>
            <w:r w:rsidRPr="00BD5D3A">
              <w:rPr>
                <w:b/>
              </w:rPr>
              <w:t>e admission process under the prevailing Exchange Act d</w:t>
            </w:r>
            <w:r w:rsidRPr="00BD5D3A">
              <w:rPr>
                <w:b/>
              </w:rPr>
              <w:t>e</w:t>
            </w:r>
            <w:r w:rsidRPr="00BD5D3A">
              <w:rPr>
                <w:b/>
              </w:rPr>
              <w:t>scribes who can be admitted as an exchange participant</w:t>
            </w:r>
            <w:r>
              <w:rPr>
                <w:b/>
              </w:rPr>
              <w:t xml:space="preserve">, </w:t>
            </w:r>
            <w:r>
              <w:t xml:space="preserve">retail investors have no contractual agreement with a regulated market. The products are not designed specifically for a target audience. </w:t>
            </w:r>
            <w:r w:rsidRPr="00BD5D3A">
              <w:rPr>
                <w:b/>
              </w:rPr>
              <w:t>If investment firms decide to market these products to specific audiences, exchanges would not be involved in that process</w:t>
            </w:r>
            <w:r>
              <w:t xml:space="preserve"> and therefore exchanges cannot include any info</w:t>
            </w:r>
            <w:r>
              <w:t>r</w:t>
            </w:r>
            <w:r>
              <w:t xml:space="preserve">mation on this. </w:t>
            </w:r>
          </w:p>
        </w:tc>
      </w:tr>
      <w:tr w:rsidR="003441F6" w:rsidTr="001B06CF">
        <w:tc>
          <w:tcPr>
            <w:tcW w:w="675" w:type="dxa"/>
            <w:shd w:val="clear" w:color="auto" w:fill="D9D9D9" w:themeFill="background1" w:themeFillShade="D9"/>
          </w:tcPr>
          <w:p w:rsidR="003441F6" w:rsidRPr="002F7F66" w:rsidRDefault="003441F6" w:rsidP="00223F7D">
            <w:pPr>
              <w:spacing w:line="276" w:lineRule="auto"/>
              <w:jc w:val="both"/>
              <w:rPr>
                <w:b/>
              </w:rPr>
            </w:pPr>
            <w:r w:rsidRPr="002F7F66">
              <w:rPr>
                <w:b/>
              </w:rPr>
              <w:t>4.</w:t>
            </w:r>
          </w:p>
        </w:tc>
        <w:tc>
          <w:tcPr>
            <w:tcW w:w="8491" w:type="dxa"/>
            <w:gridSpan w:val="2"/>
            <w:shd w:val="clear" w:color="auto" w:fill="D9D9D9" w:themeFill="background1" w:themeFillShade="D9"/>
          </w:tcPr>
          <w:p w:rsidR="003441F6" w:rsidRPr="00040F69" w:rsidRDefault="003441F6" w:rsidP="00223F7D">
            <w:pPr>
              <w:spacing w:line="276" w:lineRule="auto"/>
              <w:jc w:val="both"/>
              <w:rPr>
                <w:b/>
              </w:rPr>
            </w:pPr>
            <w:r w:rsidRPr="00040F69">
              <w:rPr>
                <w:b/>
              </w:rPr>
              <w:t>What are the risks and what could I get in return?</w:t>
            </w:r>
          </w:p>
        </w:tc>
      </w:tr>
      <w:tr w:rsidR="003441F6" w:rsidTr="001B06CF">
        <w:tc>
          <w:tcPr>
            <w:tcW w:w="675" w:type="dxa"/>
          </w:tcPr>
          <w:p w:rsidR="003441F6" w:rsidRPr="002F7F66" w:rsidRDefault="003441F6" w:rsidP="00223F7D">
            <w:pPr>
              <w:spacing w:line="276" w:lineRule="auto"/>
              <w:jc w:val="both"/>
              <w:rPr>
                <w:b/>
              </w:rPr>
            </w:pPr>
            <w:r w:rsidRPr="002F7F66">
              <w:rPr>
                <w:b/>
              </w:rPr>
              <w:lastRenderedPageBreak/>
              <w:t>4.A</w:t>
            </w:r>
          </w:p>
        </w:tc>
        <w:tc>
          <w:tcPr>
            <w:tcW w:w="2410" w:type="dxa"/>
          </w:tcPr>
          <w:p w:rsidR="003441F6" w:rsidRPr="00040F69" w:rsidRDefault="003441F6" w:rsidP="00223F7D">
            <w:pPr>
              <w:spacing w:line="276" w:lineRule="auto"/>
              <w:jc w:val="both"/>
              <w:rPr>
                <w:b/>
              </w:rPr>
            </w:pPr>
            <w:r w:rsidRPr="00040F69">
              <w:rPr>
                <w:b/>
              </w:rPr>
              <w:t>Risk indicator</w:t>
            </w:r>
          </w:p>
        </w:tc>
        <w:tc>
          <w:tcPr>
            <w:tcW w:w="6081" w:type="dxa"/>
          </w:tcPr>
          <w:p w:rsidR="003441F6" w:rsidRPr="00BD5D3A" w:rsidRDefault="003441F6" w:rsidP="00223F7D">
            <w:pPr>
              <w:spacing w:line="276" w:lineRule="auto"/>
              <w:jc w:val="both"/>
              <w:rPr>
                <w:b/>
                <w:color w:val="FF0000"/>
              </w:rPr>
            </w:pPr>
            <w:r>
              <w:rPr>
                <w:b/>
                <w:color w:val="FF0000"/>
              </w:rPr>
              <w:t>Cannot be provided by a</w:t>
            </w:r>
            <w:r w:rsidRPr="00BD5D3A">
              <w:rPr>
                <w:b/>
                <w:color w:val="FF0000"/>
              </w:rPr>
              <w:t xml:space="preserve"> regulated market:</w:t>
            </w:r>
          </w:p>
          <w:p w:rsidR="003441F6" w:rsidRDefault="003441F6" w:rsidP="00223F7D">
            <w:pPr>
              <w:spacing w:line="276" w:lineRule="auto"/>
              <w:jc w:val="both"/>
            </w:pPr>
            <w:r>
              <w:t>The risk indicator as suggested by ESMA focuses on the individ</w:t>
            </w:r>
            <w:r>
              <w:t>u</w:t>
            </w:r>
            <w:r>
              <w:t>al product, purpose and further parameters resulting from the investment advice, such as the ‘recommended holding period’. ESMA suggests that derivatives that qualify as PRIIPs are categ</w:t>
            </w:r>
            <w:r>
              <w:t>o</w:t>
            </w:r>
            <w:r>
              <w:t xml:space="preserve">rized under the highest risk category. We cannot comment on the entirety of the risk indicator for such derivatives that could qualify as PRIIPs and are sold by the defined entities. </w:t>
            </w:r>
          </w:p>
          <w:p w:rsidR="003441F6" w:rsidRDefault="003441F6" w:rsidP="00223F7D">
            <w:pPr>
              <w:spacing w:line="276" w:lineRule="auto"/>
              <w:jc w:val="both"/>
            </w:pPr>
            <w:r>
              <w:t xml:space="preserve">What we do know as regulated markets though, is that we do not have a full picture and therefore cannot provide an appropriate risk indicator, and in essence, any advice. Regulated markets do not offer advice. </w:t>
            </w:r>
          </w:p>
          <w:p w:rsidR="003441F6" w:rsidRDefault="003441F6" w:rsidP="00223F7D">
            <w:pPr>
              <w:spacing w:line="276" w:lineRule="auto"/>
              <w:jc w:val="both"/>
            </w:pPr>
            <w:r>
              <w:t>Evidently, the regulation indicates that regulated markets opera</w:t>
            </w:r>
            <w:r>
              <w:t>t</w:t>
            </w:r>
            <w:r>
              <w:t>ing neutral, multilaterally organized market places in ETD co</w:t>
            </w:r>
            <w:r>
              <w:t>n</w:t>
            </w:r>
            <w:r>
              <w:t xml:space="preserve">tracts do not satisfy the definition of a PRIIP manufacturer. </w:t>
            </w:r>
            <w:r w:rsidRPr="00EC3D82">
              <w:rPr>
                <w:b/>
              </w:rPr>
              <w:t>Ther</w:t>
            </w:r>
            <w:r w:rsidRPr="00EC3D82">
              <w:rPr>
                <w:b/>
              </w:rPr>
              <w:t>e</w:t>
            </w:r>
            <w:r w:rsidRPr="00EC3D82">
              <w:rPr>
                <w:b/>
              </w:rPr>
              <w:t>fore, ETD contracts do not qualify as PRIIPs, and such a classification into the highest risk category would not do justice to the nature of the product or to the trading enviro</w:t>
            </w:r>
            <w:r w:rsidRPr="00EC3D82">
              <w:rPr>
                <w:b/>
              </w:rPr>
              <w:t>n</w:t>
            </w:r>
            <w:r w:rsidRPr="00EC3D82">
              <w:rPr>
                <w:b/>
              </w:rPr>
              <w:t>ment</w:t>
            </w:r>
            <w:r>
              <w:rPr>
                <w:b/>
              </w:rPr>
              <w:t>.</w:t>
            </w:r>
            <w:r w:rsidRPr="00EC3D82">
              <w:rPr>
                <w:b/>
              </w:rPr>
              <w:t xml:space="preserve"> </w:t>
            </w:r>
            <w:r>
              <w:rPr>
                <w:b/>
              </w:rPr>
              <w:t>It obviously was not an intention to include ETDs.</w:t>
            </w:r>
            <w:r>
              <w:t xml:space="preserve"> </w:t>
            </w:r>
          </w:p>
        </w:tc>
      </w:tr>
      <w:tr w:rsidR="003441F6" w:rsidTr="001B06CF">
        <w:tc>
          <w:tcPr>
            <w:tcW w:w="675" w:type="dxa"/>
          </w:tcPr>
          <w:p w:rsidR="003441F6" w:rsidRPr="002F7F66" w:rsidRDefault="003441F6" w:rsidP="00223F7D">
            <w:pPr>
              <w:spacing w:line="276" w:lineRule="auto"/>
              <w:jc w:val="both"/>
              <w:rPr>
                <w:b/>
              </w:rPr>
            </w:pPr>
            <w:r w:rsidRPr="002F7F66">
              <w:rPr>
                <w:b/>
              </w:rPr>
              <w:t>4.B</w:t>
            </w:r>
          </w:p>
        </w:tc>
        <w:tc>
          <w:tcPr>
            <w:tcW w:w="2410" w:type="dxa"/>
          </w:tcPr>
          <w:p w:rsidR="003441F6" w:rsidRPr="00040F69" w:rsidRDefault="003441F6" w:rsidP="00223F7D">
            <w:pPr>
              <w:spacing w:line="276" w:lineRule="auto"/>
              <w:jc w:val="both"/>
              <w:rPr>
                <w:b/>
              </w:rPr>
            </w:pPr>
            <w:r w:rsidRPr="00040F69">
              <w:rPr>
                <w:b/>
              </w:rPr>
              <w:t>Performance scenar</w:t>
            </w:r>
            <w:r w:rsidRPr="00040F69">
              <w:rPr>
                <w:b/>
              </w:rPr>
              <w:t>i</w:t>
            </w:r>
            <w:r w:rsidRPr="00040F69">
              <w:rPr>
                <w:b/>
              </w:rPr>
              <w:t>os</w:t>
            </w:r>
          </w:p>
        </w:tc>
        <w:tc>
          <w:tcPr>
            <w:tcW w:w="6081" w:type="dxa"/>
          </w:tcPr>
          <w:p w:rsidR="003441F6" w:rsidRPr="00BD5D3A" w:rsidRDefault="003441F6" w:rsidP="00223F7D">
            <w:pPr>
              <w:spacing w:line="276" w:lineRule="auto"/>
              <w:jc w:val="both"/>
              <w:rPr>
                <w:b/>
                <w:color w:val="FF0000"/>
              </w:rPr>
            </w:pPr>
            <w:r>
              <w:rPr>
                <w:b/>
                <w:color w:val="FF0000"/>
              </w:rPr>
              <w:t>Cannot be provided by a</w:t>
            </w:r>
            <w:r w:rsidRPr="00BD5D3A">
              <w:rPr>
                <w:b/>
                <w:color w:val="FF0000"/>
              </w:rPr>
              <w:t xml:space="preserve"> regulated market:</w:t>
            </w:r>
          </w:p>
          <w:p w:rsidR="003441F6" w:rsidRDefault="003441F6" w:rsidP="00223F7D">
            <w:pPr>
              <w:spacing w:line="276" w:lineRule="auto"/>
              <w:jc w:val="both"/>
            </w:pPr>
            <w:r>
              <w:t>The performance scenarios required in the draft regulation are not compatible with the practice of ETD contracts, such as listed options and futures and, if provided,</w:t>
            </w:r>
            <w:r w:rsidRPr="00FA431A">
              <w:rPr>
                <w:b/>
              </w:rPr>
              <w:t xml:space="preserve"> will provide meaningless information. </w:t>
            </w:r>
            <w:r>
              <w:t xml:space="preserve">A performance scenario differs </w:t>
            </w:r>
            <w:r>
              <w:rPr>
                <w:b/>
              </w:rPr>
              <w:t xml:space="preserve">per individual trade. </w:t>
            </w:r>
          </w:p>
        </w:tc>
      </w:tr>
      <w:tr w:rsidR="003441F6" w:rsidTr="001B06CF">
        <w:tc>
          <w:tcPr>
            <w:tcW w:w="675" w:type="dxa"/>
          </w:tcPr>
          <w:p w:rsidR="003441F6" w:rsidRPr="002F7F66" w:rsidRDefault="003441F6" w:rsidP="00223F7D">
            <w:pPr>
              <w:spacing w:line="276" w:lineRule="auto"/>
              <w:jc w:val="both"/>
              <w:rPr>
                <w:b/>
              </w:rPr>
            </w:pPr>
            <w:r w:rsidRPr="002F7F66">
              <w:rPr>
                <w:b/>
              </w:rPr>
              <w:t>5</w:t>
            </w:r>
          </w:p>
        </w:tc>
        <w:tc>
          <w:tcPr>
            <w:tcW w:w="2410" w:type="dxa"/>
          </w:tcPr>
          <w:p w:rsidR="003441F6" w:rsidRPr="00040F69" w:rsidRDefault="003441F6" w:rsidP="00223F7D">
            <w:pPr>
              <w:spacing w:line="276" w:lineRule="auto"/>
              <w:jc w:val="both"/>
              <w:rPr>
                <w:b/>
              </w:rPr>
            </w:pPr>
            <w:r w:rsidRPr="00040F69">
              <w:rPr>
                <w:b/>
              </w:rPr>
              <w:t>What happens if XYZ Asset Management is unable to pay out</w:t>
            </w:r>
          </w:p>
        </w:tc>
        <w:tc>
          <w:tcPr>
            <w:tcW w:w="6081" w:type="dxa"/>
          </w:tcPr>
          <w:p w:rsidR="003441F6" w:rsidRPr="00BD5D3A" w:rsidRDefault="003441F6" w:rsidP="00223F7D">
            <w:pPr>
              <w:spacing w:line="276" w:lineRule="auto"/>
              <w:jc w:val="both"/>
              <w:rPr>
                <w:b/>
                <w:color w:val="FF0000"/>
              </w:rPr>
            </w:pPr>
            <w:r>
              <w:rPr>
                <w:b/>
                <w:color w:val="FF0000"/>
              </w:rPr>
              <w:t>Cannot be provided by a</w:t>
            </w:r>
            <w:r w:rsidRPr="00BD5D3A">
              <w:rPr>
                <w:b/>
                <w:color w:val="FF0000"/>
              </w:rPr>
              <w:t xml:space="preserve"> regulated market:</w:t>
            </w:r>
          </w:p>
          <w:p w:rsidR="003441F6" w:rsidRDefault="00D54ABE" w:rsidP="00223F7D">
            <w:pPr>
              <w:spacing w:line="276" w:lineRule="auto"/>
              <w:jc w:val="both"/>
            </w:pPr>
            <w:r>
              <w:rPr>
                <w:b/>
              </w:rPr>
              <w:t xml:space="preserve">This aspect is clarified by the ESAs to focus on investor compensation and guarantee schemes. </w:t>
            </w:r>
            <w:r w:rsidR="003441F6">
              <w:rPr>
                <w:b/>
              </w:rPr>
              <w:t>Exchanges do not pay out: e</w:t>
            </w:r>
            <w:r w:rsidR="003441F6" w:rsidRPr="00BD5D3A">
              <w:rPr>
                <w:b/>
              </w:rPr>
              <w:t>xchanges are not issuing such products</w:t>
            </w:r>
            <w:r w:rsidR="003441F6">
              <w:t xml:space="preserve"> and fu</w:t>
            </w:r>
            <w:r w:rsidR="003441F6">
              <w:t>r</w:t>
            </w:r>
            <w:r w:rsidR="003441F6">
              <w:t>thermore are not selling ETD products to investors</w:t>
            </w:r>
            <w:r>
              <w:t>; ultimately, exchanges do not assume any position, selling or buying</w:t>
            </w:r>
            <w:r w:rsidR="003441F6">
              <w:t xml:space="preserve">. </w:t>
            </w:r>
            <w:r>
              <w:t>An option cannot be given back to the exchange. An option can be closed in the market. Also, t</w:t>
            </w:r>
            <w:r w:rsidR="003441F6">
              <w:t xml:space="preserve">here is </w:t>
            </w:r>
            <w:r w:rsidR="003441F6">
              <w:rPr>
                <w:b/>
              </w:rPr>
              <w:t>no</w:t>
            </w:r>
            <w:r w:rsidR="003441F6" w:rsidRPr="00BD5D3A">
              <w:rPr>
                <w:b/>
              </w:rPr>
              <w:t xml:space="preserve"> contractual agreement </w:t>
            </w:r>
            <w:r w:rsidR="003441F6">
              <w:rPr>
                <w:b/>
              </w:rPr>
              <w:t xml:space="preserve">between </w:t>
            </w:r>
            <w:r w:rsidR="003441F6" w:rsidRPr="00BD5D3A">
              <w:rPr>
                <w:b/>
              </w:rPr>
              <w:t>retail investors</w:t>
            </w:r>
            <w:r w:rsidR="003441F6">
              <w:t xml:space="preserve"> </w:t>
            </w:r>
            <w:r w:rsidR="003441F6" w:rsidRPr="00F14050">
              <w:rPr>
                <w:b/>
              </w:rPr>
              <w:t>and exchanges</w:t>
            </w:r>
            <w:r w:rsidR="003441F6">
              <w:t>.</w:t>
            </w:r>
          </w:p>
        </w:tc>
      </w:tr>
      <w:tr w:rsidR="003441F6" w:rsidTr="001B06CF">
        <w:tc>
          <w:tcPr>
            <w:tcW w:w="675" w:type="dxa"/>
            <w:shd w:val="clear" w:color="auto" w:fill="D9D9D9" w:themeFill="background1" w:themeFillShade="D9"/>
          </w:tcPr>
          <w:p w:rsidR="003441F6" w:rsidRPr="002F7F66" w:rsidRDefault="003441F6" w:rsidP="00223F7D">
            <w:pPr>
              <w:spacing w:line="276" w:lineRule="auto"/>
              <w:jc w:val="both"/>
              <w:rPr>
                <w:b/>
              </w:rPr>
            </w:pPr>
            <w:r w:rsidRPr="002F7F66">
              <w:rPr>
                <w:b/>
              </w:rPr>
              <w:t>6</w:t>
            </w:r>
          </w:p>
        </w:tc>
        <w:tc>
          <w:tcPr>
            <w:tcW w:w="8491" w:type="dxa"/>
            <w:gridSpan w:val="2"/>
            <w:shd w:val="clear" w:color="auto" w:fill="D9D9D9" w:themeFill="background1" w:themeFillShade="D9"/>
          </w:tcPr>
          <w:p w:rsidR="003441F6" w:rsidRPr="00040F69" w:rsidRDefault="003441F6" w:rsidP="00223F7D">
            <w:pPr>
              <w:spacing w:line="276" w:lineRule="auto"/>
              <w:jc w:val="both"/>
              <w:rPr>
                <w:b/>
              </w:rPr>
            </w:pPr>
            <w:r w:rsidRPr="00040F69">
              <w:rPr>
                <w:b/>
              </w:rPr>
              <w:t>What are the costs</w:t>
            </w:r>
          </w:p>
        </w:tc>
      </w:tr>
      <w:tr w:rsidR="003441F6" w:rsidTr="001B06CF">
        <w:tc>
          <w:tcPr>
            <w:tcW w:w="675" w:type="dxa"/>
          </w:tcPr>
          <w:p w:rsidR="003441F6" w:rsidRPr="002F7F66" w:rsidRDefault="003441F6" w:rsidP="00223F7D">
            <w:pPr>
              <w:spacing w:line="276" w:lineRule="auto"/>
              <w:jc w:val="both"/>
              <w:rPr>
                <w:b/>
              </w:rPr>
            </w:pPr>
            <w:r w:rsidRPr="002F7F66">
              <w:rPr>
                <w:b/>
              </w:rPr>
              <w:t>6.1</w:t>
            </w:r>
          </w:p>
        </w:tc>
        <w:tc>
          <w:tcPr>
            <w:tcW w:w="2410" w:type="dxa"/>
          </w:tcPr>
          <w:p w:rsidR="003441F6" w:rsidRPr="00040F69" w:rsidRDefault="003441F6" w:rsidP="00223F7D">
            <w:pPr>
              <w:spacing w:line="276" w:lineRule="auto"/>
              <w:jc w:val="both"/>
              <w:rPr>
                <w:b/>
              </w:rPr>
            </w:pPr>
            <w:r w:rsidRPr="00040F69">
              <w:rPr>
                <w:b/>
              </w:rPr>
              <w:t>Costs over time</w:t>
            </w:r>
          </w:p>
        </w:tc>
        <w:tc>
          <w:tcPr>
            <w:tcW w:w="6081" w:type="dxa"/>
          </w:tcPr>
          <w:p w:rsidR="003441F6" w:rsidRPr="00BD5D3A" w:rsidRDefault="003441F6" w:rsidP="00223F7D">
            <w:pPr>
              <w:spacing w:line="276" w:lineRule="auto"/>
              <w:jc w:val="both"/>
              <w:rPr>
                <w:b/>
                <w:color w:val="FF0000"/>
              </w:rPr>
            </w:pPr>
            <w:r>
              <w:rPr>
                <w:b/>
                <w:color w:val="FF0000"/>
              </w:rPr>
              <w:t>Cannot be provided by a</w:t>
            </w:r>
            <w:r w:rsidRPr="00BD5D3A">
              <w:rPr>
                <w:b/>
                <w:color w:val="FF0000"/>
              </w:rPr>
              <w:t xml:space="preserve"> regulated market:</w:t>
            </w:r>
          </w:p>
          <w:p w:rsidR="003441F6" w:rsidRDefault="003441F6" w:rsidP="00223F7D">
            <w:pPr>
              <w:spacing w:line="276" w:lineRule="auto"/>
              <w:jc w:val="both"/>
            </w:pPr>
            <w:r>
              <w:t xml:space="preserve">The costs over time cannot be predicted by exchanges. Fees are made transparent to the market participants, but </w:t>
            </w:r>
            <w:r w:rsidRPr="00BD5D3A">
              <w:rPr>
                <w:b/>
              </w:rPr>
              <w:t>any additional costs incurred by the investment firms marketing instr</w:t>
            </w:r>
            <w:r w:rsidRPr="00BD5D3A">
              <w:rPr>
                <w:b/>
              </w:rPr>
              <w:t>u</w:t>
            </w:r>
            <w:r w:rsidRPr="00BD5D3A">
              <w:rPr>
                <w:b/>
              </w:rPr>
              <w:t>ments or combination of instruments cannot be included by the regulated market.</w:t>
            </w:r>
          </w:p>
        </w:tc>
      </w:tr>
      <w:tr w:rsidR="003441F6" w:rsidTr="001B06CF">
        <w:tc>
          <w:tcPr>
            <w:tcW w:w="675" w:type="dxa"/>
          </w:tcPr>
          <w:p w:rsidR="003441F6" w:rsidRPr="002F7F66" w:rsidRDefault="003441F6" w:rsidP="00223F7D">
            <w:pPr>
              <w:spacing w:line="276" w:lineRule="auto"/>
              <w:jc w:val="both"/>
              <w:rPr>
                <w:b/>
              </w:rPr>
            </w:pPr>
            <w:r w:rsidRPr="002F7F66">
              <w:rPr>
                <w:b/>
              </w:rPr>
              <w:t>6.2</w:t>
            </w:r>
          </w:p>
        </w:tc>
        <w:tc>
          <w:tcPr>
            <w:tcW w:w="2410" w:type="dxa"/>
          </w:tcPr>
          <w:p w:rsidR="003441F6" w:rsidRPr="00040F69" w:rsidRDefault="003441F6" w:rsidP="00223F7D">
            <w:pPr>
              <w:spacing w:line="276" w:lineRule="auto"/>
              <w:jc w:val="both"/>
              <w:rPr>
                <w:b/>
              </w:rPr>
            </w:pPr>
            <w:r w:rsidRPr="00040F69">
              <w:rPr>
                <w:b/>
              </w:rPr>
              <w:t>Composition of costs</w:t>
            </w:r>
          </w:p>
        </w:tc>
        <w:tc>
          <w:tcPr>
            <w:tcW w:w="6081" w:type="dxa"/>
          </w:tcPr>
          <w:p w:rsidR="003441F6" w:rsidRPr="00BD5D3A" w:rsidRDefault="003441F6" w:rsidP="00223F7D">
            <w:pPr>
              <w:spacing w:line="276" w:lineRule="auto"/>
              <w:jc w:val="both"/>
              <w:rPr>
                <w:b/>
                <w:color w:val="FF0000"/>
              </w:rPr>
            </w:pPr>
            <w:r w:rsidRPr="00BD5D3A">
              <w:rPr>
                <w:b/>
                <w:color w:val="FF0000"/>
              </w:rPr>
              <w:t>Cannot be provided by a regulated market:</w:t>
            </w:r>
          </w:p>
          <w:p w:rsidR="003441F6" w:rsidRDefault="003441F6" w:rsidP="00223F7D">
            <w:pPr>
              <w:spacing w:line="276" w:lineRule="auto"/>
              <w:jc w:val="both"/>
            </w:pPr>
            <w:r>
              <w:t xml:space="preserve">A number of the costs detailed are not produced by or available to exchanges. </w:t>
            </w:r>
            <w:r w:rsidRPr="00C85614">
              <w:rPr>
                <w:b/>
              </w:rPr>
              <w:t>Exchanges are unable to comply with these r</w:t>
            </w:r>
            <w:r w:rsidRPr="00C85614">
              <w:rPr>
                <w:b/>
              </w:rPr>
              <w:t>e</w:t>
            </w:r>
            <w:r w:rsidRPr="00C85614">
              <w:rPr>
                <w:b/>
              </w:rPr>
              <w:lastRenderedPageBreak/>
              <w:t xml:space="preserve">quirements </w:t>
            </w:r>
            <w:r>
              <w:rPr>
                <w:b/>
              </w:rPr>
              <w:t xml:space="preserve">as they have no knowledge of or influence over costs in the chain of trading a listed derivative </w:t>
            </w:r>
            <w:r w:rsidRPr="00C85614">
              <w:rPr>
                <w:b/>
              </w:rPr>
              <w:t>and should not be required to do so from a competition perspective.</w:t>
            </w:r>
          </w:p>
        </w:tc>
      </w:tr>
      <w:tr w:rsidR="003441F6" w:rsidTr="001B06CF">
        <w:tc>
          <w:tcPr>
            <w:tcW w:w="675" w:type="dxa"/>
          </w:tcPr>
          <w:p w:rsidR="003441F6" w:rsidRDefault="003441F6" w:rsidP="00223F7D">
            <w:pPr>
              <w:spacing w:line="276" w:lineRule="auto"/>
              <w:jc w:val="both"/>
            </w:pPr>
            <w:r>
              <w:lastRenderedPageBreak/>
              <w:t>7.</w:t>
            </w:r>
          </w:p>
        </w:tc>
        <w:tc>
          <w:tcPr>
            <w:tcW w:w="2410" w:type="dxa"/>
          </w:tcPr>
          <w:p w:rsidR="003441F6" w:rsidRPr="00040F69" w:rsidRDefault="003441F6" w:rsidP="00223F7D">
            <w:pPr>
              <w:spacing w:line="276" w:lineRule="auto"/>
              <w:jc w:val="both"/>
              <w:rPr>
                <w:b/>
              </w:rPr>
            </w:pPr>
            <w:r w:rsidRPr="00040F69">
              <w:rPr>
                <w:b/>
              </w:rPr>
              <w:t>How long should I hold it and can I take money out early?</w:t>
            </w:r>
          </w:p>
        </w:tc>
        <w:tc>
          <w:tcPr>
            <w:tcW w:w="6081" w:type="dxa"/>
          </w:tcPr>
          <w:p w:rsidR="003441F6" w:rsidRPr="00BD5D3A" w:rsidRDefault="003441F6" w:rsidP="00223F7D">
            <w:pPr>
              <w:spacing w:line="276" w:lineRule="auto"/>
              <w:jc w:val="both"/>
              <w:rPr>
                <w:b/>
                <w:color w:val="FF0000"/>
              </w:rPr>
            </w:pPr>
            <w:r w:rsidRPr="00BD5D3A">
              <w:rPr>
                <w:b/>
                <w:color w:val="FF0000"/>
              </w:rPr>
              <w:t>Cannot be provided by a regulated market:</w:t>
            </w:r>
          </w:p>
          <w:p w:rsidR="003441F6" w:rsidRDefault="003441F6" w:rsidP="00223F7D">
            <w:pPr>
              <w:spacing w:line="276" w:lineRule="auto"/>
              <w:jc w:val="both"/>
            </w:pPr>
            <w:r w:rsidRPr="00D54ABE">
              <w:rPr>
                <w:b/>
              </w:rPr>
              <w:t>ETD contracts are available for trading on every open trading day so positions can be closed against the market price.</w:t>
            </w:r>
            <w:r>
              <w:t xml:space="preserve"> The objective of the retail investor is unknown and therefore, the question cannot be adequately responded. </w:t>
            </w:r>
            <w:r>
              <w:rPr>
                <w:b/>
              </w:rPr>
              <w:t>More importantly,</w:t>
            </w:r>
            <w:r w:rsidRPr="00E33635">
              <w:rPr>
                <w:b/>
              </w:rPr>
              <w:t xml:space="preserve"> regulated market</w:t>
            </w:r>
            <w:r>
              <w:rPr>
                <w:b/>
              </w:rPr>
              <w:t>s</w:t>
            </w:r>
            <w:r w:rsidR="00D54ABE">
              <w:rPr>
                <w:b/>
              </w:rPr>
              <w:t xml:space="preserve"> cannot provide judgement on when the best time to engage in markets and execute entire or partial investment intentions. Regulated markets operate neutral market places and do not assume positions. Hereby, the efforts of the G20 in safeguarding neutral and transparent markets should not be deterred</w:t>
            </w:r>
            <w:r w:rsidRPr="00E33635">
              <w:rPr>
                <w:b/>
              </w:rPr>
              <w:t>.</w:t>
            </w:r>
          </w:p>
        </w:tc>
      </w:tr>
      <w:tr w:rsidR="003441F6" w:rsidTr="001B06CF">
        <w:tc>
          <w:tcPr>
            <w:tcW w:w="675" w:type="dxa"/>
          </w:tcPr>
          <w:p w:rsidR="003441F6" w:rsidRDefault="003441F6" w:rsidP="00223F7D">
            <w:pPr>
              <w:spacing w:line="276" w:lineRule="auto"/>
              <w:jc w:val="both"/>
            </w:pPr>
            <w:r>
              <w:t>8.</w:t>
            </w:r>
          </w:p>
        </w:tc>
        <w:tc>
          <w:tcPr>
            <w:tcW w:w="2410" w:type="dxa"/>
          </w:tcPr>
          <w:p w:rsidR="003441F6" w:rsidRPr="00040F69" w:rsidRDefault="003441F6" w:rsidP="00223F7D">
            <w:pPr>
              <w:spacing w:line="276" w:lineRule="auto"/>
              <w:jc w:val="both"/>
              <w:rPr>
                <w:b/>
              </w:rPr>
            </w:pPr>
            <w:r w:rsidRPr="00040F69">
              <w:rPr>
                <w:b/>
              </w:rPr>
              <w:t>How can I complain</w:t>
            </w:r>
          </w:p>
        </w:tc>
        <w:tc>
          <w:tcPr>
            <w:tcW w:w="6081" w:type="dxa"/>
          </w:tcPr>
          <w:p w:rsidR="003441F6" w:rsidRPr="00E33635" w:rsidRDefault="003441F6" w:rsidP="00223F7D">
            <w:pPr>
              <w:spacing w:line="276" w:lineRule="auto"/>
              <w:jc w:val="both"/>
              <w:rPr>
                <w:b/>
                <w:color w:val="FF0000"/>
              </w:rPr>
            </w:pPr>
            <w:r w:rsidRPr="00E33635">
              <w:rPr>
                <w:b/>
                <w:color w:val="FF0000"/>
              </w:rPr>
              <w:t>Cannot be provided by a regulated market:</w:t>
            </w:r>
          </w:p>
          <w:p w:rsidR="003441F6" w:rsidRDefault="003441F6" w:rsidP="00223F7D">
            <w:pPr>
              <w:spacing w:line="276" w:lineRule="auto"/>
              <w:jc w:val="both"/>
            </w:pPr>
            <w:r>
              <w:t xml:space="preserve">In essence </w:t>
            </w:r>
            <w:r w:rsidRPr="009904D4">
              <w:rPr>
                <w:b/>
              </w:rPr>
              <w:t xml:space="preserve">an investor has a relationship with </w:t>
            </w:r>
            <w:r>
              <w:rPr>
                <w:b/>
              </w:rPr>
              <w:t>his/her</w:t>
            </w:r>
            <w:r w:rsidRPr="009904D4">
              <w:rPr>
                <w:b/>
              </w:rPr>
              <w:t xml:space="preserve"> broker</w:t>
            </w:r>
            <w:r>
              <w:rPr>
                <w:b/>
              </w:rPr>
              <w:t xml:space="preserve"> -</w:t>
            </w:r>
            <w:r w:rsidRPr="009904D4">
              <w:rPr>
                <w:b/>
              </w:rPr>
              <w:t xml:space="preserve"> the investment firm.</w:t>
            </w:r>
            <w:r>
              <w:t xml:space="preserve"> Any unsatisfactory investment advice has to be addressed with the advising firm who issued, securitized or otherwise is selling the PRIIP. </w:t>
            </w:r>
          </w:p>
        </w:tc>
      </w:tr>
      <w:tr w:rsidR="003441F6" w:rsidTr="001B06CF">
        <w:tc>
          <w:tcPr>
            <w:tcW w:w="675" w:type="dxa"/>
          </w:tcPr>
          <w:p w:rsidR="003441F6" w:rsidRDefault="003441F6" w:rsidP="00223F7D">
            <w:pPr>
              <w:spacing w:line="276" w:lineRule="auto"/>
              <w:jc w:val="both"/>
            </w:pPr>
            <w:r>
              <w:t>9.</w:t>
            </w:r>
          </w:p>
        </w:tc>
        <w:tc>
          <w:tcPr>
            <w:tcW w:w="2410" w:type="dxa"/>
          </w:tcPr>
          <w:p w:rsidR="003441F6" w:rsidRPr="00040F69" w:rsidRDefault="003441F6" w:rsidP="00223F7D">
            <w:pPr>
              <w:spacing w:line="276" w:lineRule="auto"/>
              <w:rPr>
                <w:b/>
              </w:rPr>
            </w:pPr>
            <w:r w:rsidRPr="00040F69">
              <w:rPr>
                <w:b/>
              </w:rPr>
              <w:t>Other relevant info</w:t>
            </w:r>
            <w:r w:rsidRPr="00040F69">
              <w:rPr>
                <w:b/>
              </w:rPr>
              <w:t>r</w:t>
            </w:r>
            <w:r w:rsidRPr="00040F69">
              <w:rPr>
                <w:b/>
              </w:rPr>
              <w:t>mation</w:t>
            </w:r>
          </w:p>
        </w:tc>
        <w:tc>
          <w:tcPr>
            <w:tcW w:w="6081" w:type="dxa"/>
          </w:tcPr>
          <w:p w:rsidR="003441F6" w:rsidRPr="00A041B1" w:rsidRDefault="003441F6" w:rsidP="00223F7D">
            <w:pPr>
              <w:spacing w:line="276" w:lineRule="auto"/>
              <w:jc w:val="both"/>
              <w:rPr>
                <w:b/>
                <w:color w:val="00B050"/>
              </w:rPr>
            </w:pPr>
            <w:r w:rsidRPr="00A041B1">
              <w:rPr>
                <w:b/>
                <w:color w:val="00B050"/>
              </w:rPr>
              <w:t>Could be provided by the regulated market:</w:t>
            </w:r>
          </w:p>
          <w:p w:rsidR="003441F6" w:rsidRDefault="003441F6" w:rsidP="00223F7D">
            <w:pPr>
              <w:spacing w:line="276" w:lineRule="auto"/>
              <w:jc w:val="both"/>
            </w:pPr>
            <w:r>
              <w:t xml:space="preserve">Regulated markets publish all rules and regulations, admission procedures, market models, derivatives contracts specifications, fees, etc. on their website. </w:t>
            </w:r>
          </w:p>
          <w:p w:rsidR="003441F6" w:rsidRPr="00581CC0" w:rsidRDefault="003441F6" w:rsidP="00223F7D">
            <w:pPr>
              <w:spacing w:line="276" w:lineRule="auto"/>
              <w:jc w:val="both"/>
              <w:rPr>
                <w:b/>
                <w:color w:val="FF0000"/>
              </w:rPr>
            </w:pPr>
            <w:r w:rsidRPr="00581CC0">
              <w:rPr>
                <w:b/>
                <w:color w:val="FF0000"/>
              </w:rPr>
              <w:t>Cannot be provided by regulated markets:</w:t>
            </w:r>
          </w:p>
          <w:p w:rsidR="003441F6" w:rsidRPr="00581CC0" w:rsidRDefault="003441F6" w:rsidP="00223F7D">
            <w:pPr>
              <w:spacing w:line="276" w:lineRule="auto"/>
              <w:jc w:val="both"/>
              <w:rPr>
                <w:b/>
              </w:rPr>
            </w:pPr>
            <w:r w:rsidRPr="00581CC0">
              <w:rPr>
                <w:b/>
              </w:rPr>
              <w:t xml:space="preserve">Any </w:t>
            </w:r>
            <w:r>
              <w:rPr>
                <w:b/>
              </w:rPr>
              <w:t xml:space="preserve">information </w:t>
            </w:r>
            <w:r w:rsidRPr="00581CC0">
              <w:rPr>
                <w:b/>
              </w:rPr>
              <w:t>relat</w:t>
            </w:r>
            <w:r>
              <w:rPr>
                <w:b/>
              </w:rPr>
              <w:t>ing</w:t>
            </w:r>
            <w:r w:rsidRPr="00581CC0">
              <w:rPr>
                <w:b/>
              </w:rPr>
              <w:t xml:space="preserve"> to an investment advice. </w:t>
            </w:r>
            <w:r w:rsidRPr="00F14050">
              <w:t>A market operator is neutral by nature</w:t>
            </w:r>
            <w:r>
              <w:t xml:space="preserve"> and as mandated by the relevant EU legislation (e.g. MiFID II)</w:t>
            </w:r>
            <w:r w:rsidRPr="00F14050">
              <w:t>. See points above.</w:t>
            </w:r>
          </w:p>
        </w:tc>
      </w:tr>
    </w:tbl>
    <w:p w:rsidR="00742118" w:rsidRDefault="00742118" w:rsidP="00223F7D">
      <w:pPr>
        <w:spacing w:line="276" w:lineRule="auto"/>
        <w:rPr>
          <w:rFonts w:eastAsia="Calibri"/>
          <w:lang w:val="en-US"/>
        </w:rPr>
      </w:pPr>
    </w:p>
    <w:p w:rsidR="00D34282" w:rsidRPr="00C25863" w:rsidRDefault="00A352E2" w:rsidP="00D34282">
      <w:r>
        <w:rPr>
          <w:rFonts w:eastAsia="Calibri"/>
          <w:lang w:val="en-US"/>
        </w:rPr>
        <w:t>We would thus understand that the PRI</w:t>
      </w:r>
      <w:r w:rsidR="00E75465">
        <w:rPr>
          <w:rFonts w:eastAsia="Calibri"/>
          <w:lang w:val="en-US"/>
        </w:rPr>
        <w:t>I</w:t>
      </w:r>
      <w:r>
        <w:rPr>
          <w:rFonts w:eastAsia="Calibri"/>
          <w:lang w:val="en-US"/>
        </w:rPr>
        <w:t xml:space="preserve">Ps regulation and the negotiation agreement under Level 1 </w:t>
      </w:r>
      <w:r w:rsidR="00D54ABE">
        <w:rPr>
          <w:rFonts w:eastAsia="Calibri"/>
          <w:lang w:val="en-US"/>
        </w:rPr>
        <w:t>has a</w:t>
      </w:r>
      <w:r>
        <w:rPr>
          <w:rFonts w:eastAsia="Calibri"/>
          <w:lang w:val="en-US"/>
        </w:rPr>
        <w:t xml:space="preserve"> specific intention to capture the substitutes of the funds industry and does capture neither regulated ma</w:t>
      </w:r>
      <w:r>
        <w:rPr>
          <w:rFonts w:eastAsia="Calibri"/>
          <w:lang w:val="en-US"/>
        </w:rPr>
        <w:t>r</w:t>
      </w:r>
      <w:r>
        <w:rPr>
          <w:rFonts w:eastAsia="Calibri"/>
          <w:lang w:val="en-US"/>
        </w:rPr>
        <w:t xml:space="preserve">kets nor exchange traded derivatives. </w:t>
      </w:r>
      <w:r w:rsidRPr="006460C4">
        <w:rPr>
          <w:rFonts w:eastAsia="Calibri"/>
          <w:b/>
          <w:lang w:val="en-US"/>
        </w:rPr>
        <w:t>Confirmation of our understanding</w:t>
      </w:r>
      <w:r w:rsidR="006460C4">
        <w:rPr>
          <w:rFonts w:eastAsia="Calibri"/>
          <w:b/>
          <w:lang w:val="en-US"/>
        </w:rPr>
        <w:t xml:space="preserve"> </w:t>
      </w:r>
      <w:r w:rsidR="006460C4" w:rsidRPr="006460C4">
        <w:rPr>
          <w:rFonts w:eastAsia="Calibri"/>
          <w:b/>
          <w:lang w:val="en-US"/>
        </w:rPr>
        <w:t>would be welcomed</w:t>
      </w:r>
      <w:r w:rsidR="006460C4">
        <w:rPr>
          <w:rFonts w:eastAsia="Calibri"/>
          <w:lang w:val="en-US"/>
        </w:rPr>
        <w:t xml:space="preserve">. </w:t>
      </w:r>
      <w:r w:rsidR="006460C4" w:rsidRPr="006460C4">
        <w:rPr>
          <w:rFonts w:eastAsia="Calibri"/>
          <w:b/>
          <w:lang w:val="en-US"/>
        </w:rPr>
        <w:t>We offer to enter into</w:t>
      </w:r>
      <w:r w:rsidRPr="006460C4">
        <w:rPr>
          <w:rFonts w:eastAsia="Calibri"/>
          <w:b/>
          <w:lang w:val="en-US"/>
        </w:rPr>
        <w:t xml:space="preserve"> a dialogue on how the entities and products in scope of the regulation can achieve transparency levels like </w:t>
      </w:r>
      <w:r w:rsidR="006460C4">
        <w:rPr>
          <w:rFonts w:eastAsia="Calibri"/>
          <w:b/>
          <w:lang w:val="en-US"/>
        </w:rPr>
        <w:t xml:space="preserve">provided by </w:t>
      </w:r>
      <w:r w:rsidRPr="006460C4">
        <w:rPr>
          <w:rFonts w:eastAsia="Calibri"/>
          <w:b/>
          <w:lang w:val="en-US"/>
        </w:rPr>
        <w:t>exchange traded derivatives</w:t>
      </w:r>
      <w:r w:rsidR="00D54ABE" w:rsidRPr="006460C4">
        <w:rPr>
          <w:rFonts w:eastAsia="Calibri"/>
          <w:b/>
          <w:lang w:val="en-US"/>
        </w:rPr>
        <w:t xml:space="preserve"> </w:t>
      </w:r>
      <w:r w:rsidR="006460C4">
        <w:rPr>
          <w:rFonts w:eastAsia="Calibri"/>
          <w:b/>
          <w:lang w:val="en-US"/>
        </w:rPr>
        <w:t xml:space="preserve">on </w:t>
      </w:r>
      <w:r w:rsidR="00D54ABE" w:rsidRPr="006460C4">
        <w:rPr>
          <w:rFonts w:eastAsia="Calibri"/>
          <w:b/>
          <w:lang w:val="en-US"/>
        </w:rPr>
        <w:t>regulated markets</w:t>
      </w:r>
      <w:r w:rsidR="006460C4">
        <w:rPr>
          <w:rFonts w:eastAsia="Calibri"/>
          <w:b/>
          <w:lang w:val="en-US"/>
        </w:rPr>
        <w:t>.</w:t>
      </w:r>
      <w:r w:rsidR="00D54ABE" w:rsidRPr="006460C4">
        <w:rPr>
          <w:rFonts w:eastAsia="Calibri"/>
          <w:b/>
          <w:lang w:val="en-US"/>
        </w:rPr>
        <w:t xml:space="preserve"> </w:t>
      </w:r>
      <w:permEnd w:id="1805409111"/>
      <w:r w:rsidR="00D34282" w:rsidRPr="00C25863">
        <w:t>&lt;</w:t>
      </w:r>
      <w:r w:rsidR="00D34282">
        <w:t>E</w:t>
      </w:r>
      <w:r w:rsidR="00D34282">
        <w:t>S</w:t>
      </w:r>
      <w:r w:rsidR="00D34282">
        <w:t>MA_COMMENT</w:t>
      </w:r>
      <w:r w:rsidR="00D34282" w:rsidRPr="00C25863">
        <w:t>_</w:t>
      </w:r>
      <w:r w:rsidR="000E35CB" w:rsidRPr="000E35CB">
        <w:rPr>
          <w:rFonts w:cs="Arial"/>
        </w:rPr>
        <w:t xml:space="preserve"> </w:t>
      </w:r>
      <w:r w:rsidR="000E35CB">
        <w:rPr>
          <w:rFonts w:cs="Arial"/>
        </w:rPr>
        <w:t>PRIIPS</w:t>
      </w:r>
      <w:r w:rsidR="00D34282"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50796" w:rsidRDefault="00750796" w:rsidP="00750796">
      <w:permStart w:id="1703354205" w:edGrp="everyone"/>
      <w:r>
        <w:t>TYPE YOUR TEXT HERE</w:t>
      </w:r>
    </w:p>
    <w:permEnd w:id="1703354205"/>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46"/>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46"/>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750796" w:rsidRDefault="00750796" w:rsidP="00750796">
      <w:permStart w:id="250492507" w:edGrp="everyone"/>
      <w:r>
        <w:t>TYPE YOUR TEXT HERE</w:t>
      </w:r>
    </w:p>
    <w:permEnd w:id="250492507"/>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750796" w:rsidP="00750796">
      <w:permStart w:id="628908199" w:edGrp="everyone"/>
      <w:r>
        <w:t>TYPE YOUR TEXT HERE</w:t>
      </w:r>
    </w:p>
    <w:permEnd w:id="628908199"/>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750796" w:rsidP="00750796">
      <w:permStart w:id="471877186" w:edGrp="everyone"/>
      <w:r>
        <w:t>TYPE YOUR TEXT HERE</w:t>
      </w:r>
    </w:p>
    <w:permEnd w:id="471877186"/>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Default="00750796" w:rsidP="00750796">
      <w:permStart w:id="1608719186" w:edGrp="everyone"/>
      <w:r>
        <w:t>TYPE YOUR TEXT HERE</w:t>
      </w:r>
    </w:p>
    <w:permEnd w:id="1608719186"/>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lastRenderedPageBreak/>
        <w:t>&lt;ESMA_QUESTION_PRIIPS_6&gt;</w:t>
      </w:r>
    </w:p>
    <w:p w:rsidR="003E4B00" w:rsidRDefault="003E4B00" w:rsidP="003E4B00">
      <w:permStart w:id="72893494" w:edGrp="everyone"/>
      <w:r>
        <w:t>TYPE YOUR TEXT HERE</w:t>
      </w:r>
    </w:p>
    <w:permEnd w:id="72893494"/>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3E4B00" w:rsidP="003E4B00">
      <w:permStart w:id="684019951" w:edGrp="everyone"/>
      <w:r>
        <w:t>TYPE YOUR TEXT HERE</w:t>
      </w:r>
    </w:p>
    <w:permEnd w:id="684019951"/>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Default="003E4B00" w:rsidP="003E4B00">
      <w:permStart w:id="1411595736" w:edGrp="everyone"/>
      <w:r>
        <w:t>TYPE YOUR TEXT HERE</w:t>
      </w:r>
    </w:p>
    <w:permEnd w:id="1411595736"/>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Default="003E4B00" w:rsidP="003E4B00">
      <w:permStart w:id="174789956" w:edGrp="everyone"/>
      <w:r>
        <w:t>TYPE YOUR TEXT HERE</w:t>
      </w:r>
    </w:p>
    <w:permEnd w:id="174789956"/>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4B00" w:rsidP="003E4B00">
      <w:permStart w:id="1055280651" w:edGrp="everyone"/>
      <w:r>
        <w:t>TYPE YOUR TEXT HERE</w:t>
      </w:r>
    </w:p>
    <w:permEnd w:id="1055280651"/>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lastRenderedPageBreak/>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776815314" w:edGrp="everyone"/>
      <w:r>
        <w:t>TYPE YOUR TEXT HERE</w:t>
      </w:r>
    </w:p>
    <w:permEnd w:id="776815314"/>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Default="003E4B00" w:rsidP="003E4B00">
      <w:permStart w:id="923563227" w:edGrp="everyone"/>
      <w:r>
        <w:t>TYPE YOUR TEXT HERE</w:t>
      </w:r>
    </w:p>
    <w:permEnd w:id="923563227"/>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3E4B00" w:rsidP="003E4B00">
      <w:permStart w:id="784795859" w:edGrp="everyone"/>
      <w:r>
        <w:t>TYPE YOUR TEXT HERE</w:t>
      </w:r>
    </w:p>
    <w:permEnd w:id="784795859"/>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2110674589" w:edGrp="everyone"/>
      <w:r>
        <w:t>TYPE YOUR TEXT HERE</w:t>
      </w:r>
    </w:p>
    <w:permEnd w:id="2110674589"/>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w:t>
      </w:r>
      <w:r w:rsidRPr="00A2049D">
        <w:rPr>
          <w:rFonts w:ascii="Calibri" w:hAnsi="Calibri"/>
          <w:i/>
          <w:sz w:val="22"/>
          <w:lang w:eastAsia="en-US"/>
        </w:rPr>
        <w:lastRenderedPageBreak/>
        <w:t xml:space="preserve">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Default="003E4B00" w:rsidP="003E4B00">
      <w:permStart w:id="715852951" w:edGrp="everyone"/>
      <w:r>
        <w:t>TYPE YOUR TEXT HERE</w:t>
      </w:r>
    </w:p>
    <w:permEnd w:id="715852951"/>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1566322372" w:edGrp="everyone"/>
      <w:r>
        <w:t>TYPE YOUR TEXT HERE</w:t>
      </w:r>
    </w:p>
    <w:permEnd w:id="1566322372"/>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92958597" w:edGrp="everyone"/>
      <w:r>
        <w:t>TYPE YOUR TEXT HERE</w:t>
      </w:r>
    </w:p>
    <w:permEnd w:id="92958597"/>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3E4B00" w:rsidRDefault="003E4B00" w:rsidP="003E4B00">
      <w:permStart w:id="487274293" w:edGrp="everyone"/>
      <w:r>
        <w:t>TYPE YOUR TEXT HERE</w:t>
      </w:r>
    </w:p>
    <w:permEnd w:id="487274293"/>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1978880828" w:edGrp="everyone"/>
      <w:r>
        <w:t>TYPE YOUR TEXT HERE</w:t>
      </w:r>
    </w:p>
    <w:permEnd w:id="1978880828"/>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lastRenderedPageBreak/>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491E49" w:rsidP="00491E49">
      <w:permStart w:id="780153336" w:edGrp="everyone"/>
      <w:r>
        <w:t>TYPE YOUR TEXT HERE</w:t>
      </w:r>
    </w:p>
    <w:permEnd w:id="780153336"/>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91E49" w:rsidRDefault="00491E49" w:rsidP="00491E49">
      <w:permStart w:id="629218559" w:edGrp="everyone"/>
      <w:r>
        <w:t>TYPE YOUR TEXT HERE</w:t>
      </w:r>
    </w:p>
    <w:permEnd w:id="629218559"/>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491E49" w:rsidP="00491E49">
      <w:permStart w:id="1847097754" w:edGrp="everyone"/>
      <w:r>
        <w:t>TYPE YOUR TEXT HERE</w:t>
      </w:r>
    </w:p>
    <w:permEnd w:id="1847097754"/>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491E49" w:rsidP="00491E49">
      <w:permStart w:id="1862620284" w:edGrp="everyone"/>
      <w:r>
        <w:t>TYPE YOUR TEXT HERE</w:t>
      </w:r>
    </w:p>
    <w:permEnd w:id="1862620284"/>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491E49" w:rsidP="00491E49">
      <w:permStart w:id="963072623" w:edGrp="everyone"/>
      <w:r>
        <w:t>TYPE YOUR TEXT HERE</w:t>
      </w:r>
    </w:p>
    <w:permEnd w:id="963072623"/>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1509584204" w:edGrp="everyone"/>
      <w:r>
        <w:t>TYPE YOUR TEXT HERE</w:t>
      </w:r>
    </w:p>
    <w:permEnd w:id="1509584204"/>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47BB0" w:rsidRDefault="00847BB0" w:rsidP="00847BB0">
      <w:permStart w:id="1661798532" w:edGrp="everyone"/>
      <w:r>
        <w:t>TYPE YOUR TEXT HERE</w:t>
      </w:r>
    </w:p>
    <w:permEnd w:id="1661798532"/>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Default="00847BB0" w:rsidP="00847BB0">
      <w:permStart w:id="1775706833" w:edGrp="everyone"/>
      <w:r>
        <w:t>TYPE YOUR TEXT HERE</w:t>
      </w:r>
    </w:p>
    <w:permEnd w:id="1775706833"/>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6379B0" w:rsidRDefault="003441F6" w:rsidP="006379B0">
      <w:pPr>
        <w:jc w:val="both"/>
        <w:rPr>
          <w:rFonts w:cs="Calibri"/>
          <w:lang w:val="en-US" w:eastAsia="nl-NL"/>
        </w:rPr>
      </w:pPr>
      <w:permStart w:id="1911107175" w:edGrp="everyone"/>
      <w:r>
        <w:rPr>
          <w:rFonts w:cs="Calibri"/>
          <w:lang w:val="en-US" w:eastAsia="nl-NL"/>
        </w:rPr>
        <w:t>TYPE YOUR TEXT HERE</w:t>
      </w:r>
    </w:p>
    <w:permEnd w:id="1911107175"/>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AB4" w:rsidRDefault="00597AB4">
      <w:r>
        <w:separator/>
      </w:r>
    </w:p>
    <w:p w:rsidR="00597AB4" w:rsidRDefault="00597AB4"/>
  </w:endnote>
  <w:endnote w:type="continuationSeparator" w:id="0">
    <w:p w:rsidR="00597AB4" w:rsidRDefault="00597AB4">
      <w:r>
        <w:continuationSeparator/>
      </w:r>
    </w:p>
    <w:p w:rsidR="00597AB4" w:rsidRDefault="00597AB4"/>
  </w:endnote>
  <w:endnote w:type="continuationNotice" w:id="1">
    <w:p w:rsidR="00597AB4" w:rsidRDefault="00597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97AB4" w:rsidRPr="00616B9B" w:rsidTr="00315E96">
      <w:trPr>
        <w:trHeight w:val="284"/>
      </w:trPr>
      <w:tc>
        <w:tcPr>
          <w:tcW w:w="8460" w:type="dxa"/>
        </w:tcPr>
        <w:p w:rsidR="00597AB4" w:rsidRPr="00315E96" w:rsidRDefault="00597AB4" w:rsidP="00315E96">
          <w:pPr>
            <w:pStyle w:val="00Footer"/>
            <w:rPr>
              <w:lang w:val="fr-FR"/>
            </w:rPr>
          </w:pPr>
        </w:p>
      </w:tc>
      <w:tc>
        <w:tcPr>
          <w:tcW w:w="952" w:type="dxa"/>
        </w:tcPr>
        <w:p w:rsidR="00597AB4" w:rsidRPr="00616B9B" w:rsidRDefault="00597AB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01A22">
            <w:rPr>
              <w:rFonts w:cs="Arial"/>
              <w:noProof/>
              <w:sz w:val="22"/>
              <w:szCs w:val="22"/>
            </w:rPr>
            <w:t>3</w:t>
          </w:r>
          <w:r w:rsidRPr="00616B9B">
            <w:rPr>
              <w:rFonts w:cs="Arial"/>
              <w:noProof/>
              <w:sz w:val="22"/>
              <w:szCs w:val="22"/>
            </w:rPr>
            <w:fldChar w:fldCharType="end"/>
          </w:r>
        </w:p>
      </w:tc>
    </w:tr>
  </w:tbl>
  <w:p w:rsidR="00597AB4" w:rsidRDefault="00597A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B4" w:rsidRDefault="00597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AB4" w:rsidRDefault="00597AB4">
      <w:r>
        <w:separator/>
      </w:r>
    </w:p>
    <w:p w:rsidR="00597AB4" w:rsidRDefault="00597AB4"/>
  </w:footnote>
  <w:footnote w:type="continuationSeparator" w:id="0">
    <w:p w:rsidR="00597AB4" w:rsidRDefault="00597AB4">
      <w:r>
        <w:continuationSeparator/>
      </w:r>
    </w:p>
    <w:p w:rsidR="00597AB4" w:rsidRDefault="00597AB4"/>
  </w:footnote>
  <w:footnote w:type="continuationNotice" w:id="1">
    <w:p w:rsidR="00597AB4" w:rsidRDefault="00597A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B4" w:rsidRDefault="00597AB4">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B4" w:rsidRDefault="00597AB4"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B4" w:rsidRDefault="00597AB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97AB4" w:rsidRPr="002F4496" w:rsidTr="000C06C9">
      <w:trPr>
        <w:trHeight w:val="284"/>
      </w:trPr>
      <w:tc>
        <w:tcPr>
          <w:tcW w:w="8460" w:type="dxa"/>
        </w:tcPr>
        <w:p w:rsidR="00597AB4" w:rsidRPr="000C3B6D" w:rsidRDefault="00597AB4" w:rsidP="000C06C9">
          <w:pPr>
            <w:pStyle w:val="00Footer"/>
            <w:rPr>
              <w:lang w:val="fr-FR"/>
            </w:rPr>
          </w:pPr>
        </w:p>
      </w:tc>
      <w:tc>
        <w:tcPr>
          <w:tcW w:w="952" w:type="dxa"/>
        </w:tcPr>
        <w:p w:rsidR="00597AB4" w:rsidRPr="00146B34" w:rsidRDefault="00597AB4" w:rsidP="000C06C9">
          <w:pPr>
            <w:pStyle w:val="00aPagenumber"/>
            <w:rPr>
              <w:lang w:val="fr-FR"/>
            </w:rPr>
          </w:pPr>
        </w:p>
      </w:tc>
    </w:tr>
  </w:tbl>
  <w:p w:rsidR="00597AB4" w:rsidRPr="00DB46C3" w:rsidRDefault="00597AB4">
    <w:pPr>
      <w:rPr>
        <w:lang w:val="fr-FR"/>
      </w:rPr>
    </w:pPr>
  </w:p>
  <w:p w:rsidR="00597AB4" w:rsidRPr="002F4496" w:rsidRDefault="00597AB4">
    <w:pPr>
      <w:pStyle w:val="Header"/>
      <w:rPr>
        <w:lang w:val="fr-FR"/>
      </w:rPr>
    </w:pPr>
  </w:p>
  <w:p w:rsidR="00597AB4" w:rsidRPr="002F4496" w:rsidRDefault="00597AB4" w:rsidP="000C06C9">
    <w:pPr>
      <w:pStyle w:val="Header"/>
      <w:tabs>
        <w:tab w:val="clear" w:pos="4536"/>
        <w:tab w:val="clear" w:pos="9072"/>
        <w:tab w:val="left" w:pos="8227"/>
      </w:tabs>
      <w:rPr>
        <w:lang w:val="fr-FR"/>
      </w:rPr>
    </w:pPr>
  </w:p>
  <w:p w:rsidR="00597AB4" w:rsidRPr="002F4496" w:rsidRDefault="00597AB4" w:rsidP="000C06C9">
    <w:pPr>
      <w:pStyle w:val="Header"/>
      <w:tabs>
        <w:tab w:val="clear" w:pos="4536"/>
        <w:tab w:val="clear" w:pos="9072"/>
        <w:tab w:val="left" w:pos="8227"/>
      </w:tabs>
      <w:rPr>
        <w:lang w:val="fr-FR"/>
      </w:rPr>
    </w:pPr>
  </w:p>
  <w:p w:rsidR="00597AB4" w:rsidRPr="002F4496" w:rsidRDefault="00597AB4">
    <w:pPr>
      <w:pStyle w:val="Header"/>
      <w:rPr>
        <w:lang w:val="fr-FR"/>
      </w:rPr>
    </w:pPr>
  </w:p>
  <w:p w:rsidR="00597AB4" w:rsidRPr="002F4496" w:rsidRDefault="00597AB4">
    <w:pPr>
      <w:pStyle w:val="Header"/>
      <w:rPr>
        <w:lang w:val="fr-FR"/>
      </w:rPr>
    </w:pPr>
  </w:p>
  <w:p w:rsidR="00597AB4" w:rsidRPr="002F4496" w:rsidRDefault="00597AB4">
    <w:pPr>
      <w:pStyle w:val="Header"/>
      <w:rPr>
        <w:lang w:val="fr-FR"/>
      </w:rPr>
    </w:pPr>
  </w:p>
  <w:p w:rsidR="00597AB4" w:rsidRPr="002F4496" w:rsidRDefault="00597AB4">
    <w:pPr>
      <w:pStyle w:val="Header"/>
      <w:rPr>
        <w:lang w:val="fr-FR"/>
      </w:rPr>
    </w:pPr>
  </w:p>
  <w:p w:rsidR="00597AB4" w:rsidRPr="002F4496" w:rsidRDefault="00597AB4">
    <w:pPr>
      <w:pStyle w:val="Header"/>
      <w:rPr>
        <w:highlight w:val="yellow"/>
        <w:lang w:val="fr-FR"/>
      </w:rPr>
    </w:pPr>
  </w:p>
  <w:p w:rsidR="00597AB4" w:rsidRDefault="00597AB4">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8F1C9D7C"/>
    <w:lvl w:ilvl="0" w:tplc="08090001">
      <w:start w:val="1"/>
      <w:numFmt w:val="bullet"/>
      <w:lvlText w:val=""/>
      <w:lvlJc w:val="left"/>
      <w:pPr>
        <w:ind w:left="720" w:hanging="360"/>
      </w:pPr>
      <w:rPr>
        <w:rFonts w:ascii="Symbol" w:hAnsi="Symbol" w:hint="default"/>
      </w:rPr>
    </w:lvl>
    <w:lvl w:ilvl="1" w:tplc="3DC6488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3E1D12"/>
    <w:multiLevelType w:val="hybridMultilevel"/>
    <w:tmpl w:val="253819F6"/>
    <w:lvl w:ilvl="0" w:tplc="5D005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534BB8"/>
    <w:multiLevelType w:val="hybridMultilevel"/>
    <w:tmpl w:val="8DF4653E"/>
    <w:lvl w:ilvl="0" w:tplc="DAD47F9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C214600"/>
    <w:multiLevelType w:val="hybridMultilevel"/>
    <w:tmpl w:val="7F06A3C8"/>
    <w:lvl w:ilvl="0" w:tplc="0809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E293809"/>
    <w:multiLevelType w:val="hybridMultilevel"/>
    <w:tmpl w:val="058A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3A0ACE"/>
    <w:multiLevelType w:val="hybridMultilevel"/>
    <w:tmpl w:val="8264A5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1E346C2"/>
    <w:multiLevelType w:val="hybridMultilevel"/>
    <w:tmpl w:val="FA0A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D13E96"/>
    <w:multiLevelType w:val="hybridMultilevel"/>
    <w:tmpl w:val="63C03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32226FB2"/>
    <w:multiLevelType w:val="multilevel"/>
    <w:tmpl w:val="A2C4E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2">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4">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6">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7">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4CDF592B"/>
    <w:multiLevelType w:val="hybridMultilevel"/>
    <w:tmpl w:val="9EAEED72"/>
    <w:lvl w:ilvl="0" w:tplc="7D6AF1B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5A89764D"/>
    <w:multiLevelType w:val="hybridMultilevel"/>
    <w:tmpl w:val="9238E404"/>
    <w:lvl w:ilvl="0" w:tplc="621C4F1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4"/>
  </w:num>
  <w:num w:numId="2">
    <w:abstractNumId w:val="26"/>
  </w:num>
  <w:num w:numId="3">
    <w:abstractNumId w:val="19"/>
  </w:num>
  <w:num w:numId="4">
    <w:abstractNumId w:val="33"/>
  </w:num>
  <w:num w:numId="5">
    <w:abstractNumId w:val="35"/>
  </w:num>
  <w:num w:numId="6">
    <w:abstractNumId w:val="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41"/>
  </w:num>
  <w:num w:numId="14">
    <w:abstractNumId w:val="31"/>
  </w:num>
  <w:num w:numId="15">
    <w:abstractNumId w:val="17"/>
  </w:num>
  <w:num w:numId="16">
    <w:abstractNumId w:val="1"/>
  </w:num>
  <w:num w:numId="17">
    <w:abstractNumId w:val="22"/>
  </w:num>
  <w:num w:numId="18">
    <w:abstractNumId w:val="23"/>
  </w:num>
  <w:num w:numId="19">
    <w:abstractNumId w:val="25"/>
  </w:num>
  <w:num w:numId="20">
    <w:abstractNumId w:val="36"/>
  </w:num>
  <w:num w:numId="21">
    <w:abstractNumId w:val="46"/>
  </w:num>
  <w:num w:numId="22">
    <w:abstractNumId w:val="34"/>
  </w:num>
  <w:num w:numId="23">
    <w:abstractNumId w:val="16"/>
  </w:num>
  <w:num w:numId="24">
    <w:abstractNumId w:val="40"/>
  </w:num>
  <w:num w:numId="25">
    <w:abstractNumId w:val="39"/>
  </w:num>
  <w:num w:numId="26">
    <w:abstractNumId w:val="27"/>
  </w:num>
  <w:num w:numId="27">
    <w:abstractNumId w:val="43"/>
  </w:num>
  <w:num w:numId="28">
    <w:abstractNumId w:val="48"/>
  </w:num>
  <w:num w:numId="29">
    <w:abstractNumId w:val="14"/>
  </w:num>
  <w:num w:numId="30">
    <w:abstractNumId w:val="4"/>
  </w:num>
  <w:num w:numId="31">
    <w:abstractNumId w:val="30"/>
  </w:num>
  <w:num w:numId="32">
    <w:abstractNumId w:val="2"/>
  </w:num>
  <w:num w:numId="33">
    <w:abstractNumId w:val="12"/>
  </w:num>
  <w:num w:numId="34">
    <w:abstractNumId w:val="28"/>
  </w:num>
  <w:num w:numId="35">
    <w:abstractNumId w:val="45"/>
  </w:num>
  <w:num w:numId="36">
    <w:abstractNumId w:val="44"/>
  </w:num>
  <w:num w:numId="37">
    <w:abstractNumId w:val="20"/>
  </w:num>
  <w:num w:numId="38">
    <w:abstractNumId w:val="29"/>
  </w:num>
  <w:num w:numId="39">
    <w:abstractNumId w:val="10"/>
  </w:num>
  <w:num w:numId="40">
    <w:abstractNumId w:val="3"/>
  </w:num>
  <w:num w:numId="41">
    <w:abstractNumId w:val="38"/>
  </w:num>
  <w:num w:numId="42">
    <w:abstractNumId w:val="11"/>
  </w:num>
  <w:num w:numId="43">
    <w:abstractNumId w:val="13"/>
  </w:num>
  <w:num w:numId="44">
    <w:abstractNumId w:val="32"/>
  </w:num>
  <w:num w:numId="45">
    <w:abstractNumId w:val="5"/>
  </w:num>
  <w:num w:numId="46">
    <w:abstractNumId w:val="18"/>
  </w:num>
  <w:num w:numId="47">
    <w:abstractNumId w:val="9"/>
  </w:num>
  <w:num w:numId="48">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7FB"/>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57ED"/>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0EC9"/>
    <w:rsid w:val="000C1DCC"/>
    <w:rsid w:val="000C1FBC"/>
    <w:rsid w:val="000C2B6A"/>
    <w:rsid w:val="000C2F88"/>
    <w:rsid w:val="000C55C8"/>
    <w:rsid w:val="000C57C4"/>
    <w:rsid w:val="000C5FD3"/>
    <w:rsid w:val="000C701D"/>
    <w:rsid w:val="000C7A76"/>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3EAD"/>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06CF"/>
    <w:rsid w:val="001B1355"/>
    <w:rsid w:val="001B3138"/>
    <w:rsid w:val="001B4E4B"/>
    <w:rsid w:val="001B50AC"/>
    <w:rsid w:val="001B5BFB"/>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5AA"/>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1F7DEE"/>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3F7D"/>
    <w:rsid w:val="002242D3"/>
    <w:rsid w:val="00224975"/>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73F"/>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5381"/>
    <w:rsid w:val="002E7F4B"/>
    <w:rsid w:val="002F0C91"/>
    <w:rsid w:val="002F0E3E"/>
    <w:rsid w:val="002F1B19"/>
    <w:rsid w:val="002F1FBF"/>
    <w:rsid w:val="002F4139"/>
    <w:rsid w:val="00300624"/>
    <w:rsid w:val="00300F56"/>
    <w:rsid w:val="00301006"/>
    <w:rsid w:val="003044B6"/>
    <w:rsid w:val="00304A71"/>
    <w:rsid w:val="003066C8"/>
    <w:rsid w:val="0030739D"/>
    <w:rsid w:val="00307AFB"/>
    <w:rsid w:val="00311184"/>
    <w:rsid w:val="00312675"/>
    <w:rsid w:val="003129E0"/>
    <w:rsid w:val="00314013"/>
    <w:rsid w:val="00314945"/>
    <w:rsid w:val="00315389"/>
    <w:rsid w:val="00315746"/>
    <w:rsid w:val="00315E96"/>
    <w:rsid w:val="00317FC8"/>
    <w:rsid w:val="003223D7"/>
    <w:rsid w:val="00323D9F"/>
    <w:rsid w:val="00324FDB"/>
    <w:rsid w:val="00325F48"/>
    <w:rsid w:val="00326722"/>
    <w:rsid w:val="0033194F"/>
    <w:rsid w:val="00332304"/>
    <w:rsid w:val="00332406"/>
    <w:rsid w:val="0033249D"/>
    <w:rsid w:val="00332D8D"/>
    <w:rsid w:val="00336B56"/>
    <w:rsid w:val="00341B25"/>
    <w:rsid w:val="00341EC0"/>
    <w:rsid w:val="0034240C"/>
    <w:rsid w:val="003441F6"/>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938"/>
    <w:rsid w:val="003D6FCB"/>
    <w:rsid w:val="003E0F84"/>
    <w:rsid w:val="003E1FF3"/>
    <w:rsid w:val="003E3ACA"/>
    <w:rsid w:val="003E4B00"/>
    <w:rsid w:val="003E50EA"/>
    <w:rsid w:val="003E68C7"/>
    <w:rsid w:val="003E79B0"/>
    <w:rsid w:val="003F0403"/>
    <w:rsid w:val="003F09D5"/>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5E2B"/>
    <w:rsid w:val="004E62DE"/>
    <w:rsid w:val="004E6B05"/>
    <w:rsid w:val="004E76A1"/>
    <w:rsid w:val="004F05DE"/>
    <w:rsid w:val="004F6376"/>
    <w:rsid w:val="004F6A93"/>
    <w:rsid w:val="004F6F14"/>
    <w:rsid w:val="004F76D9"/>
    <w:rsid w:val="004F79A6"/>
    <w:rsid w:val="00501BF5"/>
    <w:rsid w:val="00501D8B"/>
    <w:rsid w:val="00503582"/>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97AB4"/>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987"/>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379B0"/>
    <w:rsid w:val="00640DCD"/>
    <w:rsid w:val="00641DC3"/>
    <w:rsid w:val="00642972"/>
    <w:rsid w:val="00644F4D"/>
    <w:rsid w:val="006460C4"/>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B4C"/>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1A22"/>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1C82"/>
    <w:rsid w:val="00742118"/>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97"/>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1F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C75CF"/>
    <w:rsid w:val="008D2DB5"/>
    <w:rsid w:val="008D3F10"/>
    <w:rsid w:val="008D611D"/>
    <w:rsid w:val="008E098F"/>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3F5B"/>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57E26"/>
    <w:rsid w:val="0096002E"/>
    <w:rsid w:val="0096039E"/>
    <w:rsid w:val="00962C33"/>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73A"/>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420E"/>
    <w:rsid w:val="009D5220"/>
    <w:rsid w:val="009D55CA"/>
    <w:rsid w:val="009D5EF0"/>
    <w:rsid w:val="009D6401"/>
    <w:rsid w:val="009D6574"/>
    <w:rsid w:val="009E0711"/>
    <w:rsid w:val="009E1917"/>
    <w:rsid w:val="009E3594"/>
    <w:rsid w:val="009E6B77"/>
    <w:rsid w:val="009E7724"/>
    <w:rsid w:val="009E7D1F"/>
    <w:rsid w:val="009F1D82"/>
    <w:rsid w:val="009F37AA"/>
    <w:rsid w:val="009F53A4"/>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2E2"/>
    <w:rsid w:val="00A35728"/>
    <w:rsid w:val="00A36EE3"/>
    <w:rsid w:val="00A37435"/>
    <w:rsid w:val="00A4173D"/>
    <w:rsid w:val="00A41A95"/>
    <w:rsid w:val="00A4248B"/>
    <w:rsid w:val="00A4376E"/>
    <w:rsid w:val="00A4572B"/>
    <w:rsid w:val="00A46246"/>
    <w:rsid w:val="00A46349"/>
    <w:rsid w:val="00A46D5E"/>
    <w:rsid w:val="00A50847"/>
    <w:rsid w:val="00A512C7"/>
    <w:rsid w:val="00A53060"/>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91F"/>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DD2"/>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932"/>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2AED"/>
    <w:rsid w:val="00C43D33"/>
    <w:rsid w:val="00C44407"/>
    <w:rsid w:val="00C456E8"/>
    <w:rsid w:val="00C46630"/>
    <w:rsid w:val="00C47253"/>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77C6E"/>
    <w:rsid w:val="00C80C53"/>
    <w:rsid w:val="00C81195"/>
    <w:rsid w:val="00C85387"/>
    <w:rsid w:val="00C85E52"/>
    <w:rsid w:val="00C86471"/>
    <w:rsid w:val="00C8677B"/>
    <w:rsid w:val="00C86F96"/>
    <w:rsid w:val="00C909C6"/>
    <w:rsid w:val="00C923B7"/>
    <w:rsid w:val="00C94D4C"/>
    <w:rsid w:val="00C95702"/>
    <w:rsid w:val="00CA012C"/>
    <w:rsid w:val="00CA0AA6"/>
    <w:rsid w:val="00CA1F1C"/>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7DEC"/>
    <w:rsid w:val="00D511C6"/>
    <w:rsid w:val="00D5121D"/>
    <w:rsid w:val="00D516AC"/>
    <w:rsid w:val="00D521BB"/>
    <w:rsid w:val="00D52875"/>
    <w:rsid w:val="00D54050"/>
    <w:rsid w:val="00D54ABE"/>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18DC"/>
    <w:rsid w:val="00D83D4B"/>
    <w:rsid w:val="00D85231"/>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074E"/>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32AE"/>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465"/>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1589C"/>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289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 w:type="paragraph" w:customStyle="1" w:styleId="HeaderBreak">
    <w:name w:val="Header_Break"/>
    <w:rsid w:val="006379B0"/>
    <w:rPr>
      <w:rFonts w:ascii="Calibri" w:eastAsia="Calibri" w:hAnsi="Calibri"/>
      <w:sz w:val="22"/>
      <w:szCs w:val="22"/>
      <w:lang w:val="en-US" w:eastAsia="en-US"/>
    </w:rPr>
  </w:style>
  <w:style w:type="paragraph" w:customStyle="1" w:styleId="LetterBody">
    <w:name w:val="Letter_Body"/>
    <w:qFormat/>
    <w:rsid w:val="006379B0"/>
    <w:pPr>
      <w:autoSpaceDE w:val="0"/>
      <w:autoSpaceDN w:val="0"/>
      <w:adjustRightInd w:val="0"/>
    </w:pPr>
    <w:rPr>
      <w:rFonts w:ascii="Calibri" w:eastAsia="Calibri" w:hAnsi="Calibri" w:cs="Helvetic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 w:type="paragraph" w:customStyle="1" w:styleId="HeaderBreak">
    <w:name w:val="Header_Break"/>
    <w:rsid w:val="006379B0"/>
    <w:rPr>
      <w:rFonts w:ascii="Calibri" w:eastAsia="Calibri" w:hAnsi="Calibri"/>
      <w:sz w:val="22"/>
      <w:szCs w:val="22"/>
      <w:lang w:val="en-US" w:eastAsia="en-US"/>
    </w:rPr>
  </w:style>
  <w:style w:type="paragraph" w:customStyle="1" w:styleId="LetterBody">
    <w:name w:val="Letter_Body"/>
    <w:qFormat/>
    <w:rsid w:val="006379B0"/>
    <w:pPr>
      <w:autoSpaceDE w:val="0"/>
      <w:autoSpaceDN w:val="0"/>
      <w:adjustRightInd w:val="0"/>
    </w:pPr>
    <w:rPr>
      <w:rFonts w:ascii="Calibri" w:eastAsia="Calibri" w:hAnsi="Calibri" w:cs="Helvetic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29938252">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3286981">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47068-3F0F-4886-B7D4-D6954616E573}">
  <ds:schemaRefs>
    <ds:schemaRef ds:uri="http://schemas.openxmlformats.org/officeDocument/2006/bibliography"/>
  </ds:schemaRefs>
</ds:datastoreItem>
</file>

<file path=customXml/itemProps2.xml><?xml version="1.0" encoding="utf-8"?>
<ds:datastoreItem xmlns:ds="http://schemas.openxmlformats.org/officeDocument/2006/customXml" ds:itemID="{57A2F74F-613F-4454-80C5-26D36ADB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5548</Words>
  <Characters>30661</Characters>
  <Application>Microsoft Office Word</Application>
  <DocSecurity>8</DocSecurity>
  <Lines>255</Lines>
  <Paragraphs>72</Paragraphs>
  <ScaleCrop>false</ScaleCrop>
  <HeadingPairs>
    <vt:vector size="10" baseType="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36137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Marco Winteroll</cp:lastModifiedBy>
  <cp:revision>2</cp:revision>
  <cp:lastPrinted>2016-01-29T09:35:00Z</cp:lastPrinted>
  <dcterms:created xsi:type="dcterms:W3CDTF">2016-01-29T14:05:00Z</dcterms:created>
  <dcterms:modified xsi:type="dcterms:W3CDTF">2016-01-29T14:05:00Z</dcterms:modified>
</cp:coreProperties>
</file>