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bookmarkStart w:id="0" w:name="_GoBack"/>
            <w:bookmarkEnd w:id="0"/>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tulo1"/>
        <w:numPr>
          <w:ilvl w:val="0"/>
          <w:numId w:val="0"/>
        </w:numPr>
        <w:ind w:left="431" w:hanging="431"/>
      </w:pPr>
      <w:r>
        <w:t>Introduction</w:t>
      </w:r>
    </w:p>
    <w:p w:rsidR="00C33ACE" w:rsidRPr="00C33ACE" w:rsidRDefault="00C33ACE" w:rsidP="00C33ACE"/>
    <w:p w:rsidR="00D34282" w:rsidRDefault="00D34282" w:rsidP="00D34282">
      <w:pPr>
        <w:rPr>
          <w:rStyle w:val="nfasisintenso"/>
        </w:rPr>
      </w:pPr>
      <w:r w:rsidRPr="001D47A5">
        <w:rPr>
          <w:rStyle w:val="nfasisintenso"/>
        </w:rPr>
        <w:t>Please make your introductory comments below, if any:</w:t>
      </w:r>
    </w:p>
    <w:p w:rsidR="002E2BC1" w:rsidRPr="001D47A5" w:rsidRDefault="002E2BC1" w:rsidP="00D34282">
      <w:pPr>
        <w:rPr>
          <w:rStyle w:val="nfasisintenso"/>
        </w:rPr>
      </w:pPr>
    </w:p>
    <w:p w:rsidR="00D34282" w:rsidRPr="00C25863" w:rsidRDefault="00D34282" w:rsidP="00D34282">
      <w:r w:rsidRPr="00C25863">
        <w:t>&lt;</w:t>
      </w:r>
      <w:r>
        <w:t>ESMA_COMMENT</w:t>
      </w:r>
      <w:r w:rsidRPr="00C25863">
        <w:t>_</w:t>
      </w:r>
      <w:r w:rsidR="000E35CB">
        <w:rPr>
          <w:rFonts w:cs="Arial"/>
        </w:rPr>
        <w:t>PRIIPS</w:t>
      </w:r>
      <w:r w:rsidRPr="00C25863">
        <w:t>_1&gt;</w:t>
      </w:r>
    </w:p>
    <w:p w:rsidR="00D34282" w:rsidRDefault="00D34282" w:rsidP="00D34282">
      <w:permStart w:id="1986600891" w:edGrp="everyone"/>
      <w:r>
        <w:t>TYPE YOUR TEXT HERE</w:t>
      </w:r>
    </w:p>
    <w:permEnd w:id="1986600891"/>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4D39E8" w:rsidP="004D39E8">
      <w:pPr>
        <w:tabs>
          <w:tab w:val="left" w:pos="1050"/>
        </w:tabs>
      </w:pPr>
      <w:permStart w:id="805070195" w:edGrp="everyone"/>
      <w:r w:rsidRPr="00F842A3">
        <w:t>The comprehension alert would lose its value and would not help retail investors if it was used for a wide range of products including some that should not fall under its scope. At this stage, the criteria set out in recital 18 do not provide for complete legal certainty as to which products’ KIDs should bear such a comprehension alert. There may be, therefore, a risk that some PRIIPs manufacturers face a situation where they choose to disclose the comprehension alert although the</w:t>
      </w:r>
      <w:r>
        <w:t xml:space="preserve">ir products should not bear it. Therefore we are strongly in favour of a further clarification of these criteria. However </w:t>
      </w:r>
      <w:r>
        <w:rPr>
          <w:szCs w:val="17"/>
        </w:rPr>
        <w:t>insurance-based investment products differ significantly between Member states. Therefore some members consider that it might be more adequate to have the guidelines drawn up by the respective NSAs.</w:t>
      </w:r>
    </w:p>
    <w:permEnd w:id="805070195"/>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4D39E8" w:rsidRDefault="004D39E8" w:rsidP="004D39E8">
      <w:pPr>
        <w:tabs>
          <w:tab w:val="left" w:pos="1050"/>
        </w:tabs>
      </w:pPr>
      <w:permStart w:id="1330057645" w:edGrp="everyone"/>
      <w:r>
        <w:t>Some members consider that defining prescribed standardised amounts is important in order to allow the comparison between products throughout Europe.</w:t>
      </w:r>
    </w:p>
    <w:p w:rsidR="004D39E8" w:rsidRDefault="004D39E8" w:rsidP="004D39E8">
      <w:pPr>
        <w:tabs>
          <w:tab w:val="left" w:pos="1050"/>
        </w:tabs>
      </w:pPr>
    </w:p>
    <w:p w:rsidR="00750796" w:rsidRDefault="004D39E8" w:rsidP="004D39E8">
      <w:pPr>
        <w:tabs>
          <w:tab w:val="left" w:pos="1050"/>
        </w:tabs>
      </w:pPr>
      <w:r>
        <w:t>Notwithstanding the above, there are other members that are of the opinion that f</w:t>
      </w:r>
      <w:r w:rsidRPr="00F842A3">
        <w:t xml:space="preserve">ine-tuning or detailing the assumptions in the regulatory technical standards (RTS) at EU level (such as setting the initial amount invested) might </w:t>
      </w:r>
      <w:r>
        <w:t xml:space="preserve">sometimes </w:t>
      </w:r>
      <w:r w:rsidRPr="00F842A3">
        <w:t>prove to be very difficult notably because of (1) the different spectrums of products available in different markets and (2) the differences in investment behaviour and capital at expense across the EU. This fine-tuning should be in line with consumer behaviour at national level.</w:t>
      </w:r>
    </w:p>
    <w:permEnd w:id="133005764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4D39E8" w:rsidP="00750796">
      <w:permStart w:id="1713509739" w:edGrp="everyone"/>
      <w:r>
        <w:t>The methodology under category III (involving bootstrapping and a minimum of 10.000 forward-looking simulations) is much more complicated than the one under category II (historical volatility over the last 5 years). Instead of applying an excessively complex methodology to category II as well, the methodology behind category III products should be simplified.</w:t>
      </w:r>
    </w:p>
    <w:p w:rsidR="00CB2CCA" w:rsidRDefault="00CB2CCA" w:rsidP="00750796"/>
    <w:p w:rsidR="00CB2CCA" w:rsidRDefault="00CB2CCA" w:rsidP="00750796">
      <w:r>
        <w:t>One member considers that a</w:t>
      </w:r>
      <w:r>
        <w:t xml:space="preserve"> common approach for all product categories would be preferable in order to ensure the comparability of the results which is an important goal o</w:t>
      </w:r>
      <w:r>
        <w:t>f level 1 of the regulation. This member is of the opinion that</w:t>
      </w:r>
      <w:r>
        <w:t xml:space="preserve"> a f</w:t>
      </w:r>
      <w:r>
        <w:t xml:space="preserve">orward looking simulation </w:t>
      </w:r>
      <w:r>
        <w:t>can be used for all products. Cornish-Fischer and bootstrapping each only deliver meaningful results for a small section of the product scope. The backward looking nature of the approaches invites gaming. Products could be optimized for the recent history whereas the future might holder a wider variety of scenarios.</w:t>
      </w:r>
    </w:p>
    <w:permEnd w:id="1713509739"/>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lastRenderedPageBreak/>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4D39E8" w:rsidP="00750796">
      <w:permStart w:id="1919319791" w:edGrp="everyone"/>
      <w:r>
        <w:t>A risk measure that regards to more than one point of the distribution would be preferred. Looking at a single point is only significant if one is looking at the normal distribution.</w:t>
      </w:r>
    </w:p>
    <w:permEnd w:id="1919319791"/>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4D39E8" w:rsidRDefault="004D39E8" w:rsidP="004D39E8">
      <w:permStart w:id="1655967633" w:edGrp="everyone"/>
      <w:r>
        <w:t>Some of the members consider that the existence of a compensation or guarantee scheme should not be taken into account in the credit risk assessment of a PRIIP because these schemes are too diverse and it could be difficult for consumers to assess the quality of the guarantee (ex-ante fully funded schemes vs ex-post funded schemes). Additionally, in many cases the scheme is only providing a guarantee up to a certain amount. To take into account such schemes, the KID may well mention narratively whether the PRIIP is covered by a guarantee scheme and which one.</w:t>
      </w:r>
    </w:p>
    <w:p w:rsidR="004D39E8" w:rsidRDefault="004D39E8" w:rsidP="004D39E8"/>
    <w:p w:rsidR="00750796" w:rsidRDefault="004D39E8" w:rsidP="004D39E8">
      <w:r>
        <w:t>Having said that though, there are other members that consider that it is a reality that from the perspective of the customer insurers´ credit risk in some countries is lower thanks to insurance guarantee schemes which should, therefore be taken into account as a mitigating factor when assessing credit risk.</w:t>
      </w:r>
    </w:p>
    <w:permEnd w:id="165596763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4D39E8" w:rsidP="003E4B00">
      <w:permStart w:id="1300066359" w:edGrp="everyone"/>
      <w:r>
        <w:t>The aim of designing a meaningful SRI methodology should be that there is no need for changing the outcome of the calculation.</w:t>
      </w:r>
    </w:p>
    <w:permEnd w:id="1300066359"/>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4D39E8" w:rsidRDefault="004D39E8" w:rsidP="004D39E8">
      <w:pPr>
        <w:rPr>
          <w:szCs w:val="17"/>
        </w:rPr>
      </w:pPr>
      <w:permStart w:id="73166851" w:edGrp="everyone"/>
      <w:r>
        <w:rPr>
          <w:szCs w:val="17"/>
        </w:rPr>
        <w:t>Some members agree with the proposal to adjust credit risk for the tenor, because credit risk is usually increasing with the tenor.</w:t>
      </w:r>
    </w:p>
    <w:p w:rsidR="004D39E8" w:rsidRDefault="004D39E8" w:rsidP="004D39E8">
      <w:pPr>
        <w:rPr>
          <w:szCs w:val="17"/>
        </w:rPr>
      </w:pPr>
    </w:p>
    <w:p w:rsidR="003E4B00" w:rsidRDefault="004D39E8" w:rsidP="004D39E8">
      <w:r>
        <w:rPr>
          <w:szCs w:val="17"/>
        </w:rPr>
        <w:t>Notwithstanding the above, other members consider that it is not appropriate, in order to avoid complexity, to discriminate further with an adjustment of the credit risk to take into account the applicable tenor.</w:t>
      </w:r>
    </w:p>
    <w:permEnd w:id="73166851"/>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lastRenderedPageBreak/>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4D39E8" w:rsidRPr="004D39E8" w:rsidRDefault="004D39E8" w:rsidP="004D39E8">
      <w:pPr>
        <w:pStyle w:val="CPQuestions"/>
        <w:numPr>
          <w:ilvl w:val="0"/>
          <w:numId w:val="0"/>
        </w:numPr>
        <w:spacing w:before="0" w:after="0"/>
        <w:rPr>
          <w:rFonts w:cs="Arial"/>
          <w:b w:val="0"/>
          <w:sz w:val="20"/>
        </w:rPr>
      </w:pPr>
      <w:permStart w:id="922058301" w:edGrp="everyone"/>
      <w:r w:rsidRPr="004D39E8">
        <w:rPr>
          <w:rFonts w:cs="Arial"/>
          <w:b w:val="0"/>
          <w:sz w:val="20"/>
        </w:rPr>
        <w:t>No. In spite of the EU initiatives in progress to reduce the overreliance on credit ratings issued by credit rating agencies, it is surprising to see that the proposal considers that no suitable methodology other that the external rating has been found regarding credit risk assessment.</w:t>
      </w:r>
    </w:p>
    <w:p w:rsidR="004D39E8" w:rsidRPr="004D39E8" w:rsidRDefault="004D39E8" w:rsidP="004D39E8">
      <w:pPr>
        <w:pStyle w:val="CPQuestions"/>
        <w:numPr>
          <w:ilvl w:val="0"/>
          <w:numId w:val="0"/>
        </w:numPr>
        <w:spacing w:before="0" w:after="0"/>
        <w:rPr>
          <w:rFonts w:cs="Arial"/>
          <w:b w:val="0"/>
          <w:sz w:val="20"/>
        </w:rPr>
      </w:pPr>
    </w:p>
    <w:p w:rsidR="004D39E8" w:rsidRPr="004D39E8" w:rsidRDefault="004D39E8" w:rsidP="004D39E8">
      <w:pPr>
        <w:pStyle w:val="CPQuestions"/>
        <w:numPr>
          <w:ilvl w:val="0"/>
          <w:numId w:val="0"/>
        </w:numPr>
        <w:spacing w:before="0" w:after="0"/>
        <w:rPr>
          <w:rFonts w:cs="Arial"/>
          <w:b w:val="0"/>
          <w:sz w:val="20"/>
        </w:rPr>
      </w:pPr>
      <w:r w:rsidRPr="004D39E8">
        <w:rPr>
          <w:rFonts w:cs="Arial"/>
          <w:b w:val="0"/>
          <w:sz w:val="20"/>
        </w:rPr>
        <w:t>It should be reminded that hundreds of insurance-based investment products´ manufacturers don´t have a credit rating issued by a credit rating agency. It should also be reminded that the cost of getting a rating by a credit rating agency is very high, especially for small and medium insurance undertakings, something that could distort competition.</w:t>
      </w:r>
    </w:p>
    <w:p w:rsidR="004D39E8" w:rsidRPr="004D39E8" w:rsidRDefault="004D39E8" w:rsidP="004D39E8">
      <w:pPr>
        <w:pStyle w:val="CPQuestions"/>
        <w:numPr>
          <w:ilvl w:val="0"/>
          <w:numId w:val="0"/>
        </w:numPr>
        <w:spacing w:before="0" w:after="0"/>
        <w:rPr>
          <w:rFonts w:cs="Arial"/>
          <w:b w:val="0"/>
          <w:sz w:val="20"/>
        </w:rPr>
      </w:pPr>
    </w:p>
    <w:p w:rsidR="004D39E8" w:rsidRPr="004D39E8" w:rsidRDefault="004D39E8" w:rsidP="004D39E8">
      <w:pPr>
        <w:pStyle w:val="CPQuestions"/>
        <w:numPr>
          <w:ilvl w:val="0"/>
          <w:numId w:val="0"/>
        </w:numPr>
        <w:spacing w:before="0" w:after="0"/>
        <w:rPr>
          <w:rFonts w:cs="Arial"/>
          <w:b w:val="0"/>
          <w:sz w:val="20"/>
        </w:rPr>
      </w:pPr>
      <w:r w:rsidRPr="004D39E8">
        <w:rPr>
          <w:rFonts w:cs="Arial"/>
          <w:b w:val="0"/>
          <w:sz w:val="20"/>
        </w:rPr>
        <w:t>The proposal provides that if an insurer doesn’t have a rating, it will be automatically allocated to CR3. According to the aggregation method proposed, this would mean that even if the insurer has a MR1, its final SRI would be 3. This is not a reasonable outcome, given that market risk is the most relevant factor for insurance-based investment products.</w:t>
      </w:r>
    </w:p>
    <w:p w:rsidR="004D39E8" w:rsidRPr="004D39E8" w:rsidRDefault="004D39E8" w:rsidP="004D39E8">
      <w:pPr>
        <w:pStyle w:val="CEABullet-Level1"/>
        <w:numPr>
          <w:ilvl w:val="0"/>
          <w:numId w:val="0"/>
        </w:numPr>
        <w:rPr>
          <w:rFonts w:ascii="Arial" w:eastAsiaTheme="minorEastAsia" w:hAnsi="Arial" w:cs="Arial"/>
          <w:color w:val="auto"/>
          <w:sz w:val="20"/>
        </w:rPr>
      </w:pPr>
    </w:p>
    <w:p w:rsidR="004D39E8" w:rsidRPr="004D39E8" w:rsidRDefault="004D39E8" w:rsidP="004D39E8">
      <w:pPr>
        <w:pStyle w:val="CEABullet-Level1"/>
        <w:numPr>
          <w:ilvl w:val="0"/>
          <w:numId w:val="0"/>
        </w:numPr>
        <w:rPr>
          <w:rFonts w:ascii="Arial" w:hAnsi="Arial" w:cs="Arial"/>
          <w:sz w:val="20"/>
        </w:rPr>
      </w:pPr>
      <w:r w:rsidRPr="004D39E8">
        <w:rPr>
          <w:rFonts w:ascii="Arial" w:eastAsiaTheme="minorEastAsia" w:hAnsi="Arial" w:cs="Arial"/>
          <w:color w:val="auto"/>
          <w:sz w:val="20"/>
        </w:rPr>
        <w:t xml:space="preserve">For insurance-based investment products, </w:t>
      </w:r>
      <w:r w:rsidRPr="004D39E8">
        <w:rPr>
          <w:rFonts w:ascii="Arial" w:hAnsi="Arial" w:cs="Arial"/>
          <w:sz w:val="20"/>
        </w:rPr>
        <w:t>the market risk should be factored in in a much more prominent manner than what is proposed in the current draft RTS. The ESAs’ alternative scale proposed page 9 is already a step in the right direction.</w:t>
      </w:r>
    </w:p>
    <w:p w:rsidR="004D39E8" w:rsidRPr="004D39E8" w:rsidRDefault="004D39E8" w:rsidP="004D39E8">
      <w:pPr>
        <w:pStyle w:val="CEABullet-Level1"/>
        <w:numPr>
          <w:ilvl w:val="0"/>
          <w:numId w:val="0"/>
        </w:numPr>
        <w:rPr>
          <w:rFonts w:ascii="Arial" w:hAnsi="Arial" w:cs="Arial"/>
          <w:sz w:val="20"/>
        </w:rPr>
      </w:pPr>
    </w:p>
    <w:p w:rsidR="003E4B00" w:rsidRPr="004D39E8" w:rsidRDefault="004D39E8" w:rsidP="004D39E8">
      <w:pPr>
        <w:pStyle w:val="CEABullet-Level1"/>
        <w:numPr>
          <w:ilvl w:val="0"/>
          <w:numId w:val="0"/>
        </w:numPr>
        <w:rPr>
          <w:rFonts w:ascii="Arial" w:hAnsi="Arial" w:cs="Arial"/>
          <w:sz w:val="20"/>
        </w:rPr>
      </w:pPr>
      <w:r w:rsidRPr="004D39E8">
        <w:rPr>
          <w:rFonts w:ascii="Arial" w:hAnsi="Arial" w:cs="Arial"/>
          <w:sz w:val="20"/>
        </w:rPr>
        <w:t>It should also be pointed out that the MRM and SRI scales are not really appropriate for long term PRIIPs as they penalise broad equity based PRIIPs versus fixed income ones, while on the long term, equity products might offer better protection against inflation and be less volatile than fixed income based PRIIPs.</w:t>
      </w:r>
    </w:p>
    <w:permEnd w:id="922058301"/>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4D39E8" w:rsidRPr="004D39E8" w:rsidRDefault="004D39E8" w:rsidP="004D39E8">
      <w:pPr>
        <w:pStyle w:val="CEABullet-Level1"/>
        <w:numPr>
          <w:ilvl w:val="0"/>
          <w:numId w:val="0"/>
        </w:numPr>
        <w:rPr>
          <w:rFonts w:ascii="Arial" w:hAnsi="Arial" w:cs="Arial"/>
          <w:sz w:val="20"/>
        </w:rPr>
      </w:pPr>
      <w:permStart w:id="389415268" w:edGrp="everyone"/>
      <w:r w:rsidRPr="004D39E8">
        <w:rPr>
          <w:rFonts w:ascii="Arial" w:hAnsi="Arial" w:cs="Arial"/>
          <w:sz w:val="20"/>
        </w:rPr>
        <w:t>Some members are of the opinion that a nominal capital protection at maturity should not mean an automatic allocation of the product to MRM class 1, because this would mean not taking into account the effect of inflation, especially for the longer tenors.</w:t>
      </w:r>
    </w:p>
    <w:p w:rsidR="004D39E8" w:rsidRDefault="004D39E8" w:rsidP="004D39E8">
      <w:pPr>
        <w:pStyle w:val="CEABullet-Level1"/>
        <w:numPr>
          <w:ilvl w:val="0"/>
          <w:numId w:val="0"/>
        </w:numPr>
      </w:pPr>
    </w:p>
    <w:p w:rsidR="003E4B00" w:rsidRDefault="004D39E8" w:rsidP="004D39E8">
      <w:pPr>
        <w:spacing w:line="288" w:lineRule="auto"/>
      </w:pPr>
      <w:r>
        <w:t xml:space="preserve">However, there are other members that are of the opinion that for </w:t>
      </w:r>
      <w:r w:rsidRPr="00F842A3">
        <w:t>PRIIPs that offer a capital protection at maturity, a qualitative assessment and automatic allocation to MRM class 1 should be permitted regardless of their tenor.</w:t>
      </w:r>
      <w:r>
        <w:t xml:space="preserve"> These members consider that t</w:t>
      </w:r>
      <w:r w:rsidRPr="00F842A3">
        <w:t xml:space="preserve">he impact of inflation on the value of the PRIIP should not affect the market risk mainly because inflation is not a risk inherent for PRIIPs but affects </w:t>
      </w:r>
      <w:r>
        <w:t>other</w:t>
      </w:r>
      <w:r w:rsidRPr="00F842A3">
        <w:t xml:space="preserve"> investment products </w:t>
      </w:r>
      <w:r>
        <w:t>that are excluded from the scope of PRIIPs (real estate, simple bank deposits, equities, fixed income)</w:t>
      </w:r>
      <w:r w:rsidRPr="00F842A3">
        <w:t>in the same way</w:t>
      </w:r>
      <w:r>
        <w:t xml:space="preserve"> (competition issue)</w:t>
      </w:r>
      <w:r w:rsidRPr="00F842A3">
        <w:t xml:space="preserve">. </w:t>
      </w:r>
      <w:r>
        <w:t xml:space="preserve">Additionally, it should also be taken into account the </w:t>
      </w:r>
      <w:r>
        <w:lastRenderedPageBreak/>
        <w:t>current low inflation rates and the expected prolonged low interest rates environment when assessing this particular issue.</w:t>
      </w:r>
    </w:p>
    <w:permEnd w:id="389415268"/>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4D39E8" w:rsidRDefault="004D39E8" w:rsidP="004D39E8">
      <w:permStart w:id="1266230235" w:edGrp="everyone"/>
      <w:r>
        <w:t>Some of the members consider that the existence of a compensation or guarantee scheme should not be taken into account as a mitigating factor in the credit risk assessment of a PRIIP because these schemes are too diverse and it could be difficult for consumers to assess the quality of the guarantee (ex-ante fully funded schemes vs ex-post funded schemes). Additionally, in many cases the scheme is only providing a guarantee up to a certain amount.</w:t>
      </w:r>
    </w:p>
    <w:p w:rsidR="004D39E8" w:rsidRDefault="004D39E8" w:rsidP="004D39E8"/>
    <w:p w:rsidR="003E4B00" w:rsidRDefault="004D39E8" w:rsidP="003E4B00">
      <w:r>
        <w:t>Having said that though, there are other members that consider that it is a reality that from the perspective of the customer insurers´ credit risk in some countries is lower thanks to insurance guarantee schemes which should, therefore be taken into account as a mitigating factor when assessing credit risk. These members consider that the credit risk assessment should also be assumed to be mitigated because of insurance claims take precedence over other claims against the insurance undertaking (subordination of claims provided in Article 275(1)(1) of Solvency II Directive).</w:t>
      </w:r>
    </w:p>
    <w:permEnd w:id="1266230235"/>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4D39E8" w:rsidRDefault="004D39E8" w:rsidP="004D39E8">
      <w:pPr>
        <w:rPr>
          <w:szCs w:val="17"/>
        </w:rPr>
      </w:pPr>
      <w:permStart w:id="941372427" w:edGrp="everyone"/>
      <w:r>
        <w:rPr>
          <w:szCs w:val="17"/>
        </w:rPr>
        <w:t>Yes, it is.</w:t>
      </w:r>
    </w:p>
    <w:permEnd w:id="941372427"/>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1607031679" w:edGrp="everyone"/>
      <w:r>
        <w:t>TYPE YOUR TEXT HERE</w:t>
      </w:r>
    </w:p>
    <w:permEnd w:id="1607031679"/>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w:t>
      </w:r>
      <w:r w:rsidRPr="00A2049D">
        <w:rPr>
          <w:rFonts w:ascii="Calibri" w:hAnsi="Calibri"/>
          <w:i/>
          <w:sz w:val="22"/>
          <w:lang w:eastAsia="en-US"/>
        </w:rPr>
        <w:lastRenderedPageBreak/>
        <w:t xml:space="preserve">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4D39E8" w:rsidRPr="00F842A3" w:rsidRDefault="004D39E8" w:rsidP="00E27D43">
      <w:permStart w:id="339311044" w:edGrp="everyone"/>
      <w:r w:rsidRPr="00F842A3">
        <w:t xml:space="preserve">The PRIIP Regulation establishes that there is a single risk indicator (Article 8(3)(d)). This is to be a summary indicator, which takes account of and combines the relevant factors. Thus, the presentation of several risk indicators for different intermediate stages as suggested in option 5.2 would be contrary to the level 1 text. Its limitations should be also explained. In our view, a warning, specifying the boundaries of the risk indicator would make sense.  </w:t>
      </w:r>
    </w:p>
    <w:p w:rsidR="004D39E8" w:rsidRPr="00F842A3" w:rsidRDefault="004D39E8" w:rsidP="00E27D43"/>
    <w:p w:rsidR="004D39E8" w:rsidRPr="00F842A3" w:rsidRDefault="004D39E8" w:rsidP="00E27D43">
      <w:r w:rsidRPr="00F842A3">
        <w:t>Furthermore, the PRIIP Regulation foresees an entire section of the KID for the description of what happens if consumers take out money early (Article 8(3)(g)(iv)). Thus, consumers are informed in this section about what happens when they surrender early. If the same information is included differently in different sections, this would only lead to confusion.</w:t>
      </w:r>
    </w:p>
    <w:p w:rsidR="004D39E8" w:rsidRPr="00F842A3" w:rsidRDefault="004D39E8" w:rsidP="00E27D43"/>
    <w:p w:rsidR="004D39E8" w:rsidRDefault="004D39E8" w:rsidP="003E4B00">
      <w:pPr>
        <w:rPr>
          <w:szCs w:val="22"/>
        </w:rPr>
      </w:pPr>
      <w:r w:rsidRPr="00F842A3">
        <w:t xml:space="preserve">The same applies to the option 5.1. Consumers will be confused if the term for the risk indicator was shorter than the term of the product displayed in Article 8(3)(d). Moreover, </w:t>
      </w:r>
      <w:r w:rsidRPr="00F842A3">
        <w:rPr>
          <w:szCs w:val="22"/>
        </w:rPr>
        <w:t>a risk indicator based on short and standardised holding period for all products is not meaningful since for long-term products, such as insurance-based investment products, consumers will receive a wrong impression about the real risk of the product.</w:t>
      </w:r>
    </w:p>
    <w:permEnd w:id="339311044"/>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816607443" w:edGrp="everyone"/>
      <w:r>
        <w:t>TYPE YOUR TEXT HERE</w:t>
      </w:r>
    </w:p>
    <w:permEnd w:id="816607443"/>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1069705301" w:edGrp="everyone"/>
      <w:r>
        <w:t>TYPE YOUR TEXT HERE</w:t>
      </w:r>
    </w:p>
    <w:permEnd w:id="1069705301"/>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081557331" w:edGrp="everyone"/>
      <w:r>
        <w:t>TYPE YOUR TEXT HERE</w:t>
      </w:r>
    </w:p>
    <w:permEnd w:id="1081557331"/>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688872428" w:edGrp="everyone"/>
      <w:r>
        <w:t>TYPE YOUR TEXT HERE</w:t>
      </w:r>
    </w:p>
    <w:permEnd w:id="688872428"/>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4D39E8" w:rsidRDefault="004D39E8" w:rsidP="00E27D43">
      <w:pPr>
        <w:rPr>
          <w:szCs w:val="17"/>
        </w:rPr>
      </w:pPr>
      <w:permStart w:id="1301241353" w:edGrp="everyone"/>
      <w:r>
        <w:rPr>
          <w:szCs w:val="17"/>
        </w:rPr>
        <w:t>Some members consider that the monetary values indicated in the first table should be a sum of costs over the respective holding periods.</w:t>
      </w:r>
    </w:p>
    <w:p w:rsidR="004D39E8" w:rsidRDefault="004D39E8" w:rsidP="00E27D43">
      <w:pPr>
        <w:rPr>
          <w:szCs w:val="17"/>
        </w:rPr>
      </w:pPr>
    </w:p>
    <w:p w:rsidR="004D39E8" w:rsidRDefault="004D39E8" w:rsidP="003E4B00">
      <w:r>
        <w:rPr>
          <w:szCs w:val="17"/>
        </w:rPr>
        <w:t>However, there are other members that are of the opinion that s</w:t>
      </w:r>
      <w:r w:rsidRPr="00F842A3">
        <w:rPr>
          <w:szCs w:val="17"/>
        </w:rPr>
        <w:t xml:space="preserve">ince the insurance-based investment products have terms that sometimes last over decades, only annualised costs are comparable for different PRIIPs in a consistent, robust and stable way. </w:t>
      </w:r>
      <w:r w:rsidRPr="00F842A3">
        <w:t xml:space="preserve">If the total costs were included, then a product with a longer term would automatically – even if it is cheaper – look more expensive than a product with a shorter term. </w:t>
      </w:r>
      <w:r w:rsidRPr="00F842A3">
        <w:rPr>
          <w:szCs w:val="17"/>
        </w:rPr>
        <w:t>An option presenting the total costs for the whole investment period would not allow for an effective comparison between, for example, a product with a few months investment period and one characterised by a 35 years investment and</w:t>
      </w:r>
      <w:r w:rsidRPr="00F842A3">
        <w:t xml:space="preserve"> would be nothing but misleading for consumers.</w:t>
      </w:r>
    </w:p>
    <w:permEnd w:id="1301241353"/>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4D39E8" w:rsidRPr="004D39E8" w:rsidRDefault="004D39E8" w:rsidP="004D39E8">
      <w:pPr>
        <w:rPr>
          <w:rFonts w:cs="Arial"/>
          <w:szCs w:val="20"/>
        </w:rPr>
      </w:pPr>
      <w:permStart w:id="1297234355" w:edGrp="everyone"/>
      <w:r w:rsidRPr="004D39E8">
        <w:rPr>
          <w:rFonts w:cs="Arial"/>
          <w:szCs w:val="20"/>
        </w:rPr>
        <w:t>In order to achieve meaningful comparisons between products, the biometric risk premium and the investment costs cannot be aggregated in one figure and must be presented in separate sections of the KID.</w:t>
      </w:r>
    </w:p>
    <w:p w:rsidR="004D39E8" w:rsidRPr="004D39E8" w:rsidRDefault="004D39E8" w:rsidP="004D39E8">
      <w:pPr>
        <w:rPr>
          <w:rFonts w:cs="Arial"/>
          <w:szCs w:val="20"/>
        </w:rPr>
      </w:pPr>
    </w:p>
    <w:p w:rsidR="004D39E8" w:rsidRPr="004D39E8" w:rsidRDefault="004D39E8" w:rsidP="004D39E8">
      <w:pPr>
        <w:rPr>
          <w:rFonts w:cs="Arial"/>
          <w:szCs w:val="20"/>
        </w:rPr>
      </w:pPr>
      <w:r w:rsidRPr="004D39E8">
        <w:rPr>
          <w:rFonts w:cs="Arial"/>
          <w:szCs w:val="20"/>
        </w:rPr>
        <w:t xml:space="preserve">The PRIIPs Regulation is important to help enhance consumer protection and improve consumer confidence by aiming to improve the transparency and comparability of PRIIPs products. It is, therefore, extremely important that the features of insurance-based investment products are appropriately presented in the key information document. </w:t>
      </w:r>
    </w:p>
    <w:p w:rsidR="004D39E8" w:rsidRPr="004D39E8" w:rsidRDefault="004D39E8" w:rsidP="004D39E8">
      <w:pPr>
        <w:rPr>
          <w:rFonts w:cs="Arial"/>
          <w:szCs w:val="20"/>
          <w:highlight w:val="yellow"/>
        </w:rPr>
      </w:pPr>
    </w:p>
    <w:p w:rsidR="004D39E8" w:rsidRPr="004D39E8" w:rsidRDefault="004D39E8" w:rsidP="004D39E8">
      <w:pPr>
        <w:rPr>
          <w:rFonts w:cs="Arial"/>
          <w:szCs w:val="20"/>
        </w:rPr>
      </w:pPr>
      <w:r w:rsidRPr="004D39E8">
        <w:rPr>
          <w:rFonts w:cs="Arial"/>
          <w:szCs w:val="20"/>
        </w:rPr>
        <w:t>The ESAs acknowledge that the aggregation of the investment costs and the full biometric risk premium would be inappropriate is welcomed. It is indeed, the insurance sector’s views that, such an aggregation would (1) not seem to be in line with the level 1 PRIIPs Regulation; (2) not be in the interest of consumers who will not be in a position to compare what is comparable; and (3) create an unlevel playing field for insurance-based investment products.</w:t>
      </w:r>
    </w:p>
    <w:p w:rsidR="004D39E8" w:rsidRPr="004D39E8" w:rsidRDefault="004D39E8" w:rsidP="004D39E8">
      <w:pPr>
        <w:rPr>
          <w:rFonts w:cs="Arial"/>
          <w:szCs w:val="20"/>
        </w:rPr>
      </w:pPr>
    </w:p>
    <w:p w:rsidR="004D39E8" w:rsidRPr="004D39E8" w:rsidRDefault="004D39E8" w:rsidP="004D39E8">
      <w:pPr>
        <w:rPr>
          <w:rFonts w:cs="Arial"/>
          <w:szCs w:val="20"/>
        </w:rPr>
      </w:pPr>
      <w:r w:rsidRPr="004D39E8">
        <w:rPr>
          <w:rFonts w:cs="Arial"/>
          <w:szCs w:val="20"/>
        </w:rPr>
        <w:t xml:space="preserve">Nevertheless, only if the full biometric risk premium is presented separately, would consumers actually be able to make a meaningful comparisons. Meaningful comparison remains the key objective of the PRIIPs Regulation and the insurance sector considers that only separating the full biometric risk premium from the investment costs could achieve such an objective. </w:t>
      </w:r>
    </w:p>
    <w:p w:rsidR="004D39E8" w:rsidRPr="004D39E8" w:rsidRDefault="004D39E8" w:rsidP="004D39E8">
      <w:pPr>
        <w:rPr>
          <w:rFonts w:cs="Arial"/>
          <w:szCs w:val="20"/>
        </w:rPr>
      </w:pPr>
    </w:p>
    <w:p w:rsidR="004D39E8" w:rsidRPr="004D39E8" w:rsidRDefault="004D39E8" w:rsidP="004D39E8">
      <w:pPr>
        <w:rPr>
          <w:rFonts w:cs="Arial"/>
          <w:szCs w:val="20"/>
        </w:rPr>
      </w:pPr>
      <w:r w:rsidRPr="004D39E8">
        <w:rPr>
          <w:rFonts w:cs="Arial"/>
          <w:szCs w:val="20"/>
        </w:rPr>
        <w:t>If this separation is not made, the consumer will be disadvantaged in several ways, as they would not be in a position to compare what is comparable:</w:t>
      </w:r>
    </w:p>
    <w:p w:rsidR="004D39E8" w:rsidRPr="004D39E8" w:rsidRDefault="004D39E8" w:rsidP="004D39E8">
      <w:pPr>
        <w:rPr>
          <w:rFonts w:cs="Arial"/>
          <w:szCs w:val="20"/>
        </w:rPr>
      </w:pPr>
    </w:p>
    <w:p w:rsidR="004D39E8" w:rsidRPr="004D39E8" w:rsidRDefault="004D39E8" w:rsidP="004D39E8">
      <w:pPr>
        <w:pStyle w:val="CEABullet-Level1"/>
        <w:numPr>
          <w:ilvl w:val="0"/>
          <w:numId w:val="53"/>
        </w:numPr>
        <w:ind w:left="567" w:hanging="283"/>
        <w:rPr>
          <w:rFonts w:ascii="Arial" w:hAnsi="Arial" w:cs="Arial"/>
          <w:sz w:val="20"/>
          <w:lang w:eastAsia="de-DE"/>
        </w:rPr>
      </w:pPr>
      <w:r w:rsidRPr="004D39E8">
        <w:rPr>
          <w:rFonts w:ascii="Arial" w:hAnsi="Arial" w:cs="Arial"/>
          <w:sz w:val="20"/>
          <w:lang w:eastAsia="de-DE"/>
        </w:rPr>
        <w:t>The cost indicator of an insurance-based investment product will be deceptively higher than that of other PRIIPs, and consumers will not be in a position to compare the investment part of the different products on the market.</w:t>
      </w:r>
    </w:p>
    <w:p w:rsidR="004D39E8" w:rsidRPr="004D39E8" w:rsidRDefault="004D39E8" w:rsidP="004D39E8">
      <w:pPr>
        <w:pStyle w:val="CEABullet-Level1"/>
        <w:numPr>
          <w:ilvl w:val="0"/>
          <w:numId w:val="53"/>
        </w:numPr>
        <w:ind w:left="567" w:hanging="283"/>
        <w:rPr>
          <w:rFonts w:ascii="Arial" w:hAnsi="Arial" w:cs="Arial"/>
          <w:sz w:val="20"/>
          <w:lang w:eastAsia="de-DE"/>
        </w:rPr>
      </w:pPr>
      <w:r w:rsidRPr="004D39E8">
        <w:rPr>
          <w:rFonts w:ascii="Arial" w:hAnsi="Arial" w:cs="Arial"/>
          <w:sz w:val="20"/>
          <w:lang w:eastAsia="de-DE"/>
        </w:rPr>
        <w:t xml:space="preserve">The amount of the insurance premium will not be clearly visible to consumers and this will prevent them from comparing the insurance cover, including the potentially high benefits if the insurance cover payment is granted. It will also allow them to compare the premium with the ones offered through other insurance-based investment products and through pure life insurance products with no investment component. </w:t>
      </w:r>
    </w:p>
    <w:p w:rsidR="004D39E8" w:rsidRPr="004D39E8" w:rsidRDefault="004D39E8" w:rsidP="004D39E8">
      <w:pPr>
        <w:rPr>
          <w:rFonts w:cs="Arial"/>
          <w:szCs w:val="20"/>
        </w:rPr>
      </w:pPr>
    </w:p>
    <w:p w:rsidR="004D39E8" w:rsidRDefault="004D39E8" w:rsidP="004D39E8">
      <w:pPr>
        <w:rPr>
          <w:szCs w:val="17"/>
        </w:rPr>
      </w:pPr>
      <w:r w:rsidRPr="004D39E8">
        <w:rPr>
          <w:rFonts w:cs="Arial"/>
          <w:szCs w:val="20"/>
        </w:rPr>
        <w:t>Therefore, in order to achieve meaningful comparisons between products, these two features cannot be aggregated in one figure and must be presented in separate sections of the KID.</w:t>
      </w:r>
      <w:r w:rsidRPr="00F842A3">
        <w:rPr>
          <w:szCs w:val="17"/>
        </w:rPr>
        <w:t xml:space="preserve"> </w:t>
      </w:r>
    </w:p>
    <w:permEnd w:id="1297234355"/>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D39E8" w:rsidRPr="004D39E8" w:rsidRDefault="004D39E8" w:rsidP="004D39E8">
      <w:pPr>
        <w:rPr>
          <w:rFonts w:cs="Arial"/>
          <w:szCs w:val="20"/>
        </w:rPr>
      </w:pPr>
      <w:permStart w:id="499350123" w:edGrp="everyone"/>
      <w:r w:rsidRPr="004D39E8">
        <w:rPr>
          <w:rFonts w:cs="Arial"/>
          <w:szCs w:val="20"/>
        </w:rPr>
        <w:t xml:space="preserve">First, it seems key to recall that the level 1 PRIIPs Regulation Article 8(f) introduces in the KID a section on costs which should include “the costs associated with an investment in the PRIIP” – it does not say “costs associated with an investment and biometric protection”.  Therefore, separating the full biometric risk premium and the investment cost, as well as being the most transparent and meaningful approach, is also in line with the level 1 text. </w:t>
      </w:r>
    </w:p>
    <w:p w:rsidR="004D39E8" w:rsidRPr="004D39E8" w:rsidRDefault="004D39E8" w:rsidP="004D39E8">
      <w:pPr>
        <w:rPr>
          <w:rFonts w:cs="Arial"/>
          <w:szCs w:val="20"/>
        </w:rPr>
      </w:pPr>
    </w:p>
    <w:p w:rsidR="004D39E8" w:rsidRPr="004D39E8" w:rsidRDefault="004D39E8" w:rsidP="004D39E8">
      <w:pPr>
        <w:rPr>
          <w:rFonts w:cs="Arial"/>
          <w:szCs w:val="20"/>
        </w:rPr>
      </w:pPr>
      <w:r w:rsidRPr="004D39E8">
        <w:rPr>
          <w:rFonts w:cs="Arial"/>
          <w:szCs w:val="20"/>
        </w:rPr>
        <w:t>Insurance-based investment products comprise an insurance cover, consisting of protection against biometric risks faced by consumers, alongside an investment element. When freely choosing an insurance-based investment product, a consumer is looking for both beneficial investment opportunities and for insurance protection for his or her family against biometric risks.</w:t>
      </w:r>
    </w:p>
    <w:p w:rsidR="004D39E8" w:rsidRPr="004D39E8" w:rsidRDefault="004D39E8" w:rsidP="004D39E8">
      <w:pPr>
        <w:rPr>
          <w:rFonts w:cs="Arial"/>
          <w:szCs w:val="20"/>
        </w:rPr>
      </w:pPr>
    </w:p>
    <w:p w:rsidR="004D39E8" w:rsidRPr="004D39E8" w:rsidRDefault="004D39E8" w:rsidP="004D39E8">
      <w:pPr>
        <w:rPr>
          <w:rFonts w:cs="Arial"/>
          <w:szCs w:val="20"/>
        </w:rPr>
      </w:pPr>
      <w:r w:rsidRPr="004D39E8">
        <w:rPr>
          <w:rFonts w:cs="Arial"/>
          <w:szCs w:val="20"/>
        </w:rPr>
        <w:t xml:space="preserve">Effective comparison should be ensured for consumers. Meaningful comparison remains the key objective of the PRIIPs Regulation and the insurance sector considers that only separating the full biometric risk </w:t>
      </w:r>
      <w:r w:rsidRPr="004D39E8">
        <w:rPr>
          <w:rFonts w:cs="Arial"/>
          <w:szCs w:val="20"/>
        </w:rPr>
        <w:lastRenderedPageBreak/>
        <w:t>premium from the investment costs could achieve such an objective. It is in the interest of the consumer that:</w:t>
      </w:r>
    </w:p>
    <w:p w:rsidR="004D39E8" w:rsidRPr="004D39E8" w:rsidRDefault="004D39E8" w:rsidP="004D39E8">
      <w:pPr>
        <w:pStyle w:val="CEABullet-Level1"/>
        <w:numPr>
          <w:ilvl w:val="0"/>
          <w:numId w:val="53"/>
        </w:numPr>
        <w:ind w:left="567" w:hanging="283"/>
        <w:rPr>
          <w:rFonts w:ascii="Arial" w:hAnsi="Arial" w:cs="Arial"/>
          <w:sz w:val="20"/>
          <w:lang w:eastAsia="de-DE"/>
        </w:rPr>
      </w:pPr>
      <w:r w:rsidRPr="004D39E8">
        <w:rPr>
          <w:rFonts w:ascii="Arial" w:hAnsi="Arial" w:cs="Arial"/>
          <w:sz w:val="20"/>
          <w:lang w:eastAsia="de-DE"/>
        </w:rPr>
        <w:t>The biometric risk premium in total is presented in a section separate from the KID cost section</w:t>
      </w:r>
    </w:p>
    <w:p w:rsidR="004D39E8" w:rsidRPr="004D39E8" w:rsidRDefault="004D39E8" w:rsidP="004D39E8">
      <w:pPr>
        <w:pStyle w:val="CEABullet-Level1"/>
        <w:numPr>
          <w:ilvl w:val="0"/>
          <w:numId w:val="53"/>
        </w:numPr>
        <w:ind w:left="567" w:hanging="283"/>
        <w:rPr>
          <w:rFonts w:ascii="Arial" w:hAnsi="Arial" w:cs="Arial"/>
          <w:sz w:val="20"/>
          <w:lang w:eastAsia="de-DE"/>
        </w:rPr>
      </w:pPr>
      <w:r w:rsidRPr="004D39E8">
        <w:rPr>
          <w:rFonts w:ascii="Arial" w:hAnsi="Arial" w:cs="Arial"/>
          <w:sz w:val="20"/>
          <w:lang w:eastAsia="de-DE"/>
        </w:rPr>
        <w:t>No part of the insurance biometric risk premium is presented in the cost section of the KID</w:t>
      </w:r>
    </w:p>
    <w:p w:rsidR="004D39E8" w:rsidRPr="004D39E8" w:rsidRDefault="004D39E8" w:rsidP="004D39E8">
      <w:pPr>
        <w:pStyle w:val="CEABullet-Level1"/>
        <w:numPr>
          <w:ilvl w:val="0"/>
          <w:numId w:val="53"/>
        </w:numPr>
        <w:ind w:left="567" w:hanging="283"/>
        <w:rPr>
          <w:rFonts w:ascii="Arial" w:hAnsi="Arial" w:cs="Arial"/>
          <w:sz w:val="20"/>
          <w:lang w:eastAsia="de-DE"/>
        </w:rPr>
      </w:pPr>
      <w:r w:rsidRPr="004D39E8">
        <w:rPr>
          <w:rFonts w:ascii="Arial" w:hAnsi="Arial" w:cs="Arial"/>
          <w:sz w:val="20"/>
          <w:lang w:eastAsia="de-DE"/>
        </w:rPr>
        <w:t>To ensure complete transparency, a reference to this could be made in the cost section, such as: "The contributions for additional benefits that are not related to the savings process are presented separately.” Similarly, a reference to this separate section could be made in the performance scenario section, such as: "The additional benefits that are not related to the savings process are presented separately."</w:t>
      </w:r>
    </w:p>
    <w:p w:rsidR="004D39E8" w:rsidRPr="004D39E8" w:rsidRDefault="004D39E8" w:rsidP="004D39E8">
      <w:pPr>
        <w:rPr>
          <w:rFonts w:cs="Arial"/>
          <w:szCs w:val="20"/>
        </w:rPr>
      </w:pPr>
    </w:p>
    <w:p w:rsidR="004D39E8" w:rsidRPr="00F842A3" w:rsidRDefault="004D39E8" w:rsidP="004D39E8">
      <w:pPr>
        <w:rPr>
          <w:szCs w:val="17"/>
        </w:rPr>
      </w:pPr>
      <w:r w:rsidRPr="004D39E8">
        <w:rPr>
          <w:rFonts w:cs="Arial"/>
          <w:szCs w:val="20"/>
        </w:rPr>
        <w:t>It is not considered it useful to include the fair value component of any biometric risk premium in the cost section below the RIY. If optional, the biometric risk coverage should be priced separately as a non-mandatory option. If it is, on the contrary, embedded in the product, then there should be a narrative explanation included in the section “What is this product”.</w:t>
      </w:r>
    </w:p>
    <w:permEnd w:id="499350123"/>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D39E8" w:rsidRPr="00F842A3" w:rsidRDefault="004D39E8" w:rsidP="004D39E8">
      <w:permStart w:id="1705708156" w:edGrp="everyone"/>
      <w:r w:rsidRPr="00F842A3">
        <w:rPr>
          <w:szCs w:val="17"/>
        </w:rPr>
        <w:t xml:space="preserve">The question relates to the second table on the presentation of costs. </w:t>
      </w:r>
      <w:r>
        <w:t>T</w:t>
      </w:r>
      <w:r w:rsidRPr="00F842A3">
        <w:t>he ESAs proposed format of presentation of the costs</w:t>
      </w:r>
      <w:r>
        <w:t xml:space="preserve"> is not supported.</w:t>
      </w:r>
    </w:p>
    <w:p w:rsidR="004D39E8" w:rsidRPr="00F842A3" w:rsidRDefault="004D39E8" w:rsidP="004D39E8"/>
    <w:p w:rsidR="004D39E8" w:rsidRPr="001A7F25" w:rsidRDefault="004D39E8" w:rsidP="004D39E8">
      <w:pPr>
        <w:rPr>
          <w:szCs w:val="17"/>
        </w:rPr>
      </w:pPr>
      <w:r w:rsidRPr="001A7F25">
        <w:rPr>
          <w:szCs w:val="17"/>
        </w:rPr>
        <w:t xml:space="preserve">First of all, only the costs at the recommended holding period or at maturity are meaningful. Otherwise, not only would it lead to confusing information and information overload for consumers, but such a presentation would simply send the wrong message to retail investors: </w:t>
      </w:r>
    </w:p>
    <w:p w:rsidR="004D39E8" w:rsidRPr="00F842A3" w:rsidRDefault="004D39E8" w:rsidP="004D39E8"/>
    <w:p w:rsidR="004D39E8" w:rsidRPr="00F842A3" w:rsidRDefault="004D39E8" w:rsidP="004D39E8">
      <w:pPr>
        <w:pStyle w:val="CEABullet-Level2"/>
        <w:numPr>
          <w:ilvl w:val="2"/>
          <w:numId w:val="55"/>
        </w:numPr>
        <w:ind w:left="567" w:hanging="283"/>
      </w:pPr>
      <w:r w:rsidRPr="00F842A3">
        <w:t xml:space="preserve">Insurance-based investment products are usually long-term products. These products are being considered by retail investors also for this very feature. When acquiring an insurance-based investment product, the retail investor should aim to keep it until the recommended holding period or at maturity. Displaying, at a pre-contractual stage, holding periods inferior to the recommended holding period or the product’s maturity would send the wrong message to retail investors.   </w:t>
      </w:r>
    </w:p>
    <w:p w:rsidR="004D39E8" w:rsidRPr="00F842A3" w:rsidRDefault="004D39E8" w:rsidP="004D39E8">
      <w:pPr>
        <w:pStyle w:val="CEABullet-Level2"/>
        <w:numPr>
          <w:ilvl w:val="2"/>
          <w:numId w:val="55"/>
        </w:numPr>
        <w:ind w:left="567" w:hanging="283"/>
      </w:pPr>
      <w:r w:rsidRPr="00F842A3">
        <w:t>Obviousl</w:t>
      </w:r>
      <w:r>
        <w:t xml:space="preserve">y, </w:t>
      </w:r>
      <w:r w:rsidRPr="00F842A3">
        <w:t>surrender costs are important and must be displayed in a fully transparent way to retail investors. It is understood that this is the reason why the PRIIPs level 1 Regulation dedicates a specific sect</w:t>
      </w:r>
      <w:r>
        <w:t>ion of the KID to the surrender</w:t>
      </w:r>
      <w:r w:rsidRPr="00F842A3">
        <w:t xml:space="preserve">. The issue would be better addressed in the section of the KID on surrender value. </w:t>
      </w:r>
    </w:p>
    <w:p w:rsidR="004D39E8" w:rsidRPr="00F842A3" w:rsidRDefault="004D39E8" w:rsidP="004D39E8">
      <w:pPr>
        <w:pStyle w:val="CEABullet-Level2"/>
        <w:numPr>
          <w:ilvl w:val="2"/>
          <w:numId w:val="55"/>
        </w:numPr>
        <w:ind w:left="567" w:hanging="283"/>
      </w:pPr>
      <w:r w:rsidRPr="00F842A3">
        <w:t>In addi</w:t>
      </w:r>
      <w:r>
        <w:t>tion, it should be</w:t>
      </w:r>
      <w:r w:rsidRPr="00F842A3">
        <w:t xml:space="preserve"> point</w:t>
      </w:r>
      <w:r>
        <w:t>ed</w:t>
      </w:r>
      <w:r w:rsidRPr="00F842A3">
        <w:t xml:space="preserve"> out that the RIY method, selected by the ESAs, has the advantage of taking into account the timing of costs, compared to the Total Cost Ratio. In this context, it seems irrelevant to display all these costs figures over time. </w:t>
      </w:r>
    </w:p>
    <w:p w:rsidR="004D39E8" w:rsidRPr="00F842A3" w:rsidRDefault="004D39E8" w:rsidP="004D39E8">
      <w:pPr>
        <w:pStyle w:val="CEABullet-Level2"/>
        <w:numPr>
          <w:ilvl w:val="2"/>
          <w:numId w:val="55"/>
        </w:numPr>
        <w:ind w:left="567" w:hanging="283"/>
      </w:pPr>
      <w:r w:rsidRPr="00F842A3">
        <w:t xml:space="preserve">Furthermore, it should </w:t>
      </w:r>
      <w:r>
        <w:t xml:space="preserve">also </w:t>
      </w:r>
      <w:r w:rsidRPr="00F842A3">
        <w:t xml:space="preserve">be pointed out that Level I regulation does not mention intermediate holding periods. </w:t>
      </w:r>
    </w:p>
    <w:p w:rsidR="004D39E8" w:rsidRPr="00F842A3" w:rsidRDefault="004D39E8" w:rsidP="004D39E8">
      <w:pPr>
        <w:pStyle w:val="CEABullet-Level2"/>
        <w:numPr>
          <w:ilvl w:val="0"/>
          <w:numId w:val="0"/>
        </w:numPr>
        <w:ind w:left="567" w:hanging="283"/>
      </w:pPr>
    </w:p>
    <w:p w:rsidR="004D39E8" w:rsidRDefault="004D39E8" w:rsidP="004D39E8">
      <w:pPr>
        <w:rPr>
          <w:szCs w:val="17"/>
        </w:rPr>
      </w:pPr>
      <w:r w:rsidRPr="001A7F25">
        <w:rPr>
          <w:szCs w:val="17"/>
        </w:rPr>
        <w:t xml:space="preserve">Should, against all the above arguments, it be decided to include intermediate periods, it must be acknowledged that the draft RTS must consider the different products included in the PRIIPs Regulation, including long-term (such as insurance-based investment products) and very short term investment products. Regarding insurance-based investment products specifically, it should be noted that adding scenarios for intermediate stages of 1, 3 and 5 years as suggested in Annex VII makes no sense, given that </w:t>
      </w:r>
      <w:r w:rsidRPr="001A7F25">
        <w:rPr>
          <w:szCs w:val="17"/>
        </w:rPr>
        <w:lastRenderedPageBreak/>
        <w:t xml:space="preserve">insurance-based investments generally have very long recommending holding periods (of 30 years and more in many jurisdictions). </w:t>
      </w:r>
    </w:p>
    <w:permEnd w:id="1705708156"/>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857350770" w:edGrp="everyone"/>
      <w:r>
        <w:t>TYPE YOUR TEXT HERE</w:t>
      </w:r>
    </w:p>
    <w:permEnd w:id="857350770"/>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490024956" w:edGrp="everyone"/>
      <w:r>
        <w:t>TYPE YOUR TEXT HERE</w:t>
      </w:r>
    </w:p>
    <w:permEnd w:id="490024956"/>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393766531" w:edGrp="everyone"/>
      <w:r>
        <w:t>TYPE YOUR TEXT HERE</w:t>
      </w:r>
    </w:p>
    <w:permEnd w:id="1393766531"/>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973109820" w:edGrp="everyone"/>
      <w:r>
        <w:t>TYPE YOUR TEXT HERE</w:t>
      </w:r>
    </w:p>
    <w:permEnd w:id="1973109820"/>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 xml:space="preserve">Regarding the first table of the cost section presented in Annex VII, would you favour a detailed presentation of the different types of costs, as suggested in the Annex, including a split between one-off, recurring </w:t>
      </w:r>
      <w:r w:rsidRPr="00847BB0">
        <w:rPr>
          <w:rFonts w:ascii="Calibri" w:hAnsi="Calibri"/>
          <w:i/>
          <w:iCs/>
          <w:sz w:val="22"/>
          <w:lang w:eastAsia="en-US"/>
        </w:rPr>
        <w:lastRenderedPageBreak/>
        <w:t>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4D39E8" w:rsidRDefault="004D39E8" w:rsidP="00847BB0">
      <w:pPr>
        <w:rPr>
          <w:szCs w:val="17"/>
        </w:rPr>
      </w:pPr>
      <w:permStart w:id="1023834932" w:edGrp="everyone"/>
      <w:r>
        <w:rPr>
          <w:szCs w:val="17"/>
        </w:rPr>
        <w:t>We favour a shorter presentation of costs showing only the total costs and the RIY.</w:t>
      </w:r>
    </w:p>
    <w:permEnd w:id="1023834932"/>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B860DB" w:rsidRPr="00F842A3" w:rsidRDefault="00B860DB" w:rsidP="00B860DB">
      <w:pPr>
        <w:spacing w:after="200" w:line="276" w:lineRule="auto"/>
        <w:rPr>
          <w:b/>
          <w:u w:val="single"/>
        </w:rPr>
      </w:pPr>
      <w:permStart w:id="1243505328" w:edGrp="everyone"/>
      <w:r>
        <w:t>We do not favour the second table, which is unnecessary. But if the second table is to be kept, i</w:t>
      </w:r>
      <w:r w:rsidRPr="00F842A3">
        <w:t>t is important that costs are expressed using in the same approach in the two tables</w:t>
      </w:r>
      <w:r>
        <w:t xml:space="preserve"> (RIY figures)</w:t>
      </w:r>
      <w:r w:rsidRPr="00F842A3">
        <w:t xml:space="preserve">. It could be </w:t>
      </w:r>
      <w:r>
        <w:t>very c</w:t>
      </w:r>
      <w:r w:rsidRPr="00F842A3">
        <w:t xml:space="preserve">onfusing for investors if two different units </w:t>
      </w:r>
      <w:r>
        <w:t>(</w:t>
      </w:r>
      <w:r w:rsidRPr="00F842A3">
        <w:rPr>
          <w:iCs/>
          <w:szCs w:val="17"/>
        </w:rPr>
        <w:t>percentage of the initial invested amount, NAV</w:t>
      </w:r>
      <w:r>
        <w:t xml:space="preserve">) </w:t>
      </w:r>
      <w:r w:rsidRPr="00F842A3">
        <w:t xml:space="preserve">are used. </w:t>
      </w:r>
    </w:p>
    <w:permEnd w:id="1243505328"/>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1005196633" w:edGrp="everyone"/>
      <w:r>
        <w:t>TYPE YOUR TEXT HERE</w:t>
      </w:r>
    </w:p>
    <w:permEnd w:id="1005196633"/>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B2CCA">
            <w:rPr>
              <w:rFonts w:cs="Arial"/>
              <w:noProof/>
              <w:sz w:val="22"/>
              <w:szCs w:val="22"/>
            </w:rPr>
            <w:t>5</w:t>
          </w:r>
          <w:r w:rsidRPr="00616B9B">
            <w:rPr>
              <w:rFonts w:cs="Arial"/>
              <w:noProof/>
              <w:sz w:val="22"/>
              <w:szCs w:val="22"/>
            </w:rPr>
            <w:fldChar w:fldCharType="end"/>
          </w:r>
        </w:p>
      </w:tc>
    </w:tr>
  </w:tbl>
  <w:p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C8C9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3A6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EA - Bullets Rounded Squares_BulletLevel1_forMS"/>
      </v:shape>
    </w:pict>
  </w:numPicBullet>
  <w:numPicBullet w:numPicBulletId="1">
    <w:pict>
      <v:shape id="_x0000_i1027" type="#_x0000_t75" style="width:7.8pt;height:7.8pt" o:bullet="t">
        <v:imagedata r:id="rId2" o:title="CEA - Bullets Rounded Squares_BulletLevel2_forMS"/>
      </v:shape>
    </w:pict>
  </w:numPicBullet>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071E"/>
    <w:multiLevelType w:val="hybridMultilevel"/>
    <w:tmpl w:val="EBE65710"/>
    <w:lvl w:ilvl="0" w:tplc="A0240652">
      <w:start w:val="165"/>
      <w:numFmt w:val="bullet"/>
      <w:pStyle w:val="CEABullet-Level2"/>
      <w:lvlText w:val=""/>
      <w:lvlPicBulletId w:val="1"/>
      <w:lvlJc w:val="left"/>
      <w:pPr>
        <w:ind w:left="1800" w:hanging="360"/>
      </w:pPr>
      <w:rPr>
        <w:rFonts w:ascii="Symbol" w:hAnsi="Symbol"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EB630A"/>
    <w:multiLevelType w:val="hybridMultilevel"/>
    <w:tmpl w:val="5BAEA6B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99E2B88"/>
    <w:multiLevelType w:val="hybridMultilevel"/>
    <w:tmpl w:val="636CBA02"/>
    <w:lvl w:ilvl="0" w:tplc="2CF65F2A">
      <w:start w:val="165"/>
      <w:numFmt w:val="bullet"/>
      <w:pStyle w:val="CEABullet-Level1"/>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840EF9"/>
    <w:multiLevelType w:val="hybridMultilevel"/>
    <w:tmpl w:val="1C66E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10"/>
  </w:num>
  <w:num w:numId="24">
    <w:abstractNumId w:val="32"/>
  </w:num>
  <w:num w:numId="25">
    <w:abstractNumId w:val="31"/>
  </w:num>
  <w:num w:numId="26">
    <w:abstractNumId w:val="20"/>
  </w:num>
  <w:num w:numId="27">
    <w:abstractNumId w:val="35"/>
  </w:num>
  <w:num w:numId="28">
    <w:abstractNumId w:val="42"/>
  </w:num>
  <w:num w:numId="29">
    <w:abstractNumId w:val="8"/>
  </w:num>
  <w:num w:numId="30">
    <w:abstractNumId w:val="4"/>
  </w:num>
  <w:num w:numId="31">
    <w:abstractNumId w:val="23"/>
  </w:num>
  <w:num w:numId="32">
    <w:abstractNumId w:val="2"/>
  </w:num>
  <w:num w:numId="33">
    <w:abstractNumId w:val="7"/>
  </w:num>
  <w:num w:numId="34">
    <w:abstractNumId w:val="21"/>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13"/>
  </w:num>
  <w:num w:numId="51">
    <w:abstractNumId w:val="22"/>
  </w:num>
  <w:num w:numId="52">
    <w:abstractNumId w:val="36"/>
  </w:num>
  <w:num w:numId="53">
    <w:abstractNumId w:val="25"/>
  </w:num>
  <w:num w:numId="54">
    <w:abstractNumId w:val="3"/>
  </w:num>
  <w:num w:numId="5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9E8"/>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0D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CCA"/>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C09EB2F5-C65B-4AA3-A544-252D59FF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Puesto">
    <w:name w:val="Title"/>
    <w:basedOn w:val="Normal"/>
    <w:next w:val="Normal"/>
    <w:link w:val="Puest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PuestoCar">
    <w:name w:val="Puesto Car"/>
    <w:link w:val="Puest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rrafodelista"/>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Fuentedeprrafopredeter"/>
    <w:link w:val="QUESTIONSESMA"/>
    <w:rsid w:val="002E2BC1"/>
    <w:rPr>
      <w:rFonts w:ascii="Arial" w:hAnsi="Arial" w:cstheme="minorBidi"/>
      <w:b/>
      <w:szCs w:val="22"/>
      <w:lang w:eastAsia="en-US"/>
    </w:rPr>
  </w:style>
  <w:style w:type="paragraph" w:customStyle="1" w:styleId="CEABullet-Level1">
    <w:name w:val="CEA Bullet - Level 1"/>
    <w:basedOn w:val="Normal"/>
    <w:qFormat/>
    <w:rsid w:val="004D39E8"/>
    <w:pPr>
      <w:numPr>
        <w:numId w:val="52"/>
      </w:numPr>
      <w:autoSpaceDE w:val="0"/>
      <w:autoSpaceDN w:val="0"/>
      <w:adjustRightInd w:val="0"/>
      <w:spacing w:line="288" w:lineRule="auto"/>
      <w:jc w:val="both"/>
    </w:pPr>
    <w:rPr>
      <w:rFonts w:ascii="Verdana" w:hAnsi="Verdana" w:cs="Frutiger LT Std 45 Light"/>
      <w:color w:val="000000"/>
      <w:sz w:val="17"/>
      <w:szCs w:val="20"/>
      <w:lang w:eastAsia="en-US"/>
    </w:rPr>
  </w:style>
  <w:style w:type="paragraph" w:customStyle="1" w:styleId="CEABullet-Level2">
    <w:name w:val="CEA Bullet - Level 2"/>
    <w:basedOn w:val="CEABullet-Level1"/>
    <w:next w:val="Normal"/>
    <w:qFormat/>
    <w:rsid w:val="004D39E8"/>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3CAB-4421-4903-B593-C91E515159C4}">
  <ds:schemaRefs>
    <ds:schemaRef ds:uri="http://schemas.openxmlformats.org/officeDocument/2006/bibliography"/>
  </ds:schemaRefs>
</ds:datastoreItem>
</file>

<file path=customXml/itemProps2.xml><?xml version="1.0" encoding="utf-8"?>
<ds:datastoreItem xmlns:ds="http://schemas.openxmlformats.org/officeDocument/2006/customXml" ds:itemID="{298E5739-67D6-4EDE-B32E-AE81A656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4663</Words>
  <Characters>25652</Characters>
  <Application>Microsoft Office Word</Application>
  <DocSecurity>8</DocSecurity>
  <Lines>213</Lines>
  <Paragraphs>60</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30255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Carlos Esquivias</cp:lastModifiedBy>
  <cp:revision>4</cp:revision>
  <cp:lastPrinted>2015-02-18T11:01:00Z</cp:lastPrinted>
  <dcterms:created xsi:type="dcterms:W3CDTF">2015-11-11T10:17:00Z</dcterms:created>
  <dcterms:modified xsi:type="dcterms:W3CDTF">2016-01-29T12:19:00Z</dcterms:modified>
</cp:coreProperties>
</file>