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9A833" w14:textId="11C8D0F0" w:rsidR="0041056A" w:rsidRPr="00ED5671" w:rsidRDefault="00881840" w:rsidP="00A17579">
      <w:pPr>
        <w:pBdr>
          <w:top w:val="single" w:sz="4" w:space="1" w:color="auto"/>
          <w:left w:val="single" w:sz="4" w:space="4" w:color="auto"/>
          <w:bottom w:val="single" w:sz="4" w:space="1" w:color="auto"/>
          <w:right w:val="single" w:sz="4" w:space="4" w:color="auto"/>
        </w:pBdr>
        <w:spacing w:after="0" w:line="276" w:lineRule="auto"/>
        <w:jc w:val="center"/>
        <w:rPr>
          <w:b/>
          <w:sz w:val="36"/>
        </w:rPr>
      </w:pPr>
      <w:r w:rsidRPr="00ED5671">
        <w:rPr>
          <w:b/>
          <w:sz w:val="36"/>
        </w:rPr>
        <w:t>EFAMA’s comments</w:t>
      </w:r>
      <w:r w:rsidR="00F5498A">
        <w:rPr>
          <w:b/>
          <w:sz w:val="36"/>
        </w:rPr>
        <w:t xml:space="preserve"> </w:t>
      </w:r>
      <w:r w:rsidRPr="00ED5671">
        <w:rPr>
          <w:b/>
          <w:sz w:val="36"/>
        </w:rPr>
        <w:t xml:space="preserve">on the </w:t>
      </w:r>
      <w:r w:rsidR="00854D65" w:rsidRPr="00ED5671">
        <w:rPr>
          <w:b/>
          <w:sz w:val="36"/>
        </w:rPr>
        <w:t>ESAs’</w:t>
      </w:r>
      <w:r w:rsidR="00D873E4" w:rsidRPr="00ED5671">
        <w:rPr>
          <w:b/>
          <w:sz w:val="36"/>
        </w:rPr>
        <w:t xml:space="preserve"> </w:t>
      </w:r>
      <w:r w:rsidR="003320F5" w:rsidRPr="00ED5671">
        <w:rPr>
          <w:b/>
          <w:sz w:val="36"/>
        </w:rPr>
        <w:t>Joint Consultation Paper</w:t>
      </w:r>
      <w:r w:rsidR="00F5498A">
        <w:rPr>
          <w:b/>
          <w:sz w:val="36"/>
        </w:rPr>
        <w:t xml:space="preserve"> </w:t>
      </w:r>
      <w:r w:rsidR="00D873E4" w:rsidRPr="00ED5671">
        <w:rPr>
          <w:b/>
          <w:sz w:val="36"/>
        </w:rPr>
        <w:t>PRIIPs Key Information Document</w:t>
      </w:r>
      <w:r w:rsidR="0041056A" w:rsidRPr="00ED5671">
        <w:rPr>
          <w:b/>
          <w:i/>
          <w:sz w:val="36"/>
        </w:rPr>
        <w:t xml:space="preserve"> </w:t>
      </w:r>
      <w:r w:rsidR="0041056A" w:rsidRPr="00ED5671">
        <w:rPr>
          <w:b/>
          <w:sz w:val="36"/>
        </w:rPr>
        <w:t xml:space="preserve">[JC 2015 </w:t>
      </w:r>
      <w:r w:rsidR="003320F5" w:rsidRPr="00ED5671">
        <w:rPr>
          <w:b/>
          <w:sz w:val="36"/>
        </w:rPr>
        <w:t>073</w:t>
      </w:r>
      <w:r w:rsidR="0041056A" w:rsidRPr="00ED5671">
        <w:rPr>
          <w:b/>
          <w:sz w:val="36"/>
        </w:rPr>
        <w:t>]</w:t>
      </w:r>
    </w:p>
    <w:p w14:paraId="5BCD217E" w14:textId="77777777" w:rsidR="00A17579" w:rsidRPr="00A17579" w:rsidRDefault="00A17579" w:rsidP="00A17579">
      <w:pPr>
        <w:pStyle w:val="Heading1"/>
        <w:spacing w:before="0" w:after="0" w:line="276" w:lineRule="auto"/>
        <w:rPr>
          <w:sz w:val="22"/>
        </w:rPr>
      </w:pPr>
    </w:p>
    <w:p w14:paraId="09DD084A" w14:textId="77777777" w:rsidR="00A17579" w:rsidRPr="00A17579" w:rsidRDefault="00A17579" w:rsidP="00A17579">
      <w:pPr>
        <w:spacing w:after="0" w:line="276" w:lineRule="auto"/>
        <w:jc w:val="both"/>
        <w:rPr>
          <w:b/>
          <w:i/>
          <w:color w:val="5B9BD5" w:themeColor="accent1"/>
        </w:rPr>
      </w:pPr>
    </w:p>
    <w:p w14:paraId="0909999F" w14:textId="5B456C57" w:rsidR="00340735" w:rsidRPr="00ED5671" w:rsidRDefault="00755E59" w:rsidP="00A17579">
      <w:pPr>
        <w:pStyle w:val="Heading1"/>
        <w:spacing w:before="0" w:after="0" w:line="276" w:lineRule="auto"/>
      </w:pPr>
      <w:r w:rsidRPr="00ED5671">
        <w:t>Additional comments relating to the d</w:t>
      </w:r>
      <w:r w:rsidR="00340735" w:rsidRPr="00ED5671">
        <w:t>raft RTS</w:t>
      </w:r>
      <w:r w:rsidRPr="00ED5671">
        <w:t xml:space="preserve"> not covered in the Questions</w:t>
      </w:r>
    </w:p>
    <w:p w14:paraId="730DA135" w14:textId="77777777" w:rsidR="00A876C6" w:rsidRDefault="00A876C6" w:rsidP="00A17579">
      <w:pPr>
        <w:spacing w:after="0" w:line="276" w:lineRule="auto"/>
        <w:jc w:val="both"/>
      </w:pPr>
    </w:p>
    <w:p w14:paraId="06D8A76D" w14:textId="1BB6F62F" w:rsidR="00755E59" w:rsidRPr="00ED5671" w:rsidRDefault="00755E59" w:rsidP="00A17579">
      <w:pPr>
        <w:spacing w:after="0" w:line="276" w:lineRule="auto"/>
        <w:jc w:val="both"/>
      </w:pPr>
      <w:r w:rsidRPr="00ED5671">
        <w:t>In addition to our answers to the ESAs’ questions</w:t>
      </w:r>
      <w:r w:rsidR="00961B69" w:rsidRPr="00ED5671">
        <w:t>,</w:t>
      </w:r>
      <w:r w:rsidRPr="00ED5671">
        <w:t xml:space="preserve"> EFAMA would also like to provide the ESAs with the following detailed comments on the draft RTS</w:t>
      </w:r>
      <w:r w:rsidR="0017075E" w:rsidRPr="00ED5671">
        <w:t xml:space="preserve"> and its Annexes</w:t>
      </w:r>
      <w:r w:rsidRPr="00ED5671">
        <w:t>.</w:t>
      </w:r>
    </w:p>
    <w:p w14:paraId="6CEE63D0" w14:textId="77777777" w:rsidR="00A876C6" w:rsidRDefault="00A876C6" w:rsidP="00A17579">
      <w:pPr>
        <w:spacing w:after="0" w:line="276" w:lineRule="auto"/>
        <w:rPr>
          <w:b/>
          <w:color w:val="5B9BD5" w:themeColor="accent1"/>
          <w:u w:val="single"/>
        </w:rPr>
      </w:pPr>
    </w:p>
    <w:p w14:paraId="3DCE798F" w14:textId="65E4E20C" w:rsidR="00F169A5" w:rsidRPr="00B84C46" w:rsidRDefault="00F169A5" w:rsidP="00A17579">
      <w:pPr>
        <w:spacing w:after="0" w:line="276" w:lineRule="auto"/>
        <w:rPr>
          <w:b/>
          <w:color w:val="5B9BD5" w:themeColor="accent1"/>
          <w:sz w:val="24"/>
          <w:u w:val="single"/>
          <w:lang w:val="fr-FR"/>
        </w:rPr>
      </w:pPr>
      <w:r w:rsidRPr="00B84C46">
        <w:rPr>
          <w:b/>
          <w:color w:val="5B9BD5" w:themeColor="accent1"/>
          <w:sz w:val="24"/>
          <w:u w:val="single"/>
          <w:lang w:val="fr-FR"/>
        </w:rPr>
        <w:t>Article 3</w:t>
      </w:r>
      <w:r w:rsidR="00E279CF" w:rsidRPr="00B84C46">
        <w:rPr>
          <w:b/>
          <w:color w:val="5B9BD5" w:themeColor="accent1"/>
          <w:sz w:val="24"/>
          <w:u w:val="single"/>
          <w:lang w:val="fr-FR"/>
        </w:rPr>
        <w:t>:</w:t>
      </w:r>
      <w:r w:rsidRPr="00B84C46">
        <w:rPr>
          <w:b/>
          <w:color w:val="5B9BD5" w:themeColor="accent1"/>
          <w:sz w:val="24"/>
          <w:u w:val="single"/>
          <w:lang w:val="fr-FR"/>
        </w:rPr>
        <w:t xml:space="preserve"> </w:t>
      </w:r>
      <w:proofErr w:type="spellStart"/>
      <w:r w:rsidRPr="00B84C46">
        <w:rPr>
          <w:b/>
          <w:color w:val="5B9BD5" w:themeColor="accent1"/>
          <w:sz w:val="24"/>
          <w:u w:val="single"/>
          <w:lang w:val="fr-FR"/>
        </w:rPr>
        <w:t>Identity</w:t>
      </w:r>
      <w:proofErr w:type="spellEnd"/>
      <w:r w:rsidRPr="00B84C46">
        <w:rPr>
          <w:b/>
          <w:color w:val="5B9BD5" w:themeColor="accent1"/>
          <w:sz w:val="24"/>
          <w:u w:val="single"/>
          <w:lang w:val="fr-FR"/>
        </w:rPr>
        <w:t xml:space="preserve"> section</w:t>
      </w:r>
    </w:p>
    <w:p w14:paraId="739D32AC" w14:textId="77777777" w:rsidR="00E878EF" w:rsidRPr="00B84C46" w:rsidRDefault="00E878EF" w:rsidP="00A17579">
      <w:pPr>
        <w:spacing w:after="0" w:line="276" w:lineRule="auto"/>
        <w:jc w:val="both"/>
        <w:rPr>
          <w:u w:val="single"/>
          <w:lang w:val="fr-FR"/>
        </w:rPr>
      </w:pPr>
    </w:p>
    <w:p w14:paraId="3D50E080" w14:textId="77777777" w:rsidR="00E279CF" w:rsidRPr="00B84C46" w:rsidRDefault="00F169A5" w:rsidP="00A17579">
      <w:pPr>
        <w:spacing w:after="0" w:line="276" w:lineRule="auto"/>
        <w:jc w:val="both"/>
        <w:rPr>
          <w:u w:val="single"/>
          <w:lang w:val="fr-FR"/>
        </w:rPr>
      </w:pPr>
      <w:r w:rsidRPr="00B84C46">
        <w:rPr>
          <w:u w:val="single"/>
          <w:lang w:val="fr-FR"/>
        </w:rPr>
        <w:t>Article 3(f)</w:t>
      </w:r>
    </w:p>
    <w:p w14:paraId="598FF54A" w14:textId="77777777" w:rsidR="00E878EF" w:rsidRPr="00B84C46" w:rsidRDefault="00E878EF" w:rsidP="00A17579">
      <w:pPr>
        <w:spacing w:after="0" w:line="276" w:lineRule="auto"/>
        <w:jc w:val="both"/>
        <w:rPr>
          <w:b/>
          <w:lang w:val="fr-FR"/>
        </w:rPr>
      </w:pPr>
    </w:p>
    <w:p w14:paraId="5E45430D" w14:textId="1F8690A5" w:rsidR="00F169A5" w:rsidRPr="00ED5671" w:rsidRDefault="00E279CF" w:rsidP="00A17579">
      <w:pPr>
        <w:spacing w:after="0" w:line="276" w:lineRule="auto"/>
        <w:jc w:val="both"/>
      </w:pPr>
      <w:r w:rsidRPr="00ED5671">
        <w:rPr>
          <w:b/>
        </w:rPr>
        <w:t>“</w:t>
      </w:r>
      <w:r w:rsidR="00F169A5" w:rsidRPr="00ED5671">
        <w:t xml:space="preserve">The date of the production and of any </w:t>
      </w:r>
      <w:r w:rsidR="00F169A5" w:rsidRPr="00ED5671">
        <w:rPr>
          <w:i/>
        </w:rPr>
        <w:t>subsequent</w:t>
      </w:r>
      <w:r w:rsidR="00F169A5" w:rsidRPr="00ED5671">
        <w:t xml:space="preserve"> revision of the key information document</w:t>
      </w:r>
      <w:r w:rsidRPr="00ED5671">
        <w:t>”</w:t>
      </w:r>
      <w:r w:rsidR="00F169A5" w:rsidRPr="00ED5671">
        <w:t xml:space="preserve"> is required sub-paragraph (f)</w:t>
      </w:r>
      <w:r w:rsidR="00983BA2" w:rsidRPr="00ED5671">
        <w:t xml:space="preserve"> to be stated in the KID</w:t>
      </w:r>
      <w:r w:rsidR="00F169A5" w:rsidRPr="00ED5671">
        <w:t xml:space="preserve">. </w:t>
      </w:r>
      <w:r w:rsidRPr="00ED5671">
        <w:t xml:space="preserve">The wording “any </w:t>
      </w:r>
      <w:r w:rsidRPr="00ED5671">
        <w:rPr>
          <w:i/>
        </w:rPr>
        <w:t>subsequent</w:t>
      </w:r>
      <w:r w:rsidRPr="00ED5671">
        <w:t xml:space="preserve"> revision” could be misunderstood to refer to </w:t>
      </w:r>
      <w:r w:rsidR="00F169A5" w:rsidRPr="00ED5671">
        <w:t xml:space="preserve">the dates </w:t>
      </w:r>
      <w:r w:rsidRPr="00ED5671">
        <w:t xml:space="preserve">of </w:t>
      </w:r>
      <w:r w:rsidRPr="00ED5671">
        <w:rPr>
          <w:u w:val="single"/>
        </w:rPr>
        <w:t>all</w:t>
      </w:r>
      <w:r w:rsidR="00F169A5" w:rsidRPr="00ED5671">
        <w:t xml:space="preserve"> the subsequent revisions, </w:t>
      </w:r>
      <w:r w:rsidRPr="00ED5671">
        <w:t>adding no</w:t>
      </w:r>
      <w:r w:rsidR="00F169A5" w:rsidRPr="00ED5671">
        <w:t xml:space="preserve"> useful information to the</w:t>
      </w:r>
      <w:r w:rsidR="00455199" w:rsidRPr="00ED5671">
        <w:t xml:space="preserve"> </w:t>
      </w:r>
      <w:r w:rsidR="00983BA2" w:rsidRPr="00ED5671">
        <w:t>investor</w:t>
      </w:r>
      <w:r w:rsidR="00F169A5" w:rsidRPr="00ED5671">
        <w:t xml:space="preserve">. </w:t>
      </w:r>
      <w:r w:rsidRPr="00ED5671">
        <w:rPr>
          <w:b/>
        </w:rPr>
        <w:t>We</w:t>
      </w:r>
      <w:r w:rsidR="00F169A5" w:rsidRPr="00ED5671">
        <w:rPr>
          <w:b/>
        </w:rPr>
        <w:t xml:space="preserve"> </w:t>
      </w:r>
      <w:r w:rsidRPr="00ED5671">
        <w:rPr>
          <w:b/>
        </w:rPr>
        <w:t xml:space="preserve">therefore </w:t>
      </w:r>
      <w:r w:rsidR="00F169A5" w:rsidRPr="00ED5671">
        <w:rPr>
          <w:b/>
        </w:rPr>
        <w:t xml:space="preserve">propose that the article instead </w:t>
      </w:r>
      <w:r w:rsidRPr="00ED5671">
        <w:rPr>
          <w:b/>
        </w:rPr>
        <w:t xml:space="preserve">refers to “the date of the production and of the </w:t>
      </w:r>
      <w:r w:rsidRPr="00ED5671">
        <w:rPr>
          <w:b/>
          <w:i/>
          <w:u w:val="single"/>
        </w:rPr>
        <w:t>latest revision</w:t>
      </w:r>
      <w:r w:rsidRPr="00ED5671">
        <w:rPr>
          <w:b/>
        </w:rPr>
        <w:t xml:space="preserve"> of the key information document”</w:t>
      </w:r>
      <w:r w:rsidR="00F169A5" w:rsidRPr="00ED5671">
        <w:rPr>
          <w:b/>
        </w:rPr>
        <w:t>.</w:t>
      </w:r>
    </w:p>
    <w:p w14:paraId="1078229E" w14:textId="77777777" w:rsidR="00A876C6" w:rsidRDefault="00A876C6" w:rsidP="00A17579">
      <w:pPr>
        <w:spacing w:after="0" w:line="276" w:lineRule="auto"/>
        <w:rPr>
          <w:b/>
          <w:color w:val="5B9BD5" w:themeColor="accent1"/>
          <w:u w:val="single"/>
        </w:rPr>
      </w:pPr>
    </w:p>
    <w:p w14:paraId="6999EE20" w14:textId="77777777" w:rsidR="00E878EF" w:rsidRDefault="00E878EF" w:rsidP="00A17579">
      <w:pPr>
        <w:spacing w:after="0" w:line="276" w:lineRule="auto"/>
        <w:rPr>
          <w:b/>
          <w:color w:val="5B9BD5" w:themeColor="accent1"/>
          <w:u w:val="single"/>
        </w:rPr>
      </w:pPr>
    </w:p>
    <w:p w14:paraId="325746C1" w14:textId="086CE7CB" w:rsidR="00F169A5" w:rsidRPr="00E878EF" w:rsidRDefault="00F169A5" w:rsidP="00A17579">
      <w:pPr>
        <w:spacing w:after="0" w:line="276" w:lineRule="auto"/>
        <w:rPr>
          <w:b/>
          <w:color w:val="5B9BD5" w:themeColor="accent1"/>
          <w:sz w:val="24"/>
          <w:u w:val="single"/>
        </w:rPr>
      </w:pPr>
      <w:r w:rsidRPr="00E878EF">
        <w:rPr>
          <w:b/>
          <w:color w:val="5B9BD5" w:themeColor="accent1"/>
          <w:sz w:val="24"/>
          <w:u w:val="single"/>
        </w:rPr>
        <w:t>Article 4</w:t>
      </w:r>
      <w:r w:rsidR="00E279CF" w:rsidRPr="00E878EF">
        <w:rPr>
          <w:b/>
          <w:color w:val="5B9BD5" w:themeColor="accent1"/>
          <w:sz w:val="24"/>
          <w:u w:val="single"/>
        </w:rPr>
        <w:t>:</w:t>
      </w:r>
      <w:r w:rsidRPr="00E878EF">
        <w:rPr>
          <w:b/>
          <w:color w:val="5B9BD5" w:themeColor="accent1"/>
          <w:sz w:val="24"/>
          <w:u w:val="single"/>
        </w:rPr>
        <w:t xml:space="preserve"> ‘What is this product?’ section</w:t>
      </w:r>
    </w:p>
    <w:p w14:paraId="70ADF4CE" w14:textId="77777777" w:rsidR="00E878EF" w:rsidRDefault="00E878EF" w:rsidP="00A17579">
      <w:pPr>
        <w:spacing w:after="0" w:line="276" w:lineRule="auto"/>
        <w:jc w:val="both"/>
        <w:rPr>
          <w:u w:val="single"/>
        </w:rPr>
      </w:pPr>
    </w:p>
    <w:p w14:paraId="77100463" w14:textId="77777777" w:rsidR="008D559A" w:rsidRPr="00ED5671" w:rsidRDefault="008D559A" w:rsidP="00A17579">
      <w:pPr>
        <w:spacing w:after="0" w:line="276" w:lineRule="auto"/>
        <w:jc w:val="both"/>
        <w:rPr>
          <w:u w:val="single"/>
        </w:rPr>
      </w:pPr>
      <w:r w:rsidRPr="00ED5671">
        <w:rPr>
          <w:u w:val="single"/>
        </w:rPr>
        <w:t>Article 4(3)</w:t>
      </w:r>
    </w:p>
    <w:p w14:paraId="02C1FA91" w14:textId="77777777" w:rsidR="00E878EF" w:rsidRDefault="00E878EF" w:rsidP="00A17579">
      <w:pPr>
        <w:spacing w:after="0" w:line="276" w:lineRule="auto"/>
        <w:jc w:val="both"/>
      </w:pPr>
    </w:p>
    <w:p w14:paraId="54721F57" w14:textId="47540C51" w:rsidR="00CF4AD6" w:rsidRDefault="008D559A" w:rsidP="00A17579">
      <w:pPr>
        <w:spacing w:after="0" w:line="276" w:lineRule="auto"/>
        <w:jc w:val="both"/>
      </w:pPr>
      <w:r w:rsidRPr="00ED5671">
        <w:t xml:space="preserve">According to letter b. the description of the PRIIPs “underlying investments or reference values” has to be very detailed. A generic description is possible </w:t>
      </w:r>
      <w:r w:rsidR="00462832" w:rsidRPr="00ED5671">
        <w:t xml:space="preserve">only </w:t>
      </w:r>
      <w:r w:rsidRPr="00ED5671">
        <w:t xml:space="preserve">where the “number of specific investments is large”. In </w:t>
      </w:r>
      <w:r w:rsidR="00462832" w:rsidRPr="00ED5671">
        <w:t xml:space="preserve">the </w:t>
      </w:r>
      <w:r w:rsidRPr="00ED5671">
        <w:t xml:space="preserve">case of UCITS the criterion of the number of investments is inadequate because the investments of UCITS are made on the </w:t>
      </w:r>
      <w:r w:rsidR="00367D8C" w:rsidRPr="00ED5671">
        <w:t>basis</w:t>
      </w:r>
      <w:r w:rsidRPr="00ED5671">
        <w:t xml:space="preserve"> of the principle of risk diversification. Also a considerable number of </w:t>
      </w:r>
      <w:r w:rsidR="00462832" w:rsidRPr="00ED5671">
        <w:t xml:space="preserve">retail </w:t>
      </w:r>
      <w:r w:rsidRPr="00ED5671">
        <w:t xml:space="preserve">AIF managed on the </w:t>
      </w:r>
      <w:r w:rsidR="00367D8C" w:rsidRPr="00ED5671">
        <w:t>basis</w:t>
      </w:r>
      <w:r w:rsidRPr="00ED5671">
        <w:t xml:space="preserve"> of UCITS risk diversification rules</w:t>
      </w:r>
      <w:r w:rsidR="00CF4AD6" w:rsidRPr="00ED5671">
        <w:t xml:space="preserve"> or comparable rules for the specific market segment. In addition, actively managed UCITS and AIFs are not built upon a stable portfolio, but comprise assets </w:t>
      </w:r>
      <w:r w:rsidR="00ED5671">
        <w:t>that</w:t>
      </w:r>
      <w:r w:rsidR="00CF4AD6" w:rsidRPr="00ED5671">
        <w:t xml:space="preserve"> are bought and sold in accordance with the agreed investment strategy.</w:t>
      </w:r>
    </w:p>
    <w:p w14:paraId="66B6489E" w14:textId="77777777" w:rsidR="00E878EF" w:rsidRDefault="00E878EF" w:rsidP="00A17579">
      <w:pPr>
        <w:spacing w:after="0" w:line="276" w:lineRule="auto"/>
        <w:jc w:val="both"/>
      </w:pPr>
    </w:p>
    <w:p w14:paraId="3C854453" w14:textId="392C0481" w:rsidR="008D559A" w:rsidRDefault="00CF4AD6" w:rsidP="00A17579">
      <w:pPr>
        <w:spacing w:after="0" w:line="276" w:lineRule="auto"/>
        <w:jc w:val="both"/>
      </w:pPr>
      <w:r w:rsidRPr="00ED5671">
        <w:t xml:space="preserve">Therefore, more flexibility is needed under the general description of letter (b). </w:t>
      </w:r>
      <w:r w:rsidRPr="00ED5671">
        <w:rPr>
          <w:b/>
        </w:rPr>
        <w:t>Thus letter (b) should be amended as follows</w:t>
      </w:r>
      <w:r w:rsidRPr="00ED5671">
        <w:t xml:space="preserve">: “(b) on underlying investment assets or reference values may only refer to market segments or instrument types where the number of specific investments </w:t>
      </w:r>
      <w:r w:rsidRPr="00ED5671">
        <w:rPr>
          <w:b/>
          <w:bCs/>
        </w:rPr>
        <w:t xml:space="preserve">are numerous or can be continuously purchased and sold according to the investment policy and strategy of the </w:t>
      </w:r>
      <w:r w:rsidRPr="009E579D">
        <w:rPr>
          <w:b/>
          <w:bCs/>
        </w:rPr>
        <w:t>PRIIP</w:t>
      </w:r>
      <w:r w:rsidRPr="009E579D">
        <w:rPr>
          <w:b/>
          <w:bCs/>
          <w:i/>
          <w:iCs/>
        </w:rPr>
        <w:t>”</w:t>
      </w:r>
      <w:r w:rsidR="008D559A" w:rsidRPr="009E579D">
        <w:t>.</w:t>
      </w:r>
    </w:p>
    <w:p w14:paraId="6D8EF6DD" w14:textId="77777777" w:rsidR="00E878EF" w:rsidRDefault="00E878EF" w:rsidP="00A17579">
      <w:pPr>
        <w:spacing w:after="0" w:line="276" w:lineRule="auto"/>
        <w:jc w:val="both"/>
      </w:pPr>
    </w:p>
    <w:p w14:paraId="7A0CBB3A" w14:textId="77777777" w:rsidR="00E878EF" w:rsidRPr="009E579D" w:rsidRDefault="00E878EF" w:rsidP="00A17579">
      <w:pPr>
        <w:spacing w:after="0" w:line="276" w:lineRule="auto"/>
        <w:jc w:val="both"/>
      </w:pPr>
    </w:p>
    <w:p w14:paraId="4BA5C5B5" w14:textId="1961DCA0" w:rsidR="0004784C" w:rsidRPr="00ED5671" w:rsidRDefault="00F169A5" w:rsidP="00A17579">
      <w:pPr>
        <w:spacing w:after="0" w:line="276" w:lineRule="auto"/>
        <w:jc w:val="both"/>
        <w:rPr>
          <w:u w:val="single"/>
        </w:rPr>
      </w:pPr>
      <w:r w:rsidRPr="00ED5671">
        <w:rPr>
          <w:u w:val="single"/>
        </w:rPr>
        <w:t>Article 4</w:t>
      </w:r>
      <w:r w:rsidR="00E279CF" w:rsidRPr="00ED5671">
        <w:rPr>
          <w:u w:val="single"/>
        </w:rPr>
        <w:t>(</w:t>
      </w:r>
      <w:r w:rsidRPr="00ED5671">
        <w:rPr>
          <w:u w:val="single"/>
        </w:rPr>
        <w:t>4</w:t>
      </w:r>
      <w:r w:rsidR="00E279CF" w:rsidRPr="00ED5671">
        <w:rPr>
          <w:u w:val="single"/>
        </w:rPr>
        <w:t>)</w:t>
      </w:r>
    </w:p>
    <w:p w14:paraId="55778B24" w14:textId="77777777" w:rsidR="00E878EF" w:rsidRDefault="00E878EF" w:rsidP="00A17579">
      <w:pPr>
        <w:spacing w:after="0" w:line="276" w:lineRule="auto"/>
        <w:jc w:val="both"/>
      </w:pPr>
    </w:p>
    <w:p w14:paraId="18DD0F2F" w14:textId="7729C8EE" w:rsidR="0004784C" w:rsidRDefault="00E279CF" w:rsidP="00A17579">
      <w:pPr>
        <w:spacing w:after="0" w:line="276" w:lineRule="auto"/>
        <w:jc w:val="both"/>
        <w:rPr>
          <w:b/>
          <w:i/>
        </w:rPr>
      </w:pPr>
      <w:r w:rsidRPr="00ED5671">
        <w:t>Article 4(</w:t>
      </w:r>
      <w:r w:rsidR="00F169A5" w:rsidRPr="00ED5671">
        <w:t>4</w:t>
      </w:r>
      <w:r w:rsidRPr="00ED5671">
        <w:t xml:space="preserve">) proposes </w:t>
      </w:r>
      <w:r w:rsidR="0004784C" w:rsidRPr="00ED5671">
        <w:t>to include</w:t>
      </w:r>
      <w:r w:rsidRPr="00ED5671">
        <w:t xml:space="preserve"> </w:t>
      </w:r>
      <w:r w:rsidR="0004784C" w:rsidRPr="00ED5671">
        <w:t>“</w:t>
      </w:r>
      <w:r w:rsidRPr="00ED5671">
        <w:t>the target market identified by the PRIIP manufacturer´s product oversight and governance processes</w:t>
      </w:r>
      <w:r w:rsidR="0004784C" w:rsidRPr="00ED5671">
        <w:t>”. The referenced Article 8(3</w:t>
      </w:r>
      <w:proofErr w:type="gramStart"/>
      <w:r w:rsidR="0004784C" w:rsidRPr="00ED5671">
        <w:t>)(</w:t>
      </w:r>
      <w:proofErr w:type="gramEnd"/>
      <w:r w:rsidR="0004784C" w:rsidRPr="00ED5671">
        <w:t>c) of the PRIIP</w:t>
      </w:r>
      <w:r w:rsidR="00983BA2" w:rsidRPr="00ED5671">
        <w:t xml:space="preserve"> KID</w:t>
      </w:r>
      <w:r w:rsidR="0004784C" w:rsidRPr="00ED5671">
        <w:t xml:space="preserve"> Regulation merely requires </w:t>
      </w:r>
      <w:r w:rsidR="00F169A5" w:rsidRPr="00ED5671">
        <w:t xml:space="preserve">“a description of the type of retail investor to whom the PRIIP is intended to be marketed, in particular in terms of the ability to bear investment loss and the investment horizon”. </w:t>
      </w:r>
      <w:r w:rsidR="0004784C" w:rsidRPr="00ED5671">
        <w:t xml:space="preserve"> The addition of “product oversight and governance processes” does not exist in the Level-1 Regulation and thus </w:t>
      </w:r>
      <w:r w:rsidR="003214FE" w:rsidRPr="00ED5671">
        <w:t xml:space="preserve">would </w:t>
      </w:r>
      <w:r w:rsidR="0004784C" w:rsidRPr="00ED5671">
        <w:t>require non-MiFID firms, such as UCITS Management Companies and AIFMs, to apply the MiFID II product governance and oversight rules for product manufacturers</w:t>
      </w:r>
      <w:r w:rsidR="00983BA2" w:rsidRPr="00ED5671">
        <w:t>,</w:t>
      </w:r>
      <w:r w:rsidR="0004784C" w:rsidRPr="00ED5671">
        <w:t xml:space="preserve"> which was not intended in the Level-1 Regulation.</w:t>
      </w:r>
      <w:r w:rsidR="008D559A" w:rsidRPr="00ED5671">
        <w:t xml:space="preserve"> </w:t>
      </w:r>
      <w:r w:rsidR="00462832" w:rsidRPr="00ED5671">
        <w:rPr>
          <w:b/>
        </w:rPr>
        <w:t>T</w:t>
      </w:r>
      <w:r w:rsidR="008D559A" w:rsidRPr="00ED5671">
        <w:rPr>
          <w:b/>
        </w:rPr>
        <w:t xml:space="preserve">herefore the above mentioned sentence </w:t>
      </w:r>
      <w:r w:rsidR="00462832" w:rsidRPr="00ED5671">
        <w:rPr>
          <w:b/>
        </w:rPr>
        <w:t xml:space="preserve">should be amended </w:t>
      </w:r>
      <w:r w:rsidR="008D559A" w:rsidRPr="00ED5671">
        <w:rPr>
          <w:b/>
        </w:rPr>
        <w:t xml:space="preserve">as follows: </w:t>
      </w:r>
      <w:r w:rsidR="008D559A" w:rsidRPr="00ED5671">
        <w:rPr>
          <w:b/>
          <w:i/>
        </w:rPr>
        <w:t>“the target market identified by the PRIIP manufacturer.”</w:t>
      </w:r>
    </w:p>
    <w:p w14:paraId="6621D3A5" w14:textId="77777777" w:rsidR="00E878EF" w:rsidRPr="00ED5671" w:rsidRDefault="00E878EF" w:rsidP="00A17579">
      <w:pPr>
        <w:spacing w:after="0" w:line="276" w:lineRule="auto"/>
        <w:jc w:val="both"/>
      </w:pPr>
    </w:p>
    <w:p w14:paraId="635113FB" w14:textId="591FC1A9" w:rsidR="009B2553" w:rsidRDefault="00983BA2" w:rsidP="00A17579">
      <w:pPr>
        <w:spacing w:after="0" w:line="276" w:lineRule="auto"/>
        <w:jc w:val="both"/>
      </w:pPr>
      <w:r w:rsidRPr="00ED5671">
        <w:t>Moreover</w:t>
      </w:r>
      <w:r w:rsidR="0004784C" w:rsidRPr="00ED5671">
        <w:t>, the ESAs’ proposal goes even</w:t>
      </w:r>
      <w:r w:rsidR="003214FE" w:rsidRPr="00ED5671">
        <w:t xml:space="preserve"> </w:t>
      </w:r>
      <w:r w:rsidR="0004784C" w:rsidRPr="00ED5671">
        <w:t xml:space="preserve">further by stating that these </w:t>
      </w:r>
      <w:r w:rsidR="00F169A5" w:rsidRPr="00ED5671">
        <w:t xml:space="preserve">product oversight and governance processes </w:t>
      </w:r>
      <w:r w:rsidR="0004784C" w:rsidRPr="00ED5671">
        <w:t>need to take into account</w:t>
      </w:r>
      <w:r w:rsidR="00F169A5" w:rsidRPr="00ED5671">
        <w:rPr>
          <w:i/>
        </w:rPr>
        <w:t xml:space="preserve"> </w:t>
      </w:r>
      <w:r w:rsidR="0004784C" w:rsidRPr="00ED5671">
        <w:rPr>
          <w:i/>
        </w:rPr>
        <w:t>“</w:t>
      </w:r>
      <w:r w:rsidR="00F169A5" w:rsidRPr="00ED5671">
        <w:rPr>
          <w:i/>
        </w:rPr>
        <w:t>the financial interests, knowledge, objectives and characteristics of the types of retail investors for whom the PRIIP has been designed…</w:t>
      </w:r>
      <w:proofErr w:type="gramStart"/>
      <w:r w:rsidR="00F169A5" w:rsidRPr="00ED5671">
        <w:rPr>
          <w:i/>
        </w:rPr>
        <w:t>”.</w:t>
      </w:r>
      <w:proofErr w:type="gramEnd"/>
      <w:r w:rsidR="00F169A5" w:rsidRPr="00ED5671">
        <w:t xml:space="preserve"> </w:t>
      </w:r>
      <w:r w:rsidR="003214FE" w:rsidRPr="00ED5671">
        <w:t xml:space="preserve">This goes beyond the </w:t>
      </w:r>
      <w:r w:rsidRPr="00ED5671">
        <w:t>product oversight and governance processes</w:t>
      </w:r>
      <w:r w:rsidRPr="00ED5671">
        <w:rPr>
          <w:rStyle w:val="FootnoteReference"/>
        </w:rPr>
        <w:footnoteReference w:id="1"/>
      </w:r>
      <w:r w:rsidRPr="00ED5671">
        <w:t xml:space="preserve"> </w:t>
      </w:r>
      <w:r w:rsidR="003214FE" w:rsidRPr="00ED5671">
        <w:t xml:space="preserve">requirement of </w:t>
      </w:r>
      <w:r w:rsidR="00455199" w:rsidRPr="00ED5671">
        <w:t xml:space="preserve">the </w:t>
      </w:r>
      <w:r w:rsidR="00163122" w:rsidRPr="00ED5671">
        <w:t xml:space="preserve">to-be-released </w:t>
      </w:r>
      <w:r w:rsidR="00455199" w:rsidRPr="00ED5671">
        <w:t>draft</w:t>
      </w:r>
      <w:r w:rsidR="003214FE" w:rsidRPr="00ED5671">
        <w:t xml:space="preserve"> MiFID II Delegated Directive</w:t>
      </w:r>
      <w:r w:rsidRPr="00ED5671">
        <w:t>,</w:t>
      </w:r>
      <w:r w:rsidR="003214FE" w:rsidRPr="00ED5671">
        <w:t xml:space="preserve"> which </w:t>
      </w:r>
      <w:r w:rsidR="00163122" w:rsidRPr="00ED5671">
        <w:t>are</w:t>
      </w:r>
      <w:r w:rsidR="003214FE" w:rsidRPr="00ED5671">
        <w:t xml:space="preserve"> not </w:t>
      </w:r>
      <w:r w:rsidR="00163122" w:rsidRPr="00ED5671">
        <w:t xml:space="preserve">expected to </w:t>
      </w:r>
      <w:r w:rsidR="003214FE" w:rsidRPr="00ED5671">
        <w:t xml:space="preserve">require the product manufacturer to specify a target market according to </w:t>
      </w:r>
      <w:r w:rsidR="003214FE" w:rsidRPr="00ED5671">
        <w:rPr>
          <w:i/>
        </w:rPr>
        <w:t>financial interests, knowledge and objectives</w:t>
      </w:r>
      <w:r w:rsidR="003214FE" w:rsidRPr="00ED5671">
        <w:t>.</w:t>
      </w:r>
      <w:r w:rsidR="009B2553" w:rsidRPr="00ED5671">
        <w:t xml:space="preserve"> The PRIIP</w:t>
      </w:r>
      <w:r w:rsidRPr="00ED5671">
        <w:t xml:space="preserve"> KID</w:t>
      </w:r>
      <w:r w:rsidR="009B2553" w:rsidRPr="00ED5671">
        <w:t xml:space="preserve"> Regulation is meant to provide product disclosure and </w:t>
      </w:r>
      <w:r w:rsidRPr="00ED5671">
        <w:t xml:space="preserve">should </w:t>
      </w:r>
      <w:r w:rsidR="009B2553" w:rsidRPr="00ED5671">
        <w:t xml:space="preserve">not introduce new governance requirements through </w:t>
      </w:r>
      <w:r w:rsidRPr="00ED5671">
        <w:t xml:space="preserve">the </w:t>
      </w:r>
      <w:r w:rsidR="009B2553" w:rsidRPr="00ED5671">
        <w:t>Level-2</w:t>
      </w:r>
      <w:r w:rsidR="00765C0E" w:rsidRPr="00ED5671">
        <w:t xml:space="preserve"> measures</w:t>
      </w:r>
      <w:r w:rsidR="009B2553" w:rsidRPr="00ED5671">
        <w:t xml:space="preserve">. </w:t>
      </w:r>
      <w:r w:rsidRPr="00ED5671">
        <w:rPr>
          <w:b/>
        </w:rPr>
        <w:t>T</w:t>
      </w:r>
      <w:r w:rsidR="00765C0E" w:rsidRPr="00ED5671">
        <w:rPr>
          <w:b/>
        </w:rPr>
        <w:t>hese</w:t>
      </w:r>
      <w:r w:rsidR="009B2553" w:rsidRPr="00ED5671">
        <w:rPr>
          <w:b/>
        </w:rPr>
        <w:t xml:space="preserve"> </w:t>
      </w:r>
      <w:r w:rsidR="00163122" w:rsidRPr="00ED5671">
        <w:rPr>
          <w:b/>
        </w:rPr>
        <w:t xml:space="preserve">aforementioned requirements should therefore be replaced with a reference to Art. 16 para. 3 of MiFID II </w:t>
      </w:r>
      <w:r w:rsidR="00462832" w:rsidRPr="00ED5671">
        <w:rPr>
          <w:b/>
        </w:rPr>
        <w:t>and Art. 25 of draft IDD</w:t>
      </w:r>
      <w:r w:rsidR="009B2553" w:rsidRPr="00ED5671">
        <w:t>.</w:t>
      </w:r>
    </w:p>
    <w:p w14:paraId="20A15DD8" w14:textId="77777777" w:rsidR="00E878EF" w:rsidRDefault="00E878EF" w:rsidP="00A17579">
      <w:pPr>
        <w:spacing w:after="0" w:line="276" w:lineRule="auto"/>
        <w:jc w:val="both"/>
      </w:pPr>
    </w:p>
    <w:p w14:paraId="5151267A" w14:textId="77777777" w:rsidR="00E878EF" w:rsidRPr="00ED5671" w:rsidRDefault="00E878EF" w:rsidP="00A17579">
      <w:pPr>
        <w:spacing w:after="0" w:line="276" w:lineRule="auto"/>
        <w:jc w:val="both"/>
      </w:pPr>
    </w:p>
    <w:p w14:paraId="32086EC5" w14:textId="64AE61B8" w:rsidR="00827F21" w:rsidRPr="00ED5671" w:rsidRDefault="00481DCF" w:rsidP="00A17579">
      <w:pPr>
        <w:spacing w:after="0" w:line="276" w:lineRule="auto"/>
        <w:rPr>
          <w:b/>
          <w:color w:val="5B9BD5" w:themeColor="accent1"/>
          <w:u w:val="single"/>
        </w:rPr>
      </w:pPr>
      <w:r w:rsidRPr="00ED5671">
        <w:rPr>
          <w:b/>
          <w:color w:val="5B9BD5" w:themeColor="accent1"/>
          <w:u w:val="single"/>
        </w:rPr>
        <w:t>Article 6</w:t>
      </w:r>
      <w:r w:rsidR="00827F21" w:rsidRPr="00ED5671">
        <w:rPr>
          <w:b/>
          <w:color w:val="5B9BD5" w:themeColor="accent1"/>
          <w:u w:val="single"/>
        </w:rPr>
        <w:t>:</w:t>
      </w:r>
      <w:r w:rsidRPr="00ED5671">
        <w:rPr>
          <w:b/>
          <w:color w:val="5B9BD5" w:themeColor="accent1"/>
          <w:u w:val="single"/>
        </w:rPr>
        <w:t xml:space="preserve"> </w:t>
      </w:r>
      <w:r w:rsidR="00827F21" w:rsidRPr="00ED5671">
        <w:rPr>
          <w:b/>
          <w:color w:val="5B9BD5" w:themeColor="accent1"/>
          <w:u w:val="single"/>
        </w:rPr>
        <w:t xml:space="preserve"> </w:t>
      </w:r>
      <w:r w:rsidRPr="00ED5671">
        <w:rPr>
          <w:b/>
          <w:color w:val="5B9BD5" w:themeColor="accent1"/>
          <w:u w:val="single"/>
        </w:rPr>
        <w:t>Performance scenarios</w:t>
      </w:r>
    </w:p>
    <w:p w14:paraId="313E02E5" w14:textId="77777777" w:rsidR="00E878EF" w:rsidRDefault="00E878EF" w:rsidP="00A17579">
      <w:pPr>
        <w:spacing w:after="0" w:line="276" w:lineRule="auto"/>
        <w:jc w:val="both"/>
      </w:pPr>
    </w:p>
    <w:p w14:paraId="60E85895" w14:textId="0B747C1E" w:rsidR="00481DCF" w:rsidRDefault="000E23E2" w:rsidP="00A17579">
      <w:pPr>
        <w:spacing w:after="0" w:line="276" w:lineRule="auto"/>
        <w:jc w:val="both"/>
      </w:pPr>
      <w:r w:rsidRPr="00ED5671">
        <w:t xml:space="preserve">Taking into consideration our reply to Q14, we </w:t>
      </w:r>
      <w:r w:rsidR="00827F21" w:rsidRPr="00ED5671">
        <w:t>agree with Article 6(2)</w:t>
      </w:r>
      <w:r w:rsidR="00983BA2" w:rsidRPr="00ED5671">
        <w:t xml:space="preserve"> that</w:t>
      </w:r>
      <w:r w:rsidR="00827F21" w:rsidRPr="00ED5671">
        <w:t xml:space="preserve"> “performance scenarios shall be defined for the recommended holding period and for certain holding periods in between, </w:t>
      </w:r>
      <w:r w:rsidR="00827F21" w:rsidRPr="00ED5671">
        <w:rPr>
          <w:u w:val="single"/>
        </w:rPr>
        <w:t>when appropriate</w:t>
      </w:r>
      <w:r w:rsidR="00827F21" w:rsidRPr="00ED5671">
        <w:t>.”</w:t>
      </w:r>
      <w:r w:rsidR="00481DCF" w:rsidRPr="00ED5671">
        <w:t xml:space="preserve"> In order to receive further </w:t>
      </w:r>
      <w:r w:rsidR="00983BA2" w:rsidRPr="00ED5671">
        <w:t xml:space="preserve">necessary </w:t>
      </w:r>
      <w:r w:rsidR="00481DCF" w:rsidRPr="00ED5671">
        <w:t>clarity</w:t>
      </w:r>
      <w:r w:rsidR="00983BA2" w:rsidRPr="00ED5671">
        <w:t>,</w:t>
      </w:r>
      <w:r w:rsidR="00481DCF" w:rsidRPr="00ED5671">
        <w:t xml:space="preserve"> we suggest that the ESAs establish guidelines (as suggested in para. 7) </w:t>
      </w:r>
      <w:r w:rsidR="00983BA2" w:rsidRPr="00ED5671">
        <w:t xml:space="preserve">that </w:t>
      </w:r>
      <w:r w:rsidR="00481DCF" w:rsidRPr="00ED5671">
        <w:t xml:space="preserve">further define </w:t>
      </w:r>
      <w:r w:rsidR="007F41CB" w:rsidRPr="00ED5671">
        <w:t>(</w:t>
      </w:r>
      <w:proofErr w:type="spellStart"/>
      <w:r w:rsidR="007F41CB" w:rsidRPr="00ED5671">
        <w:t>i</w:t>
      </w:r>
      <w:proofErr w:type="spellEnd"/>
      <w:r w:rsidR="007F41CB" w:rsidRPr="00ED5671">
        <w:t xml:space="preserve">) </w:t>
      </w:r>
      <w:r w:rsidR="00B729E9" w:rsidRPr="00ED5671">
        <w:t xml:space="preserve">for which </w:t>
      </w:r>
      <w:r w:rsidR="007F41CB" w:rsidRPr="00ED5671">
        <w:t>PRIIPs</w:t>
      </w:r>
      <w:r w:rsidR="00B729E9" w:rsidRPr="00ED5671">
        <w:t xml:space="preserve"> it is appropriate to provide performance scenarios and </w:t>
      </w:r>
      <w:r w:rsidR="007F41CB" w:rsidRPr="00ED5671">
        <w:t xml:space="preserve">(ii) </w:t>
      </w:r>
      <w:r w:rsidR="00481DCF" w:rsidRPr="00ED5671">
        <w:t xml:space="preserve">when it is appropriate to do performance scenarios for periods </w:t>
      </w:r>
      <w:r w:rsidR="00481DCF" w:rsidRPr="00ED5671">
        <w:rPr>
          <w:u w:val="single"/>
        </w:rPr>
        <w:t>before</w:t>
      </w:r>
      <w:r w:rsidRPr="00ED5671">
        <w:rPr>
          <w:u w:val="single"/>
        </w:rPr>
        <w:t xml:space="preserve"> the end of</w:t>
      </w:r>
      <w:r w:rsidR="00481DCF" w:rsidRPr="00ED5671">
        <w:t xml:space="preserve"> the recommended holding period.</w:t>
      </w:r>
    </w:p>
    <w:p w14:paraId="3AC14C8A" w14:textId="77777777" w:rsidR="00E878EF" w:rsidRPr="00ED5671" w:rsidRDefault="00E878EF" w:rsidP="00A17579">
      <w:pPr>
        <w:spacing w:after="0" w:line="276" w:lineRule="auto"/>
        <w:jc w:val="both"/>
      </w:pPr>
    </w:p>
    <w:p w14:paraId="4927A646" w14:textId="21BE2925" w:rsidR="00492DAB" w:rsidRDefault="00492DAB" w:rsidP="00A17579">
      <w:pPr>
        <w:spacing w:after="0" w:line="276" w:lineRule="auto"/>
        <w:jc w:val="both"/>
      </w:pPr>
      <w:r w:rsidRPr="00ED5671">
        <w:t>With regards to the three suggested scenarios, we are generally supportive of the ESAs’ approach to defin</w:t>
      </w:r>
      <w:r w:rsidR="00983BA2" w:rsidRPr="00ED5671">
        <w:t>ing</w:t>
      </w:r>
      <w:r w:rsidRPr="00ED5671">
        <w:t xml:space="preserve"> unfavourable, moderate and favourable scenarios as presented in Annex IV and </w:t>
      </w:r>
      <w:r w:rsidR="00983BA2" w:rsidRPr="00ED5671">
        <w:t xml:space="preserve">we </w:t>
      </w:r>
      <w:r w:rsidRPr="00ED5671">
        <w:t>also support the ESAs’ intentions to provide further technical guidance in Level-3 guidelines</w:t>
      </w:r>
      <w:r w:rsidR="00B729E9" w:rsidRPr="00ED5671">
        <w:t xml:space="preserve"> for non-linear products such as structured products and life-cycle funds</w:t>
      </w:r>
      <w:r w:rsidRPr="00ED5671">
        <w:t>.</w:t>
      </w:r>
    </w:p>
    <w:p w14:paraId="24A21DAE" w14:textId="77777777" w:rsidR="00E878EF" w:rsidRPr="00ED5671" w:rsidRDefault="00E878EF" w:rsidP="00A17579">
      <w:pPr>
        <w:spacing w:after="0" w:line="276" w:lineRule="auto"/>
        <w:jc w:val="both"/>
      </w:pPr>
    </w:p>
    <w:p w14:paraId="008A37EB" w14:textId="568EFDDF" w:rsidR="006533B9" w:rsidRDefault="00492DAB" w:rsidP="00A17579">
      <w:pPr>
        <w:spacing w:after="0" w:line="276" w:lineRule="auto"/>
        <w:jc w:val="both"/>
      </w:pPr>
      <w:r w:rsidRPr="00ED5671">
        <w:t xml:space="preserve">Having said this, it is important that the ESAs </w:t>
      </w:r>
      <w:r w:rsidR="006533B9" w:rsidRPr="00ED5671">
        <w:t>deliver</w:t>
      </w:r>
      <w:r w:rsidRPr="00ED5671">
        <w:t xml:space="preserve"> these guidelines without undue delay to provide PRIIP manufacturers with the necessary specificities to properly and appropriately design and calibrate these scenarios. Given that the drafting </w:t>
      </w:r>
      <w:r w:rsidR="00983BA2" w:rsidRPr="00ED5671">
        <w:t xml:space="preserve">of </w:t>
      </w:r>
      <w:r w:rsidR="006533B9" w:rsidRPr="00ED5671">
        <w:t xml:space="preserve">and consultation </w:t>
      </w:r>
      <w:r w:rsidRPr="00ED5671">
        <w:t>o</w:t>
      </w:r>
      <w:r w:rsidR="00983BA2" w:rsidRPr="00ED5671">
        <w:t>n</w:t>
      </w:r>
      <w:r w:rsidRPr="00ED5671">
        <w:t xml:space="preserve"> these guidelines will </w:t>
      </w:r>
      <w:r w:rsidR="00983BA2" w:rsidRPr="00ED5671">
        <w:t xml:space="preserve">understandably </w:t>
      </w:r>
      <w:r w:rsidRPr="00ED5671">
        <w:t xml:space="preserve">take some further time, it is very likely that the publication of these guidelines will happen </w:t>
      </w:r>
      <w:r w:rsidR="006533B9" w:rsidRPr="00ED5671">
        <w:t xml:space="preserve">well </w:t>
      </w:r>
      <w:r w:rsidRPr="00ED5671">
        <w:t xml:space="preserve">after </w:t>
      </w:r>
      <w:r w:rsidRPr="00ED5671">
        <w:lastRenderedPageBreak/>
        <w:t>the publication of the PRIIP</w:t>
      </w:r>
      <w:r w:rsidR="00983BA2" w:rsidRPr="00ED5671">
        <w:t xml:space="preserve"> KID</w:t>
      </w:r>
      <w:r w:rsidRPr="00ED5671">
        <w:t xml:space="preserve"> Implementing Regulation. </w:t>
      </w:r>
      <w:r w:rsidR="00983BA2" w:rsidRPr="00ED5671">
        <w:t>T</w:t>
      </w:r>
      <w:r w:rsidRPr="00ED5671">
        <w:t xml:space="preserve">his </w:t>
      </w:r>
      <w:r w:rsidR="00983BA2" w:rsidRPr="00ED5671">
        <w:t xml:space="preserve">underlines the need for </w:t>
      </w:r>
      <w:r w:rsidR="006533B9" w:rsidRPr="00ED5671">
        <w:t xml:space="preserve">a delay </w:t>
      </w:r>
      <w:r w:rsidR="00983BA2" w:rsidRPr="00ED5671">
        <w:t xml:space="preserve">in </w:t>
      </w:r>
      <w:r w:rsidR="006533B9" w:rsidRPr="00ED5671">
        <w:t>the PRIIP</w:t>
      </w:r>
      <w:r w:rsidR="00983BA2" w:rsidRPr="00ED5671">
        <w:t xml:space="preserve"> KID</w:t>
      </w:r>
      <w:r w:rsidR="006533B9" w:rsidRPr="00ED5671">
        <w:t xml:space="preserve"> Regulation </w:t>
      </w:r>
      <w:r w:rsidRPr="00ED5671">
        <w:t>coming</w:t>
      </w:r>
      <w:r w:rsidR="00983BA2" w:rsidRPr="00ED5671">
        <w:t xml:space="preserve"> </w:t>
      </w:r>
      <w:r w:rsidRPr="00ED5671">
        <w:t>into</w:t>
      </w:r>
      <w:r w:rsidR="00983BA2" w:rsidRPr="00ED5671">
        <w:t xml:space="preserve"> </w:t>
      </w:r>
      <w:r w:rsidRPr="00ED5671">
        <w:t>force</w:t>
      </w:r>
      <w:r w:rsidR="00983BA2" w:rsidRPr="00ED5671">
        <w:t>,</w:t>
      </w:r>
      <w:r w:rsidRPr="00ED5671">
        <w:t xml:space="preserve"> </w:t>
      </w:r>
      <w:r w:rsidR="006533B9" w:rsidRPr="00ED5671">
        <w:t xml:space="preserve">to allow national competent authorities and industry enough time to implement the rules. </w:t>
      </w:r>
    </w:p>
    <w:p w14:paraId="7A5963FD" w14:textId="77777777" w:rsidR="00E878EF" w:rsidRPr="00ED5671" w:rsidRDefault="00E878EF" w:rsidP="00A17579">
      <w:pPr>
        <w:spacing w:after="0" w:line="276" w:lineRule="auto"/>
        <w:jc w:val="both"/>
      </w:pPr>
    </w:p>
    <w:p w14:paraId="40E9436D" w14:textId="57B8C63F" w:rsidR="000E23E2" w:rsidRDefault="000E23E2" w:rsidP="00A17579">
      <w:pPr>
        <w:spacing w:after="0" w:line="276" w:lineRule="auto"/>
        <w:jc w:val="both"/>
        <w:rPr>
          <w:b/>
        </w:rPr>
      </w:pPr>
      <w:r w:rsidRPr="00ED5671">
        <w:t xml:space="preserve">In addition, we have concerns regarding interpretations relating to Article 9 in relation to performance scenarios.  The fund industry currently uses past performance as the indicator for investors as to how the fund is run and provides them with valuable information. The UCITS KIID currently requires performance to be shown by way of annualised past performance.  We would be very concerned if the requirement to produce performance scenarios in the PRIIPs KID would ultimately mean that on conversion to the PRIIPs KID,  the view was taken that funds could no show past performance – it might, for example, be interpreted as ‘diminishing the significance of the key information document’. </w:t>
      </w:r>
      <w:r w:rsidRPr="00ED5671">
        <w:rPr>
          <w:b/>
        </w:rPr>
        <w:t xml:space="preserve">We would therefore be grateful for confirmation </w:t>
      </w:r>
      <w:r w:rsidR="00367D8C" w:rsidRPr="00ED5671">
        <w:rPr>
          <w:b/>
        </w:rPr>
        <w:t>by the</w:t>
      </w:r>
      <w:r w:rsidRPr="00ED5671">
        <w:rPr>
          <w:b/>
        </w:rPr>
        <w:t xml:space="preserve"> ESA</w:t>
      </w:r>
      <w:r w:rsidR="00367D8C" w:rsidRPr="00ED5671">
        <w:rPr>
          <w:b/>
        </w:rPr>
        <w:t>s</w:t>
      </w:r>
      <w:r w:rsidRPr="00ED5671">
        <w:rPr>
          <w:b/>
        </w:rPr>
        <w:t xml:space="preserve"> that producing documentation which included past performance would still be acceptable following the introduction of the PRIIPs KID for funds.</w:t>
      </w:r>
    </w:p>
    <w:p w14:paraId="525DE190" w14:textId="77777777" w:rsidR="00E878EF" w:rsidRPr="00ED5671" w:rsidRDefault="00E878EF" w:rsidP="00A17579">
      <w:pPr>
        <w:spacing w:after="0" w:line="276" w:lineRule="auto"/>
        <w:jc w:val="both"/>
      </w:pPr>
    </w:p>
    <w:p w14:paraId="18FD0D5A" w14:textId="01F6E76F" w:rsidR="00492DAB" w:rsidRPr="00ED5671" w:rsidRDefault="006533B9" w:rsidP="00A17579">
      <w:pPr>
        <w:spacing w:after="0" w:line="276" w:lineRule="auto"/>
        <w:jc w:val="both"/>
      </w:pPr>
      <w:r w:rsidRPr="00ED5671">
        <w:t>For more technical observations, please regard our comments on the Annex IV below.</w:t>
      </w:r>
    </w:p>
    <w:p w14:paraId="661ECABB" w14:textId="76A32681" w:rsidR="00E878EF" w:rsidRDefault="00E878EF" w:rsidP="00E878EF">
      <w:pPr>
        <w:spacing w:after="0"/>
        <w:rPr>
          <w:b/>
          <w:color w:val="5B9BD5" w:themeColor="accent1"/>
          <w:u w:val="single"/>
        </w:rPr>
      </w:pPr>
    </w:p>
    <w:p w14:paraId="6C0910DB" w14:textId="77777777" w:rsidR="00E878EF" w:rsidRDefault="00E878EF" w:rsidP="00E878EF">
      <w:pPr>
        <w:spacing w:after="0"/>
        <w:rPr>
          <w:b/>
          <w:color w:val="5B9BD5" w:themeColor="accent1"/>
          <w:u w:val="single"/>
        </w:rPr>
      </w:pPr>
    </w:p>
    <w:p w14:paraId="64442FD8" w14:textId="3301C63C" w:rsidR="00F169A5" w:rsidRPr="00ED5671" w:rsidRDefault="009B2553" w:rsidP="00A17579">
      <w:pPr>
        <w:spacing w:after="0" w:line="276" w:lineRule="auto"/>
        <w:rPr>
          <w:b/>
          <w:color w:val="5B9BD5" w:themeColor="accent1"/>
          <w:u w:val="single"/>
        </w:rPr>
      </w:pPr>
      <w:r w:rsidRPr="00ED5671">
        <w:rPr>
          <w:b/>
          <w:color w:val="5B9BD5" w:themeColor="accent1"/>
          <w:u w:val="single"/>
        </w:rPr>
        <w:t xml:space="preserve">Article 7: ‘What happens if [the name of the PRIIP manufacturer] is unable to pay out?’ section </w:t>
      </w:r>
    </w:p>
    <w:p w14:paraId="1AF8B6BF" w14:textId="77777777" w:rsidR="00E878EF" w:rsidRDefault="00E878EF" w:rsidP="00A17579">
      <w:pPr>
        <w:spacing w:after="0" w:line="276" w:lineRule="auto"/>
        <w:jc w:val="both"/>
      </w:pPr>
    </w:p>
    <w:p w14:paraId="6A1BD28E" w14:textId="7E695DE8" w:rsidR="000E23E2" w:rsidRDefault="00983BA2" w:rsidP="00A17579">
      <w:pPr>
        <w:spacing w:after="0" w:line="276" w:lineRule="auto"/>
        <w:jc w:val="both"/>
      </w:pPr>
      <w:r w:rsidRPr="00ED5671">
        <w:t>A</w:t>
      </w:r>
      <w:r w:rsidR="009B2553" w:rsidRPr="00ED5671">
        <w:t>n additional paragraph providing information on</w:t>
      </w:r>
      <w:r w:rsidR="00765C0E" w:rsidRPr="00ED5671">
        <w:t xml:space="preserve"> the structure of</w:t>
      </w:r>
      <w:r w:rsidR="009B2553" w:rsidRPr="00ED5671">
        <w:t xml:space="preserve"> fund</w:t>
      </w:r>
      <w:r w:rsidR="00765C0E" w:rsidRPr="00ED5671">
        <w:t>s</w:t>
      </w:r>
      <w:r w:rsidR="009B2553" w:rsidRPr="00ED5671">
        <w:t xml:space="preserve"> is necessary to complement para. 2 on investor compensation and guarantee schemes. This paragraph should </w:t>
      </w:r>
      <w:r w:rsidR="001D5AA2" w:rsidRPr="00ED5671">
        <w:t>explain</w:t>
      </w:r>
      <w:r w:rsidR="009B2553" w:rsidRPr="00ED5671">
        <w:t xml:space="preserve"> that a fund’s asset</w:t>
      </w:r>
      <w:r w:rsidRPr="00ED5671">
        <w:t>s</w:t>
      </w:r>
      <w:r w:rsidR="009B2553" w:rsidRPr="00ED5671">
        <w:t xml:space="preserve"> are </w:t>
      </w:r>
      <w:r w:rsidRPr="00ED5671">
        <w:t xml:space="preserve">held </w:t>
      </w:r>
      <w:r w:rsidR="009B2553" w:rsidRPr="00ED5671">
        <w:t>separate</w:t>
      </w:r>
      <w:r w:rsidRPr="00ED5671">
        <w:t>ly</w:t>
      </w:r>
      <w:r w:rsidR="009B2553" w:rsidRPr="00ED5671">
        <w:t xml:space="preserve"> from the </w:t>
      </w:r>
      <w:r w:rsidR="001D5AA2" w:rsidRPr="00ED5671">
        <w:t>management company and safeguarded by a depositary. A pay</w:t>
      </w:r>
      <w:r w:rsidRPr="00ED5671">
        <w:t>-</w:t>
      </w:r>
      <w:r w:rsidR="001D5AA2" w:rsidRPr="00ED5671">
        <w:t xml:space="preserve">out of the fund’s assets is thus not affected by </w:t>
      </w:r>
      <w:r w:rsidR="00765C0E" w:rsidRPr="00ED5671">
        <w:t>a</w:t>
      </w:r>
      <w:r w:rsidR="001D5AA2" w:rsidRPr="00ED5671">
        <w:t xml:space="preserve"> management company’s</w:t>
      </w:r>
      <w:r w:rsidR="00765C0E" w:rsidRPr="00ED5671">
        <w:t xml:space="preserve"> </w:t>
      </w:r>
      <w:r w:rsidRPr="00ED5671">
        <w:t xml:space="preserve">financial position or </w:t>
      </w:r>
      <w:r w:rsidR="00765C0E" w:rsidRPr="00ED5671">
        <w:t>potential</w:t>
      </w:r>
      <w:r w:rsidR="001D5AA2" w:rsidRPr="00ED5671">
        <w:t xml:space="preserve"> default.</w:t>
      </w:r>
    </w:p>
    <w:p w14:paraId="69AEA96E" w14:textId="77777777" w:rsidR="00E878EF" w:rsidRPr="00ED5671" w:rsidRDefault="00E878EF" w:rsidP="00A17579">
      <w:pPr>
        <w:spacing w:after="0" w:line="276" w:lineRule="auto"/>
        <w:jc w:val="both"/>
      </w:pPr>
    </w:p>
    <w:p w14:paraId="080F69B7" w14:textId="52574960" w:rsidR="00023BBC" w:rsidRDefault="00023BBC" w:rsidP="00A17579">
      <w:pPr>
        <w:spacing w:after="0" w:line="276" w:lineRule="auto"/>
        <w:jc w:val="both"/>
      </w:pPr>
      <w:r w:rsidRPr="00ED5671">
        <w:t>Please also regard our answer to Question 5.</w:t>
      </w:r>
    </w:p>
    <w:p w14:paraId="46544718" w14:textId="77777777" w:rsidR="00E878EF" w:rsidRDefault="00E878EF" w:rsidP="00A17579">
      <w:pPr>
        <w:spacing w:after="0" w:line="276" w:lineRule="auto"/>
        <w:jc w:val="both"/>
      </w:pPr>
    </w:p>
    <w:p w14:paraId="2A38316C" w14:textId="77777777" w:rsidR="00E878EF" w:rsidRPr="00ED5671" w:rsidRDefault="00E878EF" w:rsidP="00A17579">
      <w:pPr>
        <w:spacing w:after="0" w:line="276" w:lineRule="auto"/>
        <w:jc w:val="both"/>
      </w:pPr>
    </w:p>
    <w:p w14:paraId="52A760A5" w14:textId="7A2FF751" w:rsidR="00F169A5" w:rsidRPr="00ED5671" w:rsidRDefault="00F169A5" w:rsidP="00A17579">
      <w:pPr>
        <w:spacing w:after="0" w:line="276" w:lineRule="auto"/>
        <w:rPr>
          <w:b/>
          <w:color w:val="5B9BD5" w:themeColor="accent1"/>
          <w:u w:val="single"/>
        </w:rPr>
      </w:pPr>
      <w:r w:rsidRPr="00ED5671">
        <w:rPr>
          <w:b/>
          <w:color w:val="5B9BD5" w:themeColor="accent1"/>
          <w:u w:val="single"/>
        </w:rPr>
        <w:t>Article 10</w:t>
      </w:r>
      <w:r w:rsidR="001D5AA2" w:rsidRPr="00ED5671">
        <w:rPr>
          <w:b/>
          <w:color w:val="5B9BD5" w:themeColor="accent1"/>
          <w:u w:val="single"/>
        </w:rPr>
        <w:t>: ‘How can I complain?’ section</w:t>
      </w:r>
    </w:p>
    <w:p w14:paraId="6CA6D28D" w14:textId="77777777" w:rsidR="00E878EF" w:rsidRDefault="00E878EF" w:rsidP="00A17579">
      <w:pPr>
        <w:spacing w:after="0" w:line="276" w:lineRule="auto"/>
        <w:jc w:val="both"/>
      </w:pPr>
    </w:p>
    <w:p w14:paraId="253DB6B0" w14:textId="3ACF8985" w:rsidR="00F169A5" w:rsidRPr="00ED5671" w:rsidRDefault="00765C0E" w:rsidP="00A17579">
      <w:pPr>
        <w:spacing w:after="0" w:line="276" w:lineRule="auto"/>
        <w:jc w:val="both"/>
      </w:pPr>
      <w:r w:rsidRPr="00ED5671">
        <w:t>While we are generally in agreement with the drafting of Article 10</w:t>
      </w:r>
      <w:r w:rsidR="000E23E2" w:rsidRPr="00ED5671">
        <w:t>. However</w:t>
      </w:r>
      <w:r w:rsidRPr="00ED5671">
        <w:t>, it currently requires the</w:t>
      </w:r>
      <w:r w:rsidR="00F169A5" w:rsidRPr="00ED5671">
        <w:t xml:space="preserve"> </w:t>
      </w:r>
      <w:r w:rsidRPr="00ED5671">
        <w:t xml:space="preserve">PRIIP </w:t>
      </w:r>
      <w:r w:rsidR="00F169A5" w:rsidRPr="00ED5671">
        <w:t>manufacturer</w:t>
      </w:r>
      <w:r w:rsidRPr="00ED5671">
        <w:t xml:space="preserve"> </w:t>
      </w:r>
      <w:r w:rsidR="00F169A5" w:rsidRPr="00ED5671">
        <w:t xml:space="preserve">to provide information </w:t>
      </w:r>
      <w:r w:rsidRPr="00ED5671">
        <w:t>on</w:t>
      </w:r>
      <w:r w:rsidR="00F169A5" w:rsidRPr="00ED5671">
        <w:t xml:space="preserve"> “the person advising on, or selling, the PRIIP on the relevant website”. </w:t>
      </w:r>
      <w:r w:rsidRPr="00ED5671">
        <w:t xml:space="preserve">This assumes a direct connection between </w:t>
      </w:r>
      <w:r w:rsidR="00983BA2" w:rsidRPr="00ED5671">
        <w:t xml:space="preserve">the </w:t>
      </w:r>
      <w:r w:rsidRPr="00ED5671">
        <w:t>PRIIP manufacturer and distributer, which is not always the case. In particular</w:t>
      </w:r>
      <w:r w:rsidR="00983BA2" w:rsidRPr="00ED5671">
        <w:t>,</w:t>
      </w:r>
      <w:r w:rsidRPr="00ED5671">
        <w:t xml:space="preserve"> for funds </w:t>
      </w:r>
      <w:r w:rsidR="00F169A5" w:rsidRPr="00ED5671">
        <w:t>information about who will be advising on or selling the PRIIP is rarely known</w:t>
      </w:r>
      <w:r w:rsidR="000E23E2" w:rsidRPr="00ED5671">
        <w:t xml:space="preserve"> by the manufacturer</w:t>
      </w:r>
      <w:r w:rsidR="00F169A5" w:rsidRPr="00ED5671">
        <w:t xml:space="preserve">. </w:t>
      </w:r>
      <w:r w:rsidR="00F169A5" w:rsidRPr="00ED5671">
        <w:rPr>
          <w:b/>
        </w:rPr>
        <w:t xml:space="preserve">This information </w:t>
      </w:r>
      <w:r w:rsidRPr="00ED5671">
        <w:rPr>
          <w:b/>
        </w:rPr>
        <w:t>should thus be deleted</w:t>
      </w:r>
      <w:r w:rsidR="00F169A5" w:rsidRPr="00ED5671">
        <w:rPr>
          <w:b/>
        </w:rPr>
        <w:t xml:space="preserve">. </w:t>
      </w:r>
    </w:p>
    <w:p w14:paraId="48CCBD92" w14:textId="77777777" w:rsidR="00E878EF" w:rsidRDefault="00E878EF" w:rsidP="00A17579">
      <w:pPr>
        <w:spacing w:after="0" w:line="276" w:lineRule="auto"/>
        <w:rPr>
          <w:b/>
          <w:color w:val="5B9BD5" w:themeColor="accent1"/>
          <w:u w:val="single"/>
        </w:rPr>
      </w:pPr>
    </w:p>
    <w:p w14:paraId="719172DC" w14:textId="77777777" w:rsidR="00E878EF" w:rsidRDefault="00E878EF" w:rsidP="00A17579">
      <w:pPr>
        <w:spacing w:after="0" w:line="276" w:lineRule="auto"/>
        <w:rPr>
          <w:b/>
          <w:color w:val="5B9BD5" w:themeColor="accent1"/>
          <w:u w:val="single"/>
        </w:rPr>
      </w:pPr>
    </w:p>
    <w:p w14:paraId="15308A0E" w14:textId="77777777" w:rsidR="000E23E2" w:rsidRPr="00ED5671" w:rsidRDefault="000E23E2" w:rsidP="00A17579">
      <w:pPr>
        <w:spacing w:after="0" w:line="276" w:lineRule="auto"/>
        <w:rPr>
          <w:b/>
          <w:color w:val="5B9BD5" w:themeColor="accent1"/>
          <w:u w:val="single"/>
        </w:rPr>
      </w:pPr>
      <w:r w:rsidRPr="00ED5671">
        <w:rPr>
          <w:b/>
          <w:color w:val="5B9BD5" w:themeColor="accent1"/>
          <w:u w:val="single"/>
        </w:rPr>
        <w:t>Article 11</w:t>
      </w:r>
    </w:p>
    <w:p w14:paraId="56E85326" w14:textId="77777777" w:rsidR="00E878EF" w:rsidRDefault="00E878EF" w:rsidP="00A17579">
      <w:pPr>
        <w:spacing w:after="0" w:line="276" w:lineRule="auto"/>
        <w:jc w:val="both"/>
      </w:pPr>
    </w:p>
    <w:p w14:paraId="022CE9EC" w14:textId="77777777" w:rsidR="000E23E2" w:rsidRPr="00ED5671" w:rsidRDefault="000E23E2" w:rsidP="00A17579">
      <w:pPr>
        <w:spacing w:after="0" w:line="276" w:lineRule="auto"/>
        <w:jc w:val="both"/>
      </w:pPr>
      <w:r w:rsidRPr="00ED5671">
        <w:t>“Without prejudice to ad hoc reviews” should not be part of the information on the updating period. It could just be omitted because this information is not relevant for the investor. It conflicts with the plain language requirement and the restriction to three pages.</w:t>
      </w:r>
    </w:p>
    <w:p w14:paraId="73F0668B" w14:textId="77777777" w:rsidR="00E878EF" w:rsidRDefault="00E878EF" w:rsidP="00A17579">
      <w:pPr>
        <w:spacing w:after="0" w:line="276" w:lineRule="auto"/>
        <w:rPr>
          <w:b/>
          <w:color w:val="5B9BD5" w:themeColor="accent1"/>
          <w:u w:val="single"/>
        </w:rPr>
      </w:pPr>
    </w:p>
    <w:p w14:paraId="689ACFD0" w14:textId="77777777" w:rsidR="00E878EF" w:rsidRDefault="00E878EF" w:rsidP="00A17579">
      <w:pPr>
        <w:spacing w:after="0" w:line="276" w:lineRule="auto"/>
        <w:rPr>
          <w:b/>
          <w:color w:val="5B9BD5" w:themeColor="accent1"/>
          <w:u w:val="single"/>
        </w:rPr>
      </w:pPr>
    </w:p>
    <w:p w14:paraId="2F2E32B4" w14:textId="7A3EDF63" w:rsidR="00864D7C" w:rsidRPr="00ED5671" w:rsidRDefault="00864D7C" w:rsidP="00A17579">
      <w:pPr>
        <w:spacing w:after="0" w:line="276" w:lineRule="auto"/>
        <w:rPr>
          <w:b/>
          <w:color w:val="5B9BD5" w:themeColor="accent1"/>
          <w:u w:val="single"/>
        </w:rPr>
      </w:pPr>
      <w:r w:rsidRPr="00ED5671">
        <w:rPr>
          <w:b/>
          <w:color w:val="5B9BD5" w:themeColor="accent1"/>
          <w:u w:val="single"/>
        </w:rPr>
        <w:t>Articles 12-15: Specific provisions on the key information document (i.e. Multi-investment option PRIIPs)</w:t>
      </w:r>
    </w:p>
    <w:p w14:paraId="29CAB03F" w14:textId="77777777" w:rsidR="00E878EF" w:rsidRDefault="00E878EF" w:rsidP="00A17579">
      <w:pPr>
        <w:spacing w:after="0" w:line="276" w:lineRule="auto"/>
        <w:jc w:val="both"/>
      </w:pPr>
    </w:p>
    <w:p w14:paraId="63D93184" w14:textId="367526B5" w:rsidR="0096473B" w:rsidRDefault="0096473B" w:rsidP="00A17579">
      <w:pPr>
        <w:spacing w:after="0" w:line="276" w:lineRule="auto"/>
        <w:jc w:val="both"/>
      </w:pPr>
      <w:r w:rsidRPr="00ED5671">
        <w:t>We are thankful for the clarification that the PRIIP manufacturer is responsible for the provision of the KID, but nevertheless think</w:t>
      </w:r>
      <w:r w:rsidR="002F4EAA" w:rsidRPr="00ED5671">
        <w:t xml:space="preserve"> that the ESAs’ current drafting oversteps the Level-1 text</w:t>
      </w:r>
      <w:r w:rsidR="002F4EAA" w:rsidRPr="00ED5671">
        <w:rPr>
          <w:rStyle w:val="FootnoteReference"/>
        </w:rPr>
        <w:footnoteReference w:id="2"/>
      </w:r>
      <w:r w:rsidR="002F4EAA" w:rsidRPr="00ED5671">
        <w:t xml:space="preserve"> which merely necessitates Multi-investment option PRIIPs (MOPs) to provide “at least </w:t>
      </w:r>
      <w:r w:rsidR="002F4EAA" w:rsidRPr="00ED5671">
        <w:rPr>
          <w:b/>
          <w:i/>
        </w:rPr>
        <w:t>a generic description</w:t>
      </w:r>
      <w:r w:rsidR="002F4EAA" w:rsidRPr="00ED5671">
        <w:t xml:space="preserve"> of the underlying investment options and </w:t>
      </w:r>
      <w:r w:rsidR="002F4EAA" w:rsidRPr="00ED5671">
        <w:rPr>
          <w:b/>
          <w:i/>
        </w:rPr>
        <w:t>state where and how more detailed pre-contractual information documentation</w:t>
      </w:r>
      <w:r w:rsidR="002F4EAA" w:rsidRPr="00ED5671">
        <w:t xml:space="preserve"> relating to the investment products backing the underlying investment options </w:t>
      </w:r>
      <w:r w:rsidR="002F4EAA" w:rsidRPr="00ED5671">
        <w:rPr>
          <w:b/>
          <w:i/>
        </w:rPr>
        <w:t>can be found</w:t>
      </w:r>
      <w:r w:rsidR="002F4EAA" w:rsidRPr="00ED5671">
        <w:t>.”</w:t>
      </w:r>
      <w:r w:rsidRPr="00ED5671">
        <w:t xml:space="preserve"> This is due to the fact that Articles 12-</w:t>
      </w:r>
      <w:r w:rsidR="00354BD3" w:rsidRPr="00ED5671">
        <w:t>1</w:t>
      </w:r>
      <w:r w:rsidRPr="00ED5671">
        <w:t xml:space="preserve">5 </w:t>
      </w:r>
      <w:r w:rsidR="00354BD3" w:rsidRPr="00ED5671">
        <w:t>(</w:t>
      </w:r>
      <w:r w:rsidRPr="00ED5671">
        <w:t>in particular Articles 12(1</w:t>
      </w:r>
      <w:proofErr w:type="gramStart"/>
      <w:r w:rsidRPr="00ED5671">
        <w:t>)(</w:t>
      </w:r>
      <w:proofErr w:type="gramEnd"/>
      <w:r w:rsidRPr="00ED5671">
        <w:t>a) &amp; (b) and Article 15(2)</w:t>
      </w:r>
      <w:r w:rsidR="00354BD3" w:rsidRPr="00ED5671">
        <w:t>)</w:t>
      </w:r>
      <w:r w:rsidRPr="00ED5671">
        <w:t xml:space="preserve"> as currently </w:t>
      </w:r>
      <w:r w:rsidR="0002693C" w:rsidRPr="00ED5671">
        <w:t xml:space="preserve">consulted on by the ESAs would </w:t>
      </w:r>
      <w:r w:rsidRPr="00ED5671">
        <w:t xml:space="preserve">de-facto require asset managers to </w:t>
      </w:r>
      <w:r w:rsidR="001E1F84" w:rsidRPr="00ED5671">
        <w:t xml:space="preserve">provide </w:t>
      </w:r>
      <w:r w:rsidRPr="00ED5671">
        <w:t>“PRIIP</w:t>
      </w:r>
      <w:r w:rsidR="001E1F84" w:rsidRPr="00ED5671">
        <w:t xml:space="preserve"> KID</w:t>
      </w:r>
      <w:r w:rsidRPr="00ED5671">
        <w:t>-like” data to other providers, such as insurance companies</w:t>
      </w:r>
      <w:r w:rsidR="0002693C" w:rsidRPr="00ED5671">
        <w:t>. This unwarranted outcome</w:t>
      </w:r>
      <w:r w:rsidR="001E1F84" w:rsidRPr="00ED5671">
        <w:t xml:space="preserve"> </w:t>
      </w:r>
      <w:r w:rsidR="00354BD3" w:rsidRPr="00ED5671">
        <w:t xml:space="preserve">is even acknowledged </w:t>
      </w:r>
      <w:r w:rsidR="001E1F84" w:rsidRPr="00ED5671">
        <w:t xml:space="preserve">by </w:t>
      </w:r>
      <w:r w:rsidR="00354BD3" w:rsidRPr="00ED5671">
        <w:t>the ESAs in the consultation paper</w:t>
      </w:r>
      <w:r w:rsidR="00354BD3" w:rsidRPr="00ED5671">
        <w:rPr>
          <w:rStyle w:val="FootnoteReference"/>
        </w:rPr>
        <w:footnoteReference w:id="3"/>
      </w:r>
      <w:r w:rsidR="00354BD3" w:rsidRPr="00ED5671">
        <w:t>.</w:t>
      </w:r>
    </w:p>
    <w:p w14:paraId="5FD839C0" w14:textId="77777777" w:rsidR="00E878EF" w:rsidRPr="00ED5671" w:rsidRDefault="00E878EF" w:rsidP="00A17579">
      <w:pPr>
        <w:spacing w:after="0" w:line="276" w:lineRule="auto"/>
        <w:jc w:val="both"/>
      </w:pPr>
    </w:p>
    <w:p w14:paraId="2CF09D31" w14:textId="67AEFEC1" w:rsidR="00354BD3" w:rsidRDefault="00354BD3" w:rsidP="00A17579">
      <w:pPr>
        <w:spacing w:after="0" w:line="276" w:lineRule="auto"/>
        <w:jc w:val="both"/>
      </w:pPr>
      <w:r w:rsidRPr="00ED5671">
        <w:t xml:space="preserve">The Level-1 text, for this very reason, therefore specifically requires </w:t>
      </w:r>
      <w:r w:rsidR="001E1F84" w:rsidRPr="00ED5671">
        <w:t xml:space="preserve">only </w:t>
      </w:r>
      <w:r w:rsidRPr="00ED5671">
        <w:t>“pre-contractual information documentation” such as the UCITS KIID. Until the review of the UCITS exemption in 2019</w:t>
      </w:r>
      <w:r w:rsidR="001E1F84" w:rsidRPr="00ED5671">
        <w:t>,</w:t>
      </w:r>
      <w:r w:rsidRPr="00ED5671">
        <w:t xml:space="preserve"> the ESAs </w:t>
      </w:r>
      <w:r w:rsidR="001E1F84" w:rsidRPr="00ED5671">
        <w:t xml:space="preserve">should allow </w:t>
      </w:r>
      <w:r w:rsidRPr="00ED5671">
        <w:t xml:space="preserve">such </w:t>
      </w:r>
      <w:r w:rsidR="001E1F84" w:rsidRPr="00ED5671">
        <w:t xml:space="preserve">to be </w:t>
      </w:r>
      <w:r w:rsidRPr="00ED5671">
        <w:t>as sufficient, since it would otherwise undermine the UCITS KIID’s pre-contractual nature before the legislators’ decision on the matter. Only</w:t>
      </w:r>
      <w:r w:rsidR="0002693C" w:rsidRPr="00ED5671">
        <w:t xml:space="preserve"> in 2019,</w:t>
      </w:r>
      <w:r w:rsidRPr="00ED5671">
        <w:t xml:space="preserve"> if the co-legislators decide not to prolong the </w:t>
      </w:r>
      <w:r w:rsidR="0002693C" w:rsidRPr="00ED5671">
        <w:t xml:space="preserve">UCITS </w:t>
      </w:r>
      <w:r w:rsidRPr="00ED5671">
        <w:t>KIID</w:t>
      </w:r>
      <w:r w:rsidR="0047445F" w:rsidRPr="00ED5671">
        <w:t xml:space="preserve"> </w:t>
      </w:r>
      <w:r w:rsidR="0002693C" w:rsidRPr="00ED5671">
        <w:t xml:space="preserve">going forward </w:t>
      </w:r>
      <w:r w:rsidRPr="00ED5671">
        <w:t xml:space="preserve">and instead </w:t>
      </w:r>
      <w:r w:rsidR="0047445F" w:rsidRPr="00ED5671">
        <w:t>require</w:t>
      </w:r>
      <w:r w:rsidRPr="00ED5671">
        <w:t xml:space="preserve"> the PRIIP KID</w:t>
      </w:r>
      <w:r w:rsidR="0047445F" w:rsidRPr="00ED5671">
        <w:t xml:space="preserve"> for all types of PRIIPs</w:t>
      </w:r>
      <w:r w:rsidRPr="00ED5671">
        <w:t xml:space="preserve">, </w:t>
      </w:r>
      <w:r w:rsidR="005229CB" w:rsidRPr="00ED5671">
        <w:t xml:space="preserve">should </w:t>
      </w:r>
      <w:r w:rsidRPr="00ED5671">
        <w:t xml:space="preserve">the full PRIIP information </w:t>
      </w:r>
      <w:r w:rsidR="005229CB" w:rsidRPr="00ED5671">
        <w:t xml:space="preserve">then </w:t>
      </w:r>
      <w:r w:rsidRPr="00ED5671">
        <w:t>be required</w:t>
      </w:r>
      <w:r w:rsidR="0002693C" w:rsidRPr="00ED5671">
        <w:t xml:space="preserve"> for funds currently </w:t>
      </w:r>
      <w:r w:rsidR="00462832" w:rsidRPr="00ED5671">
        <w:t>providing</w:t>
      </w:r>
      <w:r w:rsidR="0002693C" w:rsidRPr="00ED5671">
        <w:t xml:space="preserve"> a UCITS KIID. But</w:t>
      </w:r>
      <w:r w:rsidR="00CB3B12" w:rsidRPr="00ED5671">
        <w:t>,</w:t>
      </w:r>
      <w:r w:rsidR="0002693C" w:rsidRPr="00ED5671">
        <w:t xml:space="preserve"> in any case</w:t>
      </w:r>
      <w:r w:rsidR="00CB3B12" w:rsidRPr="00ED5671">
        <w:t>,</w:t>
      </w:r>
      <w:r w:rsidR="0002693C" w:rsidRPr="00ED5671">
        <w:t xml:space="preserve"> the </w:t>
      </w:r>
      <w:r w:rsidR="00462832" w:rsidRPr="00ED5671">
        <w:t xml:space="preserve">KID of the </w:t>
      </w:r>
      <w:r w:rsidR="0002693C" w:rsidRPr="00ED5671">
        <w:t>MOP wrapper</w:t>
      </w:r>
      <w:r w:rsidR="00CB3B12" w:rsidRPr="00ED5671">
        <w:t xml:space="preserve"> (a</w:t>
      </w:r>
      <w:r w:rsidR="0002693C" w:rsidRPr="00ED5671">
        <w:t xml:space="preserve"> KID </w:t>
      </w:r>
      <w:r w:rsidR="00CB3B12" w:rsidRPr="00ED5671">
        <w:t xml:space="preserve">itself) </w:t>
      </w:r>
      <w:r w:rsidR="0002693C" w:rsidRPr="00ED5671">
        <w:t>would still provide at least the “generic description” mentioned in Article 6 paragraph 3 of the Level-1 Regulation</w:t>
      </w:r>
      <w:r w:rsidRPr="00ED5671">
        <w:t>.</w:t>
      </w:r>
    </w:p>
    <w:p w14:paraId="052C64ED" w14:textId="77777777" w:rsidR="00E878EF" w:rsidRPr="00ED5671" w:rsidRDefault="00E878EF" w:rsidP="00A17579">
      <w:pPr>
        <w:spacing w:after="0" w:line="276" w:lineRule="auto"/>
        <w:jc w:val="both"/>
      </w:pPr>
    </w:p>
    <w:p w14:paraId="2448A7B0" w14:textId="4E1BFD97" w:rsidR="0047445F" w:rsidRDefault="0047445F" w:rsidP="00A17579">
      <w:pPr>
        <w:spacing w:after="0" w:line="276" w:lineRule="auto"/>
        <w:jc w:val="both"/>
      </w:pPr>
      <w:r w:rsidRPr="00ED5671">
        <w:t xml:space="preserve">Furthermore, the ESAs </w:t>
      </w:r>
      <w:r w:rsidR="005627E7" w:rsidRPr="00ED5671">
        <w:t xml:space="preserve">should </w:t>
      </w:r>
      <w:r w:rsidRPr="00ED5671">
        <w:t>also take into consideration what type of pre-contractual information will be presented to retail investor</w:t>
      </w:r>
      <w:r w:rsidR="005627E7" w:rsidRPr="00ED5671">
        <w:t>s</w:t>
      </w:r>
      <w:r w:rsidRPr="00ED5671">
        <w:t xml:space="preserve"> in the near to medium future. Since UCITS are legally required to provide a KIID until at least 2019, investor</w:t>
      </w:r>
      <w:r w:rsidR="005627E7" w:rsidRPr="00ED5671">
        <w:t>s</w:t>
      </w:r>
      <w:r w:rsidRPr="00ED5671">
        <w:t xml:space="preserve"> will always receive a KIID when investing directly into a UCITS. If MOPs were required to provide a PRIIP KID for the underlying investment options, then retail investors would receive different pre-disclosure information based on whether they are investing into a UCITS directly (i.e. KIID) or through a unit-linked insurance (i.e. </w:t>
      </w:r>
      <w:r w:rsidR="00827F21" w:rsidRPr="00ED5671">
        <w:t>KID).</w:t>
      </w:r>
      <w:r w:rsidR="005627E7" w:rsidRPr="00ED5671">
        <w:t xml:space="preserve"> This is unsatisfactory, and will create unnecessary confusion for consumers.</w:t>
      </w:r>
    </w:p>
    <w:p w14:paraId="13289A56" w14:textId="77777777" w:rsidR="00E878EF" w:rsidRPr="00ED5671" w:rsidRDefault="00E878EF" w:rsidP="00A17579">
      <w:pPr>
        <w:spacing w:after="0" w:line="276" w:lineRule="auto"/>
        <w:jc w:val="both"/>
      </w:pPr>
    </w:p>
    <w:p w14:paraId="2B9AF6C7" w14:textId="72E5B4D8" w:rsidR="00827F21" w:rsidRPr="00ED5671" w:rsidRDefault="005627E7" w:rsidP="00A17579">
      <w:pPr>
        <w:spacing w:after="0" w:line="276" w:lineRule="auto"/>
        <w:jc w:val="both"/>
      </w:pPr>
      <w:r w:rsidRPr="00ED5671">
        <w:t>T</w:t>
      </w:r>
      <w:r w:rsidR="00827F21" w:rsidRPr="00ED5671">
        <w:t xml:space="preserve">herefore, Articles 12-15 need to be redrafted in order to </w:t>
      </w:r>
      <w:r w:rsidR="0002693C" w:rsidRPr="00ED5671">
        <w:t>comply with</w:t>
      </w:r>
      <w:r w:rsidR="00827F21" w:rsidRPr="00ED5671">
        <w:t xml:space="preserve"> the Level-1 framework. </w:t>
      </w:r>
    </w:p>
    <w:p w14:paraId="27E819F8" w14:textId="420A5453" w:rsidR="005627E7" w:rsidRPr="00ED5671" w:rsidRDefault="005627E7" w:rsidP="00A17579">
      <w:pPr>
        <w:spacing w:after="0" w:line="276" w:lineRule="auto"/>
        <w:jc w:val="both"/>
      </w:pPr>
      <w:r w:rsidRPr="00ED5671">
        <w:t xml:space="preserve">See also our response to Question </w:t>
      </w:r>
      <w:r w:rsidR="000E17EA" w:rsidRPr="00ED5671">
        <w:t>11</w:t>
      </w:r>
      <w:r w:rsidRPr="00ED5671">
        <w:t xml:space="preserve"> regarding the risk indicator shown by the insurance MOP wrapper. </w:t>
      </w:r>
    </w:p>
    <w:p w14:paraId="16235F5E" w14:textId="77777777" w:rsidR="00E878EF" w:rsidRDefault="00E878EF" w:rsidP="00A17579">
      <w:pPr>
        <w:spacing w:after="0" w:line="276" w:lineRule="auto"/>
        <w:rPr>
          <w:b/>
          <w:color w:val="5B9BD5" w:themeColor="accent1"/>
          <w:u w:val="single"/>
        </w:rPr>
      </w:pPr>
    </w:p>
    <w:p w14:paraId="660E55D7" w14:textId="77777777" w:rsidR="00E878EF" w:rsidRDefault="00E878EF" w:rsidP="00A17579">
      <w:pPr>
        <w:spacing w:after="0" w:line="276" w:lineRule="auto"/>
        <w:rPr>
          <w:b/>
          <w:color w:val="5B9BD5" w:themeColor="accent1"/>
          <w:u w:val="single"/>
        </w:rPr>
      </w:pPr>
    </w:p>
    <w:p w14:paraId="4B965262" w14:textId="4503829C" w:rsidR="00F169A5" w:rsidRPr="00ED5671" w:rsidRDefault="00F169A5" w:rsidP="00A17579">
      <w:pPr>
        <w:spacing w:after="0" w:line="276" w:lineRule="auto"/>
        <w:rPr>
          <w:b/>
          <w:color w:val="5B9BD5" w:themeColor="accent1"/>
          <w:u w:val="single"/>
        </w:rPr>
      </w:pPr>
      <w:r w:rsidRPr="00ED5671">
        <w:rPr>
          <w:b/>
          <w:color w:val="5B9BD5" w:themeColor="accent1"/>
          <w:u w:val="single"/>
        </w:rPr>
        <w:t>Article 16</w:t>
      </w:r>
      <w:r w:rsidR="00787106" w:rsidRPr="00ED5671">
        <w:rPr>
          <w:b/>
          <w:color w:val="5B9BD5" w:themeColor="accent1"/>
          <w:u w:val="single"/>
        </w:rPr>
        <w:t>-20</w:t>
      </w:r>
      <w:r w:rsidR="0087300B" w:rsidRPr="00ED5671">
        <w:rPr>
          <w:b/>
          <w:color w:val="5B9BD5" w:themeColor="accent1"/>
          <w:u w:val="single"/>
        </w:rPr>
        <w:t xml:space="preserve">: </w:t>
      </w:r>
      <w:r w:rsidR="00787106" w:rsidRPr="00ED5671">
        <w:rPr>
          <w:b/>
          <w:color w:val="5B9BD5" w:themeColor="accent1"/>
          <w:u w:val="single"/>
        </w:rPr>
        <w:t>Review, revision and republication of the key information document</w:t>
      </w:r>
    </w:p>
    <w:p w14:paraId="3DDC43AA" w14:textId="77777777" w:rsidR="00E878EF" w:rsidRDefault="00E878EF" w:rsidP="00A17579">
      <w:pPr>
        <w:spacing w:after="0" w:line="276" w:lineRule="auto"/>
        <w:jc w:val="both"/>
        <w:rPr>
          <w:i/>
          <w:u w:val="single"/>
        </w:rPr>
      </w:pPr>
    </w:p>
    <w:p w14:paraId="4FEFFA22" w14:textId="38589813" w:rsidR="000C367F" w:rsidRPr="00ED5671" w:rsidRDefault="000C367F" w:rsidP="00A17579">
      <w:pPr>
        <w:spacing w:after="0" w:line="276" w:lineRule="auto"/>
        <w:jc w:val="both"/>
        <w:rPr>
          <w:i/>
          <w:u w:val="single"/>
        </w:rPr>
      </w:pPr>
      <w:r w:rsidRPr="00ED5671">
        <w:rPr>
          <w:i/>
          <w:u w:val="single"/>
        </w:rPr>
        <w:lastRenderedPageBreak/>
        <w:t>Recital 19: Use of mailing lists</w:t>
      </w:r>
    </w:p>
    <w:p w14:paraId="17B59E9A" w14:textId="77777777" w:rsidR="00E878EF" w:rsidRDefault="00E878EF" w:rsidP="00A17579">
      <w:pPr>
        <w:spacing w:after="0" w:line="276" w:lineRule="auto"/>
        <w:jc w:val="both"/>
        <w:rPr>
          <w:b/>
        </w:rPr>
      </w:pPr>
    </w:p>
    <w:p w14:paraId="7AD1E9F5" w14:textId="7157BBBD" w:rsidR="00787106" w:rsidRPr="00ED5671" w:rsidRDefault="00787106" w:rsidP="00A17579">
      <w:pPr>
        <w:spacing w:after="0" w:line="276" w:lineRule="auto"/>
        <w:jc w:val="both"/>
      </w:pPr>
      <w:r w:rsidRPr="00ED5671">
        <w:rPr>
          <w:b/>
        </w:rPr>
        <w:t xml:space="preserve">Recital 19 </w:t>
      </w:r>
      <w:r w:rsidR="000C367F" w:rsidRPr="00ED5671">
        <w:rPr>
          <w:b/>
        </w:rPr>
        <w:t>need</w:t>
      </w:r>
      <w:r w:rsidR="00A261AE" w:rsidRPr="00ED5671">
        <w:rPr>
          <w:b/>
        </w:rPr>
        <w:t>s</w:t>
      </w:r>
      <w:r w:rsidR="000C367F" w:rsidRPr="00ED5671">
        <w:rPr>
          <w:b/>
        </w:rPr>
        <w:t xml:space="preserve"> to be either deleted or clarified further</w:t>
      </w:r>
      <w:r w:rsidR="000C367F" w:rsidRPr="00ED5671">
        <w:t>, as it states that</w:t>
      </w:r>
      <w:r w:rsidRPr="00ED5671">
        <w:t xml:space="preserve"> </w:t>
      </w:r>
      <w:r w:rsidRPr="00ED5671">
        <w:rPr>
          <w:i/>
        </w:rPr>
        <w:t>“</w:t>
      </w:r>
      <w:r w:rsidR="000C367F" w:rsidRPr="00ED5671">
        <w:rPr>
          <w:i/>
        </w:rPr>
        <w:t>[t]</w:t>
      </w:r>
      <w:proofErr w:type="spellStart"/>
      <w:r w:rsidRPr="00ED5671">
        <w:rPr>
          <w:i/>
        </w:rPr>
        <w:t>ools</w:t>
      </w:r>
      <w:proofErr w:type="spellEnd"/>
      <w:r w:rsidRPr="00ED5671">
        <w:rPr>
          <w:i/>
        </w:rPr>
        <w:t xml:space="preserve">, such as mailing lists or email alerts, might be implemented to inform existing retail investors when key investor documents are </w:t>
      </w:r>
      <w:r w:rsidR="000C367F" w:rsidRPr="00ED5671">
        <w:rPr>
          <w:i/>
        </w:rPr>
        <w:t>revised</w:t>
      </w:r>
      <w:r w:rsidR="000C367F" w:rsidRPr="00ED5671">
        <w:t>“</w:t>
      </w:r>
      <w:r w:rsidR="00A261AE" w:rsidRPr="00ED5671">
        <w:t>,</w:t>
      </w:r>
      <w:r w:rsidR="000C367F" w:rsidRPr="00ED5671">
        <w:t xml:space="preserve"> which creates untrue statements. </w:t>
      </w:r>
      <w:r w:rsidR="00B1199A" w:rsidRPr="00ED5671">
        <w:t xml:space="preserve">First, the KID is a pre-contractual document and is </w:t>
      </w:r>
      <w:r w:rsidR="000C367F" w:rsidRPr="00ED5671">
        <w:t xml:space="preserve">thus </w:t>
      </w:r>
      <w:r w:rsidR="00B1199A" w:rsidRPr="00ED5671">
        <w:t>not designed to update current investors. Secondly, the current wording</w:t>
      </w:r>
      <w:r w:rsidRPr="00ED5671">
        <w:t xml:space="preserve"> blurs the </w:t>
      </w:r>
      <w:r w:rsidR="00B1199A" w:rsidRPr="00ED5671">
        <w:t>roles and responsibilities</w:t>
      </w:r>
      <w:r w:rsidRPr="00ED5671">
        <w:t xml:space="preserve"> between manufacturers and distributors. </w:t>
      </w:r>
      <w:r w:rsidR="000C367F" w:rsidRPr="00ED5671">
        <w:t xml:space="preserve">It is the sole responsibility of the manufacturer to review, revise and republish the KID on his website. If possible, </w:t>
      </w:r>
      <w:r w:rsidR="00A261AE" w:rsidRPr="00ED5671">
        <w:t xml:space="preserve">it </w:t>
      </w:r>
      <w:r w:rsidR="000C367F" w:rsidRPr="00ED5671">
        <w:t xml:space="preserve">can inform </w:t>
      </w:r>
      <w:r w:rsidR="00A261AE" w:rsidRPr="00ED5671">
        <w:t xml:space="preserve">its known </w:t>
      </w:r>
      <w:r w:rsidR="000C367F" w:rsidRPr="00ED5671">
        <w:t xml:space="preserve">distribution network of the revised KID. It is not possible for the </w:t>
      </w:r>
      <w:r w:rsidR="00B1199A" w:rsidRPr="00ED5671">
        <w:t>m</w:t>
      </w:r>
      <w:r w:rsidRPr="00ED5671">
        <w:t xml:space="preserve">anufacturers </w:t>
      </w:r>
      <w:r w:rsidR="000C367F" w:rsidRPr="00ED5671">
        <w:t xml:space="preserve">to inform the investors, as most manufacturers </w:t>
      </w:r>
      <w:r w:rsidRPr="00ED5671">
        <w:t>are not aware who the end investors are and often do not have direct contact with them.</w:t>
      </w:r>
    </w:p>
    <w:p w14:paraId="461CB7B6" w14:textId="77777777" w:rsidR="00E878EF" w:rsidRDefault="00E878EF" w:rsidP="00A17579">
      <w:pPr>
        <w:spacing w:after="0" w:line="276" w:lineRule="auto"/>
        <w:jc w:val="both"/>
        <w:rPr>
          <w:i/>
          <w:u w:val="single"/>
        </w:rPr>
      </w:pPr>
    </w:p>
    <w:p w14:paraId="70CE7BF0" w14:textId="445BD4D3" w:rsidR="00B1199A" w:rsidRPr="00ED5671" w:rsidRDefault="000C367F" w:rsidP="00A17579">
      <w:pPr>
        <w:spacing w:after="0" w:line="276" w:lineRule="auto"/>
        <w:jc w:val="both"/>
        <w:rPr>
          <w:i/>
          <w:u w:val="single"/>
        </w:rPr>
      </w:pPr>
      <w:r w:rsidRPr="00ED5671">
        <w:rPr>
          <w:i/>
          <w:u w:val="single"/>
        </w:rPr>
        <w:t xml:space="preserve">Recital 20: </w:t>
      </w:r>
      <w:r w:rsidR="00B1199A" w:rsidRPr="00ED5671">
        <w:rPr>
          <w:i/>
          <w:u w:val="single"/>
        </w:rPr>
        <w:t>Periodic review of a PRIIP on a secondary market</w:t>
      </w:r>
    </w:p>
    <w:p w14:paraId="2D9226C1" w14:textId="77777777" w:rsidR="00E878EF" w:rsidRDefault="00E878EF" w:rsidP="00A17579">
      <w:pPr>
        <w:spacing w:after="0" w:line="276" w:lineRule="auto"/>
        <w:jc w:val="both"/>
      </w:pPr>
    </w:p>
    <w:p w14:paraId="4B8BB01C" w14:textId="40DD06A9" w:rsidR="0017075E" w:rsidRPr="00ED5671" w:rsidRDefault="0017075E" w:rsidP="00A17579">
      <w:pPr>
        <w:spacing w:after="0" w:line="276" w:lineRule="auto"/>
        <w:jc w:val="both"/>
      </w:pPr>
      <w:r w:rsidRPr="00ED5671">
        <w:t>First, please consider our comments to Q28 above.</w:t>
      </w:r>
    </w:p>
    <w:p w14:paraId="5006E2B3" w14:textId="7A554773" w:rsidR="00787106" w:rsidRPr="00ED5671" w:rsidRDefault="00462832" w:rsidP="00A17579">
      <w:pPr>
        <w:spacing w:after="0" w:line="276" w:lineRule="auto"/>
        <w:jc w:val="both"/>
      </w:pPr>
      <w:r w:rsidRPr="00ED5671">
        <w:t>Second</w:t>
      </w:r>
      <w:r w:rsidR="00FC34D6" w:rsidRPr="00ED5671">
        <w:t>, in order to create more clarity among practitioners</w:t>
      </w:r>
      <w:r w:rsidR="00A261AE" w:rsidRPr="00ED5671">
        <w:t>,</w:t>
      </w:r>
      <w:r w:rsidR="00787106" w:rsidRPr="00ED5671">
        <w:t xml:space="preserve"> </w:t>
      </w:r>
      <w:r w:rsidR="00787106" w:rsidRPr="00ED5671">
        <w:rPr>
          <w:b/>
        </w:rPr>
        <w:t xml:space="preserve">we suggest </w:t>
      </w:r>
      <w:r w:rsidR="0087300B" w:rsidRPr="00ED5671">
        <w:rPr>
          <w:b/>
        </w:rPr>
        <w:t xml:space="preserve">Article 16(1) </w:t>
      </w:r>
      <w:r w:rsidR="00A261AE" w:rsidRPr="00ED5671">
        <w:rPr>
          <w:b/>
        </w:rPr>
        <w:t xml:space="preserve">is amended </w:t>
      </w:r>
      <w:r w:rsidR="00787106" w:rsidRPr="00ED5671">
        <w:rPr>
          <w:b/>
        </w:rPr>
        <w:t xml:space="preserve">as follows: “The PRIIP manufacturer shall review the information contained in the key information document </w:t>
      </w:r>
      <w:r w:rsidR="00787106" w:rsidRPr="00ED5671">
        <w:rPr>
          <w:b/>
          <w:i/>
          <w:u w:val="single"/>
        </w:rPr>
        <w:t>at the latest</w:t>
      </w:r>
      <w:r w:rsidR="00787106" w:rsidRPr="00ED5671">
        <w:rPr>
          <w:b/>
        </w:rPr>
        <w:t xml:space="preserve"> by”</w:t>
      </w:r>
      <w:r w:rsidR="000C367F" w:rsidRPr="00ED5671">
        <w:rPr>
          <w:b/>
        </w:rPr>
        <w:t>.</w:t>
      </w:r>
    </w:p>
    <w:p w14:paraId="4EFFF7E4" w14:textId="77777777" w:rsidR="00E878EF" w:rsidRDefault="00E878EF" w:rsidP="00A17579">
      <w:pPr>
        <w:spacing w:after="0" w:line="276" w:lineRule="auto"/>
        <w:rPr>
          <w:b/>
          <w:color w:val="5B9BD5" w:themeColor="accent1"/>
          <w:u w:val="single"/>
        </w:rPr>
      </w:pPr>
    </w:p>
    <w:p w14:paraId="4CD5B70D" w14:textId="77777777" w:rsidR="00E878EF" w:rsidRDefault="00E878EF" w:rsidP="00A17579">
      <w:pPr>
        <w:spacing w:after="0" w:line="276" w:lineRule="auto"/>
        <w:rPr>
          <w:b/>
          <w:color w:val="5B9BD5" w:themeColor="accent1"/>
          <w:u w:val="single"/>
        </w:rPr>
      </w:pPr>
    </w:p>
    <w:p w14:paraId="4BF09659" w14:textId="105ADC85" w:rsidR="00787106" w:rsidRPr="00ED5671" w:rsidRDefault="00787106" w:rsidP="00A17579">
      <w:pPr>
        <w:spacing w:after="0" w:line="276" w:lineRule="auto"/>
        <w:rPr>
          <w:b/>
          <w:color w:val="5B9BD5" w:themeColor="accent1"/>
          <w:u w:val="single"/>
        </w:rPr>
      </w:pPr>
      <w:r w:rsidRPr="00ED5671">
        <w:rPr>
          <w:b/>
          <w:color w:val="5B9BD5" w:themeColor="accent1"/>
          <w:u w:val="single"/>
        </w:rPr>
        <w:t>Article 17: Ad hoc review of the key information document</w:t>
      </w:r>
    </w:p>
    <w:p w14:paraId="56C08A9F" w14:textId="77777777" w:rsidR="00E878EF" w:rsidRDefault="00E878EF" w:rsidP="00A17579">
      <w:pPr>
        <w:spacing w:after="0" w:line="276" w:lineRule="auto"/>
        <w:jc w:val="both"/>
        <w:rPr>
          <w:b/>
        </w:rPr>
      </w:pPr>
    </w:p>
    <w:p w14:paraId="2FD373EE" w14:textId="4C6A241A" w:rsidR="00787106" w:rsidRDefault="00787106" w:rsidP="00A17579">
      <w:pPr>
        <w:spacing w:after="0" w:line="276" w:lineRule="auto"/>
        <w:jc w:val="both"/>
      </w:pPr>
      <w:r w:rsidRPr="00ED5671">
        <w:rPr>
          <w:b/>
        </w:rPr>
        <w:t>Article 17 is missing a</w:t>
      </w:r>
      <w:r w:rsidR="00864D7C" w:rsidRPr="00ED5671">
        <w:rPr>
          <w:b/>
        </w:rPr>
        <w:t>n all-important</w:t>
      </w:r>
      <w:r w:rsidRPr="00ED5671">
        <w:rPr>
          <w:b/>
        </w:rPr>
        <w:t xml:space="preserve"> “materiality” </w:t>
      </w:r>
      <w:r w:rsidR="00DE15A6" w:rsidRPr="00ED5671">
        <w:rPr>
          <w:b/>
        </w:rPr>
        <w:t>reference</w:t>
      </w:r>
      <w:r w:rsidR="00FB1297" w:rsidRPr="00ED5671">
        <w:rPr>
          <w:b/>
        </w:rPr>
        <w:t>.</w:t>
      </w:r>
      <w:r w:rsidR="00FB1297" w:rsidRPr="00ED5671">
        <w:t xml:space="preserve">  This </w:t>
      </w:r>
      <w:r w:rsidRPr="00ED5671">
        <w:t>exist</w:t>
      </w:r>
      <w:r w:rsidR="00DE15A6" w:rsidRPr="00ED5671">
        <w:t>s</w:t>
      </w:r>
      <w:r w:rsidRPr="00ED5671">
        <w:t xml:space="preserve"> in the UCITS KIID requirements</w:t>
      </w:r>
      <w:r w:rsidR="00FB1297" w:rsidRPr="00ED5671">
        <w:t xml:space="preserve"> and </w:t>
      </w:r>
      <w:r w:rsidRPr="00ED5671">
        <w:t xml:space="preserve">ensures that only </w:t>
      </w:r>
      <w:r w:rsidRPr="00ED5671">
        <w:rPr>
          <w:u w:val="single"/>
        </w:rPr>
        <w:t>material</w:t>
      </w:r>
      <w:r w:rsidRPr="00ED5671">
        <w:t xml:space="preserve"> changes trigger an ad hoc review of the KIID. This is important, as it ensures that minor and inconsequential changes </w:t>
      </w:r>
      <w:r w:rsidR="000C367F" w:rsidRPr="00ED5671">
        <w:t>do not require the PRIIP manufacturer to perform an ad hoc review</w:t>
      </w:r>
      <w:r w:rsidRPr="00ED5671">
        <w:t xml:space="preserve">. </w:t>
      </w:r>
    </w:p>
    <w:p w14:paraId="5AE5856A" w14:textId="77777777" w:rsidR="00E878EF" w:rsidRPr="00ED5671" w:rsidRDefault="00E878EF" w:rsidP="00A17579">
      <w:pPr>
        <w:spacing w:after="0" w:line="276" w:lineRule="auto"/>
        <w:jc w:val="both"/>
      </w:pPr>
    </w:p>
    <w:p w14:paraId="6D20B02E" w14:textId="70666AEB" w:rsidR="0002693C" w:rsidRPr="00ED5671" w:rsidRDefault="0002693C" w:rsidP="00A17579">
      <w:pPr>
        <w:spacing w:after="0" w:line="276" w:lineRule="auto"/>
        <w:jc w:val="both"/>
      </w:pPr>
      <w:r w:rsidRPr="00ED5671">
        <w:t>The triggers should be substantial, meaning that the change should have a significant impact on the investment risk, return scenarios and/or cost, taking into account how relevant the change is from an investor perspective. Subjective criteria’s might be appropriate to some extent (e.g. it should be clarified when changes in the technical risk indicator trigger a requirement to update the KID).</w:t>
      </w:r>
    </w:p>
    <w:p w14:paraId="3392D6DF" w14:textId="77777777" w:rsidR="00E878EF" w:rsidRDefault="00E878EF" w:rsidP="00A17579">
      <w:pPr>
        <w:spacing w:after="0" w:line="276" w:lineRule="auto"/>
        <w:rPr>
          <w:b/>
          <w:color w:val="5B9BD5" w:themeColor="accent1"/>
          <w:u w:val="single"/>
        </w:rPr>
      </w:pPr>
    </w:p>
    <w:p w14:paraId="2349EC13" w14:textId="77777777" w:rsidR="00E878EF" w:rsidRDefault="00E878EF" w:rsidP="00A17579">
      <w:pPr>
        <w:spacing w:after="0" w:line="276" w:lineRule="auto"/>
        <w:rPr>
          <w:b/>
          <w:color w:val="5B9BD5" w:themeColor="accent1"/>
          <w:u w:val="single"/>
        </w:rPr>
      </w:pPr>
    </w:p>
    <w:p w14:paraId="78456B8A" w14:textId="7EC096F5" w:rsidR="00864D7C" w:rsidRPr="00ED5671" w:rsidRDefault="00864D7C" w:rsidP="00A17579">
      <w:pPr>
        <w:spacing w:after="0" w:line="276" w:lineRule="auto"/>
        <w:rPr>
          <w:b/>
          <w:color w:val="5B9BD5" w:themeColor="accent1"/>
          <w:u w:val="single"/>
        </w:rPr>
      </w:pPr>
      <w:r w:rsidRPr="00ED5671">
        <w:rPr>
          <w:b/>
          <w:color w:val="5B9BD5" w:themeColor="accent1"/>
          <w:u w:val="single"/>
        </w:rPr>
        <w:t>Article 20: Conditions on good time</w:t>
      </w:r>
      <w:r w:rsidRPr="00ED5671">
        <w:rPr>
          <w:rStyle w:val="FootnoteReference"/>
          <w:b/>
          <w:color w:val="5B9BD5" w:themeColor="accent1"/>
          <w:u w:val="single"/>
        </w:rPr>
        <w:footnoteReference w:id="4"/>
      </w:r>
    </w:p>
    <w:p w14:paraId="65F25E2E" w14:textId="77777777" w:rsidR="00E878EF" w:rsidRDefault="00E878EF" w:rsidP="00A17579">
      <w:pPr>
        <w:spacing w:after="0" w:line="276" w:lineRule="auto"/>
        <w:jc w:val="both"/>
      </w:pPr>
    </w:p>
    <w:p w14:paraId="54BC057B" w14:textId="060D4F17" w:rsidR="0002693C" w:rsidRPr="00ED5671" w:rsidRDefault="00864D7C" w:rsidP="00A17579">
      <w:pPr>
        <w:spacing w:after="0" w:line="276" w:lineRule="auto"/>
        <w:jc w:val="both"/>
      </w:pPr>
      <w:r w:rsidRPr="00ED5671">
        <w:t xml:space="preserve">The conditions for delivery in good time should make reference to the relevant passages in MiFID II, IDD and </w:t>
      </w:r>
      <w:r w:rsidR="00FB1297" w:rsidRPr="00ED5671">
        <w:t xml:space="preserve">the </w:t>
      </w:r>
      <w:r w:rsidRPr="00ED5671">
        <w:t>PRIIP</w:t>
      </w:r>
      <w:r w:rsidR="00FB1297" w:rsidRPr="00ED5671">
        <w:t xml:space="preserve"> KID</w:t>
      </w:r>
      <w:r w:rsidRPr="00ED5671">
        <w:t xml:space="preserve"> to ensure consistent application of the distribution requirements for all types of PRIIPs. </w:t>
      </w:r>
      <w:r w:rsidRPr="00ED5671">
        <w:rPr>
          <w:b/>
        </w:rPr>
        <w:t xml:space="preserve">We therefore suggest to </w:t>
      </w:r>
      <w:r w:rsidR="0002693C" w:rsidRPr="00ED5671">
        <w:rPr>
          <w:b/>
        </w:rPr>
        <w:t>align Article 20 with Article 80(1) of the UCITS Directive 2009/65/EC).</w:t>
      </w:r>
    </w:p>
    <w:p w14:paraId="1E13FD47" w14:textId="77777777" w:rsidR="00E878EF" w:rsidRDefault="00E878EF" w:rsidP="00A17579">
      <w:pPr>
        <w:spacing w:after="0" w:line="276" w:lineRule="auto"/>
        <w:rPr>
          <w:b/>
          <w:caps/>
          <w:color w:val="5B9BD5" w:themeColor="accent1"/>
          <w:u w:val="single"/>
        </w:rPr>
      </w:pPr>
    </w:p>
    <w:p w14:paraId="6B29C1C0" w14:textId="315419EE" w:rsidR="00186B85" w:rsidRPr="00ED5671" w:rsidRDefault="00186B85" w:rsidP="00A17579">
      <w:pPr>
        <w:spacing w:after="0" w:line="276" w:lineRule="auto"/>
        <w:rPr>
          <w:b/>
          <w:caps/>
          <w:color w:val="5B9BD5" w:themeColor="accent1"/>
          <w:u w:val="single"/>
        </w:rPr>
      </w:pPr>
      <w:r w:rsidRPr="00ED5671">
        <w:rPr>
          <w:b/>
          <w:caps/>
          <w:color w:val="5B9BD5" w:themeColor="accent1"/>
          <w:u w:val="single"/>
        </w:rPr>
        <w:t xml:space="preserve">Annex I: </w:t>
      </w:r>
      <w:r w:rsidR="008A79D7" w:rsidRPr="00ED5671">
        <w:rPr>
          <w:b/>
          <w:caps/>
          <w:color w:val="5B9BD5" w:themeColor="accent1"/>
          <w:u w:val="single"/>
        </w:rPr>
        <w:t>Overall KID template</w:t>
      </w:r>
    </w:p>
    <w:p w14:paraId="7FE85C37" w14:textId="77777777" w:rsidR="00E878EF" w:rsidRDefault="00E878EF" w:rsidP="00A17579">
      <w:pPr>
        <w:spacing w:after="0" w:line="276" w:lineRule="auto"/>
        <w:jc w:val="both"/>
      </w:pPr>
    </w:p>
    <w:p w14:paraId="46E0FB17" w14:textId="42EEDA8E" w:rsidR="00F169A5" w:rsidRPr="00ED5671" w:rsidRDefault="00481DCF" w:rsidP="00A17579">
      <w:pPr>
        <w:spacing w:after="0" w:line="276" w:lineRule="auto"/>
        <w:jc w:val="both"/>
      </w:pPr>
      <w:r w:rsidRPr="00ED5671">
        <w:lastRenderedPageBreak/>
        <w:t>We have n</w:t>
      </w:r>
      <w:r w:rsidR="00B179F2" w:rsidRPr="00ED5671">
        <w:t xml:space="preserve">o particular comments </w:t>
      </w:r>
      <w:r w:rsidRPr="00ED5671">
        <w:t xml:space="preserve">on the template of the KID, but wonder how prescriptive its design is and how close a PRIIP KID has to resemble Annex I </w:t>
      </w:r>
      <w:r w:rsidR="006679B0" w:rsidRPr="00ED5671">
        <w:t>(</w:t>
      </w:r>
      <w:r w:rsidRPr="00ED5671">
        <w:t>not relating to its content, but rather to its formatting, font, colour, size, etc</w:t>
      </w:r>
      <w:r w:rsidR="0017075E" w:rsidRPr="00ED5671">
        <w:t>.</w:t>
      </w:r>
      <w:r w:rsidR="006679B0" w:rsidRPr="00ED5671">
        <w:t>)?</w:t>
      </w:r>
    </w:p>
    <w:p w14:paraId="10269881" w14:textId="77777777" w:rsidR="00E878EF" w:rsidRDefault="00E878EF" w:rsidP="00A17579">
      <w:pPr>
        <w:spacing w:after="0" w:line="276" w:lineRule="auto"/>
        <w:jc w:val="both"/>
      </w:pPr>
    </w:p>
    <w:p w14:paraId="306EB029" w14:textId="7AE51F98" w:rsidR="00522281" w:rsidRDefault="00522281" w:rsidP="00A17579">
      <w:pPr>
        <w:spacing w:after="0" w:line="276" w:lineRule="auto"/>
        <w:jc w:val="both"/>
      </w:pPr>
      <w:r w:rsidRPr="00ED5671">
        <w:t>Furthermore, it is not totally clear how the mock-up contained in Appendix 1 of Annex III will work with the template in Annex I. For example, the template refers to Summary Risk Indicator and narrative t</w:t>
      </w:r>
      <w:r w:rsidR="0017075E" w:rsidRPr="00ED5671">
        <w:t>ext pursuant to Article 8(3</w:t>
      </w:r>
      <w:proofErr w:type="gramStart"/>
      <w:r w:rsidR="0017075E" w:rsidRPr="00ED5671">
        <w:t>)(</w:t>
      </w:r>
      <w:proofErr w:type="gramEnd"/>
      <w:r w:rsidR="0017075E" w:rsidRPr="00ED5671">
        <w:t>d)</w:t>
      </w:r>
      <w:r w:rsidRPr="00ED5671">
        <w:t xml:space="preserve"> and Appendix 1 of Annex III provides various ‘elements’ a – o which may or may not need to be included.  The chart provided on page 49 of the 1-7 scale, includes words in brackets underneath the scale alongside a warning triangle.  But that wording does not equate to the wording prov</w:t>
      </w:r>
      <w:r w:rsidR="00CB3B12" w:rsidRPr="00ED5671">
        <w:t>ided in the various elements a -</w:t>
      </w:r>
      <w:r w:rsidRPr="00ED5671">
        <w:t xml:space="preserve"> o.  So, does this mean that the chart is meeting PRIIP</w:t>
      </w:r>
      <w:r w:rsidR="00462832" w:rsidRPr="00ED5671">
        <w:t xml:space="preserve"> KID</w:t>
      </w:r>
      <w:r w:rsidRPr="00ED5671">
        <w:t xml:space="preserve"> </w:t>
      </w:r>
      <w:r w:rsidR="00462832" w:rsidRPr="00ED5671">
        <w:t>R</w:t>
      </w:r>
      <w:r w:rsidRPr="00ED5671">
        <w:t>egulation Article 8 3.(d)(</w:t>
      </w:r>
      <w:proofErr w:type="spellStart"/>
      <w:r w:rsidRPr="00ED5671">
        <w:t>i</w:t>
      </w:r>
      <w:proofErr w:type="spellEnd"/>
      <w:r w:rsidRPr="00ED5671">
        <w:t>) (‘a summary risk indicator supplemented by a narrative explanation of that indicator, its main limitations, etc.) and the elements a</w:t>
      </w:r>
      <w:r w:rsidR="00CB3B12" w:rsidRPr="00ED5671">
        <w:t xml:space="preserve"> </w:t>
      </w:r>
      <w:r w:rsidRPr="00ED5671">
        <w:t>-</w:t>
      </w:r>
      <w:r w:rsidR="00CB3B12" w:rsidRPr="00ED5671">
        <w:t xml:space="preserve"> </w:t>
      </w:r>
      <w:r w:rsidRPr="00ED5671">
        <w:t xml:space="preserve">o meet the requirements of Article 8 3 (d)(ii)? </w:t>
      </w:r>
    </w:p>
    <w:p w14:paraId="33B53D58" w14:textId="77777777" w:rsidR="00E878EF" w:rsidRDefault="00E878EF" w:rsidP="00A17579">
      <w:pPr>
        <w:spacing w:after="0" w:line="276" w:lineRule="auto"/>
        <w:jc w:val="both"/>
      </w:pPr>
    </w:p>
    <w:p w14:paraId="4AFF2073" w14:textId="77777777" w:rsidR="00E878EF" w:rsidRPr="00ED5671" w:rsidRDefault="00E878EF" w:rsidP="00A17579">
      <w:pPr>
        <w:spacing w:after="0" w:line="276" w:lineRule="auto"/>
        <w:jc w:val="both"/>
      </w:pPr>
    </w:p>
    <w:p w14:paraId="390D4EC8" w14:textId="74D8CB4F" w:rsidR="00186B85" w:rsidRPr="00ED5671" w:rsidRDefault="00186B85" w:rsidP="00A17579">
      <w:pPr>
        <w:spacing w:after="0" w:line="276" w:lineRule="auto"/>
        <w:rPr>
          <w:b/>
          <w:caps/>
          <w:color w:val="5B9BD5" w:themeColor="accent1"/>
          <w:u w:val="single"/>
        </w:rPr>
      </w:pPr>
      <w:r w:rsidRPr="00ED5671">
        <w:rPr>
          <w:b/>
          <w:caps/>
          <w:color w:val="5B9BD5" w:themeColor="accent1"/>
          <w:u w:val="single"/>
        </w:rPr>
        <w:t>Annex II: Methodology of risk calculation</w:t>
      </w:r>
    </w:p>
    <w:p w14:paraId="388CC08F" w14:textId="77777777" w:rsidR="00E878EF" w:rsidRDefault="00E878EF" w:rsidP="00A17579">
      <w:pPr>
        <w:spacing w:after="0" w:line="276" w:lineRule="auto"/>
        <w:rPr>
          <w:b/>
          <w:color w:val="5B9BD5" w:themeColor="accent1"/>
          <w:u w:val="single"/>
        </w:rPr>
      </w:pPr>
    </w:p>
    <w:p w14:paraId="5C72CB2E" w14:textId="77777777" w:rsidR="00FD2ED3" w:rsidRPr="00ED5671" w:rsidRDefault="009A2D22" w:rsidP="00A17579">
      <w:pPr>
        <w:spacing w:after="0" w:line="276" w:lineRule="auto"/>
        <w:rPr>
          <w:b/>
          <w:color w:val="5B9BD5" w:themeColor="accent1"/>
          <w:u w:val="single"/>
        </w:rPr>
      </w:pPr>
      <w:r w:rsidRPr="00ED5671">
        <w:rPr>
          <w:b/>
          <w:color w:val="5B9BD5" w:themeColor="accent1"/>
          <w:u w:val="single"/>
        </w:rPr>
        <w:t>Part 1: Methodology for the market risk assessment</w:t>
      </w:r>
    </w:p>
    <w:p w14:paraId="52B08C19" w14:textId="77777777" w:rsidR="00E878EF" w:rsidRDefault="00E878EF" w:rsidP="00A17579">
      <w:pPr>
        <w:spacing w:after="0" w:line="276" w:lineRule="auto"/>
        <w:jc w:val="both"/>
      </w:pPr>
    </w:p>
    <w:p w14:paraId="753CDF66" w14:textId="39DD008E" w:rsidR="00481DCF" w:rsidRPr="00ED5671" w:rsidRDefault="00481DCF" w:rsidP="00A17579">
      <w:pPr>
        <w:spacing w:after="0" w:line="276" w:lineRule="auto"/>
        <w:jc w:val="both"/>
      </w:pPr>
      <w:r w:rsidRPr="00ED5671">
        <w:t>First and foremost, we</w:t>
      </w:r>
      <w:r w:rsidR="008E0C62" w:rsidRPr="00ED5671">
        <w:t xml:space="preserve"> unfortunately must</w:t>
      </w:r>
      <w:r w:rsidRPr="00ED5671">
        <w:t xml:space="preserve"> </w:t>
      </w:r>
      <w:r w:rsidR="006679B0" w:rsidRPr="00ED5671">
        <w:t xml:space="preserve">note that </w:t>
      </w:r>
      <w:r w:rsidRPr="00ED5671">
        <w:t xml:space="preserve">the current drafting of the </w:t>
      </w:r>
      <w:r w:rsidR="008E0C62" w:rsidRPr="00ED5671">
        <w:t>“</w:t>
      </w:r>
      <w:r w:rsidRPr="00ED5671">
        <w:t>methodology for the market risk assessment</w:t>
      </w:r>
      <w:r w:rsidR="008E0C62" w:rsidRPr="00ED5671">
        <w:t>”</w:t>
      </w:r>
      <w:r w:rsidRPr="00ED5671">
        <w:t xml:space="preserve"> </w:t>
      </w:r>
      <w:r w:rsidR="006679B0" w:rsidRPr="00ED5671">
        <w:t xml:space="preserve">is </w:t>
      </w:r>
      <w:r w:rsidR="008E0C62" w:rsidRPr="00ED5671">
        <w:t>of poor quality</w:t>
      </w:r>
      <w:r w:rsidR="006679B0" w:rsidRPr="00ED5671">
        <w:t>,</w:t>
      </w:r>
      <w:r w:rsidR="008E0C62" w:rsidRPr="00ED5671">
        <w:t xml:space="preserve"> to the extent that certain passages are illegible and therefore unusable. We </w:t>
      </w:r>
      <w:r w:rsidR="006679B0" w:rsidRPr="00ED5671">
        <w:t xml:space="preserve">urge that </w:t>
      </w:r>
      <w:r w:rsidR="008E0C62" w:rsidRPr="00ED5671">
        <w:t xml:space="preserve">this section </w:t>
      </w:r>
      <w:r w:rsidR="006679B0" w:rsidRPr="00ED5671">
        <w:t xml:space="preserve">be redrafted </w:t>
      </w:r>
      <w:r w:rsidR="008E0C62" w:rsidRPr="00ED5671">
        <w:t>for easier understanding.</w:t>
      </w:r>
    </w:p>
    <w:p w14:paraId="0AC3ED31" w14:textId="77777777" w:rsidR="00E878EF" w:rsidRDefault="00E878EF" w:rsidP="00A17579">
      <w:pPr>
        <w:spacing w:after="0" w:line="276" w:lineRule="auto"/>
        <w:rPr>
          <w:b/>
          <w:color w:val="5B9BD5" w:themeColor="accent1"/>
          <w:u w:val="single"/>
        </w:rPr>
      </w:pPr>
    </w:p>
    <w:p w14:paraId="48009CAA" w14:textId="77777777" w:rsidR="00E878EF" w:rsidRDefault="00E878EF" w:rsidP="00A17579">
      <w:pPr>
        <w:spacing w:after="0" w:line="276" w:lineRule="auto"/>
        <w:rPr>
          <w:b/>
          <w:color w:val="5B9BD5" w:themeColor="accent1"/>
          <w:u w:val="single"/>
        </w:rPr>
      </w:pPr>
    </w:p>
    <w:p w14:paraId="4BFDEF65" w14:textId="34EF8842" w:rsidR="00F169A5" w:rsidRPr="00ED5671" w:rsidRDefault="00C56BD7" w:rsidP="00A17579">
      <w:pPr>
        <w:spacing w:after="0" w:line="276" w:lineRule="auto"/>
        <w:rPr>
          <w:b/>
          <w:color w:val="5B9BD5" w:themeColor="accent1"/>
          <w:u w:val="single"/>
        </w:rPr>
      </w:pPr>
      <w:r w:rsidRPr="00ED5671">
        <w:rPr>
          <w:b/>
          <w:color w:val="5B9BD5" w:themeColor="accent1"/>
          <w:u w:val="single"/>
        </w:rPr>
        <w:t xml:space="preserve">Para. 1-19: </w:t>
      </w:r>
      <w:r w:rsidR="00B179F2" w:rsidRPr="00ED5671">
        <w:rPr>
          <w:b/>
          <w:color w:val="5B9BD5" w:themeColor="accent1"/>
          <w:u w:val="single"/>
        </w:rPr>
        <w:t>PRIIP categories</w:t>
      </w:r>
    </w:p>
    <w:p w14:paraId="59FB7E96" w14:textId="77777777" w:rsidR="00E878EF" w:rsidRDefault="00E878EF" w:rsidP="00A17579">
      <w:pPr>
        <w:spacing w:after="0" w:line="276" w:lineRule="auto"/>
        <w:jc w:val="both"/>
      </w:pPr>
    </w:p>
    <w:p w14:paraId="3BF58B07" w14:textId="196F2FF8" w:rsidR="00036014" w:rsidRDefault="00036014" w:rsidP="00A17579">
      <w:pPr>
        <w:spacing w:after="0" w:line="276" w:lineRule="auto"/>
        <w:jc w:val="both"/>
      </w:pPr>
      <w:r w:rsidRPr="00ED5671">
        <w:t>Please first consider our important comments to Q3 and Q8 regarding the creation of a separate MRM class for PRIIPs where the maximum loss may exceed the money invested.</w:t>
      </w:r>
    </w:p>
    <w:p w14:paraId="203422BA" w14:textId="77777777" w:rsidR="00E878EF" w:rsidRPr="00ED5671" w:rsidRDefault="00E878EF" w:rsidP="00A17579">
      <w:pPr>
        <w:spacing w:after="0" w:line="276" w:lineRule="auto"/>
        <w:jc w:val="both"/>
      </w:pPr>
    </w:p>
    <w:p w14:paraId="5F6CF934" w14:textId="134DDFA7" w:rsidR="00C56BD7" w:rsidRPr="00ED5671" w:rsidRDefault="00C56BD7" w:rsidP="00A17579">
      <w:pPr>
        <w:spacing w:after="0" w:line="276" w:lineRule="auto"/>
        <w:jc w:val="both"/>
        <w:rPr>
          <w:i/>
          <w:u w:val="single"/>
        </w:rPr>
      </w:pPr>
      <w:r w:rsidRPr="00ED5671">
        <w:rPr>
          <w:i/>
          <w:u w:val="single"/>
        </w:rPr>
        <w:t xml:space="preserve">PRIIP categories </w:t>
      </w:r>
      <w:r w:rsidR="00D93606" w:rsidRPr="00ED5671">
        <w:rPr>
          <w:i/>
          <w:u w:val="single"/>
        </w:rPr>
        <w:t>from a</w:t>
      </w:r>
      <w:r w:rsidRPr="00ED5671">
        <w:rPr>
          <w:i/>
          <w:u w:val="single"/>
        </w:rPr>
        <w:t xml:space="preserve"> fund</w:t>
      </w:r>
      <w:r w:rsidR="00D93606" w:rsidRPr="00ED5671">
        <w:rPr>
          <w:i/>
          <w:u w:val="single"/>
        </w:rPr>
        <w:t>’</w:t>
      </w:r>
      <w:r w:rsidRPr="00ED5671">
        <w:rPr>
          <w:i/>
          <w:u w:val="single"/>
        </w:rPr>
        <w:t>s</w:t>
      </w:r>
      <w:r w:rsidR="00D93606" w:rsidRPr="00ED5671">
        <w:rPr>
          <w:i/>
          <w:u w:val="single"/>
        </w:rPr>
        <w:t xml:space="preserve"> perspective</w:t>
      </w:r>
    </w:p>
    <w:p w14:paraId="55B389C7" w14:textId="1A7C34A9" w:rsidR="00C56BD7" w:rsidRPr="00ED5671" w:rsidRDefault="00C56BD7" w:rsidP="00A17579">
      <w:pPr>
        <w:spacing w:after="0" w:line="276" w:lineRule="auto"/>
        <w:jc w:val="both"/>
      </w:pPr>
      <w:r w:rsidRPr="00ED5671">
        <w:t xml:space="preserve">Taking the above comments into consideration, we are </w:t>
      </w:r>
      <w:r w:rsidR="006679B0" w:rsidRPr="00ED5671">
        <w:t xml:space="preserve">very unclear </w:t>
      </w:r>
      <w:r w:rsidRPr="00ED5671">
        <w:t xml:space="preserve">into which PRIIP </w:t>
      </w:r>
      <w:r w:rsidR="00FD2ED3" w:rsidRPr="00ED5671">
        <w:t>category UCITS and AIFs fall</w:t>
      </w:r>
      <w:r w:rsidR="006679B0" w:rsidRPr="00ED5671">
        <w:t>,</w:t>
      </w:r>
      <w:r w:rsidR="009C7F1D" w:rsidRPr="00ED5671">
        <w:t xml:space="preserve"> which is of utmost importance, as the MRM calculation is dependent on the PRIIPs categorisation</w:t>
      </w:r>
      <w:r w:rsidR="00FD2ED3" w:rsidRPr="00ED5671">
        <w:t xml:space="preserve">. </w:t>
      </w:r>
      <w:r w:rsidRPr="00ED5671">
        <w:t>It is our general</w:t>
      </w:r>
      <w:r w:rsidR="00FD2ED3" w:rsidRPr="00ED5671">
        <w:t xml:space="preserve"> understanding</w:t>
      </w:r>
      <w:r w:rsidRPr="00ED5671">
        <w:t xml:space="preserve"> that funds </w:t>
      </w:r>
      <w:r w:rsidR="009C7F1D" w:rsidRPr="00ED5671">
        <w:t>may</w:t>
      </w:r>
      <w:r w:rsidRPr="00ED5671">
        <w:t xml:space="preserve"> fall into the following categories:</w:t>
      </w:r>
    </w:p>
    <w:p w14:paraId="46F3A450" w14:textId="77777777" w:rsidR="00E878EF" w:rsidRDefault="00C56BD7" w:rsidP="00A17579">
      <w:pPr>
        <w:pStyle w:val="ListParagraph"/>
        <w:numPr>
          <w:ilvl w:val="0"/>
          <w:numId w:val="6"/>
        </w:numPr>
        <w:spacing w:after="0" w:line="276" w:lineRule="auto"/>
        <w:jc w:val="both"/>
        <w:rPr>
          <w:i/>
        </w:rPr>
      </w:pPr>
      <w:r w:rsidRPr="00ED5671">
        <w:rPr>
          <w:i/>
        </w:rPr>
        <w:t>Category I(a</w:t>
      </w:r>
      <w:r w:rsidR="0029284F" w:rsidRPr="00ED5671">
        <w:rPr>
          <w:i/>
        </w:rPr>
        <w:t>)</w:t>
      </w:r>
    </w:p>
    <w:p w14:paraId="01F92A28" w14:textId="77777777" w:rsidR="00E878EF" w:rsidRDefault="00455199" w:rsidP="00E878EF">
      <w:pPr>
        <w:pStyle w:val="ListParagraph"/>
        <w:spacing w:after="0" w:line="276" w:lineRule="auto"/>
        <w:ind w:left="360"/>
        <w:jc w:val="both"/>
      </w:pPr>
      <w:r w:rsidRPr="00ED5671">
        <w:t>E.g.</w:t>
      </w:r>
      <w:r w:rsidR="006679B0" w:rsidRPr="00ED5671">
        <w:t xml:space="preserve"> </w:t>
      </w:r>
      <w:r w:rsidR="0029284F" w:rsidRPr="00ED5671">
        <w:t>a</w:t>
      </w:r>
      <w:r w:rsidR="00C16275" w:rsidRPr="00ED5671">
        <w:t xml:space="preserve"> fund with maturity of up to five years with an unconditional protection of capital by a third party</w:t>
      </w:r>
      <w:r w:rsidR="006679B0" w:rsidRPr="00ED5671">
        <w:t>?</w:t>
      </w:r>
      <w:r w:rsidR="00EB0788" w:rsidRPr="00ED5671">
        <w:t xml:space="preserve"> It should also be clarified that the unconditional protection of capital refers to all the capital and not only to a percentage of it (</w:t>
      </w:r>
      <w:r w:rsidR="00036014" w:rsidRPr="00ED5671">
        <w:t>e.g.</w:t>
      </w:r>
      <w:r w:rsidR="00EB0788" w:rsidRPr="00ED5671">
        <w:t xml:space="preserve"> 95%).</w:t>
      </w:r>
    </w:p>
    <w:p w14:paraId="7DBEDDB2" w14:textId="0CB9EFFC" w:rsidR="00C56BD7" w:rsidRPr="00E878EF" w:rsidRDefault="00C56BD7" w:rsidP="00E878EF">
      <w:pPr>
        <w:pStyle w:val="ListParagraph"/>
        <w:spacing w:after="0" w:line="276" w:lineRule="auto"/>
        <w:ind w:left="360"/>
        <w:jc w:val="both"/>
        <w:rPr>
          <w:i/>
        </w:rPr>
      </w:pPr>
    </w:p>
    <w:p w14:paraId="062CD19D" w14:textId="77777777" w:rsidR="00E878EF" w:rsidRDefault="00C56BD7" w:rsidP="003308FF">
      <w:pPr>
        <w:pStyle w:val="ListParagraph"/>
        <w:numPr>
          <w:ilvl w:val="0"/>
          <w:numId w:val="6"/>
        </w:numPr>
        <w:spacing w:after="0" w:line="276" w:lineRule="auto"/>
        <w:jc w:val="both"/>
        <w:rPr>
          <w:i/>
        </w:rPr>
      </w:pPr>
      <w:r w:rsidRPr="00E878EF">
        <w:rPr>
          <w:i/>
        </w:rPr>
        <w:t xml:space="preserve">Category </w:t>
      </w:r>
      <w:r w:rsidR="00FD2ED3" w:rsidRPr="00E878EF">
        <w:rPr>
          <w:i/>
        </w:rPr>
        <w:t>II</w:t>
      </w:r>
      <w:r w:rsidR="00C16275" w:rsidRPr="00E878EF">
        <w:rPr>
          <w:i/>
        </w:rPr>
        <w:t>: Linear pay-off profile UCITS and AIFs</w:t>
      </w:r>
    </w:p>
    <w:p w14:paraId="38EA9A9C" w14:textId="77777777" w:rsidR="00E878EF" w:rsidRDefault="00C16275" w:rsidP="00E878EF">
      <w:pPr>
        <w:pStyle w:val="ListParagraph"/>
        <w:spacing w:after="0" w:line="276" w:lineRule="auto"/>
        <w:ind w:left="360"/>
        <w:jc w:val="both"/>
      </w:pPr>
      <w:r w:rsidRPr="00ED5671">
        <w:t xml:space="preserve">Category II </w:t>
      </w:r>
      <w:r w:rsidR="006679B0" w:rsidRPr="00ED5671">
        <w:t xml:space="preserve">appears to </w:t>
      </w:r>
      <w:r w:rsidRPr="00ED5671">
        <w:t>include linear pay-off profile UCITS and AIFs</w:t>
      </w:r>
      <w:r w:rsidR="0029284F" w:rsidRPr="00ED5671">
        <w:t xml:space="preserve"> and thus the bulk of fund products. If this assumption is correct</w:t>
      </w:r>
      <w:r w:rsidRPr="00ED5671">
        <w:t>, we ask the ESAs to redraft in particular the last two paragraphs of para. 10</w:t>
      </w:r>
      <w:r w:rsidR="009C7F1D" w:rsidRPr="00ED5671">
        <w:rPr>
          <w:rStyle w:val="FootnoteReference"/>
        </w:rPr>
        <w:footnoteReference w:id="5"/>
      </w:r>
      <w:r w:rsidR="00EB0788" w:rsidRPr="00ED5671">
        <w:t xml:space="preserve"> that seem to be applied together</w:t>
      </w:r>
      <w:r w:rsidRPr="00ED5671">
        <w:t xml:space="preserve">. </w:t>
      </w:r>
      <w:r w:rsidR="008A2237" w:rsidRPr="00ED5671">
        <w:t>First, th</w:t>
      </w:r>
      <w:r w:rsidR="009C7F1D" w:rsidRPr="00ED5671">
        <w:t xml:space="preserve">e second last paragraph on page 35 </w:t>
      </w:r>
      <w:r w:rsidR="0029284F" w:rsidRPr="00ED5671">
        <w:t>states that</w:t>
      </w:r>
      <w:r w:rsidR="00E878EF">
        <w:t xml:space="preserve"> </w:t>
      </w:r>
    </w:p>
    <w:p w14:paraId="084A28D9" w14:textId="77777777" w:rsidR="00E878EF" w:rsidRDefault="009C7F1D" w:rsidP="00E878EF">
      <w:pPr>
        <w:pStyle w:val="ListParagraph"/>
        <w:spacing w:after="0" w:line="276" w:lineRule="auto"/>
        <w:ind w:left="708"/>
        <w:jc w:val="both"/>
        <w:rPr>
          <w:i/>
        </w:rPr>
      </w:pPr>
      <w:r w:rsidRPr="00ED5671">
        <w:lastRenderedPageBreak/>
        <w:t>“</w:t>
      </w:r>
      <w:proofErr w:type="gramStart"/>
      <w:r w:rsidRPr="00ED5671">
        <w:rPr>
          <w:i/>
        </w:rPr>
        <w:t>where</w:t>
      </w:r>
      <w:proofErr w:type="gramEnd"/>
      <w:r w:rsidRPr="00ED5671">
        <w:rPr>
          <w:i/>
        </w:rPr>
        <w:t xml:space="preserve"> these PRIIPs have, either directly or on a synthetic basis, a delta one or a leveraged exposure on underlying asset(s) that pays a constant multiple of a market price or index”</w:t>
      </w:r>
    </w:p>
    <w:p w14:paraId="488EB9D7" w14:textId="200DB2E6" w:rsidR="0029284F" w:rsidRPr="00E878EF" w:rsidRDefault="0029284F" w:rsidP="00E878EF">
      <w:pPr>
        <w:pStyle w:val="ListParagraph"/>
        <w:spacing w:after="0" w:line="276" w:lineRule="auto"/>
        <w:ind w:left="360"/>
        <w:jc w:val="both"/>
        <w:rPr>
          <w:i/>
        </w:rPr>
      </w:pPr>
      <w:proofErr w:type="gramStart"/>
      <w:r w:rsidRPr="00ED5671">
        <w:t>which</w:t>
      </w:r>
      <w:proofErr w:type="gramEnd"/>
      <w:r w:rsidR="009C7F1D" w:rsidRPr="00ED5671">
        <w:t xml:space="preserve"> creates questions </w:t>
      </w:r>
      <w:r w:rsidR="006679B0" w:rsidRPr="00ED5671">
        <w:t xml:space="preserve">about </w:t>
      </w:r>
      <w:r w:rsidR="009C7F1D" w:rsidRPr="00ED5671">
        <w:t xml:space="preserve">what is meant to be captured by “a constant multiple of a market price or index” and whether the reference to leverage is also linked to any definition of leverage within the AIFM Directive. </w:t>
      </w:r>
      <w:r w:rsidRPr="00ED5671">
        <w:t>Second</w:t>
      </w:r>
      <w:r w:rsidR="009C7F1D" w:rsidRPr="00ED5671">
        <w:t>, the last paragraph on page 35f states that</w:t>
      </w:r>
    </w:p>
    <w:p w14:paraId="1B70A0DA" w14:textId="77777777" w:rsidR="00E878EF" w:rsidRDefault="009C7F1D" w:rsidP="00E878EF">
      <w:pPr>
        <w:spacing w:after="0" w:line="276" w:lineRule="auto"/>
        <w:ind w:left="708"/>
        <w:jc w:val="both"/>
        <w:rPr>
          <w:i/>
        </w:rPr>
      </w:pPr>
      <w:r w:rsidRPr="00ED5671">
        <w:t>“</w:t>
      </w:r>
      <w:r w:rsidRPr="00ED5671">
        <w:rPr>
          <w:i/>
        </w:rPr>
        <w:t>where at least 2 years of historical daily prices or 4 years of historical weekly prices are available, or, in the case where such minimum data are not available, where a natural benchmark or proxy exists (e.g. recently created ETF on a liquid market index), such that the data of this benchmark or proxy shall be used, on a complementary basis, in the calculation of the market risk.”</w:t>
      </w:r>
      <w:r w:rsidR="00E878EF">
        <w:rPr>
          <w:i/>
        </w:rPr>
        <w:t xml:space="preserve"> </w:t>
      </w:r>
    </w:p>
    <w:p w14:paraId="19CF1368" w14:textId="4AD78125" w:rsidR="009C7F1D" w:rsidRDefault="006679B0" w:rsidP="00E878EF">
      <w:pPr>
        <w:spacing w:after="0" w:line="276" w:lineRule="auto"/>
        <w:ind w:left="360"/>
        <w:jc w:val="both"/>
      </w:pPr>
      <w:r w:rsidRPr="00ED5671">
        <w:t>W</w:t>
      </w:r>
      <w:r w:rsidR="0029284F" w:rsidRPr="00ED5671">
        <w:t xml:space="preserve">e do not understand </w:t>
      </w:r>
      <w:r w:rsidRPr="00ED5671">
        <w:t xml:space="preserve">the </w:t>
      </w:r>
      <w:r w:rsidR="0029284F" w:rsidRPr="00ED5671">
        <w:t xml:space="preserve">intended meaning of a “natural” benchmark and </w:t>
      </w:r>
      <w:r w:rsidRPr="00ED5671">
        <w:t xml:space="preserve">wonder </w:t>
      </w:r>
      <w:r w:rsidR="0029284F" w:rsidRPr="00ED5671">
        <w:t>whether the ESAs meant “pre-existing” benchmark</w:t>
      </w:r>
      <w:r w:rsidRPr="00ED5671">
        <w:t>?</w:t>
      </w:r>
      <w:r w:rsidR="0029284F" w:rsidRPr="00ED5671">
        <w:t xml:space="preserve"> In any case, it is important to note that there are no linkage</w:t>
      </w:r>
      <w:r w:rsidRPr="00ED5671">
        <w:t>s</w:t>
      </w:r>
      <w:r w:rsidR="0029284F" w:rsidRPr="00ED5671">
        <w:t xml:space="preserve"> with the currently agreed Benchmark Regulation</w:t>
      </w:r>
      <w:r w:rsidRPr="00ED5671">
        <w:t>,</w:t>
      </w:r>
      <w:r w:rsidR="0029284F" w:rsidRPr="00ED5671">
        <w:t xml:space="preserve"> which create</w:t>
      </w:r>
      <w:r w:rsidRPr="00ED5671">
        <w:t>s</w:t>
      </w:r>
      <w:r w:rsidR="0029284F" w:rsidRPr="00ED5671">
        <w:t xml:space="preserve"> further requirements around the use of a benchmark.</w:t>
      </w:r>
    </w:p>
    <w:p w14:paraId="543844ED" w14:textId="77777777" w:rsidR="00E878EF" w:rsidRPr="00ED5671" w:rsidRDefault="00E878EF" w:rsidP="00E878EF">
      <w:pPr>
        <w:spacing w:after="0" w:line="276" w:lineRule="auto"/>
        <w:ind w:left="360"/>
        <w:jc w:val="both"/>
      </w:pPr>
    </w:p>
    <w:p w14:paraId="2A3C2B21" w14:textId="77777777" w:rsidR="00E878EF" w:rsidRDefault="00C56BD7" w:rsidP="00E878EF">
      <w:pPr>
        <w:pStyle w:val="ListParagraph"/>
        <w:numPr>
          <w:ilvl w:val="0"/>
          <w:numId w:val="6"/>
        </w:numPr>
        <w:spacing w:after="0" w:line="276" w:lineRule="auto"/>
        <w:rPr>
          <w:i/>
        </w:rPr>
      </w:pPr>
      <w:r w:rsidRPr="00ED5671">
        <w:rPr>
          <w:i/>
        </w:rPr>
        <w:t xml:space="preserve">Category </w:t>
      </w:r>
      <w:r w:rsidR="00FD2ED3" w:rsidRPr="00ED5671">
        <w:rPr>
          <w:i/>
        </w:rPr>
        <w:t>III</w:t>
      </w:r>
      <w:r w:rsidR="00C16275" w:rsidRPr="00ED5671">
        <w:rPr>
          <w:i/>
        </w:rPr>
        <w:t>: Non-linear pay-off profile UCITS and AIFs</w:t>
      </w:r>
      <w:r w:rsidR="0029284F" w:rsidRPr="00ED5671">
        <w:rPr>
          <w:i/>
        </w:rPr>
        <w:t xml:space="preserve"> (</w:t>
      </w:r>
      <w:r w:rsidR="00C16275" w:rsidRPr="00ED5671">
        <w:rPr>
          <w:i/>
        </w:rPr>
        <w:t>i.e. structured UCITS and AIFs</w:t>
      </w:r>
      <w:r w:rsidR="0029284F" w:rsidRPr="00ED5671">
        <w:rPr>
          <w:i/>
        </w:rPr>
        <w:t>)</w:t>
      </w:r>
    </w:p>
    <w:p w14:paraId="29E9B4E2" w14:textId="77777777" w:rsidR="00E878EF" w:rsidRDefault="008A2237" w:rsidP="00E878EF">
      <w:pPr>
        <w:pStyle w:val="ListParagraph"/>
        <w:spacing w:after="0" w:line="276" w:lineRule="auto"/>
        <w:ind w:left="360"/>
      </w:pPr>
      <w:r w:rsidRPr="00ED5671">
        <w:t xml:space="preserve">We ask the ESAs to take the above remarks into consideration and amend the RTS accordingly. </w:t>
      </w:r>
      <w:r w:rsidRPr="00E878EF">
        <w:rPr>
          <w:b/>
        </w:rPr>
        <w:t xml:space="preserve">The correct definition of Category II funds is paramount, as Category III funds are simply defined as “any AIFs and UCITS not falling under Category II”. </w:t>
      </w:r>
      <w:r w:rsidRPr="00ED5671">
        <w:t>An imprecise Category II definition could result in some types of funds to be considered as structured funds for its MRM calculation.</w:t>
      </w:r>
    </w:p>
    <w:p w14:paraId="71C3AED8" w14:textId="77777777" w:rsidR="00E878EF" w:rsidRDefault="00EB0788" w:rsidP="00E878EF">
      <w:pPr>
        <w:pStyle w:val="ListParagraph"/>
        <w:spacing w:after="0" w:line="276" w:lineRule="auto"/>
        <w:ind w:left="360"/>
      </w:pPr>
      <w:r w:rsidRPr="00ED5671">
        <w:t>Furthermore as Category III funds are simply defined as “any AIFs and UCITS not falling under Category II</w:t>
      </w:r>
      <w:r w:rsidRPr="00ED5671">
        <w:rPr>
          <w:b/>
        </w:rPr>
        <w:t>”</w:t>
      </w:r>
      <w:r w:rsidRPr="00ED5671">
        <w:t xml:space="preserve">, it seems that also funds with an insufficient amount of data </w:t>
      </w:r>
      <w:r w:rsidR="00036014" w:rsidRPr="00ED5671">
        <w:t>would</w:t>
      </w:r>
      <w:r w:rsidRPr="00ED5671">
        <w:t xml:space="preserve"> </w:t>
      </w:r>
      <w:r w:rsidR="00036014" w:rsidRPr="00ED5671">
        <w:t xml:space="preserve">fall </w:t>
      </w:r>
      <w:r w:rsidRPr="00ED5671">
        <w:t xml:space="preserve">under Category III. </w:t>
      </w:r>
      <w:r w:rsidR="00ED5671">
        <w:t>T</w:t>
      </w:r>
      <w:r w:rsidRPr="00ED5671">
        <w:t>hese type</w:t>
      </w:r>
      <w:r w:rsidR="00ED5671">
        <w:t>s</w:t>
      </w:r>
      <w:r w:rsidRPr="00ED5671">
        <w:t xml:space="preserve"> of funds should be excluded from Category III. </w:t>
      </w:r>
    </w:p>
    <w:p w14:paraId="2110F1CE" w14:textId="7B179006" w:rsidR="00EB0788" w:rsidRDefault="00C25113" w:rsidP="00E878EF">
      <w:pPr>
        <w:pStyle w:val="ListParagraph"/>
        <w:spacing w:after="0" w:line="276" w:lineRule="auto"/>
        <w:ind w:left="360"/>
      </w:pPr>
      <w:r w:rsidRPr="00ED5671">
        <w:t>This is particularly relevant for two points of para. 17</w:t>
      </w:r>
      <w:r w:rsidRPr="00ED5671">
        <w:rPr>
          <w:rStyle w:val="FootnoteReference"/>
        </w:rPr>
        <w:footnoteReference w:id="6"/>
      </w:r>
      <w:r w:rsidRPr="00ED5671">
        <w:t xml:space="preserve">. </w:t>
      </w:r>
      <w:r w:rsidR="00036014" w:rsidRPr="00ED5671">
        <w:t xml:space="preserve">As explained further below (Para. 20-29), we believe that </w:t>
      </w:r>
      <w:r w:rsidR="00ED5671">
        <w:t xml:space="preserve">use of </w:t>
      </w:r>
      <w:r w:rsidR="00036014" w:rsidRPr="00ED5671">
        <w:t>daily price</w:t>
      </w:r>
      <w:r w:rsidR="00ED5671">
        <w:t>s will</w:t>
      </w:r>
      <w:r w:rsidR="00036014" w:rsidRPr="00ED5671">
        <w:t xml:space="preserve"> create </w:t>
      </w:r>
      <w:r w:rsidRPr="00ED5671">
        <w:t xml:space="preserve">unnecessary </w:t>
      </w:r>
      <w:r w:rsidR="00036014" w:rsidRPr="00ED5671">
        <w:t xml:space="preserve">noise for the calculations. </w:t>
      </w:r>
      <w:r w:rsidR="00462832" w:rsidRPr="00ED5671">
        <w:t>Instead</w:t>
      </w:r>
      <w:r w:rsidR="00036014" w:rsidRPr="00ED5671">
        <w:t xml:space="preserve">, at </w:t>
      </w:r>
      <w:r w:rsidR="00462832" w:rsidRPr="00ED5671">
        <w:t>most</w:t>
      </w:r>
      <w:r w:rsidR="00036014" w:rsidRPr="00ED5671">
        <w:t xml:space="preserve"> weekly </w:t>
      </w:r>
      <w:r w:rsidR="00B61AAF" w:rsidRPr="00ED5671">
        <w:t xml:space="preserve">or monthly </w:t>
      </w:r>
      <w:r w:rsidR="00036014" w:rsidRPr="00ED5671">
        <w:t>prices should be used.</w:t>
      </w:r>
      <w:r w:rsidRPr="00ED5671">
        <w:t xml:space="preserve"> Secondly, the reference to 500 historical data prices contradicts the later mentioning of 5 years’ data. </w:t>
      </w:r>
    </w:p>
    <w:p w14:paraId="23B8CE73" w14:textId="77777777" w:rsidR="00E878EF" w:rsidRPr="00ED5671" w:rsidRDefault="00E878EF" w:rsidP="00E878EF">
      <w:pPr>
        <w:pStyle w:val="ListParagraph"/>
        <w:spacing w:after="0" w:line="276" w:lineRule="auto"/>
        <w:ind w:left="360"/>
      </w:pPr>
    </w:p>
    <w:p w14:paraId="31755516" w14:textId="77777777" w:rsidR="00E878EF" w:rsidRDefault="00C56BD7" w:rsidP="00A17579">
      <w:pPr>
        <w:pStyle w:val="ListParagraph"/>
        <w:numPr>
          <w:ilvl w:val="0"/>
          <w:numId w:val="6"/>
        </w:numPr>
        <w:spacing w:after="0" w:line="276" w:lineRule="auto"/>
        <w:jc w:val="both"/>
        <w:rPr>
          <w:i/>
        </w:rPr>
      </w:pPr>
      <w:r w:rsidRPr="00ED5671">
        <w:rPr>
          <w:i/>
        </w:rPr>
        <w:t xml:space="preserve">Category </w:t>
      </w:r>
      <w:r w:rsidR="00FD2ED3" w:rsidRPr="00ED5671">
        <w:rPr>
          <w:i/>
        </w:rPr>
        <w:t>V</w:t>
      </w:r>
      <w:r w:rsidR="00C16275" w:rsidRPr="00ED5671">
        <w:rPr>
          <w:i/>
        </w:rPr>
        <w:t xml:space="preserve">: Fund with </w:t>
      </w:r>
      <w:r w:rsidR="00EB0788" w:rsidRPr="00ED5671">
        <w:rPr>
          <w:i/>
        </w:rPr>
        <w:t xml:space="preserve">insufficient amount of data or </w:t>
      </w:r>
      <w:r w:rsidR="00C16275" w:rsidRPr="00ED5671">
        <w:rPr>
          <w:i/>
        </w:rPr>
        <w:t>holding illiquid assets</w:t>
      </w:r>
    </w:p>
    <w:p w14:paraId="40995C04" w14:textId="77777777" w:rsidR="00E878EF" w:rsidRDefault="00EB0788" w:rsidP="00E878EF">
      <w:pPr>
        <w:pStyle w:val="ListParagraph"/>
        <w:spacing w:after="0" w:line="276" w:lineRule="auto"/>
        <w:ind w:left="360"/>
        <w:jc w:val="both"/>
      </w:pPr>
      <w:r w:rsidRPr="00ED5671">
        <w:t>In our understanding, to assess the MRM for funds with insufficient history and for which is not possible</w:t>
      </w:r>
      <w:r w:rsidR="00462832" w:rsidRPr="00ED5671">
        <w:t xml:space="preserve"> to</w:t>
      </w:r>
      <w:r w:rsidRPr="00ED5671">
        <w:t xml:space="preserve"> use a benchmark or proxy a qualitative approach should be used. The ESAs suggest a table with different risk categories on the basis of the “type of the funds”. </w:t>
      </w:r>
    </w:p>
    <w:p w14:paraId="6FEAE76C" w14:textId="566BCDD5" w:rsidR="00B729E9" w:rsidRDefault="00EB0788" w:rsidP="00E878EF">
      <w:pPr>
        <w:pStyle w:val="ListParagraph"/>
        <w:spacing w:after="0" w:line="276" w:lineRule="auto"/>
        <w:ind w:left="360"/>
        <w:jc w:val="both"/>
      </w:pPr>
      <w:r w:rsidRPr="00ED5671">
        <w:t xml:space="preserve">We have some concerns </w:t>
      </w:r>
      <w:r w:rsidR="00D768FA" w:rsidRPr="00ED5671">
        <w:t>about</w:t>
      </w:r>
      <w:r w:rsidRPr="00ED5671">
        <w:t xml:space="preserve"> this proposal because the MRM class for a new absolute return or total return fund with a dynamic allocation seems always to be 5 at the minimum and this would not always be correct. An incorrect risk representation could also incur for other types of funds which have a dynamic asset allocation between the same “</w:t>
      </w:r>
      <w:proofErr w:type="gramStart"/>
      <w:r w:rsidRPr="00ED5671">
        <w:t>type</w:t>
      </w:r>
      <w:proofErr w:type="gramEnd"/>
      <w:r w:rsidRPr="00ED5671">
        <w:t xml:space="preserve"> of funds”.</w:t>
      </w:r>
      <w:r w:rsidR="00ED5671">
        <w:t xml:space="preserve"> </w:t>
      </w:r>
      <w:r w:rsidRPr="00ED5671">
        <w:t xml:space="preserve">We also ask the ESAs to clarify </w:t>
      </w:r>
      <w:r w:rsidR="00C25113" w:rsidRPr="00ED5671">
        <w:t>para.</w:t>
      </w:r>
      <w:r w:rsidRPr="00ED5671">
        <w:t xml:space="preserve"> 13(a</w:t>
      </w:r>
      <w:proofErr w:type="gramStart"/>
      <w:r w:rsidRPr="00ED5671">
        <w:t>)(</w:t>
      </w:r>
      <w:proofErr w:type="gramEnd"/>
      <w:r w:rsidRPr="00ED5671">
        <w:t>ii) wi</w:t>
      </w:r>
      <w:r w:rsidR="00C25113" w:rsidRPr="00ED5671">
        <w:t xml:space="preserve">th regard to insufficient data. </w:t>
      </w:r>
      <w:r w:rsidRPr="00ED5671">
        <w:t>Indeed, the added</w:t>
      </w:r>
      <w:r w:rsidR="00C25113" w:rsidRPr="00ED5671">
        <w:t xml:space="preserve"> </w:t>
      </w:r>
      <w:r w:rsidRPr="00ED5671">
        <w:t xml:space="preserve">value of this statement is unclear, as there are other paragraphs already dealing with rules on insufficient data: Category II, </w:t>
      </w:r>
      <w:r w:rsidRPr="00ED5671">
        <w:lastRenderedPageBreak/>
        <w:t xml:space="preserve">par. 10 last sentences ((2 years historical daily prices or 4 years of historical weekly prices/proxy are available) and Category V, par. 17. </w:t>
      </w:r>
    </w:p>
    <w:p w14:paraId="00C4500E" w14:textId="77777777" w:rsidR="00E878EF" w:rsidRDefault="00E878EF" w:rsidP="00E878EF">
      <w:pPr>
        <w:pStyle w:val="ListParagraph"/>
        <w:spacing w:after="0" w:line="276" w:lineRule="auto"/>
        <w:ind w:left="360"/>
        <w:jc w:val="both"/>
      </w:pPr>
    </w:p>
    <w:p w14:paraId="063FDD3D" w14:textId="77777777" w:rsidR="00E878EF" w:rsidRPr="00E878EF" w:rsidRDefault="00E878EF" w:rsidP="00E878EF">
      <w:pPr>
        <w:pStyle w:val="ListParagraph"/>
        <w:spacing w:after="0" w:line="276" w:lineRule="auto"/>
        <w:ind w:left="360"/>
        <w:jc w:val="both"/>
        <w:rPr>
          <w:i/>
        </w:rPr>
      </w:pPr>
    </w:p>
    <w:p w14:paraId="4FA83336" w14:textId="0C37825A" w:rsidR="00710701" w:rsidRPr="00ED5671" w:rsidRDefault="000B5C15" w:rsidP="00A17579">
      <w:pPr>
        <w:spacing w:after="0" w:line="276" w:lineRule="auto"/>
        <w:rPr>
          <w:b/>
          <w:color w:val="5B9BD5" w:themeColor="accent1"/>
          <w:u w:val="single"/>
        </w:rPr>
      </w:pPr>
      <w:r w:rsidRPr="00ED5671">
        <w:rPr>
          <w:b/>
          <w:color w:val="5B9BD5" w:themeColor="accent1"/>
          <w:u w:val="single"/>
        </w:rPr>
        <w:t>Para. 20-52: Calculation m</w:t>
      </w:r>
      <w:r w:rsidR="00710701" w:rsidRPr="00ED5671">
        <w:rPr>
          <w:b/>
          <w:color w:val="5B9BD5" w:themeColor="accent1"/>
          <w:u w:val="single"/>
        </w:rPr>
        <w:t>ethodology of MRM</w:t>
      </w:r>
    </w:p>
    <w:p w14:paraId="5B1730D2" w14:textId="77777777" w:rsidR="00E878EF" w:rsidRDefault="00E878EF" w:rsidP="00A17579">
      <w:pPr>
        <w:spacing w:after="0" w:line="276" w:lineRule="auto"/>
        <w:jc w:val="both"/>
      </w:pPr>
    </w:p>
    <w:p w14:paraId="41C15155" w14:textId="1A31E024" w:rsidR="00C25113" w:rsidRDefault="009B4EB5" w:rsidP="00A17579">
      <w:pPr>
        <w:spacing w:after="0" w:line="276" w:lineRule="auto"/>
        <w:jc w:val="both"/>
      </w:pPr>
      <w:r w:rsidRPr="00ED5671">
        <w:t xml:space="preserve">We </w:t>
      </w:r>
      <w:r w:rsidR="000B5C15" w:rsidRPr="00ED5671">
        <w:t xml:space="preserve">regrettably </w:t>
      </w:r>
      <w:r w:rsidRPr="00ED5671">
        <w:t xml:space="preserve">also consider the drafting of the MRM methodologies of </w:t>
      </w:r>
      <w:r w:rsidR="000B5C15" w:rsidRPr="00ED5671">
        <w:t xml:space="preserve">overall </w:t>
      </w:r>
      <w:r w:rsidRPr="00ED5671">
        <w:t xml:space="preserve">low quality </w:t>
      </w:r>
      <w:r w:rsidR="006679B0" w:rsidRPr="00ED5671">
        <w:t xml:space="preserve">and in </w:t>
      </w:r>
      <w:r w:rsidR="000B5C15" w:rsidRPr="00ED5671">
        <w:t xml:space="preserve">some </w:t>
      </w:r>
      <w:r w:rsidR="006679B0" w:rsidRPr="00ED5671">
        <w:t xml:space="preserve">places </w:t>
      </w:r>
      <w:r w:rsidRPr="00ED5671">
        <w:t>technically wrong</w:t>
      </w:r>
      <w:r w:rsidR="00C25113" w:rsidRPr="00ED5671">
        <w:t>, as was confirmed by the ESAs through the publication of an errata</w:t>
      </w:r>
      <w:r w:rsidRPr="00ED5671">
        <w:t xml:space="preserve">. </w:t>
      </w:r>
      <w:r w:rsidR="000F12F1" w:rsidRPr="00ED5671">
        <w:t xml:space="preserve">The initial feedback we received by experts was that the current drafting is unnecessarily complex and should thus be simplified. </w:t>
      </w:r>
      <w:r w:rsidR="000B5C15" w:rsidRPr="00ED5671">
        <w:t xml:space="preserve">Notwithstanding our below comments, it is of utmost importance that the language and formulas used </w:t>
      </w:r>
      <w:r w:rsidR="000F12F1" w:rsidRPr="00ED5671">
        <w:t xml:space="preserve">(i.e. convention of terminology, symbols, and formulas) </w:t>
      </w:r>
      <w:r w:rsidR="000B5C15" w:rsidRPr="00ED5671">
        <w:t>in this section is understood by quantitative analyst</w:t>
      </w:r>
      <w:r w:rsidR="000F12F1" w:rsidRPr="00ED5671">
        <w:t>s that are ultimately responsible for the calculation of the MRM. Going into more detail, we have the following remarks.</w:t>
      </w:r>
      <w:r w:rsidR="00E878EF">
        <w:t xml:space="preserve"> </w:t>
      </w:r>
    </w:p>
    <w:p w14:paraId="03D4EA6C" w14:textId="77777777" w:rsidR="00E878EF" w:rsidRPr="00ED5671" w:rsidRDefault="00E878EF" w:rsidP="00A17579">
      <w:pPr>
        <w:spacing w:after="0" w:line="276" w:lineRule="auto"/>
        <w:jc w:val="both"/>
      </w:pPr>
    </w:p>
    <w:p w14:paraId="2FED85E5" w14:textId="29D1354A" w:rsidR="00392672" w:rsidRPr="00E878EF" w:rsidRDefault="000F12F1" w:rsidP="00E878EF">
      <w:pPr>
        <w:spacing w:after="0" w:line="276" w:lineRule="auto"/>
        <w:rPr>
          <w:b/>
          <w:color w:val="5B9BD5" w:themeColor="accent1"/>
          <w:u w:val="single"/>
        </w:rPr>
      </w:pPr>
      <w:r w:rsidRPr="00E878EF">
        <w:rPr>
          <w:b/>
          <w:color w:val="5B9BD5" w:themeColor="accent1"/>
          <w:u w:val="single"/>
        </w:rPr>
        <w:t xml:space="preserve">Para. 20-29: </w:t>
      </w:r>
      <w:r w:rsidR="00392672" w:rsidRPr="00E878EF">
        <w:rPr>
          <w:b/>
          <w:color w:val="5B9BD5" w:themeColor="accent1"/>
          <w:u w:val="single"/>
        </w:rPr>
        <w:t xml:space="preserve">“Cornish Fisher” </w:t>
      </w:r>
      <w:proofErr w:type="spellStart"/>
      <w:r w:rsidR="00392672" w:rsidRPr="00E878EF">
        <w:rPr>
          <w:b/>
          <w:color w:val="5B9BD5" w:themeColor="accent1"/>
          <w:u w:val="single"/>
        </w:rPr>
        <w:t>VaR</w:t>
      </w:r>
      <w:proofErr w:type="spellEnd"/>
      <w:r w:rsidR="00392672" w:rsidRPr="00E878EF">
        <w:rPr>
          <w:b/>
          <w:color w:val="5B9BD5" w:themeColor="accent1"/>
          <w:u w:val="single"/>
        </w:rPr>
        <w:t xml:space="preserve"> for Category II PRIIPs</w:t>
      </w:r>
    </w:p>
    <w:p w14:paraId="14A7C6CA" w14:textId="77777777" w:rsidR="00E878EF" w:rsidRDefault="00E878EF" w:rsidP="00A17579">
      <w:pPr>
        <w:spacing w:after="0" w:line="276" w:lineRule="auto"/>
        <w:jc w:val="both"/>
      </w:pPr>
    </w:p>
    <w:p w14:paraId="35319425" w14:textId="4DBEFCE5" w:rsidR="000F12F1" w:rsidRDefault="000F12F1" w:rsidP="00A17579">
      <w:pPr>
        <w:spacing w:after="0" w:line="276" w:lineRule="auto"/>
        <w:jc w:val="both"/>
      </w:pPr>
      <w:r w:rsidRPr="00ED5671">
        <w:t xml:space="preserve">The ESAs </w:t>
      </w:r>
      <w:r w:rsidR="00392672" w:rsidRPr="00ED5671">
        <w:t>suggest to use daily prices</w:t>
      </w:r>
      <w:r w:rsidRPr="00ED5671">
        <w:t xml:space="preserve"> for the </w:t>
      </w:r>
      <w:proofErr w:type="spellStart"/>
      <w:r w:rsidRPr="00ED5671">
        <w:t>VaR</w:t>
      </w:r>
      <w:proofErr w:type="spellEnd"/>
      <w:r w:rsidRPr="00ED5671">
        <w:t xml:space="preserve"> calculation</w:t>
      </w:r>
      <w:r w:rsidR="00392672" w:rsidRPr="00ED5671">
        <w:t xml:space="preserve">. </w:t>
      </w:r>
      <w:r w:rsidR="00232E85" w:rsidRPr="00ED5671">
        <w:t>D</w:t>
      </w:r>
      <w:r w:rsidR="00392672" w:rsidRPr="00ED5671">
        <w:t>aily prices</w:t>
      </w:r>
      <w:r w:rsidR="00232E85" w:rsidRPr="00ED5671">
        <w:t xml:space="preserve"> produce much “noise”,</w:t>
      </w:r>
      <w:r w:rsidR="00392672" w:rsidRPr="00ED5671">
        <w:t xml:space="preserve"> </w:t>
      </w:r>
      <w:r w:rsidR="00232E85" w:rsidRPr="00ED5671">
        <w:t xml:space="preserve">which </w:t>
      </w:r>
      <w:r w:rsidR="00392672" w:rsidRPr="00ED5671">
        <w:t xml:space="preserve">will distort the </w:t>
      </w:r>
      <w:proofErr w:type="spellStart"/>
      <w:r w:rsidR="00392672" w:rsidRPr="00ED5671">
        <w:t>VaR</w:t>
      </w:r>
      <w:proofErr w:type="spellEnd"/>
      <w:r w:rsidR="00392672" w:rsidRPr="00ED5671">
        <w:t xml:space="preserve"> calculations. </w:t>
      </w:r>
      <w:r w:rsidR="00232E85" w:rsidRPr="00ED5671">
        <w:t xml:space="preserve">Instead, </w:t>
      </w:r>
      <w:r w:rsidR="00392672" w:rsidRPr="00ED5671">
        <w:t xml:space="preserve">weekly prices </w:t>
      </w:r>
      <w:r w:rsidR="00B61AAF" w:rsidRPr="00ED5671">
        <w:t xml:space="preserve">or monthly </w:t>
      </w:r>
      <w:r w:rsidR="00232E85" w:rsidRPr="00ED5671">
        <w:t xml:space="preserve">should be used, which will </w:t>
      </w:r>
      <w:r w:rsidRPr="00ED5671">
        <w:t>still allow for enough sample data to be collected</w:t>
      </w:r>
      <w:r w:rsidR="00392672" w:rsidRPr="00ED5671">
        <w:t>.</w:t>
      </w:r>
      <w:r w:rsidR="00C25113" w:rsidRPr="00ED5671">
        <w:t xml:space="preserve"> The use of weekly prices or monthly prices, where possible, in line with the UCITS SRI methodologies also overcomes operational problems for fund</w:t>
      </w:r>
      <w:r w:rsidR="00B61AAF" w:rsidRPr="00ED5671">
        <w:t>s that do not have a daily NAV</w:t>
      </w:r>
      <w:r w:rsidR="00C25113" w:rsidRPr="00ED5671">
        <w:t>.</w:t>
      </w:r>
    </w:p>
    <w:p w14:paraId="0381EFC7" w14:textId="77777777" w:rsidR="00E878EF" w:rsidRPr="00ED5671" w:rsidRDefault="00E878EF" w:rsidP="00A17579">
      <w:pPr>
        <w:spacing w:after="0" w:line="276" w:lineRule="auto"/>
        <w:jc w:val="both"/>
      </w:pPr>
    </w:p>
    <w:p w14:paraId="7CC3759F" w14:textId="4BBBABDD" w:rsidR="00351608" w:rsidRDefault="000F12F1" w:rsidP="00A17579">
      <w:pPr>
        <w:spacing w:after="0" w:line="276" w:lineRule="auto"/>
        <w:jc w:val="both"/>
      </w:pPr>
      <w:r w:rsidRPr="00ED5671">
        <w:t>Also, t</w:t>
      </w:r>
      <w:r w:rsidR="00351608" w:rsidRPr="00ED5671">
        <w:t xml:space="preserve">he </w:t>
      </w:r>
      <w:proofErr w:type="spellStart"/>
      <w:r w:rsidR="00351608" w:rsidRPr="00ED5671">
        <w:t>VaR</w:t>
      </w:r>
      <w:proofErr w:type="spellEnd"/>
      <w:r w:rsidR="00351608" w:rsidRPr="00ED5671">
        <w:t xml:space="preserve"> calculation is based on the recommended holding period (RHP) in years (para. 28). Since this assumed RHP may be different from one manufacturer to the next, this</w:t>
      </w:r>
      <w:r w:rsidRPr="00ED5671">
        <w:t xml:space="preserve"> may</w:t>
      </w:r>
      <w:r w:rsidR="00351608" w:rsidRPr="00ED5671">
        <w:t xml:space="preserve"> </w:t>
      </w:r>
      <w:r w:rsidR="00DE32DF" w:rsidRPr="00ED5671">
        <w:t xml:space="preserve">result in </w:t>
      </w:r>
      <w:r w:rsidRPr="00ED5671">
        <w:t xml:space="preserve">different MRM for the same </w:t>
      </w:r>
      <w:r w:rsidR="003D495E" w:rsidRPr="00ED5671">
        <w:t>underlying</w:t>
      </w:r>
      <w:r w:rsidR="000A736C" w:rsidRPr="00ED5671">
        <w:t xml:space="preserve"> of a PRIIP due to differently assumed RHPs.</w:t>
      </w:r>
    </w:p>
    <w:p w14:paraId="2AD86835" w14:textId="77777777" w:rsidR="00E878EF" w:rsidRDefault="00E878EF" w:rsidP="00A17579">
      <w:pPr>
        <w:spacing w:after="0" w:line="276" w:lineRule="auto"/>
        <w:jc w:val="both"/>
      </w:pPr>
    </w:p>
    <w:p w14:paraId="4B227499" w14:textId="77777777" w:rsidR="00E878EF" w:rsidRPr="00ED5671" w:rsidRDefault="00E878EF" w:rsidP="00A17579">
      <w:pPr>
        <w:spacing w:after="0" w:line="276" w:lineRule="auto"/>
        <w:jc w:val="both"/>
      </w:pPr>
    </w:p>
    <w:p w14:paraId="057CD99C" w14:textId="3C51BE62" w:rsidR="009A2D22" w:rsidRPr="00ED5671" w:rsidRDefault="009A2D22" w:rsidP="00A17579">
      <w:pPr>
        <w:spacing w:after="0" w:line="276" w:lineRule="auto"/>
        <w:rPr>
          <w:b/>
          <w:color w:val="5B9BD5" w:themeColor="accent1"/>
          <w:u w:val="single"/>
        </w:rPr>
      </w:pPr>
      <w:r w:rsidRPr="00ED5671">
        <w:rPr>
          <w:b/>
          <w:color w:val="5B9BD5" w:themeColor="accent1"/>
          <w:u w:val="single"/>
        </w:rPr>
        <w:t>Part 2: Methodology for the credit risk assessment</w:t>
      </w:r>
    </w:p>
    <w:p w14:paraId="03DFE608" w14:textId="77777777" w:rsidR="00E878EF" w:rsidRDefault="00E878EF" w:rsidP="00A17579">
      <w:pPr>
        <w:spacing w:after="0" w:line="276" w:lineRule="auto"/>
        <w:jc w:val="both"/>
        <w:rPr>
          <w:i/>
          <w:u w:val="single"/>
        </w:rPr>
      </w:pPr>
    </w:p>
    <w:p w14:paraId="3AEB62B0" w14:textId="7335DCC4" w:rsidR="00B77B98" w:rsidRPr="00ED5671" w:rsidRDefault="00B77B98" w:rsidP="00A17579">
      <w:pPr>
        <w:spacing w:after="0" w:line="276" w:lineRule="auto"/>
        <w:jc w:val="both"/>
        <w:rPr>
          <w:i/>
          <w:u w:val="single"/>
        </w:rPr>
      </w:pPr>
      <w:r w:rsidRPr="00ED5671">
        <w:rPr>
          <w:i/>
          <w:u w:val="single"/>
        </w:rPr>
        <w:t>No credit risk assessment for AIFs and UCITS</w:t>
      </w:r>
    </w:p>
    <w:p w14:paraId="4DCC182A" w14:textId="5C5FA3AA" w:rsidR="00C24C9C" w:rsidRDefault="00B64ABB" w:rsidP="00A17579">
      <w:pPr>
        <w:spacing w:after="0" w:line="276" w:lineRule="auto"/>
        <w:jc w:val="both"/>
      </w:pPr>
      <w:r w:rsidRPr="00ED5671">
        <w:t>We strongly support para. 54 (p. 40)</w:t>
      </w:r>
      <w:r w:rsidR="00717F3A" w:rsidRPr="00ED5671">
        <w:t>, which</w:t>
      </w:r>
      <w:r w:rsidRPr="00ED5671">
        <w:t xml:space="preserve"> </w:t>
      </w:r>
      <w:r w:rsidR="00C24C9C" w:rsidRPr="00ED5671">
        <w:t>stat</w:t>
      </w:r>
      <w:r w:rsidR="00717F3A" w:rsidRPr="00ED5671">
        <w:t>es</w:t>
      </w:r>
      <w:r w:rsidRPr="00ED5671">
        <w:t xml:space="preserve"> that credit risk shall </w:t>
      </w:r>
      <w:r w:rsidR="00387334" w:rsidRPr="00ED5671">
        <w:t xml:space="preserve">not </w:t>
      </w:r>
      <w:r w:rsidRPr="00ED5671">
        <w:t>be assess</w:t>
      </w:r>
      <w:r w:rsidR="000A670E" w:rsidRPr="00ED5671">
        <w:t>ed</w:t>
      </w:r>
      <w:r w:rsidRPr="00ED5671">
        <w:t xml:space="preserve"> for AIFs and UCITS. Nonetheless, a statement is missing that these UCITS/AIFs are therefore automatically categorised as CR1. Additionally</w:t>
      </w:r>
      <w:r w:rsidR="00387334" w:rsidRPr="00ED5671">
        <w:t xml:space="preserve"> </w:t>
      </w:r>
      <w:r w:rsidR="00717F3A" w:rsidRPr="00ED5671">
        <w:t xml:space="preserve">in order </w:t>
      </w:r>
      <w:r w:rsidR="00387334" w:rsidRPr="00ED5671">
        <w:t xml:space="preserve">properly </w:t>
      </w:r>
      <w:r w:rsidR="00717F3A" w:rsidRPr="00ED5671">
        <w:t xml:space="preserve">to </w:t>
      </w:r>
      <w:r w:rsidR="00387334" w:rsidRPr="00ED5671">
        <w:t>inform investors</w:t>
      </w:r>
      <w:r w:rsidRPr="00ED5671">
        <w:t>, the KID should</w:t>
      </w:r>
      <w:r w:rsidR="00387334" w:rsidRPr="00ED5671">
        <w:t xml:space="preserve"> </w:t>
      </w:r>
      <w:r w:rsidR="000A670E" w:rsidRPr="00ED5671">
        <w:t>include a</w:t>
      </w:r>
      <w:r w:rsidRPr="00ED5671">
        <w:t xml:space="preserve"> short </w:t>
      </w:r>
      <w:r w:rsidR="00717F3A" w:rsidRPr="00ED5671">
        <w:t xml:space="preserve">statement </w:t>
      </w:r>
      <w:r w:rsidR="00387334" w:rsidRPr="00ED5671">
        <w:t xml:space="preserve">that </w:t>
      </w:r>
      <w:r w:rsidRPr="00ED5671">
        <w:t xml:space="preserve">these UCITS/AIFs </w:t>
      </w:r>
      <w:r w:rsidR="00717F3A" w:rsidRPr="00ED5671">
        <w:t xml:space="preserve">do not carry </w:t>
      </w:r>
      <w:r w:rsidR="000A670E" w:rsidRPr="00ED5671">
        <w:t>C</w:t>
      </w:r>
      <w:r w:rsidR="00387334" w:rsidRPr="00ED5671">
        <w:t xml:space="preserve">redit </w:t>
      </w:r>
      <w:r w:rsidRPr="00ED5671">
        <w:t>R</w:t>
      </w:r>
      <w:r w:rsidR="00387334" w:rsidRPr="00ED5671">
        <w:t>isk (CR)</w:t>
      </w:r>
      <w:r w:rsidRPr="00ED5671">
        <w:t>.</w:t>
      </w:r>
    </w:p>
    <w:p w14:paraId="6F39588A" w14:textId="77777777" w:rsidR="00E878EF" w:rsidRPr="00ED5671" w:rsidRDefault="00E878EF" w:rsidP="00A17579">
      <w:pPr>
        <w:spacing w:after="0" w:line="276" w:lineRule="auto"/>
        <w:jc w:val="both"/>
      </w:pPr>
    </w:p>
    <w:p w14:paraId="4417E67F" w14:textId="43A31F6C" w:rsidR="00B61AAF" w:rsidRDefault="00B64ABB" w:rsidP="00A17579">
      <w:pPr>
        <w:spacing w:after="0" w:line="276" w:lineRule="auto"/>
        <w:jc w:val="both"/>
      </w:pPr>
      <w:r w:rsidRPr="00ED5671">
        <w:t>Nevertheless</w:t>
      </w:r>
      <w:r w:rsidR="00717F3A" w:rsidRPr="00ED5671">
        <w:t>,</w:t>
      </w:r>
      <w:r w:rsidRPr="00ED5671">
        <w:t xml:space="preserve"> </w:t>
      </w:r>
      <w:r w:rsidR="00B002E3" w:rsidRPr="00ED5671">
        <w:t xml:space="preserve">while </w:t>
      </w:r>
      <w:r w:rsidR="00C24C9C" w:rsidRPr="00ED5671">
        <w:t>certain UCITS and AIFs</w:t>
      </w:r>
      <w:r w:rsidR="00B002E3" w:rsidRPr="00ED5671">
        <w:t xml:space="preserve"> are exempted, the explanatory text for para. 55 </w:t>
      </w:r>
      <w:proofErr w:type="gramStart"/>
      <w:r w:rsidR="00B77B98" w:rsidRPr="00ED5671">
        <w:t>lit(</w:t>
      </w:r>
      <w:proofErr w:type="gramEnd"/>
      <w:r w:rsidR="00B77B98" w:rsidRPr="00ED5671">
        <w:t xml:space="preserve">b), </w:t>
      </w:r>
      <w:r w:rsidR="00B002E3" w:rsidRPr="00ED5671">
        <w:t>page 76</w:t>
      </w:r>
      <w:r w:rsidR="00B77B98" w:rsidRPr="00ED5671">
        <w:t>,</w:t>
      </w:r>
      <w:r w:rsidR="00B002E3" w:rsidRPr="00ED5671">
        <w:t xml:space="preserve"> makes</w:t>
      </w:r>
      <w:r w:rsidRPr="00ED5671">
        <w:t xml:space="preserve"> </w:t>
      </w:r>
      <w:r w:rsidR="00B002E3" w:rsidRPr="00ED5671">
        <w:t xml:space="preserve">direct </w:t>
      </w:r>
      <w:r w:rsidR="00C24C9C" w:rsidRPr="00ED5671">
        <w:t>references to AIFs</w:t>
      </w:r>
      <w:r w:rsidR="00717F3A" w:rsidRPr="00ED5671">
        <w:t>,</w:t>
      </w:r>
      <w:r w:rsidR="00C24C9C" w:rsidRPr="00ED5671">
        <w:t xml:space="preserve"> which requires f</w:t>
      </w:r>
      <w:r w:rsidR="00B002E3" w:rsidRPr="00ED5671">
        <w:t>urther</w:t>
      </w:r>
      <w:r w:rsidR="00C24C9C" w:rsidRPr="00ED5671">
        <w:t xml:space="preserve"> clarification</w:t>
      </w:r>
      <w:r w:rsidR="00F26228" w:rsidRPr="00ED5671">
        <w:t xml:space="preserve"> </w:t>
      </w:r>
      <w:r w:rsidR="00C24C9C" w:rsidRPr="00ED5671">
        <w:t>from the ESAs</w:t>
      </w:r>
      <w:r w:rsidR="00F26228" w:rsidRPr="00ED5671">
        <w:t xml:space="preserve">. </w:t>
      </w:r>
      <w:r w:rsidR="00717F3A" w:rsidRPr="00ED5671">
        <w:t>I</w:t>
      </w:r>
      <w:r w:rsidR="00B77B98" w:rsidRPr="00ED5671">
        <w:t>nstead of “AIFs”</w:t>
      </w:r>
      <w:r w:rsidR="00717F3A" w:rsidRPr="00ED5671">
        <w:t>, we believe</w:t>
      </w:r>
      <w:r w:rsidR="00B77B98" w:rsidRPr="00ED5671">
        <w:t xml:space="preserve"> it should correctly refer </w:t>
      </w:r>
      <w:r w:rsidR="00F26228" w:rsidRPr="00ED5671">
        <w:t xml:space="preserve">to </w:t>
      </w:r>
      <w:r w:rsidR="00B77B98" w:rsidRPr="00ED5671">
        <w:t>“</w:t>
      </w:r>
      <w:r w:rsidR="00F26228" w:rsidRPr="00ED5671">
        <w:t>structured notes</w:t>
      </w:r>
      <w:r w:rsidR="00B77B98" w:rsidRPr="00ED5671">
        <w:t>”</w:t>
      </w:r>
      <w:r w:rsidR="00F26228" w:rsidRPr="00ED5671">
        <w:t>.</w:t>
      </w:r>
    </w:p>
    <w:p w14:paraId="0606A61D" w14:textId="77777777" w:rsidR="00E878EF" w:rsidRDefault="00E878EF" w:rsidP="00A17579">
      <w:pPr>
        <w:spacing w:after="0" w:line="276" w:lineRule="auto"/>
        <w:jc w:val="both"/>
      </w:pPr>
    </w:p>
    <w:p w14:paraId="481F634D" w14:textId="77777777" w:rsidR="00E878EF" w:rsidRPr="00ED5671" w:rsidRDefault="00E878EF" w:rsidP="00A17579">
      <w:pPr>
        <w:spacing w:after="0" w:line="276" w:lineRule="auto"/>
        <w:jc w:val="both"/>
      </w:pPr>
    </w:p>
    <w:p w14:paraId="6C05F095" w14:textId="74633B71" w:rsidR="00B77B98" w:rsidRDefault="00B77B98" w:rsidP="00A17579">
      <w:pPr>
        <w:spacing w:after="0" w:line="276" w:lineRule="auto"/>
        <w:jc w:val="both"/>
        <w:rPr>
          <w:i/>
          <w:u w:val="single"/>
        </w:rPr>
      </w:pPr>
      <w:r w:rsidRPr="00ED5671">
        <w:rPr>
          <w:i/>
          <w:u w:val="single"/>
        </w:rPr>
        <w:t>Credit risk classes</w:t>
      </w:r>
    </w:p>
    <w:p w14:paraId="12107C3A" w14:textId="77777777" w:rsidR="00902BCB" w:rsidRDefault="0037202B" w:rsidP="00A17579">
      <w:pPr>
        <w:widowControl w:val="0"/>
        <w:autoSpaceDE w:val="0"/>
        <w:autoSpaceDN w:val="0"/>
        <w:adjustRightInd w:val="0"/>
        <w:spacing w:after="0" w:line="276" w:lineRule="auto"/>
        <w:jc w:val="both"/>
      </w:pPr>
      <w:r w:rsidRPr="00ED5671">
        <w:t xml:space="preserve">First, after the EU co-legislators’ efforts to reduce the dependency on Credit Rating Agencies (CRAs), we find it </w:t>
      </w:r>
      <w:r w:rsidR="006F24C8" w:rsidRPr="00ED5671">
        <w:t>surprising</w:t>
      </w:r>
      <w:r w:rsidRPr="00ED5671">
        <w:t xml:space="preserve"> that </w:t>
      </w:r>
      <w:r w:rsidR="006F24C8" w:rsidRPr="00ED5671">
        <w:t xml:space="preserve">the </w:t>
      </w:r>
      <w:r w:rsidRPr="00ED5671">
        <w:t xml:space="preserve">credit risk </w:t>
      </w:r>
      <w:r w:rsidR="006F24C8" w:rsidRPr="00ED5671">
        <w:t xml:space="preserve">measured </w:t>
      </w:r>
      <w:r w:rsidRPr="00ED5671">
        <w:t xml:space="preserve">is </w:t>
      </w:r>
      <w:r w:rsidR="006F24C8" w:rsidRPr="00ED5671">
        <w:t xml:space="preserve">to be </w:t>
      </w:r>
      <w:r w:rsidRPr="00ED5671">
        <w:t xml:space="preserve">based </w:t>
      </w:r>
      <w:r w:rsidR="006F24C8" w:rsidRPr="00ED5671">
        <w:t xml:space="preserve">solely </w:t>
      </w:r>
      <w:r w:rsidRPr="00ED5671">
        <w:t xml:space="preserve">on </w:t>
      </w:r>
      <w:r w:rsidR="006F24C8" w:rsidRPr="00ED5671">
        <w:t>external credit ratings</w:t>
      </w:r>
      <w:r w:rsidRPr="00ED5671">
        <w:t xml:space="preserve">. </w:t>
      </w:r>
      <w:r w:rsidR="006F24C8" w:rsidRPr="00ED5671">
        <w:t>W</w:t>
      </w:r>
      <w:r w:rsidRPr="00ED5671">
        <w:t xml:space="preserve">e </w:t>
      </w:r>
      <w:r w:rsidR="006F24C8" w:rsidRPr="00ED5671">
        <w:t xml:space="preserve">suggest </w:t>
      </w:r>
      <w:r w:rsidRPr="00ED5671">
        <w:t xml:space="preserve">that this section should levy more on other pieces of legislation and legislative frameworks </w:t>
      </w:r>
      <w:r w:rsidRPr="00ED5671">
        <w:lastRenderedPageBreak/>
        <w:t>rather than “hard wiring” certain CRAs into the PRIIP</w:t>
      </w:r>
      <w:r w:rsidR="006F24C8" w:rsidRPr="00ED5671">
        <w:t xml:space="preserve"> KID</w:t>
      </w:r>
      <w:r w:rsidRPr="00ED5671">
        <w:t xml:space="preserve"> Level-2 RTS.</w:t>
      </w:r>
    </w:p>
    <w:p w14:paraId="3D3EBAAC" w14:textId="77777777" w:rsidR="00E878EF" w:rsidRPr="00ED5671" w:rsidRDefault="00E878EF" w:rsidP="00A17579">
      <w:pPr>
        <w:widowControl w:val="0"/>
        <w:autoSpaceDE w:val="0"/>
        <w:autoSpaceDN w:val="0"/>
        <w:adjustRightInd w:val="0"/>
        <w:spacing w:after="0" w:line="276" w:lineRule="auto"/>
        <w:jc w:val="both"/>
      </w:pPr>
    </w:p>
    <w:p w14:paraId="59275E48" w14:textId="79A30413" w:rsidR="0037202B" w:rsidRDefault="00902BCB" w:rsidP="00A17579">
      <w:pPr>
        <w:widowControl w:val="0"/>
        <w:autoSpaceDE w:val="0"/>
        <w:autoSpaceDN w:val="0"/>
        <w:adjustRightInd w:val="0"/>
        <w:spacing w:after="0" w:line="276" w:lineRule="auto"/>
        <w:jc w:val="both"/>
      </w:pPr>
      <w:r w:rsidRPr="00ED5671">
        <w:t>As to the explanatory text for para. 55 lit</w:t>
      </w:r>
      <w:r w:rsidR="00767D6E" w:rsidRPr="00ED5671">
        <w:t xml:space="preserve">. </w:t>
      </w:r>
      <w:r w:rsidRPr="00ED5671">
        <w:t xml:space="preserve">(c), </w:t>
      </w:r>
      <w:r w:rsidR="00767D6E" w:rsidRPr="00ED5671">
        <w:t xml:space="preserve">the ESAs may consider lowering the credit assessment by one credit risk class in </w:t>
      </w:r>
      <w:r w:rsidR="00ED5671">
        <w:t xml:space="preserve">the </w:t>
      </w:r>
      <w:r w:rsidR="00767D6E" w:rsidRPr="00ED5671">
        <w:t>case of a 100% third-party guarantee (dual layer of protection of investment through the fund’s investment strategy and the third party-guarantee).</w:t>
      </w:r>
    </w:p>
    <w:p w14:paraId="2A8C2EE1" w14:textId="77777777" w:rsidR="00E878EF" w:rsidRDefault="00E878EF" w:rsidP="00A17579">
      <w:pPr>
        <w:widowControl w:val="0"/>
        <w:autoSpaceDE w:val="0"/>
        <w:autoSpaceDN w:val="0"/>
        <w:adjustRightInd w:val="0"/>
        <w:spacing w:after="0" w:line="276" w:lineRule="auto"/>
        <w:jc w:val="both"/>
      </w:pPr>
    </w:p>
    <w:p w14:paraId="5EEF31C6" w14:textId="77777777" w:rsidR="00E878EF" w:rsidRPr="00ED5671" w:rsidRDefault="00E878EF" w:rsidP="00A17579">
      <w:pPr>
        <w:widowControl w:val="0"/>
        <w:autoSpaceDE w:val="0"/>
        <w:autoSpaceDN w:val="0"/>
        <w:adjustRightInd w:val="0"/>
        <w:spacing w:after="0" w:line="276" w:lineRule="auto"/>
        <w:jc w:val="both"/>
      </w:pPr>
    </w:p>
    <w:p w14:paraId="3A78026D" w14:textId="5002167C" w:rsidR="009C5B53" w:rsidRPr="00ED5671" w:rsidRDefault="009C5B53" w:rsidP="00A17579">
      <w:pPr>
        <w:spacing w:after="0" w:line="276" w:lineRule="auto"/>
        <w:jc w:val="both"/>
        <w:rPr>
          <w:i/>
          <w:u w:val="single"/>
        </w:rPr>
      </w:pPr>
      <w:bookmarkStart w:id="0" w:name="_GoBack"/>
      <w:bookmarkEnd w:id="0"/>
      <w:r w:rsidRPr="00ED5671">
        <w:rPr>
          <w:i/>
          <w:u w:val="single"/>
        </w:rPr>
        <w:t>Credit quality steps</w:t>
      </w:r>
    </w:p>
    <w:p w14:paraId="2901D6A2" w14:textId="7635557C" w:rsidR="009C5B53" w:rsidRDefault="009C5B53" w:rsidP="00A17579">
      <w:pPr>
        <w:spacing w:after="0" w:line="276" w:lineRule="auto"/>
        <w:jc w:val="both"/>
      </w:pPr>
      <w:r w:rsidRPr="00ED5671">
        <w:t>Please note that that paragraph 62 erroneously refers to “paragraph 57</w:t>
      </w:r>
      <w:r w:rsidRPr="00ED5671">
        <w:rPr>
          <w:u w:val="single"/>
        </w:rPr>
        <w:t>(c)</w:t>
      </w:r>
      <w:r w:rsidRPr="00ED5671">
        <w:t>” instead of “paragraph 57</w:t>
      </w:r>
      <w:r w:rsidRPr="00ED5671">
        <w:rPr>
          <w:u w:val="single"/>
        </w:rPr>
        <w:t>(iii)</w:t>
      </w:r>
      <w:r w:rsidRPr="00ED5671">
        <w:t>”.</w:t>
      </w:r>
    </w:p>
    <w:p w14:paraId="78EDA5E4" w14:textId="77777777" w:rsidR="00E878EF" w:rsidRDefault="00E878EF" w:rsidP="00A17579">
      <w:pPr>
        <w:spacing w:after="0" w:line="276" w:lineRule="auto"/>
        <w:jc w:val="both"/>
      </w:pPr>
    </w:p>
    <w:p w14:paraId="0833EA2E" w14:textId="77777777" w:rsidR="00F5498A" w:rsidRPr="00ED5671" w:rsidRDefault="00F5498A" w:rsidP="00A17579">
      <w:pPr>
        <w:spacing w:after="0" w:line="276" w:lineRule="auto"/>
        <w:jc w:val="both"/>
      </w:pPr>
    </w:p>
    <w:p w14:paraId="2FDFDB4D" w14:textId="1995C6D8" w:rsidR="009A2D22" w:rsidRPr="00ED5671" w:rsidRDefault="009A2D22" w:rsidP="00A17579">
      <w:pPr>
        <w:spacing w:after="0" w:line="276" w:lineRule="auto"/>
        <w:rPr>
          <w:b/>
          <w:color w:val="5B9BD5" w:themeColor="accent1"/>
          <w:u w:val="single"/>
        </w:rPr>
      </w:pPr>
      <w:r w:rsidRPr="00ED5671">
        <w:rPr>
          <w:b/>
          <w:color w:val="5B9BD5" w:themeColor="accent1"/>
          <w:u w:val="single"/>
        </w:rPr>
        <w:t>Part 3: Aggregation of market and credit risk into the summary risk indicator</w:t>
      </w:r>
    </w:p>
    <w:p w14:paraId="49702903" w14:textId="6B1246F9" w:rsidR="0043059D" w:rsidRPr="00ED5671" w:rsidRDefault="00F26228" w:rsidP="00A17579">
      <w:pPr>
        <w:spacing w:after="0" w:line="276" w:lineRule="auto"/>
        <w:jc w:val="both"/>
      </w:pPr>
      <w:r w:rsidRPr="00ED5671">
        <w:t>Again</w:t>
      </w:r>
      <w:r w:rsidR="006F24C8" w:rsidRPr="00ED5671">
        <w:t>,</w:t>
      </w:r>
      <w:r w:rsidR="0037202B" w:rsidRPr="00ED5671">
        <w:t xml:space="preserve"> as mentioned above and </w:t>
      </w:r>
      <w:r w:rsidRPr="00ED5671">
        <w:t>for</w:t>
      </w:r>
      <w:r w:rsidR="0043059D" w:rsidRPr="00ED5671">
        <w:t xml:space="preserve"> the avoidance of doubt</w:t>
      </w:r>
      <w:r w:rsidR="0037202B" w:rsidRPr="00ED5671">
        <w:t xml:space="preserve"> by retail investors,</w:t>
      </w:r>
      <w:r w:rsidR="0043059D" w:rsidRPr="00ED5671">
        <w:t xml:space="preserve"> </w:t>
      </w:r>
      <w:r w:rsidR="000A670E" w:rsidRPr="00ED5671">
        <w:t xml:space="preserve">it should be clarified that </w:t>
      </w:r>
      <w:r w:rsidR="0037202B" w:rsidRPr="00ED5671">
        <w:t>UCITS and AIFs within the meaning of para. 54 should fall within the CR1 credit risk-class</w:t>
      </w:r>
      <w:r w:rsidR="0043059D" w:rsidRPr="00ED5671">
        <w:t>.</w:t>
      </w:r>
    </w:p>
    <w:p w14:paraId="457A40C8" w14:textId="055A120B" w:rsidR="005A2A28" w:rsidRDefault="00F26228" w:rsidP="00A17579">
      <w:pPr>
        <w:spacing w:after="0" w:line="276" w:lineRule="auto"/>
        <w:jc w:val="both"/>
      </w:pPr>
      <w:r w:rsidRPr="00ED5671">
        <w:t xml:space="preserve">Generally speaking, </w:t>
      </w:r>
      <w:r w:rsidR="005A2A28" w:rsidRPr="00ED5671">
        <w:t>it seems that when aggregating market and credit risk into the summary risk indicator,</w:t>
      </w:r>
      <w:r w:rsidRPr="00ED5671">
        <w:t xml:space="preserve"> credit risk is </w:t>
      </w:r>
      <w:r w:rsidR="0043059D" w:rsidRPr="00ED5671">
        <w:t>underrepresented</w:t>
      </w:r>
      <w:r w:rsidRPr="00ED5671">
        <w:t xml:space="preserve"> when compared to market risk</w:t>
      </w:r>
      <w:r w:rsidR="0043059D" w:rsidRPr="00ED5671">
        <w:t xml:space="preserve">. </w:t>
      </w:r>
      <w:r w:rsidR="005A2A28" w:rsidRPr="00ED5671">
        <w:t>We believe that MRM and CRM should carry equal weightings.</w:t>
      </w:r>
    </w:p>
    <w:p w14:paraId="4AABAD38" w14:textId="77777777" w:rsidR="00F5498A" w:rsidRDefault="00F5498A" w:rsidP="00A17579">
      <w:pPr>
        <w:spacing w:after="0" w:line="276" w:lineRule="auto"/>
        <w:jc w:val="both"/>
      </w:pPr>
    </w:p>
    <w:p w14:paraId="37211443" w14:textId="77777777" w:rsidR="00F5498A" w:rsidRPr="00ED5671" w:rsidRDefault="00F5498A" w:rsidP="00A17579">
      <w:pPr>
        <w:spacing w:after="0" w:line="276" w:lineRule="auto"/>
        <w:jc w:val="both"/>
      </w:pPr>
    </w:p>
    <w:p w14:paraId="79B16669" w14:textId="06CE7D78"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Part 5: Liquidity risk</w:t>
      </w:r>
    </w:p>
    <w:p w14:paraId="355DFE5B" w14:textId="61898B02" w:rsidR="00286FDD" w:rsidRDefault="0085481F" w:rsidP="00A17579">
      <w:pPr>
        <w:spacing w:after="0" w:line="276" w:lineRule="auto"/>
        <w:jc w:val="both"/>
      </w:pPr>
      <w:r w:rsidRPr="00ED5671">
        <w:t>While we have no major remarks regarding para. 74-76, we would ask for further cl</w:t>
      </w:r>
      <w:r w:rsidR="00286FDD" w:rsidRPr="00ED5671">
        <w:t xml:space="preserve">arity around the language </w:t>
      </w:r>
      <w:r w:rsidR="00E8541D" w:rsidRPr="00ED5671">
        <w:t>that is being used in the relevant paragraphs</w:t>
      </w:r>
      <w:r w:rsidR="00286FDD" w:rsidRPr="00ED5671">
        <w:t>.</w:t>
      </w:r>
    </w:p>
    <w:p w14:paraId="0B131CCB" w14:textId="77777777" w:rsidR="00F5498A" w:rsidRPr="00ED5671" w:rsidRDefault="00F5498A" w:rsidP="00A17579">
      <w:pPr>
        <w:spacing w:after="0" w:line="276" w:lineRule="auto"/>
        <w:jc w:val="both"/>
      </w:pPr>
    </w:p>
    <w:p w14:paraId="46F287B1" w14:textId="3E911572" w:rsidR="001E4DC4" w:rsidRDefault="00286FDD" w:rsidP="00A17579">
      <w:pPr>
        <w:spacing w:after="0" w:line="276" w:lineRule="auto"/>
        <w:jc w:val="both"/>
      </w:pPr>
      <w:r w:rsidRPr="00ED5671">
        <w:t>For example p</w:t>
      </w:r>
      <w:r w:rsidR="001E4DC4" w:rsidRPr="00ED5671">
        <w:t>ara. 76(d) talks about “significant</w:t>
      </w:r>
      <w:r w:rsidR="000A670E" w:rsidRPr="00ED5671">
        <w:t>”</w:t>
      </w:r>
      <w:r w:rsidR="001E4DC4" w:rsidRPr="00ED5671">
        <w:t xml:space="preserve"> early exit penalties. </w:t>
      </w:r>
      <w:r w:rsidR="00E8541D" w:rsidRPr="00ED5671">
        <w:t>Does this have any significance</w:t>
      </w:r>
      <w:r w:rsidR="001E4DC4" w:rsidRPr="00ED5671">
        <w:t xml:space="preserve"> for funds with predefined maturity</w:t>
      </w:r>
      <w:r w:rsidR="00F274CD" w:rsidRPr="00ED5671">
        <w:t>,</w:t>
      </w:r>
      <w:r w:rsidR="00E8541D" w:rsidRPr="00ED5671">
        <w:t xml:space="preserve"> and w</w:t>
      </w:r>
      <w:r w:rsidR="001E4DC4" w:rsidRPr="00ED5671">
        <w:t xml:space="preserve">hen </w:t>
      </w:r>
      <w:r w:rsidRPr="00ED5671">
        <w:t xml:space="preserve">must early exit penalties be considered </w:t>
      </w:r>
      <w:r w:rsidR="001E4DC4" w:rsidRPr="00ED5671">
        <w:t xml:space="preserve">“significant”? </w:t>
      </w:r>
      <w:r w:rsidRPr="00ED5671">
        <w:t xml:space="preserve">It should also be ensured that that such penalties cannot simply be classified as “costs” in order to escape this assessment and </w:t>
      </w:r>
      <w:r w:rsidR="00E8541D" w:rsidRPr="00ED5671">
        <w:t xml:space="preserve">its </w:t>
      </w:r>
      <w:r w:rsidRPr="00ED5671">
        <w:t>subsequent disclosure</w:t>
      </w:r>
      <w:r w:rsidR="00E8541D" w:rsidRPr="00ED5671">
        <w:t xml:space="preserve"> as an additional risk</w:t>
      </w:r>
      <w:r w:rsidRPr="00ED5671">
        <w:t>. Also, please provide further clarification as w</w:t>
      </w:r>
      <w:r w:rsidR="001E4DC4" w:rsidRPr="00ED5671">
        <w:t xml:space="preserve">hat is </w:t>
      </w:r>
      <w:r w:rsidRPr="00ED5671">
        <w:t xml:space="preserve">considered to be </w:t>
      </w:r>
      <w:r w:rsidR="001E4DC4" w:rsidRPr="00ED5671">
        <w:t>a “long</w:t>
      </w:r>
      <w:r w:rsidR="000A670E" w:rsidRPr="00ED5671">
        <w:t>”</w:t>
      </w:r>
      <w:r w:rsidRPr="00ED5671">
        <w:t xml:space="preserve"> disinvestment notice.</w:t>
      </w:r>
    </w:p>
    <w:p w14:paraId="7744520A" w14:textId="77777777" w:rsidR="00F5498A" w:rsidRDefault="00F5498A" w:rsidP="00A17579">
      <w:pPr>
        <w:spacing w:after="0" w:line="276" w:lineRule="auto"/>
        <w:jc w:val="both"/>
      </w:pPr>
    </w:p>
    <w:p w14:paraId="130C2F9D" w14:textId="77777777" w:rsidR="00F5498A" w:rsidRPr="00ED5671" w:rsidRDefault="00F5498A" w:rsidP="00A17579">
      <w:pPr>
        <w:spacing w:after="0" w:line="276" w:lineRule="auto"/>
        <w:jc w:val="both"/>
      </w:pPr>
    </w:p>
    <w:p w14:paraId="27290B67" w14:textId="77777777" w:rsidR="001C36D2" w:rsidRPr="00ED5671" w:rsidRDefault="009A2D22" w:rsidP="00A17579">
      <w:pPr>
        <w:spacing w:after="0" w:line="276" w:lineRule="auto"/>
        <w:jc w:val="both"/>
        <w:rPr>
          <w:b/>
          <w:color w:val="5B9BD5" w:themeColor="accent1"/>
          <w:u w:val="single"/>
        </w:rPr>
      </w:pPr>
      <w:r w:rsidRPr="00ED5671">
        <w:rPr>
          <w:b/>
          <w:color w:val="5B9BD5" w:themeColor="accent1"/>
          <w:u w:val="single"/>
        </w:rPr>
        <w:t>Part 6: Currency Risk Assessment</w:t>
      </w:r>
    </w:p>
    <w:p w14:paraId="558B55C1" w14:textId="77777777" w:rsidR="00F5498A" w:rsidRDefault="00F5498A" w:rsidP="00A17579">
      <w:pPr>
        <w:spacing w:after="0" w:line="276" w:lineRule="auto"/>
        <w:jc w:val="both"/>
      </w:pPr>
    </w:p>
    <w:p w14:paraId="095B977A" w14:textId="273684D7" w:rsidR="001C36D2" w:rsidRDefault="00AE6FC4" w:rsidP="00A17579">
      <w:pPr>
        <w:spacing w:after="0" w:line="276" w:lineRule="auto"/>
        <w:jc w:val="both"/>
      </w:pPr>
      <w:r w:rsidRPr="00ED5671">
        <w:t>Please see our answer to Question 12.</w:t>
      </w:r>
    </w:p>
    <w:p w14:paraId="5D659E09" w14:textId="77777777" w:rsidR="00F5498A" w:rsidRDefault="00F5498A" w:rsidP="00A17579">
      <w:pPr>
        <w:spacing w:after="0" w:line="276" w:lineRule="auto"/>
        <w:jc w:val="both"/>
      </w:pPr>
    </w:p>
    <w:p w14:paraId="1E6C9FB4" w14:textId="77777777" w:rsidR="00F5498A" w:rsidRPr="00ED5671" w:rsidRDefault="00F5498A" w:rsidP="00A17579">
      <w:pPr>
        <w:spacing w:after="0" w:line="276" w:lineRule="auto"/>
        <w:jc w:val="both"/>
        <w:rPr>
          <w:i/>
        </w:rPr>
      </w:pPr>
    </w:p>
    <w:p w14:paraId="5D708FB8" w14:textId="228FBF25" w:rsidR="00186B85" w:rsidRPr="00ED5671" w:rsidRDefault="00186B85" w:rsidP="00A17579">
      <w:pPr>
        <w:spacing w:after="0" w:line="276" w:lineRule="auto"/>
        <w:jc w:val="both"/>
        <w:rPr>
          <w:b/>
          <w:caps/>
          <w:color w:val="5B9BD5" w:themeColor="accent1"/>
          <w:u w:val="single"/>
        </w:rPr>
      </w:pPr>
      <w:r w:rsidRPr="00ED5671">
        <w:rPr>
          <w:b/>
          <w:caps/>
          <w:color w:val="5B9BD5" w:themeColor="accent1"/>
          <w:u w:val="single"/>
        </w:rPr>
        <w:t xml:space="preserve">Annex III: </w:t>
      </w:r>
      <w:r w:rsidR="009A2D22" w:rsidRPr="00ED5671">
        <w:rPr>
          <w:b/>
          <w:caps/>
          <w:color w:val="5B9BD5" w:themeColor="accent1"/>
          <w:u w:val="single"/>
        </w:rPr>
        <w:t>Methodology for the p</w:t>
      </w:r>
      <w:r w:rsidRPr="00ED5671">
        <w:rPr>
          <w:b/>
          <w:caps/>
          <w:color w:val="5B9BD5" w:themeColor="accent1"/>
          <w:u w:val="single"/>
        </w:rPr>
        <w:t>resentation of summary risk indicator</w:t>
      </w:r>
    </w:p>
    <w:p w14:paraId="48378D76" w14:textId="77777777" w:rsidR="00F5498A" w:rsidRDefault="00F5498A" w:rsidP="00A17579">
      <w:pPr>
        <w:spacing w:after="0" w:line="276" w:lineRule="auto"/>
        <w:jc w:val="both"/>
        <w:rPr>
          <w:b/>
          <w:color w:val="5B9BD5" w:themeColor="accent1"/>
          <w:u w:val="single"/>
        </w:rPr>
      </w:pPr>
    </w:p>
    <w:p w14:paraId="41A1A450" w14:textId="4C81825E"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Appendix 1: Format of Presentation of the Summary Risk Indicator</w:t>
      </w:r>
    </w:p>
    <w:p w14:paraId="542C47B3" w14:textId="3739A1E3" w:rsidR="00340735" w:rsidRDefault="001C36D2" w:rsidP="00A17579">
      <w:pPr>
        <w:spacing w:after="0" w:line="276" w:lineRule="auto"/>
        <w:jc w:val="both"/>
      </w:pPr>
      <w:r w:rsidRPr="00ED5671">
        <w:t xml:space="preserve">With regards to the presentation of the currency risk, please consider our above </w:t>
      </w:r>
      <w:r w:rsidR="00CC7B4B" w:rsidRPr="00ED5671">
        <w:t>comments</w:t>
      </w:r>
      <w:r w:rsidR="00CD45DE" w:rsidRPr="00ED5671">
        <w:t xml:space="preserve"> and our answer to Question 12</w:t>
      </w:r>
      <w:r w:rsidR="00CC7B4B" w:rsidRPr="00ED5671">
        <w:t>.</w:t>
      </w:r>
    </w:p>
    <w:p w14:paraId="163AD63D" w14:textId="77777777" w:rsidR="00F5498A" w:rsidRPr="00ED5671" w:rsidRDefault="00F5498A" w:rsidP="00A17579">
      <w:pPr>
        <w:spacing w:after="0" w:line="276" w:lineRule="auto"/>
        <w:jc w:val="both"/>
      </w:pPr>
    </w:p>
    <w:p w14:paraId="22B4BAE6" w14:textId="1E244C37" w:rsidR="00186B85" w:rsidRPr="00ED5671" w:rsidRDefault="008A79D7" w:rsidP="00A17579">
      <w:pPr>
        <w:spacing w:after="0" w:line="276" w:lineRule="auto"/>
        <w:jc w:val="both"/>
        <w:rPr>
          <w:b/>
          <w:caps/>
          <w:color w:val="5B9BD5" w:themeColor="accent1"/>
          <w:u w:val="single"/>
        </w:rPr>
      </w:pPr>
      <w:r w:rsidRPr="00ED5671">
        <w:rPr>
          <w:b/>
          <w:caps/>
          <w:color w:val="5B9BD5" w:themeColor="accent1"/>
          <w:u w:val="single"/>
        </w:rPr>
        <w:t>Annex IV: Technical rules of performance scenarios</w:t>
      </w:r>
    </w:p>
    <w:p w14:paraId="5713F3D6" w14:textId="69F0C7CF" w:rsidR="0052254E" w:rsidRDefault="001A0EAF" w:rsidP="00A17579">
      <w:pPr>
        <w:spacing w:after="0" w:line="276" w:lineRule="auto"/>
        <w:jc w:val="both"/>
      </w:pPr>
      <w:r w:rsidRPr="00ED5671">
        <w:t>Please also consider our answer to Question 14 as well as</w:t>
      </w:r>
      <w:r w:rsidR="0052254E" w:rsidRPr="00ED5671">
        <w:t xml:space="preserve"> comments to Article 6(7) above.</w:t>
      </w:r>
    </w:p>
    <w:p w14:paraId="6A39AAFD" w14:textId="77777777" w:rsidR="00F5498A" w:rsidRPr="00ED5671" w:rsidRDefault="00F5498A" w:rsidP="00A17579">
      <w:pPr>
        <w:spacing w:after="0" w:line="276" w:lineRule="auto"/>
        <w:jc w:val="both"/>
      </w:pPr>
    </w:p>
    <w:p w14:paraId="20F69AD7" w14:textId="0EF98ED6" w:rsidR="008A79D7" w:rsidRPr="00ED5671" w:rsidRDefault="008A79D7" w:rsidP="00A17579">
      <w:pPr>
        <w:spacing w:after="0" w:line="276" w:lineRule="auto"/>
        <w:jc w:val="both"/>
        <w:rPr>
          <w:b/>
          <w:caps/>
          <w:color w:val="5B9BD5" w:themeColor="accent1"/>
          <w:u w:val="single"/>
        </w:rPr>
      </w:pPr>
      <w:r w:rsidRPr="00ED5671">
        <w:rPr>
          <w:b/>
          <w:caps/>
          <w:color w:val="5B9BD5" w:themeColor="accent1"/>
          <w:u w:val="single"/>
        </w:rPr>
        <w:t>Annex V: Presentation of performance scenarios</w:t>
      </w:r>
    </w:p>
    <w:p w14:paraId="6C6C385A" w14:textId="77777777" w:rsidR="001A0EAF" w:rsidRPr="00ED5671" w:rsidRDefault="001A0EAF" w:rsidP="00A17579">
      <w:pPr>
        <w:spacing w:after="0" w:line="276" w:lineRule="auto"/>
        <w:jc w:val="both"/>
      </w:pPr>
      <w:r w:rsidRPr="00ED5671">
        <w:t>Please also consider our answer to Question 14 as well as comments to Article 6(7) above.</w:t>
      </w:r>
    </w:p>
    <w:p w14:paraId="5E39AAE6" w14:textId="640226BD" w:rsidR="00227886" w:rsidRDefault="00227886" w:rsidP="00A17579">
      <w:pPr>
        <w:spacing w:after="0" w:line="276" w:lineRule="auto"/>
        <w:jc w:val="both"/>
      </w:pPr>
      <w:r w:rsidRPr="00ED5671">
        <w:t>Generally speaking, guidelines are required to avoid that PRIIPs manufacturer will potentially spawn a multitude of various approaches and a risk/return that this will be used as a competition or marketing element.</w:t>
      </w:r>
    </w:p>
    <w:p w14:paraId="41619B07" w14:textId="77777777" w:rsidR="00F5498A" w:rsidRPr="00ED5671" w:rsidRDefault="00F5498A" w:rsidP="00A17579">
      <w:pPr>
        <w:spacing w:after="0" w:line="276" w:lineRule="auto"/>
        <w:jc w:val="both"/>
      </w:pPr>
    </w:p>
    <w:p w14:paraId="1F732319" w14:textId="0C295A36"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Appendix 1: Presentation of Performance Scenarios</w:t>
      </w:r>
    </w:p>
    <w:p w14:paraId="681ACBF9" w14:textId="19CA0590" w:rsidR="00387923" w:rsidRDefault="00387923" w:rsidP="00A17579">
      <w:pPr>
        <w:spacing w:after="0" w:line="276" w:lineRule="auto"/>
        <w:jc w:val="both"/>
      </w:pPr>
      <w:r w:rsidRPr="00ED5671">
        <w:t xml:space="preserve">With regards to the proposed presentation in Appendix 1, we wonder why there are two almost identical </w:t>
      </w:r>
      <w:r w:rsidR="00AE7C9A" w:rsidRPr="00ED5671">
        <w:t>table</w:t>
      </w:r>
      <w:r w:rsidR="00F274CD" w:rsidRPr="00ED5671">
        <w:t>s</w:t>
      </w:r>
      <w:r w:rsidR="00AE7C9A" w:rsidRPr="00ED5671">
        <w:t xml:space="preserve"> presented on page 55</w:t>
      </w:r>
      <w:r w:rsidR="00F274CD" w:rsidRPr="00ED5671">
        <w:t>?</w:t>
      </w:r>
      <w:r w:rsidRPr="00ED5671">
        <w:t xml:space="preserve"> Should one consider that the first table is used for one-off investments, whereas the second table is meant for investment connected to an investment plan</w:t>
      </w:r>
      <w:r w:rsidR="00AE7C9A" w:rsidRPr="00ED5671">
        <w:t xml:space="preserve"> (as it includes “accumulated invested amount”)</w:t>
      </w:r>
      <w:r w:rsidRPr="00ED5671">
        <w:t xml:space="preserve">? We </w:t>
      </w:r>
      <w:r w:rsidR="00F274CD" w:rsidRPr="00ED5671">
        <w:t xml:space="preserve">seek </w:t>
      </w:r>
      <w:r w:rsidRPr="00ED5671">
        <w:t>clarification.</w:t>
      </w:r>
    </w:p>
    <w:p w14:paraId="588543B1" w14:textId="77777777" w:rsidR="00F5498A" w:rsidRDefault="00F5498A" w:rsidP="00A17579">
      <w:pPr>
        <w:spacing w:after="0" w:line="276" w:lineRule="auto"/>
        <w:jc w:val="both"/>
      </w:pPr>
    </w:p>
    <w:p w14:paraId="0B82C993" w14:textId="77777777" w:rsidR="00F5498A" w:rsidRPr="00ED5671" w:rsidRDefault="00F5498A" w:rsidP="00A17579">
      <w:pPr>
        <w:spacing w:after="0" w:line="276" w:lineRule="auto"/>
        <w:jc w:val="both"/>
      </w:pPr>
    </w:p>
    <w:p w14:paraId="7D2BA8D9" w14:textId="1237BB31" w:rsidR="008A79D7" w:rsidRPr="00ED5671" w:rsidRDefault="008A79D7" w:rsidP="00A17579">
      <w:pPr>
        <w:spacing w:after="0" w:line="276" w:lineRule="auto"/>
        <w:jc w:val="both"/>
        <w:rPr>
          <w:b/>
          <w:caps/>
          <w:color w:val="5B9BD5" w:themeColor="accent1"/>
          <w:u w:val="single"/>
        </w:rPr>
      </w:pPr>
      <w:r w:rsidRPr="00ED5671">
        <w:rPr>
          <w:b/>
          <w:caps/>
          <w:color w:val="5B9BD5" w:themeColor="accent1"/>
          <w:u w:val="single"/>
        </w:rPr>
        <w:t>Annex VI: Methodology for calculation of costs</w:t>
      </w:r>
    </w:p>
    <w:p w14:paraId="337BD1F0" w14:textId="77777777" w:rsidR="00F5498A" w:rsidRDefault="00F5498A" w:rsidP="00A17579">
      <w:pPr>
        <w:spacing w:after="0" w:line="276" w:lineRule="auto"/>
        <w:jc w:val="both"/>
        <w:rPr>
          <w:b/>
          <w:i/>
          <w:color w:val="5B9BD5" w:themeColor="accent1"/>
          <w:u w:val="single"/>
        </w:rPr>
      </w:pPr>
    </w:p>
    <w:p w14:paraId="297683EA" w14:textId="056D6058" w:rsidR="009A2D22" w:rsidRPr="00ED5671" w:rsidRDefault="009A2D22" w:rsidP="00A17579">
      <w:pPr>
        <w:spacing w:after="0" w:line="276" w:lineRule="auto"/>
        <w:jc w:val="both"/>
        <w:rPr>
          <w:b/>
          <w:i/>
          <w:color w:val="5B9BD5" w:themeColor="accent1"/>
          <w:u w:val="single"/>
        </w:rPr>
      </w:pPr>
      <w:r w:rsidRPr="00ED5671">
        <w:rPr>
          <w:b/>
          <w:i/>
          <w:color w:val="5B9BD5" w:themeColor="accent1"/>
          <w:u w:val="single"/>
        </w:rPr>
        <w:t>Part 1: List of costs of the different types of PRIIPs</w:t>
      </w:r>
    </w:p>
    <w:p w14:paraId="5015CB50" w14:textId="458E7522"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Section I: List of Costs of investments funds (AIFs and UCITS)</w:t>
      </w:r>
    </w:p>
    <w:p w14:paraId="29F85CA3" w14:textId="3D81CC64" w:rsidR="000308D1" w:rsidRDefault="000308D1" w:rsidP="00A17579">
      <w:pPr>
        <w:spacing w:after="0" w:line="276" w:lineRule="auto"/>
        <w:jc w:val="both"/>
      </w:pPr>
      <w:r w:rsidRPr="00ED5671">
        <w:t>We understand that this list of costs of investment funds is based on the currently applicable CESR guidelines. In particular, it seems that the underlying motive for this new cost list was to define as many costs as possible with different terminologies</w:t>
      </w:r>
      <w:r w:rsidR="00F274CD" w:rsidRPr="00ED5671">
        <w:t>,</w:t>
      </w:r>
      <w:r w:rsidRPr="00ED5671">
        <w:t xml:space="preserve"> instead of describing the underlying reason(s) for these types of costs to occur in the first place. This creates unnecessary ambiguities that can be avoided by using the approach used in the UCITS KIID guidelines. In particular, since it already covers all costs described in the “one-off” and “recurring” section.</w:t>
      </w:r>
    </w:p>
    <w:p w14:paraId="3031AD3E" w14:textId="77777777" w:rsidR="00F5498A" w:rsidRPr="00ED5671" w:rsidRDefault="00F5498A" w:rsidP="00A17579">
      <w:pPr>
        <w:spacing w:after="0" w:line="276" w:lineRule="auto"/>
        <w:jc w:val="both"/>
      </w:pPr>
    </w:p>
    <w:p w14:paraId="7488CB69" w14:textId="0F73E54C" w:rsidR="00340735" w:rsidRPr="00ED5671" w:rsidRDefault="00C93CCA" w:rsidP="00A17579">
      <w:pPr>
        <w:spacing w:after="0" w:line="276" w:lineRule="auto"/>
        <w:jc w:val="both"/>
        <w:rPr>
          <w:i/>
          <w:u w:val="single"/>
        </w:rPr>
      </w:pPr>
      <w:r w:rsidRPr="00ED5671">
        <w:rPr>
          <w:i/>
          <w:u w:val="single"/>
        </w:rPr>
        <w:t>One</w:t>
      </w:r>
      <w:r w:rsidR="00647593" w:rsidRPr="00ED5671">
        <w:rPr>
          <w:i/>
          <w:u w:val="single"/>
        </w:rPr>
        <w:t>-</w:t>
      </w:r>
      <w:r w:rsidRPr="00ED5671">
        <w:rPr>
          <w:i/>
          <w:u w:val="single"/>
        </w:rPr>
        <w:t>off costs</w:t>
      </w:r>
    </w:p>
    <w:p w14:paraId="5EB5A79E" w14:textId="7C0EBCC1" w:rsidR="000308D1" w:rsidRDefault="000308D1" w:rsidP="00A17579">
      <w:pPr>
        <w:spacing w:after="0" w:line="276" w:lineRule="auto"/>
        <w:jc w:val="both"/>
      </w:pPr>
      <w:r w:rsidRPr="00ED5671">
        <w:t>Keeping our above comments in mind, we ask for further clarification o</w:t>
      </w:r>
      <w:r w:rsidR="00F274CD" w:rsidRPr="00ED5671">
        <w:t>f</w:t>
      </w:r>
      <w:r w:rsidRPr="00ED5671">
        <w:t xml:space="preserve"> what is meant by a cost “borne by the fund</w:t>
      </w:r>
      <w:r w:rsidR="00F274CD" w:rsidRPr="00ED5671">
        <w:t>”</w:t>
      </w:r>
      <w:r w:rsidRPr="00ED5671">
        <w:t xml:space="preserve"> (para. 2). Our understanding would be that such a cost is a recurring cost rather </w:t>
      </w:r>
      <w:r w:rsidR="00F274CD" w:rsidRPr="00ED5671">
        <w:t xml:space="preserve">than </w:t>
      </w:r>
      <w:r w:rsidRPr="00ED5671">
        <w:t>a one-off cost. Additionally,</w:t>
      </w:r>
      <w:r w:rsidR="00D032AD" w:rsidRPr="00ED5671">
        <w:t xml:space="preserve"> we do not understand the term “loading costs” (para. 3(b)) and wonder whether this is the same as subscription costs</w:t>
      </w:r>
      <w:r w:rsidR="00F274CD" w:rsidRPr="00ED5671">
        <w:t>?</w:t>
      </w:r>
      <w:r w:rsidRPr="00ED5671">
        <w:t xml:space="preserve"> </w:t>
      </w:r>
    </w:p>
    <w:p w14:paraId="7CD0012E" w14:textId="77777777" w:rsidR="00F5498A" w:rsidRPr="00ED5671" w:rsidRDefault="00F5498A" w:rsidP="00A17579">
      <w:pPr>
        <w:spacing w:after="0" w:line="276" w:lineRule="auto"/>
        <w:jc w:val="both"/>
      </w:pPr>
    </w:p>
    <w:p w14:paraId="737AB487" w14:textId="336B7B01" w:rsidR="006570CA" w:rsidRPr="00ED5671" w:rsidRDefault="006570CA" w:rsidP="00A17579">
      <w:pPr>
        <w:spacing w:after="0" w:line="276" w:lineRule="auto"/>
        <w:jc w:val="both"/>
        <w:rPr>
          <w:i/>
          <w:u w:val="single"/>
        </w:rPr>
      </w:pPr>
      <w:r w:rsidRPr="00ED5671">
        <w:rPr>
          <w:i/>
          <w:u w:val="single"/>
        </w:rPr>
        <w:t>Recurring costs</w:t>
      </w:r>
    </w:p>
    <w:p w14:paraId="5F38AA29" w14:textId="5C6C2176" w:rsidR="00AB101A" w:rsidRDefault="00AB101A" w:rsidP="00A17579">
      <w:pPr>
        <w:spacing w:after="0" w:line="276" w:lineRule="auto"/>
        <w:jc w:val="both"/>
      </w:pPr>
      <w:r w:rsidRPr="00ED5671">
        <w:t>We have several observation</w:t>
      </w:r>
      <w:r w:rsidR="00F274CD" w:rsidRPr="00ED5671">
        <w:t>s</w:t>
      </w:r>
      <w:r w:rsidRPr="00ED5671">
        <w:t xml:space="preserve"> on the recurring cost section.</w:t>
      </w:r>
    </w:p>
    <w:p w14:paraId="349A3C65" w14:textId="77777777" w:rsidR="00F5498A" w:rsidRPr="00ED5671" w:rsidRDefault="00F5498A" w:rsidP="00A17579">
      <w:pPr>
        <w:spacing w:after="0" w:line="276" w:lineRule="auto"/>
        <w:jc w:val="both"/>
      </w:pPr>
    </w:p>
    <w:p w14:paraId="71E7A68B" w14:textId="03F0AD5C" w:rsidR="00AB101A" w:rsidRDefault="00AB101A" w:rsidP="00A17579">
      <w:pPr>
        <w:spacing w:after="0" w:line="276" w:lineRule="auto"/>
        <w:jc w:val="both"/>
      </w:pPr>
      <w:r w:rsidRPr="00ED5671">
        <w:t>First, para. 6(b) sub point</w:t>
      </w:r>
      <w:r w:rsidR="005D6C21" w:rsidRPr="00ED5671">
        <w:t xml:space="preserve"> (v)</w:t>
      </w:r>
      <w:r w:rsidRPr="00ED5671">
        <w:t xml:space="preserve"> contains both</w:t>
      </w:r>
      <w:r w:rsidR="005D6C21" w:rsidRPr="00ED5671">
        <w:t xml:space="preserve"> </w:t>
      </w:r>
      <w:r w:rsidRPr="00ED5671">
        <w:t>“s</w:t>
      </w:r>
      <w:r w:rsidR="005D6C21" w:rsidRPr="00ED5671">
        <w:t>ecurities lending</w:t>
      </w:r>
      <w:r w:rsidRPr="00ED5671">
        <w:t>”</w:t>
      </w:r>
      <w:r w:rsidR="005D6C21" w:rsidRPr="00ED5671">
        <w:t xml:space="preserve"> and </w:t>
      </w:r>
      <w:r w:rsidRPr="00ED5671">
        <w:t>“</w:t>
      </w:r>
      <w:r w:rsidR="005D6C21" w:rsidRPr="00ED5671">
        <w:t>property management</w:t>
      </w:r>
      <w:r w:rsidRPr="00ED5671">
        <w:t>”</w:t>
      </w:r>
      <w:r w:rsidR="00F274CD" w:rsidRPr="00ED5671">
        <w:t>,</w:t>
      </w:r>
      <w:r w:rsidRPr="00ED5671">
        <w:t xml:space="preserve"> which are</w:t>
      </w:r>
      <w:r w:rsidR="005D6C21" w:rsidRPr="00ED5671">
        <w:t xml:space="preserve"> two</w:t>
      </w:r>
      <w:r w:rsidRPr="00ED5671">
        <w:t xml:space="preserve"> distinctively</w:t>
      </w:r>
      <w:r w:rsidR="005D6C21" w:rsidRPr="00ED5671">
        <w:t xml:space="preserve"> different </w:t>
      </w:r>
      <w:r w:rsidRPr="00ED5671">
        <w:t xml:space="preserve">outsourced services and should thus be separated in their </w:t>
      </w:r>
      <w:r w:rsidR="005D6C21" w:rsidRPr="00ED5671">
        <w:t xml:space="preserve">own </w:t>
      </w:r>
      <w:r w:rsidRPr="00ED5671">
        <w:t>sub points</w:t>
      </w:r>
      <w:r w:rsidR="005D6C21" w:rsidRPr="00ED5671">
        <w:t>.</w:t>
      </w:r>
      <w:r w:rsidRPr="00ED5671">
        <w:t xml:space="preserve"> </w:t>
      </w:r>
      <w:r w:rsidR="005D6C21" w:rsidRPr="00ED5671">
        <w:t>Furthermore,</w:t>
      </w:r>
      <w:r w:rsidRPr="00ED5671">
        <w:t xml:space="preserve"> “</w:t>
      </w:r>
      <w:r w:rsidR="005D6C21" w:rsidRPr="00ED5671">
        <w:t>capital expenditure</w:t>
      </w:r>
      <w:r w:rsidRPr="00ED5671">
        <w:t xml:space="preserve">” </w:t>
      </w:r>
      <w:r w:rsidR="00227886" w:rsidRPr="00ED5671">
        <w:t xml:space="preserve">should not be included in the costs together with other operating expenses. “Capital expenditure” is a capital investment made directly on the assets with the effect of increasing the value of an asset (i.e. repairing the roof of a building) and thus </w:t>
      </w:r>
      <w:r w:rsidRPr="00ED5671">
        <w:t>is not an outsourced service</w:t>
      </w:r>
      <w:r w:rsidR="00227886" w:rsidRPr="00ED5671">
        <w:t>.</w:t>
      </w:r>
      <w:r w:rsidRPr="00ED5671">
        <w:t xml:space="preserve"> </w:t>
      </w:r>
      <w:r w:rsidR="00227886" w:rsidRPr="00ED5671">
        <w:t xml:space="preserve">Its reference </w:t>
      </w:r>
      <w:r w:rsidRPr="00ED5671">
        <w:t>should be deleted.</w:t>
      </w:r>
    </w:p>
    <w:p w14:paraId="52CA43DC" w14:textId="77777777" w:rsidR="00F5498A" w:rsidRPr="00ED5671" w:rsidRDefault="00F5498A" w:rsidP="00A17579">
      <w:pPr>
        <w:spacing w:after="0" w:line="276" w:lineRule="auto"/>
        <w:jc w:val="both"/>
      </w:pPr>
    </w:p>
    <w:p w14:paraId="4CC9F540" w14:textId="34D523E3" w:rsidR="0005581D" w:rsidRDefault="0005581D" w:rsidP="00A17579">
      <w:pPr>
        <w:spacing w:after="0" w:line="276" w:lineRule="auto"/>
        <w:jc w:val="both"/>
      </w:pPr>
      <w:r w:rsidRPr="00ED5671">
        <w:t>With regard to para. 6(</w:t>
      </w:r>
      <w:proofErr w:type="spellStart"/>
      <w:r w:rsidRPr="00ED5671">
        <w:t>i</w:t>
      </w:r>
      <w:proofErr w:type="spellEnd"/>
      <w:r w:rsidRPr="00ED5671">
        <w:t xml:space="preserve">), we agree on the wording, but we strongly disagree with the explanatory text on page 79. </w:t>
      </w:r>
      <w:r w:rsidRPr="00ED5671">
        <w:rPr>
          <w:u w:val="single"/>
        </w:rPr>
        <w:t>Option premiums are not costs</w:t>
      </w:r>
      <w:r w:rsidRPr="00ED5671">
        <w:t xml:space="preserve">. Generally speaking, the total price paid to invest into an </w:t>
      </w:r>
      <w:r w:rsidRPr="00ED5671">
        <w:lastRenderedPageBreak/>
        <w:t>asset (whether it be a stock, a bond or an option) is not a cost. Only a little part of the total price is cost (like brokerage fee). Furthermore, this explanatory text contradicts §18(c) on page 61.</w:t>
      </w:r>
    </w:p>
    <w:p w14:paraId="1C0BB0A1" w14:textId="77777777" w:rsidR="00F5498A" w:rsidRPr="00ED5671" w:rsidRDefault="00F5498A" w:rsidP="00A17579">
      <w:pPr>
        <w:spacing w:after="0" w:line="276" w:lineRule="auto"/>
        <w:jc w:val="both"/>
      </w:pPr>
    </w:p>
    <w:p w14:paraId="7AD26652" w14:textId="77777777" w:rsidR="0005581D" w:rsidRDefault="0005581D" w:rsidP="00A17579">
      <w:pPr>
        <w:spacing w:after="0" w:line="276" w:lineRule="auto"/>
        <w:jc w:val="both"/>
      </w:pPr>
      <w:r w:rsidRPr="00ED5671">
        <w:rPr>
          <w:u w:val="single"/>
        </w:rPr>
        <w:t>As regards costs of underlying investments</w:t>
      </w:r>
      <w:r w:rsidRPr="00ED5671">
        <w:t>, the wording in paragraph 6(l) and (m) is very ambiguous and should be rectified by deleting the first subparagraph and starting right away with the respective subparagraph (</w:t>
      </w:r>
      <w:proofErr w:type="spellStart"/>
      <w:r w:rsidRPr="00ED5671">
        <w:t>i</w:t>
      </w:r>
      <w:proofErr w:type="spellEnd"/>
      <w:r w:rsidRPr="00ED5671">
        <w:t xml:space="preserve">). In our view, the correct provision should read as follows (taking the example of 6(l)): </w:t>
      </w:r>
    </w:p>
    <w:p w14:paraId="0783E456" w14:textId="77777777" w:rsidR="00F5498A" w:rsidRPr="00ED5671" w:rsidRDefault="00F5498A" w:rsidP="00A17579">
      <w:pPr>
        <w:spacing w:after="0" w:line="276" w:lineRule="auto"/>
        <w:jc w:val="both"/>
      </w:pPr>
    </w:p>
    <w:p w14:paraId="74AC6254" w14:textId="77777777" w:rsidR="0005581D" w:rsidRPr="00ED5671" w:rsidRDefault="0005581D" w:rsidP="00F5498A">
      <w:pPr>
        <w:spacing w:after="0" w:line="276" w:lineRule="auto"/>
        <w:jc w:val="both"/>
      </w:pPr>
      <w:r w:rsidRPr="00ED5671">
        <w:t xml:space="preserve">(l) </w:t>
      </w:r>
      <w:proofErr w:type="gramStart"/>
      <w:r w:rsidRPr="00ED5671">
        <w:t>the</w:t>
      </w:r>
      <w:proofErr w:type="gramEnd"/>
      <w:r w:rsidRPr="00ED5671">
        <w:t xml:space="preserve"> costs of acquiring or disposing of units in UCITS or AIFs shall be taken into account in accordance with the following steps: </w:t>
      </w:r>
    </w:p>
    <w:p w14:paraId="14452B2D" w14:textId="77777777" w:rsidR="0005581D" w:rsidRPr="00ED5671" w:rsidRDefault="0005581D" w:rsidP="00F5498A">
      <w:pPr>
        <w:spacing w:after="0" w:line="276" w:lineRule="auto"/>
        <w:ind w:left="708"/>
        <w:jc w:val="both"/>
      </w:pPr>
      <w:r w:rsidRPr="00ED5671">
        <w:t>(</w:t>
      </w:r>
      <w:proofErr w:type="spellStart"/>
      <w:r w:rsidRPr="00ED5671">
        <w:t>i</w:t>
      </w:r>
      <w:proofErr w:type="spellEnd"/>
      <w:r w:rsidRPr="00ED5671">
        <w:t xml:space="preserve">) Where a fund invests its assets in UCITS or AIFs, its summary cost indicator and recurring ratio shall take account of the charges incurred in the underlying UCITS/AIFs. The following shall be included in the calculation: </w:t>
      </w:r>
    </w:p>
    <w:p w14:paraId="3C961E29" w14:textId="77777777" w:rsidR="0005581D" w:rsidRPr="00ED5671" w:rsidRDefault="0005581D" w:rsidP="00F5498A">
      <w:pPr>
        <w:spacing w:after="0" w:line="276" w:lineRule="auto"/>
        <w:ind w:left="708"/>
        <w:jc w:val="both"/>
      </w:pPr>
      <w:r w:rsidRPr="00ED5671">
        <w:t>(ii) if the underlying is a UCITS its most recently available recurring and entry/exit charges figure shall be used; this may be the figure published by the UCITS or its operator or management company, or a figure calculated by a reliable third-party source if more up-to-date than the published figure; […]</w:t>
      </w:r>
    </w:p>
    <w:p w14:paraId="06277FF1" w14:textId="77777777" w:rsidR="00F5498A" w:rsidRDefault="00F5498A" w:rsidP="00A17579">
      <w:pPr>
        <w:spacing w:after="0" w:line="276" w:lineRule="auto"/>
        <w:jc w:val="both"/>
      </w:pPr>
    </w:p>
    <w:p w14:paraId="79FB745A" w14:textId="28A329FF" w:rsidR="00D47276" w:rsidRDefault="00AB101A" w:rsidP="00A17579">
      <w:pPr>
        <w:spacing w:after="0" w:line="276" w:lineRule="auto"/>
        <w:jc w:val="both"/>
      </w:pPr>
      <w:r w:rsidRPr="00ED5671">
        <w:t xml:space="preserve">Lastly, we believe that para. 6(q) contains a drafting error: </w:t>
      </w:r>
      <w:r w:rsidR="006C23C5" w:rsidRPr="00ED5671">
        <w:t>i</w:t>
      </w:r>
      <w:r w:rsidRPr="00ED5671">
        <w:t>t</w:t>
      </w:r>
      <w:r w:rsidR="00044B0D" w:rsidRPr="00ED5671">
        <w:t xml:space="preserve"> should</w:t>
      </w:r>
      <w:r w:rsidR="00D47276" w:rsidRPr="00ED5671">
        <w:t xml:space="preserve"> </w:t>
      </w:r>
      <w:r w:rsidR="00003C01" w:rsidRPr="00ED5671">
        <w:t xml:space="preserve">be </w:t>
      </w:r>
      <w:r w:rsidR="006C23C5" w:rsidRPr="00ED5671">
        <w:t>referencing either</w:t>
      </w:r>
      <w:r w:rsidR="00044B0D" w:rsidRPr="00ED5671">
        <w:t xml:space="preserve"> </w:t>
      </w:r>
      <w:r w:rsidR="00D47276" w:rsidRPr="00ED5671">
        <w:t>“</w:t>
      </w:r>
      <w:r w:rsidR="00044B0D" w:rsidRPr="00ED5671">
        <w:t>section II” not “paragraph 2”, or para. 37 (page 65f) which discusses “implicit costs of PRIIPs other than investments funds</w:t>
      </w:r>
      <w:r w:rsidR="00E50381" w:rsidRPr="00ED5671">
        <w:t>”</w:t>
      </w:r>
      <w:r w:rsidR="00044B0D" w:rsidRPr="00ED5671">
        <w:t>.</w:t>
      </w:r>
      <w:r w:rsidR="00EA6061" w:rsidRPr="00ED5671">
        <w:t xml:space="preserve"> </w:t>
      </w:r>
      <w:r w:rsidR="00003C01" w:rsidRPr="00ED5671">
        <w:t xml:space="preserve">It </w:t>
      </w:r>
      <w:r w:rsidR="009432CB" w:rsidRPr="00ED5671">
        <w:t>seems to refer to implicit costs of derivatives entered into by funds. Those derivatives often do not qualify as PRIIPs, so their implicit costs will not be disclosed by counterparties. Para. 37 and following could not be applied, because asset managers are not able to compute the “fair value” with the same accuracy as investment banks. If the implicit costs incurred by funds have to be disclosed, then regulation should oblige counterparties (investment banks) to disclose them to asset managers.</w:t>
      </w:r>
    </w:p>
    <w:p w14:paraId="3463E26B" w14:textId="77777777" w:rsidR="00F5498A" w:rsidRDefault="00F5498A" w:rsidP="00A17579">
      <w:pPr>
        <w:spacing w:after="0" w:line="276" w:lineRule="auto"/>
        <w:jc w:val="both"/>
      </w:pPr>
    </w:p>
    <w:p w14:paraId="36F1927E" w14:textId="31D98AAA" w:rsidR="00EA6061" w:rsidRPr="00ED5671" w:rsidRDefault="00EA6061" w:rsidP="00A17579">
      <w:pPr>
        <w:spacing w:after="0" w:line="276" w:lineRule="auto"/>
        <w:jc w:val="both"/>
        <w:rPr>
          <w:i/>
          <w:u w:val="single"/>
        </w:rPr>
      </w:pPr>
      <w:r w:rsidRPr="00ED5671">
        <w:rPr>
          <w:i/>
          <w:u w:val="single"/>
        </w:rPr>
        <w:t>Transaction costs</w:t>
      </w:r>
    </w:p>
    <w:p w14:paraId="5534B3CB" w14:textId="38867A4E" w:rsidR="0066060F" w:rsidRPr="00ED5671" w:rsidRDefault="0066060F" w:rsidP="00A17579">
      <w:pPr>
        <w:spacing w:after="0" w:line="276" w:lineRule="auto"/>
        <w:jc w:val="both"/>
      </w:pPr>
      <w:r w:rsidRPr="00ED5671">
        <w:t xml:space="preserve">Please </w:t>
      </w:r>
      <w:r w:rsidR="00212737" w:rsidRPr="00ED5671">
        <w:t xml:space="preserve">consider </w:t>
      </w:r>
      <w:r w:rsidRPr="00ED5671">
        <w:t>our answers to Questions 16 and 17.</w:t>
      </w:r>
    </w:p>
    <w:p w14:paraId="646719C7" w14:textId="3452C81D" w:rsidR="009432CB" w:rsidRPr="00ED5671" w:rsidRDefault="009432CB" w:rsidP="00A17579">
      <w:pPr>
        <w:spacing w:after="0" w:line="276" w:lineRule="auto"/>
        <w:jc w:val="both"/>
      </w:pPr>
      <w:r w:rsidRPr="00ED5671">
        <w:t>Furthermore, the reference to customised derivatives is not understandable and in contradiction with para. 6(q) on page 59.</w:t>
      </w:r>
    </w:p>
    <w:p w14:paraId="617DD83C" w14:textId="77777777" w:rsidR="00F5498A" w:rsidRDefault="00F5498A" w:rsidP="00A17579">
      <w:pPr>
        <w:spacing w:after="0" w:line="276" w:lineRule="auto"/>
        <w:jc w:val="both"/>
        <w:rPr>
          <w:i/>
          <w:u w:val="single"/>
        </w:rPr>
      </w:pPr>
    </w:p>
    <w:p w14:paraId="7DF60ACE" w14:textId="70FB3F3F" w:rsidR="003B72C0" w:rsidRPr="00ED5671" w:rsidRDefault="00FC3102" w:rsidP="00A17579">
      <w:pPr>
        <w:spacing w:after="0" w:line="276" w:lineRule="auto"/>
        <w:jc w:val="both"/>
        <w:rPr>
          <w:i/>
          <w:u w:val="single"/>
        </w:rPr>
      </w:pPr>
      <w:r w:rsidRPr="00ED5671">
        <w:rPr>
          <w:i/>
          <w:u w:val="single"/>
        </w:rPr>
        <w:t>Performance Fees</w:t>
      </w:r>
    </w:p>
    <w:p w14:paraId="41D3422B" w14:textId="78C9AD66" w:rsidR="008516C6" w:rsidRPr="00ED5671" w:rsidRDefault="0010314F" w:rsidP="00A17579">
      <w:pPr>
        <w:spacing w:after="0" w:line="276" w:lineRule="auto"/>
        <w:jc w:val="both"/>
      </w:pPr>
      <w:r w:rsidRPr="00ED5671">
        <w:t xml:space="preserve">For more detailed comments on the presentation of the Performance Fees, please </w:t>
      </w:r>
      <w:r w:rsidR="00212737" w:rsidRPr="00ED5671">
        <w:t xml:space="preserve">consider </w:t>
      </w:r>
      <w:r w:rsidRPr="00ED5671">
        <w:t xml:space="preserve">our comments </w:t>
      </w:r>
      <w:r w:rsidR="00212737" w:rsidRPr="00ED5671">
        <w:t xml:space="preserve">above on </w:t>
      </w:r>
      <w:r w:rsidRPr="00ED5671">
        <w:t>Annex V.</w:t>
      </w:r>
    </w:p>
    <w:p w14:paraId="33DD6571" w14:textId="77777777" w:rsidR="00F5498A" w:rsidRDefault="00F5498A" w:rsidP="00A17579">
      <w:pPr>
        <w:spacing w:after="0" w:line="276" w:lineRule="auto"/>
        <w:jc w:val="both"/>
        <w:rPr>
          <w:b/>
          <w:color w:val="5B9BD5" w:themeColor="accent1"/>
          <w:u w:val="single"/>
        </w:rPr>
      </w:pPr>
    </w:p>
    <w:p w14:paraId="4F896C41" w14:textId="77777777" w:rsidR="00F5498A" w:rsidRDefault="00F5498A" w:rsidP="00A17579">
      <w:pPr>
        <w:spacing w:after="0" w:line="276" w:lineRule="auto"/>
        <w:jc w:val="both"/>
        <w:rPr>
          <w:b/>
          <w:color w:val="5B9BD5" w:themeColor="accent1"/>
          <w:u w:val="single"/>
        </w:rPr>
      </w:pPr>
    </w:p>
    <w:p w14:paraId="053071EC" w14:textId="7DA1FB0F"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Section II: List of costs of PRIPs other than investment funds – including structured products, derivatives and contracts for difference (CFDs)</w:t>
      </w:r>
    </w:p>
    <w:p w14:paraId="660AC909" w14:textId="77777777" w:rsidR="00F5498A" w:rsidRDefault="00F5498A" w:rsidP="00A17579">
      <w:pPr>
        <w:spacing w:after="0" w:line="276" w:lineRule="auto"/>
        <w:jc w:val="both"/>
      </w:pPr>
    </w:p>
    <w:p w14:paraId="3AB51BC2" w14:textId="066E3D49" w:rsidR="00003C01" w:rsidRDefault="00003C01" w:rsidP="00A17579">
      <w:pPr>
        <w:spacing w:after="0" w:line="276" w:lineRule="auto"/>
        <w:jc w:val="both"/>
      </w:pPr>
      <w:r w:rsidRPr="00ED5671">
        <w:t>With regards to para. 32 on page 65 we suggest adding the following item: “direct or indirect costs associated to the structure of the product in relation to prudential requirements (own funds, liquidity, etc.)”. Also, we suggest adding the following to para. 26: “any recurring cost similar to those listed in paragraph 32”.</w:t>
      </w:r>
    </w:p>
    <w:p w14:paraId="46CF4CCA" w14:textId="77777777" w:rsidR="00F5498A" w:rsidRDefault="00F5498A" w:rsidP="00A17579">
      <w:pPr>
        <w:spacing w:after="0" w:line="276" w:lineRule="auto"/>
        <w:jc w:val="both"/>
      </w:pPr>
    </w:p>
    <w:p w14:paraId="19C1B827" w14:textId="77777777" w:rsidR="00F5498A" w:rsidRPr="00ED5671" w:rsidRDefault="00F5498A" w:rsidP="00A17579">
      <w:pPr>
        <w:spacing w:after="0" w:line="276" w:lineRule="auto"/>
        <w:jc w:val="both"/>
      </w:pPr>
    </w:p>
    <w:p w14:paraId="79C0D58C" w14:textId="6F2520F0" w:rsidR="009A2D22" w:rsidRPr="00ED5671" w:rsidRDefault="009A2D22" w:rsidP="00A17579">
      <w:pPr>
        <w:spacing w:after="0" w:line="276" w:lineRule="auto"/>
        <w:jc w:val="both"/>
        <w:rPr>
          <w:b/>
          <w:color w:val="5B9BD5" w:themeColor="accent1"/>
          <w:u w:val="single"/>
        </w:rPr>
      </w:pPr>
      <w:r w:rsidRPr="00ED5671">
        <w:rPr>
          <w:b/>
          <w:color w:val="5B9BD5" w:themeColor="accent1"/>
          <w:u w:val="single"/>
        </w:rPr>
        <w:t>Section III: List of Costs of Insurance-based investment products</w:t>
      </w:r>
    </w:p>
    <w:p w14:paraId="32A4A92E" w14:textId="71FB09B2" w:rsidR="00FC3102" w:rsidRPr="00ED5671" w:rsidRDefault="00FC3102" w:rsidP="00A17579">
      <w:pPr>
        <w:spacing w:after="0" w:line="276" w:lineRule="auto"/>
        <w:jc w:val="both"/>
      </w:pPr>
      <w:r w:rsidRPr="00ED5671">
        <w:t>Please consider our response to Question 19 above.</w:t>
      </w:r>
    </w:p>
    <w:p w14:paraId="1667D1B5" w14:textId="6D49006B" w:rsidR="00227886" w:rsidRDefault="00227886" w:rsidP="00A17579">
      <w:pPr>
        <w:spacing w:after="0" w:line="276" w:lineRule="auto"/>
        <w:jc w:val="both"/>
      </w:pPr>
      <w:r w:rsidRPr="00ED5671">
        <w:t xml:space="preserve">In addition, all costs incurred in a fund that can be incurred </w:t>
      </w:r>
      <w:r w:rsidR="0005581D" w:rsidRPr="00ED5671">
        <w:t>by an</w:t>
      </w:r>
      <w:r w:rsidRPr="00ED5671">
        <w:t xml:space="preserve"> insurance company</w:t>
      </w:r>
      <w:r w:rsidR="0005581D" w:rsidRPr="00ED5671">
        <w:t xml:space="preserve"> in the manufacturing/managing of a PRIIP should be included</w:t>
      </w:r>
      <w:r w:rsidRPr="00ED5671">
        <w:t xml:space="preserve">. </w:t>
      </w:r>
      <w:r w:rsidR="0005581D" w:rsidRPr="00ED5671">
        <w:t>Alas</w:t>
      </w:r>
      <w:r w:rsidRPr="00ED5671">
        <w:t>, the same rules should be applied.</w:t>
      </w:r>
    </w:p>
    <w:p w14:paraId="37C270AF" w14:textId="77777777" w:rsidR="00F5498A" w:rsidRDefault="00F5498A" w:rsidP="00A17579">
      <w:pPr>
        <w:spacing w:after="0" w:line="276" w:lineRule="auto"/>
        <w:jc w:val="both"/>
      </w:pPr>
    </w:p>
    <w:p w14:paraId="3969AC1C" w14:textId="77777777" w:rsidR="00F5498A" w:rsidRPr="00ED5671" w:rsidRDefault="00F5498A" w:rsidP="00A17579">
      <w:pPr>
        <w:spacing w:after="0" w:line="276" w:lineRule="auto"/>
        <w:jc w:val="both"/>
      </w:pPr>
    </w:p>
    <w:p w14:paraId="76A9568F" w14:textId="77777777" w:rsidR="00333A8E" w:rsidRPr="00ED5671" w:rsidRDefault="00333A8E" w:rsidP="00A17579">
      <w:pPr>
        <w:spacing w:after="0" w:line="276" w:lineRule="auto"/>
        <w:jc w:val="both"/>
        <w:rPr>
          <w:b/>
          <w:i/>
          <w:color w:val="5B9BD5" w:themeColor="accent1"/>
          <w:u w:val="single"/>
        </w:rPr>
      </w:pPr>
      <w:r w:rsidRPr="00ED5671">
        <w:rPr>
          <w:b/>
          <w:i/>
          <w:color w:val="5B9BD5" w:themeColor="accent1"/>
          <w:u w:val="single"/>
        </w:rPr>
        <w:t>Part 2: Summary indicators</w:t>
      </w:r>
    </w:p>
    <w:p w14:paraId="57125DE7" w14:textId="41D6967A" w:rsidR="00333A8E" w:rsidRDefault="00333A8E" w:rsidP="00A17579">
      <w:pPr>
        <w:spacing w:after="0" w:line="276" w:lineRule="auto"/>
        <w:jc w:val="both"/>
      </w:pPr>
      <w:r w:rsidRPr="00ED5671">
        <w:t xml:space="preserve">While having </w:t>
      </w:r>
      <w:r w:rsidR="00212737" w:rsidRPr="00ED5671">
        <w:t xml:space="preserve">no </w:t>
      </w:r>
      <w:r w:rsidRPr="00ED5671">
        <w:t>technical remarks on the actual Reduction-In-Yield methodology, we question whether the concept “RIY” is understood by the average retail investor. We therefore propos</w:t>
      </w:r>
      <w:r w:rsidR="00212737" w:rsidRPr="00ED5671">
        <w:t>e</w:t>
      </w:r>
      <w:r w:rsidRPr="00ED5671">
        <w:t xml:space="preserve"> (see comments on Annex VII’s presentation of costs) to circumscribe RIY with something more understandable such as “equivalent annual percentage rate”.</w:t>
      </w:r>
    </w:p>
    <w:p w14:paraId="25FC9367" w14:textId="77777777" w:rsidR="00F5498A" w:rsidRDefault="00F5498A" w:rsidP="00A17579">
      <w:pPr>
        <w:spacing w:after="0" w:line="276" w:lineRule="auto"/>
        <w:jc w:val="both"/>
      </w:pPr>
    </w:p>
    <w:p w14:paraId="65AF991A" w14:textId="77986E3B" w:rsidR="00F5498A" w:rsidRDefault="00F5498A" w:rsidP="00F5498A">
      <w:pPr>
        <w:spacing w:after="0" w:line="276" w:lineRule="auto"/>
        <w:jc w:val="center"/>
      </w:pPr>
      <w:r>
        <w:t>***</w:t>
      </w:r>
    </w:p>
    <w:p w14:paraId="1C916D9D" w14:textId="5949BCB6" w:rsidR="00F5498A" w:rsidRDefault="00F5498A" w:rsidP="00A17579">
      <w:pPr>
        <w:spacing w:after="0" w:line="276" w:lineRule="auto"/>
        <w:jc w:val="both"/>
      </w:pPr>
      <w:r>
        <w:t>Brussels, 25 January 2016</w:t>
      </w:r>
    </w:p>
    <w:p w14:paraId="60DB549C" w14:textId="403CB791" w:rsidR="00F5498A" w:rsidRPr="00F5498A" w:rsidRDefault="00F5498A" w:rsidP="00A17579">
      <w:pPr>
        <w:spacing w:after="0" w:line="276" w:lineRule="auto"/>
        <w:jc w:val="both"/>
        <w:rPr>
          <w:sz w:val="16"/>
          <w:szCs w:val="16"/>
        </w:rPr>
      </w:pPr>
      <w:r w:rsidRPr="00F5498A">
        <w:rPr>
          <w:sz w:val="16"/>
          <w:szCs w:val="16"/>
        </w:rPr>
        <w:t>[16-4007]</w:t>
      </w:r>
    </w:p>
    <w:sectPr w:rsidR="00F5498A" w:rsidRPr="00F5498A" w:rsidSect="007F41CB">
      <w:head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690D4" w14:textId="77777777" w:rsidR="00A17579" w:rsidRDefault="00A17579" w:rsidP="00195473">
      <w:pPr>
        <w:spacing w:after="0" w:line="240" w:lineRule="auto"/>
      </w:pPr>
      <w:r>
        <w:separator/>
      </w:r>
    </w:p>
  </w:endnote>
  <w:endnote w:type="continuationSeparator" w:id="0">
    <w:p w14:paraId="5FE1A0FD" w14:textId="77777777" w:rsidR="00A17579" w:rsidRDefault="00A17579" w:rsidP="0019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Sabo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332A" w14:textId="77777777" w:rsidR="00A17579" w:rsidRPr="00097298" w:rsidRDefault="00A17579" w:rsidP="00BB62AB">
    <w:pPr>
      <w:spacing w:after="0" w:line="240" w:lineRule="auto"/>
      <w:ind w:right="-285"/>
      <w:rPr>
        <w:noProof/>
        <w:color w:val="0000FF"/>
        <w:sz w:val="18"/>
        <w:szCs w:val="20"/>
        <w:lang w:val="fr-BE"/>
      </w:rPr>
    </w:pPr>
    <w:r w:rsidRPr="00097298">
      <w:rPr>
        <w:rFonts w:ascii="Calibri" w:hAnsi="Calibri" w:cs="Tahoma"/>
        <w:noProof/>
        <w:color w:val="0000FF"/>
        <w:sz w:val="18"/>
        <w:szCs w:val="20"/>
        <w:lang w:val="fr-BE"/>
      </w:rPr>
      <w:t>rue Montoyer 47, B-1000 Bruxelles</w:t>
    </w:r>
  </w:p>
  <w:p w14:paraId="11B27634" w14:textId="14B3C86B" w:rsidR="00A17579" w:rsidRPr="00F333E2" w:rsidRDefault="00A17579" w:rsidP="005F46B5">
    <w:pPr>
      <w:pBdr>
        <w:top w:val="single" w:sz="4" w:space="1" w:color="0000FF"/>
      </w:pBdr>
      <w:tabs>
        <w:tab w:val="center" w:pos="4153"/>
        <w:tab w:val="right" w:pos="8306"/>
      </w:tabs>
      <w:spacing w:after="0" w:line="240" w:lineRule="auto"/>
      <w:ind w:right="-285"/>
      <w:rPr>
        <w:sz w:val="18"/>
        <w:szCs w:val="20"/>
        <w:lang w:val="fr-BE"/>
      </w:rPr>
    </w:pPr>
    <w:r w:rsidRPr="00470D26">
      <w:rPr>
        <w:rFonts w:ascii="Calibri" w:eastAsia="Times New Roman" w:hAnsi="Calibri"/>
        <w:color w:val="0000FF"/>
        <w:sz w:val="18"/>
        <w:szCs w:val="20"/>
      </w:rPr>
      <w:sym w:font="Wingdings" w:char="0028"/>
    </w:r>
    <w:r w:rsidRPr="00F333E2">
      <w:rPr>
        <w:rFonts w:ascii="Calibri" w:eastAsia="Times New Roman" w:hAnsi="Calibri"/>
        <w:color w:val="0000FF"/>
        <w:sz w:val="18"/>
        <w:szCs w:val="20"/>
        <w:lang w:val="fr-BE"/>
      </w:rPr>
      <w:t xml:space="preserve"> +32 2 513 39 69  </w:t>
    </w:r>
    <w:r w:rsidRPr="00470D26">
      <w:rPr>
        <w:rFonts w:ascii="Calibri" w:eastAsia="Times New Roman" w:hAnsi="Calibri"/>
        <w:color w:val="0000FF"/>
        <w:sz w:val="18"/>
        <w:szCs w:val="20"/>
        <w:lang w:val="fr-BE"/>
      </w:rPr>
      <w:sym w:font="Symbol" w:char="00B7"/>
    </w:r>
    <w:r w:rsidRPr="00F333E2">
      <w:rPr>
        <w:rFonts w:ascii="Calibri" w:eastAsia="Times New Roman" w:hAnsi="Calibri"/>
        <w:color w:val="0000FF"/>
        <w:sz w:val="18"/>
        <w:szCs w:val="20"/>
        <w:lang w:val="fr-BE"/>
      </w:rPr>
      <w:t xml:space="preserve">  Fax +32 2 513 26 43  </w:t>
    </w:r>
    <w:r w:rsidRPr="00470D26">
      <w:rPr>
        <w:rFonts w:ascii="Calibri" w:eastAsia="Times New Roman" w:hAnsi="Calibri"/>
        <w:color w:val="0000FF"/>
        <w:sz w:val="18"/>
        <w:szCs w:val="20"/>
        <w:lang w:val="fr-BE"/>
      </w:rPr>
      <w:sym w:font="Symbol" w:char="00B7"/>
    </w:r>
    <w:r w:rsidRPr="00F333E2">
      <w:rPr>
        <w:rFonts w:ascii="Calibri" w:eastAsia="Times New Roman" w:hAnsi="Calibri"/>
        <w:color w:val="0000FF"/>
        <w:sz w:val="18"/>
        <w:szCs w:val="20"/>
        <w:lang w:val="fr-BE"/>
      </w:rPr>
      <w:t xml:space="preserve">  e-mail : </w:t>
    </w:r>
    <w:hyperlink r:id="rId1" w:history="1">
      <w:r w:rsidRPr="00F333E2">
        <w:rPr>
          <w:rFonts w:ascii="Calibri" w:eastAsia="Times New Roman" w:hAnsi="Calibri"/>
          <w:color w:val="0000FF"/>
          <w:sz w:val="18"/>
          <w:szCs w:val="20"/>
          <w:u w:val="single"/>
          <w:lang w:val="fr-BE"/>
        </w:rPr>
        <w:t>info@efama.org</w:t>
      </w:r>
    </w:hyperlink>
    <w:r w:rsidRPr="00F333E2">
      <w:rPr>
        <w:rFonts w:ascii="Calibri" w:eastAsia="Times New Roman" w:hAnsi="Calibri"/>
        <w:color w:val="0000FF"/>
        <w:sz w:val="18"/>
        <w:szCs w:val="20"/>
        <w:lang w:val="fr-BE"/>
      </w:rPr>
      <w:t xml:space="preserve">  </w:t>
    </w:r>
    <w:r w:rsidRPr="00470D26">
      <w:rPr>
        <w:rFonts w:ascii="Calibri" w:eastAsia="Times New Roman" w:hAnsi="Calibri"/>
        <w:color w:val="0000FF"/>
        <w:sz w:val="18"/>
        <w:szCs w:val="20"/>
        <w:lang w:val="fr-BE"/>
      </w:rPr>
      <w:sym w:font="Symbol" w:char="00B7"/>
    </w:r>
    <w:r w:rsidRPr="00F333E2">
      <w:rPr>
        <w:rFonts w:ascii="Calibri" w:eastAsia="Times New Roman" w:hAnsi="Calibri"/>
        <w:color w:val="0000FF"/>
        <w:sz w:val="18"/>
        <w:szCs w:val="20"/>
        <w:lang w:val="fr-BE"/>
      </w:rPr>
      <w:t xml:space="preserve">  </w:t>
    </w:r>
    <w:hyperlink r:id="rId2" w:history="1">
      <w:r w:rsidRPr="00F333E2">
        <w:rPr>
          <w:rFonts w:ascii="Calibri" w:eastAsia="Times New Roman" w:hAnsi="Calibri"/>
          <w:color w:val="0000FF"/>
          <w:sz w:val="18"/>
          <w:szCs w:val="20"/>
          <w:u w:val="single"/>
          <w:lang w:val="fr-BE"/>
        </w:rPr>
        <w:t>www.efama.org</w:t>
      </w:r>
    </w:hyperlink>
    <w:r w:rsidRPr="00F333E2">
      <w:rPr>
        <w:rFonts w:ascii="Calibri" w:eastAsia="Times New Roman" w:hAnsi="Calibri"/>
        <w:color w:val="0000FF"/>
        <w:sz w:val="18"/>
        <w:szCs w:val="20"/>
        <w:lang w:val="fr-BE"/>
      </w:rPr>
      <w:t xml:space="preserve"> </w:t>
    </w:r>
    <w:r w:rsidRPr="00F333E2">
      <w:rPr>
        <w:rFonts w:ascii="Calibri" w:eastAsia="Times New Roman" w:hAnsi="Calibri"/>
        <w:color w:val="0000FF"/>
        <w:sz w:val="18"/>
        <w:szCs w:val="20"/>
        <w:lang w:val="fr-BE"/>
      </w:rPr>
      <w:tab/>
    </w:r>
    <w:r w:rsidRPr="00470D26">
      <w:rPr>
        <w:rFonts w:ascii="Calibri" w:eastAsia="Times New Roman" w:hAnsi="Calibri"/>
        <w:color w:val="0000FF"/>
        <w:sz w:val="18"/>
        <w:szCs w:val="20"/>
        <w:lang w:val="fr-BE"/>
      </w:rPr>
      <w:sym w:font="Symbol" w:char="00B7"/>
    </w:r>
    <w:r w:rsidRPr="00F333E2">
      <w:rPr>
        <w:rFonts w:ascii="Calibri" w:eastAsia="Times New Roman" w:hAnsi="Calibri"/>
        <w:color w:val="0000FF"/>
        <w:sz w:val="18"/>
        <w:szCs w:val="20"/>
        <w:lang w:val="fr-BE"/>
      </w:rPr>
      <w:t xml:space="preserve">  VAT Nr BE 0446.651.445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68A4" w14:textId="77777777" w:rsidR="00A17579" w:rsidRDefault="00A17579" w:rsidP="00195473">
      <w:pPr>
        <w:spacing w:after="0" w:line="240" w:lineRule="auto"/>
      </w:pPr>
      <w:r>
        <w:separator/>
      </w:r>
    </w:p>
  </w:footnote>
  <w:footnote w:type="continuationSeparator" w:id="0">
    <w:p w14:paraId="22424D35" w14:textId="77777777" w:rsidR="00A17579" w:rsidRDefault="00A17579" w:rsidP="00195473">
      <w:pPr>
        <w:spacing w:after="0" w:line="240" w:lineRule="auto"/>
      </w:pPr>
      <w:r>
        <w:continuationSeparator/>
      </w:r>
    </w:p>
  </w:footnote>
  <w:footnote w:id="1">
    <w:p w14:paraId="0DD61908" w14:textId="77777777" w:rsidR="00A17579" w:rsidRPr="005F7953" w:rsidRDefault="00A17579" w:rsidP="00983BA2">
      <w:pPr>
        <w:pStyle w:val="FootnoteText"/>
      </w:pPr>
      <w:r w:rsidRPr="005F7953">
        <w:rPr>
          <w:rStyle w:val="FootnoteReference"/>
        </w:rPr>
        <w:footnoteRef/>
      </w:r>
      <w:r w:rsidRPr="005F7953">
        <w:t xml:space="preserve"> MiFID II Commission Delegated Directive; Article 9(9)-(12)</w:t>
      </w:r>
    </w:p>
  </w:footnote>
  <w:footnote w:id="2">
    <w:p w14:paraId="154B8C34" w14:textId="773924EA" w:rsidR="00A17579" w:rsidRPr="005F7953" w:rsidRDefault="00A17579">
      <w:pPr>
        <w:pStyle w:val="FootnoteText"/>
      </w:pPr>
      <w:r w:rsidRPr="005F7953">
        <w:rPr>
          <w:rStyle w:val="FootnoteReference"/>
        </w:rPr>
        <w:footnoteRef/>
      </w:r>
      <w:r w:rsidRPr="005F7953">
        <w:t xml:space="preserve"> PRIIPs Regulation Art. 6(3)</w:t>
      </w:r>
    </w:p>
  </w:footnote>
  <w:footnote w:id="3">
    <w:p w14:paraId="6F7AB3FC" w14:textId="77777777" w:rsidR="00A17579" w:rsidRPr="005F7953" w:rsidRDefault="00A17579" w:rsidP="00354BD3">
      <w:pPr>
        <w:pStyle w:val="FootnoteText"/>
      </w:pPr>
      <w:r w:rsidRPr="005F7953">
        <w:rPr>
          <w:rStyle w:val="FootnoteReference"/>
        </w:rPr>
        <w:footnoteRef/>
      </w:r>
      <w:r w:rsidRPr="005F7953">
        <w:t xml:space="preserve"> Page 123 on MOPs Costs: “[…] </w:t>
      </w:r>
      <w:r w:rsidRPr="005F7953">
        <w:rPr>
          <w:i/>
        </w:rPr>
        <w:t>In so far as the insurance undertaking requests that the UCITS to already prepare KID compliant information for the insurance undertaking – though this is not directly required under the PRIIP Regulation -- this would have the practical impact of undermining the temporary exemption in the Regulation and requiring UCITS to produce simultaneously a KII and KID-compliant information</w:t>
      </w:r>
      <w:r w:rsidRPr="005F7953">
        <w:t>.”</w:t>
      </w:r>
    </w:p>
    <w:p w14:paraId="5157B611" w14:textId="77777777" w:rsidR="00A17579" w:rsidRPr="005F7953" w:rsidRDefault="00A17579" w:rsidP="00354BD3">
      <w:pPr>
        <w:pStyle w:val="FootnoteText"/>
      </w:pPr>
    </w:p>
  </w:footnote>
  <w:footnote w:id="4">
    <w:p w14:paraId="3D6C20FA" w14:textId="77777777" w:rsidR="00A17579" w:rsidRPr="005F7953" w:rsidRDefault="00A17579" w:rsidP="00864D7C">
      <w:pPr>
        <w:pStyle w:val="FootnoteText"/>
      </w:pPr>
      <w:r w:rsidRPr="005F7953">
        <w:rPr>
          <w:rStyle w:val="FootnoteReference"/>
        </w:rPr>
        <w:footnoteRef/>
      </w:r>
      <w:r w:rsidRPr="005F7953">
        <w:t xml:space="preserve"> For the avoidance of doubt and given that there are two Articles 20 in the CP, we are referring to page 31.</w:t>
      </w:r>
    </w:p>
  </w:footnote>
  <w:footnote w:id="5">
    <w:p w14:paraId="61863767" w14:textId="28EADABA" w:rsidR="00A17579" w:rsidRPr="005F7953" w:rsidRDefault="00A17579" w:rsidP="009C7F1D">
      <w:pPr>
        <w:pStyle w:val="FootnoteText"/>
      </w:pPr>
      <w:r w:rsidRPr="005F7953">
        <w:rPr>
          <w:rStyle w:val="FootnoteReference"/>
        </w:rPr>
        <w:footnoteRef/>
      </w:r>
      <w:r w:rsidRPr="005F7953">
        <w:t xml:space="preserve"> Please note that the UCITS Directive is also wrongly referenced, as it currently refers to MiFID II.</w:t>
      </w:r>
    </w:p>
    <w:p w14:paraId="377E57E6" w14:textId="54D5E677" w:rsidR="00A17579" w:rsidRPr="005F7953" w:rsidRDefault="00A17579" w:rsidP="009C7F1D">
      <w:pPr>
        <w:pStyle w:val="FootnoteText"/>
      </w:pPr>
    </w:p>
  </w:footnote>
  <w:footnote w:id="6">
    <w:p w14:paraId="2EC98E92" w14:textId="77777777" w:rsidR="00A17579" w:rsidRPr="00D72012" w:rsidRDefault="00A17579" w:rsidP="00C25113">
      <w:pPr>
        <w:pStyle w:val="FootnoteText"/>
      </w:pPr>
      <w:r>
        <w:rPr>
          <w:rStyle w:val="FootnoteReference"/>
        </w:rPr>
        <w:footnoteRef/>
      </w:r>
      <w:r>
        <w:t xml:space="preserve"> “</w:t>
      </w:r>
      <w:r w:rsidRPr="00036014">
        <w:t xml:space="preserve">The MRM of Structured PRIIPs shall be assessed based on the methodology detailed in Paragraphs 30 to 48, provided that at least 500 historical daily prices of such Structured PRIIPs’ </w:t>
      </w:r>
      <w:proofErr w:type="spellStart"/>
      <w:r w:rsidRPr="00036014">
        <w:t>underlyings</w:t>
      </w:r>
      <w:proofErr w:type="spellEnd"/>
      <w:r w:rsidRPr="00036014">
        <w:t xml:space="preserve"> are available in relation to the last 5 years. Where such data is not available, the Structured PRIIP shall be assigned to Category 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18336367"/>
      <w:docPartObj>
        <w:docPartGallery w:val="Page Numbers (Top of Page)"/>
        <w:docPartUnique/>
      </w:docPartObj>
    </w:sdtPr>
    <w:sdtEndPr/>
    <w:sdtContent>
      <w:p w14:paraId="3A37697C" w14:textId="77777777" w:rsidR="00A17579" w:rsidRPr="007F4867" w:rsidRDefault="00A17579">
        <w:pPr>
          <w:pStyle w:val="Header"/>
          <w:jc w:val="right"/>
          <w:rPr>
            <w:b/>
            <w:bCs/>
            <w:sz w:val="20"/>
            <w:szCs w:val="20"/>
          </w:rPr>
        </w:pPr>
        <w:r w:rsidRPr="007F4867">
          <w:rPr>
            <w:sz w:val="20"/>
            <w:szCs w:val="20"/>
          </w:rPr>
          <w:t xml:space="preserve">Page </w:t>
        </w:r>
        <w:r w:rsidRPr="007F4867">
          <w:rPr>
            <w:b/>
            <w:bCs/>
            <w:sz w:val="20"/>
            <w:szCs w:val="20"/>
          </w:rPr>
          <w:fldChar w:fldCharType="begin"/>
        </w:r>
        <w:r w:rsidRPr="007F4867">
          <w:rPr>
            <w:b/>
            <w:bCs/>
            <w:sz w:val="20"/>
            <w:szCs w:val="20"/>
          </w:rPr>
          <w:instrText xml:space="preserve"> PAGE </w:instrText>
        </w:r>
        <w:r w:rsidRPr="007F4867">
          <w:rPr>
            <w:b/>
            <w:bCs/>
            <w:sz w:val="20"/>
            <w:szCs w:val="20"/>
          </w:rPr>
          <w:fldChar w:fldCharType="separate"/>
        </w:r>
        <w:r w:rsidR="009D6630">
          <w:rPr>
            <w:b/>
            <w:bCs/>
            <w:noProof/>
            <w:sz w:val="20"/>
            <w:szCs w:val="20"/>
          </w:rPr>
          <w:t>12</w:t>
        </w:r>
        <w:r w:rsidRPr="007F4867">
          <w:rPr>
            <w:b/>
            <w:bCs/>
            <w:sz w:val="20"/>
            <w:szCs w:val="20"/>
          </w:rPr>
          <w:fldChar w:fldCharType="end"/>
        </w:r>
        <w:r w:rsidRPr="007F4867">
          <w:rPr>
            <w:sz w:val="20"/>
            <w:szCs w:val="20"/>
          </w:rPr>
          <w:t xml:space="preserve"> of </w:t>
        </w:r>
        <w:r w:rsidRPr="007F4867">
          <w:rPr>
            <w:b/>
            <w:bCs/>
            <w:sz w:val="20"/>
            <w:szCs w:val="20"/>
          </w:rPr>
          <w:fldChar w:fldCharType="begin"/>
        </w:r>
        <w:r w:rsidRPr="007F4867">
          <w:rPr>
            <w:b/>
            <w:bCs/>
            <w:sz w:val="20"/>
            <w:szCs w:val="20"/>
          </w:rPr>
          <w:instrText xml:space="preserve"> NUMPAGES  </w:instrText>
        </w:r>
        <w:r w:rsidRPr="007F4867">
          <w:rPr>
            <w:b/>
            <w:bCs/>
            <w:sz w:val="20"/>
            <w:szCs w:val="20"/>
          </w:rPr>
          <w:fldChar w:fldCharType="separate"/>
        </w:r>
        <w:r w:rsidR="009D6630">
          <w:rPr>
            <w:b/>
            <w:bCs/>
            <w:noProof/>
            <w:sz w:val="20"/>
            <w:szCs w:val="20"/>
          </w:rPr>
          <w:t>12</w:t>
        </w:r>
        <w:r w:rsidRPr="007F4867">
          <w:rPr>
            <w:b/>
            <w:bCs/>
            <w:sz w:val="20"/>
            <w:szCs w:val="20"/>
          </w:rPr>
          <w:fldChar w:fldCharType="end"/>
        </w:r>
      </w:p>
      <w:p w14:paraId="0022EDC6" w14:textId="0C731D4B" w:rsidR="00A17579" w:rsidRPr="007F4867" w:rsidRDefault="00A17579" w:rsidP="00F333E2">
        <w:pPr>
          <w:pStyle w:val="Header"/>
          <w:pBdr>
            <w:bottom w:val="single" w:sz="4" w:space="1" w:color="auto"/>
          </w:pBdr>
          <w:jc w:val="right"/>
          <w:rPr>
            <w:sz w:val="20"/>
            <w:szCs w:val="20"/>
          </w:rPr>
        </w:pPr>
        <w:r w:rsidRPr="007F4867">
          <w:rPr>
            <w:noProof/>
            <w:sz w:val="20"/>
            <w:szCs w:val="20"/>
          </w:rPr>
          <w:t xml:space="preserve">EFAMA’s comment on ESAs’ </w:t>
        </w:r>
        <w:r>
          <w:rPr>
            <w:noProof/>
            <w:sz w:val="20"/>
            <w:szCs w:val="20"/>
          </w:rPr>
          <w:t xml:space="preserve">Consultation </w:t>
        </w:r>
        <w:r w:rsidRPr="007F4867">
          <w:rPr>
            <w:noProof/>
            <w:sz w:val="20"/>
            <w:szCs w:val="20"/>
          </w:rPr>
          <w:t>Paper on the PRIIPs KID</w:t>
        </w:r>
      </w:p>
      <w:p w14:paraId="7F4FFA04" w14:textId="7AD6819A" w:rsidR="00A17579" w:rsidRPr="007F4867" w:rsidRDefault="009D6630">
        <w:pPr>
          <w:pStyle w:val="Header"/>
          <w:jc w:val="right"/>
          <w:rPr>
            <w:sz w:val="20"/>
            <w:szCs w:val="20"/>
          </w:rPr>
        </w:pPr>
      </w:p>
    </w:sdtContent>
  </w:sdt>
  <w:p w14:paraId="5F2BCA51" w14:textId="77777777" w:rsidR="00A17579" w:rsidRPr="007F4867" w:rsidRDefault="00A17579">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AC23E" w14:textId="1EB81A92" w:rsidR="00A17579" w:rsidRDefault="00A17579">
    <w:pPr>
      <w:pStyle w:val="Header"/>
      <w:rPr>
        <w:sz w:val="18"/>
        <w:szCs w:val="18"/>
      </w:rPr>
    </w:pPr>
    <w:r w:rsidRPr="00BA5C5D">
      <w:rPr>
        <w:sz w:val="18"/>
        <w:szCs w:val="18"/>
      </w:rPr>
      <w:object w:dxaOrig="2966" w:dyaOrig="1656" w14:anchorId="69B3D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6.25pt" o:ole="">
          <v:imagedata r:id="rId1" o:title=""/>
        </v:shape>
        <o:OLEObject Type="Embed" ProgID="DellImageExpertImage" ShapeID="_x0000_i1025" DrawAspect="Content" ObjectID="_1515246144" r:id="rId2"/>
      </w:object>
    </w:r>
  </w:p>
  <w:p w14:paraId="279F0ED2" w14:textId="77777777" w:rsidR="00A17579" w:rsidRDefault="00A17579">
    <w:pPr>
      <w:pStyle w:val="Header"/>
      <w:rPr>
        <w:sz w:val="18"/>
        <w:szCs w:val="18"/>
      </w:rPr>
    </w:pPr>
  </w:p>
  <w:p w14:paraId="1C084584" w14:textId="77777777" w:rsidR="00A17579" w:rsidRDefault="00A17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2AB"/>
    <w:multiLevelType w:val="hybridMultilevel"/>
    <w:tmpl w:val="F1B6572C"/>
    <w:lvl w:ilvl="0" w:tplc="0CB6EBA6">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95676B"/>
    <w:multiLevelType w:val="multilevel"/>
    <w:tmpl w:val="9760D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4752D7"/>
    <w:multiLevelType w:val="hybridMultilevel"/>
    <w:tmpl w:val="BB900574"/>
    <w:lvl w:ilvl="0" w:tplc="976ECEF8">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185434"/>
    <w:multiLevelType w:val="hybridMultilevel"/>
    <w:tmpl w:val="CD6C4F12"/>
    <w:lvl w:ilvl="0" w:tplc="F97EF770">
      <w:start w:val="1"/>
      <w:numFmt w:val="decimal"/>
      <w:pStyle w:val="IntenseQuote"/>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0E42EDF"/>
    <w:multiLevelType w:val="hybridMultilevel"/>
    <w:tmpl w:val="27AC499A"/>
    <w:lvl w:ilvl="0" w:tplc="5DBA4638">
      <w:numFmt w:val="bullet"/>
      <w:lvlText w:val="-"/>
      <w:lvlJc w:val="left"/>
      <w:pPr>
        <w:ind w:left="720" w:hanging="360"/>
      </w:pPr>
      <w:rPr>
        <w:rFonts w:ascii="Gill Sans MT" w:eastAsia="Times New Roman" w:hAnsi="Gill Sans MT" w:cs="Sabon-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FF95581"/>
    <w:multiLevelType w:val="hybridMultilevel"/>
    <w:tmpl w:val="4676936C"/>
    <w:lvl w:ilvl="0" w:tplc="F4C4AB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B2E17"/>
    <w:multiLevelType w:val="hybridMultilevel"/>
    <w:tmpl w:val="CD8AC66C"/>
    <w:lvl w:ilvl="0" w:tplc="3536D30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E04CA"/>
    <w:multiLevelType w:val="hybridMultilevel"/>
    <w:tmpl w:val="D96CAF56"/>
    <w:lvl w:ilvl="0" w:tplc="C3A424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B0D8B"/>
    <w:multiLevelType w:val="hybridMultilevel"/>
    <w:tmpl w:val="B5D8BDD0"/>
    <w:lvl w:ilvl="0" w:tplc="3FE00192">
      <w:start w:val="1"/>
      <w:numFmt w:val="bullet"/>
      <w:pStyle w:val="Bullet1"/>
      <w:lvlText w:val=""/>
      <w:lvlJc w:val="left"/>
      <w:pPr>
        <w:ind w:left="720" w:hanging="360"/>
      </w:pPr>
      <w:rPr>
        <w:rFonts w:ascii="Symbol" w:hAnsi="Symbol" w:hint="default"/>
      </w:rPr>
    </w:lvl>
    <w:lvl w:ilvl="1" w:tplc="6FE0679C">
      <w:start w:val="1"/>
      <w:numFmt w:val="bullet"/>
      <w:pStyle w:val="Bullet2"/>
      <w:lvlText w:val="o"/>
      <w:lvlJc w:val="left"/>
      <w:pPr>
        <w:ind w:left="1440" w:hanging="360"/>
      </w:pPr>
      <w:rPr>
        <w:rFonts w:ascii="Courier New" w:hAnsi="Courier New" w:cs="Courier New" w:hint="default"/>
      </w:rPr>
    </w:lvl>
    <w:lvl w:ilvl="2" w:tplc="121ABE4C">
      <w:start w:val="1"/>
      <w:numFmt w:val="bullet"/>
      <w:pStyle w:val="Bullet3"/>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4"/>
  </w:num>
  <w:num w:numId="5">
    <w:abstractNumId w:val="7"/>
  </w:num>
  <w:num w:numId="6">
    <w:abstractNumId w:val="2"/>
  </w:num>
  <w:num w:numId="7">
    <w:abstractNumId w:val="5"/>
  </w:num>
  <w:num w:numId="8">
    <w:abstractNumId w:val="1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F8"/>
    <w:rsid w:val="0000081E"/>
    <w:rsid w:val="0000205C"/>
    <w:rsid w:val="00002D6B"/>
    <w:rsid w:val="00003C01"/>
    <w:rsid w:val="00004677"/>
    <w:rsid w:val="00005D74"/>
    <w:rsid w:val="000062CE"/>
    <w:rsid w:val="00006B8D"/>
    <w:rsid w:val="00011A32"/>
    <w:rsid w:val="0001238D"/>
    <w:rsid w:val="000123FD"/>
    <w:rsid w:val="00016068"/>
    <w:rsid w:val="00016B1D"/>
    <w:rsid w:val="00016B95"/>
    <w:rsid w:val="000204B4"/>
    <w:rsid w:val="00021517"/>
    <w:rsid w:val="00021674"/>
    <w:rsid w:val="000231F7"/>
    <w:rsid w:val="00023BBC"/>
    <w:rsid w:val="00023D66"/>
    <w:rsid w:val="000250BB"/>
    <w:rsid w:val="000258C7"/>
    <w:rsid w:val="0002693C"/>
    <w:rsid w:val="00026EE9"/>
    <w:rsid w:val="000273C9"/>
    <w:rsid w:val="000300C7"/>
    <w:rsid w:val="000304CB"/>
    <w:rsid w:val="000308D1"/>
    <w:rsid w:val="00034A80"/>
    <w:rsid w:val="000358C1"/>
    <w:rsid w:val="00036014"/>
    <w:rsid w:val="00036AEC"/>
    <w:rsid w:val="0004187D"/>
    <w:rsid w:val="00043517"/>
    <w:rsid w:val="00043A06"/>
    <w:rsid w:val="00043D29"/>
    <w:rsid w:val="00044B0D"/>
    <w:rsid w:val="000450AA"/>
    <w:rsid w:val="000451DC"/>
    <w:rsid w:val="00045857"/>
    <w:rsid w:val="0004624A"/>
    <w:rsid w:val="00047096"/>
    <w:rsid w:val="0004784C"/>
    <w:rsid w:val="000510D8"/>
    <w:rsid w:val="0005180F"/>
    <w:rsid w:val="000518BF"/>
    <w:rsid w:val="00054CFC"/>
    <w:rsid w:val="0005581D"/>
    <w:rsid w:val="00055D69"/>
    <w:rsid w:val="00057A5D"/>
    <w:rsid w:val="00057C68"/>
    <w:rsid w:val="00060D78"/>
    <w:rsid w:val="00064184"/>
    <w:rsid w:val="00064226"/>
    <w:rsid w:val="000663DD"/>
    <w:rsid w:val="000666CE"/>
    <w:rsid w:val="00067CEF"/>
    <w:rsid w:val="00073C68"/>
    <w:rsid w:val="00074158"/>
    <w:rsid w:val="00075321"/>
    <w:rsid w:val="00075BC9"/>
    <w:rsid w:val="00075D17"/>
    <w:rsid w:val="00077AAA"/>
    <w:rsid w:val="00082B6D"/>
    <w:rsid w:val="00084879"/>
    <w:rsid w:val="000909E5"/>
    <w:rsid w:val="00091F56"/>
    <w:rsid w:val="00093BE0"/>
    <w:rsid w:val="000952F9"/>
    <w:rsid w:val="00096B18"/>
    <w:rsid w:val="0009768C"/>
    <w:rsid w:val="00097AA4"/>
    <w:rsid w:val="000A001E"/>
    <w:rsid w:val="000A0A38"/>
    <w:rsid w:val="000A1B3C"/>
    <w:rsid w:val="000A38F2"/>
    <w:rsid w:val="000A3B5A"/>
    <w:rsid w:val="000A3DE3"/>
    <w:rsid w:val="000A5FEF"/>
    <w:rsid w:val="000A670E"/>
    <w:rsid w:val="000A736C"/>
    <w:rsid w:val="000B0805"/>
    <w:rsid w:val="000B1066"/>
    <w:rsid w:val="000B2C1D"/>
    <w:rsid w:val="000B5C15"/>
    <w:rsid w:val="000B5FA3"/>
    <w:rsid w:val="000B7514"/>
    <w:rsid w:val="000C281F"/>
    <w:rsid w:val="000C337E"/>
    <w:rsid w:val="000C367F"/>
    <w:rsid w:val="000C3EA5"/>
    <w:rsid w:val="000C66C4"/>
    <w:rsid w:val="000C7C5E"/>
    <w:rsid w:val="000D0B86"/>
    <w:rsid w:val="000D0CD7"/>
    <w:rsid w:val="000D2A69"/>
    <w:rsid w:val="000E0482"/>
    <w:rsid w:val="000E0931"/>
    <w:rsid w:val="000E17EA"/>
    <w:rsid w:val="000E2277"/>
    <w:rsid w:val="000E23E2"/>
    <w:rsid w:val="000E742F"/>
    <w:rsid w:val="000F0830"/>
    <w:rsid w:val="000F12F1"/>
    <w:rsid w:val="000F25B3"/>
    <w:rsid w:val="000F2E39"/>
    <w:rsid w:val="000F6180"/>
    <w:rsid w:val="000F78B3"/>
    <w:rsid w:val="0010086D"/>
    <w:rsid w:val="00100FB2"/>
    <w:rsid w:val="0010314F"/>
    <w:rsid w:val="00103740"/>
    <w:rsid w:val="00103B2A"/>
    <w:rsid w:val="00104FBD"/>
    <w:rsid w:val="00105622"/>
    <w:rsid w:val="00106279"/>
    <w:rsid w:val="00106435"/>
    <w:rsid w:val="00110E85"/>
    <w:rsid w:val="00111882"/>
    <w:rsid w:val="00114A50"/>
    <w:rsid w:val="001171A0"/>
    <w:rsid w:val="001177CE"/>
    <w:rsid w:val="00122F0E"/>
    <w:rsid w:val="00123B52"/>
    <w:rsid w:val="00124529"/>
    <w:rsid w:val="00124B7F"/>
    <w:rsid w:val="00125557"/>
    <w:rsid w:val="001305AF"/>
    <w:rsid w:val="00130740"/>
    <w:rsid w:val="00132C11"/>
    <w:rsid w:val="0013481A"/>
    <w:rsid w:val="00142C38"/>
    <w:rsid w:val="0014320F"/>
    <w:rsid w:val="00143928"/>
    <w:rsid w:val="00145285"/>
    <w:rsid w:val="00154EFD"/>
    <w:rsid w:val="0015549F"/>
    <w:rsid w:val="00156196"/>
    <w:rsid w:val="00156CCB"/>
    <w:rsid w:val="001572A5"/>
    <w:rsid w:val="001573D3"/>
    <w:rsid w:val="001603B1"/>
    <w:rsid w:val="00163122"/>
    <w:rsid w:val="00165E9F"/>
    <w:rsid w:val="00166721"/>
    <w:rsid w:val="0016761F"/>
    <w:rsid w:val="0017075E"/>
    <w:rsid w:val="00175188"/>
    <w:rsid w:val="00176239"/>
    <w:rsid w:val="00182BD2"/>
    <w:rsid w:val="001853A4"/>
    <w:rsid w:val="00186B85"/>
    <w:rsid w:val="00186C7E"/>
    <w:rsid w:val="00187474"/>
    <w:rsid w:val="00187C7A"/>
    <w:rsid w:val="0019129F"/>
    <w:rsid w:val="00192A10"/>
    <w:rsid w:val="00194F5E"/>
    <w:rsid w:val="00195473"/>
    <w:rsid w:val="00196654"/>
    <w:rsid w:val="001A0EAF"/>
    <w:rsid w:val="001A1710"/>
    <w:rsid w:val="001A400B"/>
    <w:rsid w:val="001A58A9"/>
    <w:rsid w:val="001A5E42"/>
    <w:rsid w:val="001B02E5"/>
    <w:rsid w:val="001B205A"/>
    <w:rsid w:val="001B272D"/>
    <w:rsid w:val="001B3979"/>
    <w:rsid w:val="001B3C3E"/>
    <w:rsid w:val="001B3EDC"/>
    <w:rsid w:val="001B5F14"/>
    <w:rsid w:val="001B6643"/>
    <w:rsid w:val="001B728F"/>
    <w:rsid w:val="001C1AC1"/>
    <w:rsid w:val="001C30C4"/>
    <w:rsid w:val="001C36D2"/>
    <w:rsid w:val="001C3E69"/>
    <w:rsid w:val="001C4A6B"/>
    <w:rsid w:val="001C5E8F"/>
    <w:rsid w:val="001C60EC"/>
    <w:rsid w:val="001C7FA5"/>
    <w:rsid w:val="001D11B0"/>
    <w:rsid w:val="001D1466"/>
    <w:rsid w:val="001D1B4D"/>
    <w:rsid w:val="001D3917"/>
    <w:rsid w:val="001D3C86"/>
    <w:rsid w:val="001D5AA2"/>
    <w:rsid w:val="001D7401"/>
    <w:rsid w:val="001E0F60"/>
    <w:rsid w:val="001E1F84"/>
    <w:rsid w:val="001E44B4"/>
    <w:rsid w:val="001E4DC4"/>
    <w:rsid w:val="001E50C6"/>
    <w:rsid w:val="001E576B"/>
    <w:rsid w:val="001E61DB"/>
    <w:rsid w:val="001E7FFD"/>
    <w:rsid w:val="001F0D2B"/>
    <w:rsid w:val="001F11F8"/>
    <w:rsid w:val="001F22A5"/>
    <w:rsid w:val="001F2377"/>
    <w:rsid w:val="001F2B57"/>
    <w:rsid w:val="001F3493"/>
    <w:rsid w:val="001F7572"/>
    <w:rsid w:val="002002A0"/>
    <w:rsid w:val="00201D33"/>
    <w:rsid w:val="00203988"/>
    <w:rsid w:val="002056B6"/>
    <w:rsid w:val="00205F5B"/>
    <w:rsid w:val="00206199"/>
    <w:rsid w:val="00212737"/>
    <w:rsid w:val="00214D5B"/>
    <w:rsid w:val="0021546D"/>
    <w:rsid w:val="00215A69"/>
    <w:rsid w:val="0021654D"/>
    <w:rsid w:val="00216EEA"/>
    <w:rsid w:val="002176BA"/>
    <w:rsid w:val="00217DEA"/>
    <w:rsid w:val="00222910"/>
    <w:rsid w:val="0022575C"/>
    <w:rsid w:val="00226C5D"/>
    <w:rsid w:val="00227096"/>
    <w:rsid w:val="00227886"/>
    <w:rsid w:val="00231679"/>
    <w:rsid w:val="00231ADC"/>
    <w:rsid w:val="00232DDD"/>
    <w:rsid w:val="00232E85"/>
    <w:rsid w:val="00233BC2"/>
    <w:rsid w:val="0023594B"/>
    <w:rsid w:val="00237464"/>
    <w:rsid w:val="00240A87"/>
    <w:rsid w:val="00240DF2"/>
    <w:rsid w:val="00240FC4"/>
    <w:rsid w:val="00243D77"/>
    <w:rsid w:val="00246821"/>
    <w:rsid w:val="0024765E"/>
    <w:rsid w:val="0025311D"/>
    <w:rsid w:val="00254FF4"/>
    <w:rsid w:val="00255243"/>
    <w:rsid w:val="00262A14"/>
    <w:rsid w:val="00262E19"/>
    <w:rsid w:val="002649E5"/>
    <w:rsid w:val="002664E9"/>
    <w:rsid w:val="00271E73"/>
    <w:rsid w:val="002728A2"/>
    <w:rsid w:val="00272F0B"/>
    <w:rsid w:val="0027516D"/>
    <w:rsid w:val="00277D8E"/>
    <w:rsid w:val="002833EF"/>
    <w:rsid w:val="0028438E"/>
    <w:rsid w:val="002855A9"/>
    <w:rsid w:val="00286296"/>
    <w:rsid w:val="0028691B"/>
    <w:rsid w:val="00286C28"/>
    <w:rsid w:val="00286FDD"/>
    <w:rsid w:val="0028702A"/>
    <w:rsid w:val="002870C5"/>
    <w:rsid w:val="00292608"/>
    <w:rsid w:val="0029284F"/>
    <w:rsid w:val="00295154"/>
    <w:rsid w:val="00296972"/>
    <w:rsid w:val="0029711C"/>
    <w:rsid w:val="002A010E"/>
    <w:rsid w:val="002A022F"/>
    <w:rsid w:val="002A2357"/>
    <w:rsid w:val="002A3734"/>
    <w:rsid w:val="002A455F"/>
    <w:rsid w:val="002A5AED"/>
    <w:rsid w:val="002A73C3"/>
    <w:rsid w:val="002B15A2"/>
    <w:rsid w:val="002B1FAB"/>
    <w:rsid w:val="002B32B1"/>
    <w:rsid w:val="002B4A69"/>
    <w:rsid w:val="002B4DE6"/>
    <w:rsid w:val="002B6DE4"/>
    <w:rsid w:val="002B7ABD"/>
    <w:rsid w:val="002C01D6"/>
    <w:rsid w:val="002C1439"/>
    <w:rsid w:val="002C1A22"/>
    <w:rsid w:val="002C2423"/>
    <w:rsid w:val="002C3BF2"/>
    <w:rsid w:val="002C51FC"/>
    <w:rsid w:val="002C61F8"/>
    <w:rsid w:val="002C73DB"/>
    <w:rsid w:val="002D4ED3"/>
    <w:rsid w:val="002D539C"/>
    <w:rsid w:val="002D60E3"/>
    <w:rsid w:val="002E19D4"/>
    <w:rsid w:val="002E1A74"/>
    <w:rsid w:val="002E1DA4"/>
    <w:rsid w:val="002E3411"/>
    <w:rsid w:val="002E4ABC"/>
    <w:rsid w:val="002F4EAA"/>
    <w:rsid w:val="002F5072"/>
    <w:rsid w:val="00300135"/>
    <w:rsid w:val="00301D98"/>
    <w:rsid w:val="00302851"/>
    <w:rsid w:val="00302A87"/>
    <w:rsid w:val="0031351C"/>
    <w:rsid w:val="00313D8C"/>
    <w:rsid w:val="00314D9C"/>
    <w:rsid w:val="00314E5C"/>
    <w:rsid w:val="003164A1"/>
    <w:rsid w:val="0032091A"/>
    <w:rsid w:val="003214FE"/>
    <w:rsid w:val="003226BF"/>
    <w:rsid w:val="00322F85"/>
    <w:rsid w:val="003242DA"/>
    <w:rsid w:val="00326158"/>
    <w:rsid w:val="003276C0"/>
    <w:rsid w:val="003320F5"/>
    <w:rsid w:val="00333A8E"/>
    <w:rsid w:val="003343EF"/>
    <w:rsid w:val="00334509"/>
    <w:rsid w:val="0033511C"/>
    <w:rsid w:val="003351B0"/>
    <w:rsid w:val="00335586"/>
    <w:rsid w:val="00340735"/>
    <w:rsid w:val="0034338D"/>
    <w:rsid w:val="00344EEA"/>
    <w:rsid w:val="00346187"/>
    <w:rsid w:val="00347C3C"/>
    <w:rsid w:val="00350C50"/>
    <w:rsid w:val="00351180"/>
    <w:rsid w:val="0035153E"/>
    <w:rsid w:val="00351608"/>
    <w:rsid w:val="00351624"/>
    <w:rsid w:val="003547B8"/>
    <w:rsid w:val="00354BD3"/>
    <w:rsid w:val="00354E3F"/>
    <w:rsid w:val="003552D8"/>
    <w:rsid w:val="00355515"/>
    <w:rsid w:val="00355640"/>
    <w:rsid w:val="003624B1"/>
    <w:rsid w:val="0036275A"/>
    <w:rsid w:val="00365AE6"/>
    <w:rsid w:val="00367D8C"/>
    <w:rsid w:val="0037202B"/>
    <w:rsid w:val="0037250F"/>
    <w:rsid w:val="003747FF"/>
    <w:rsid w:val="0037545B"/>
    <w:rsid w:val="00381CF9"/>
    <w:rsid w:val="00381F89"/>
    <w:rsid w:val="00384B35"/>
    <w:rsid w:val="00385A90"/>
    <w:rsid w:val="00387334"/>
    <w:rsid w:val="00387923"/>
    <w:rsid w:val="00390F29"/>
    <w:rsid w:val="00391C83"/>
    <w:rsid w:val="00391F97"/>
    <w:rsid w:val="003923B3"/>
    <w:rsid w:val="00392672"/>
    <w:rsid w:val="0039272C"/>
    <w:rsid w:val="00392823"/>
    <w:rsid w:val="00396C67"/>
    <w:rsid w:val="0039735F"/>
    <w:rsid w:val="003A1986"/>
    <w:rsid w:val="003A2467"/>
    <w:rsid w:val="003A260D"/>
    <w:rsid w:val="003A609C"/>
    <w:rsid w:val="003A69EA"/>
    <w:rsid w:val="003A78E6"/>
    <w:rsid w:val="003A79D0"/>
    <w:rsid w:val="003B2D8E"/>
    <w:rsid w:val="003B3299"/>
    <w:rsid w:val="003B32B6"/>
    <w:rsid w:val="003B340C"/>
    <w:rsid w:val="003B377F"/>
    <w:rsid w:val="003B51D4"/>
    <w:rsid w:val="003B72C0"/>
    <w:rsid w:val="003C088D"/>
    <w:rsid w:val="003C3DC4"/>
    <w:rsid w:val="003C6424"/>
    <w:rsid w:val="003D0B5B"/>
    <w:rsid w:val="003D1D33"/>
    <w:rsid w:val="003D3046"/>
    <w:rsid w:val="003D324E"/>
    <w:rsid w:val="003D495E"/>
    <w:rsid w:val="003D4E2A"/>
    <w:rsid w:val="003D5075"/>
    <w:rsid w:val="003D62B6"/>
    <w:rsid w:val="003D7C4D"/>
    <w:rsid w:val="003E0E75"/>
    <w:rsid w:val="003E336B"/>
    <w:rsid w:val="003E3FD8"/>
    <w:rsid w:val="003E5F26"/>
    <w:rsid w:val="003E6737"/>
    <w:rsid w:val="003E6EA6"/>
    <w:rsid w:val="003F188A"/>
    <w:rsid w:val="003F1E7A"/>
    <w:rsid w:val="003F4418"/>
    <w:rsid w:val="003F6119"/>
    <w:rsid w:val="003F67A8"/>
    <w:rsid w:val="004006E9"/>
    <w:rsid w:val="00401F76"/>
    <w:rsid w:val="00402B7F"/>
    <w:rsid w:val="00402F3D"/>
    <w:rsid w:val="00404AEF"/>
    <w:rsid w:val="0040555A"/>
    <w:rsid w:val="00405A09"/>
    <w:rsid w:val="0040685D"/>
    <w:rsid w:val="00407612"/>
    <w:rsid w:val="0041011D"/>
    <w:rsid w:val="0041056A"/>
    <w:rsid w:val="00411149"/>
    <w:rsid w:val="004116A3"/>
    <w:rsid w:val="00413463"/>
    <w:rsid w:val="00414561"/>
    <w:rsid w:val="00414624"/>
    <w:rsid w:val="004158F7"/>
    <w:rsid w:val="00417DAC"/>
    <w:rsid w:val="004207DE"/>
    <w:rsid w:val="004210A6"/>
    <w:rsid w:val="00422DF1"/>
    <w:rsid w:val="00423F43"/>
    <w:rsid w:val="00425C74"/>
    <w:rsid w:val="00427D7E"/>
    <w:rsid w:val="0043059D"/>
    <w:rsid w:val="00432075"/>
    <w:rsid w:val="00433485"/>
    <w:rsid w:val="00433BE4"/>
    <w:rsid w:val="00435839"/>
    <w:rsid w:val="004402D0"/>
    <w:rsid w:val="00442E4F"/>
    <w:rsid w:val="00443851"/>
    <w:rsid w:val="00444C3D"/>
    <w:rsid w:val="004456A2"/>
    <w:rsid w:val="00445867"/>
    <w:rsid w:val="004460AB"/>
    <w:rsid w:val="004467E5"/>
    <w:rsid w:val="0044717B"/>
    <w:rsid w:val="004475E5"/>
    <w:rsid w:val="00450FE6"/>
    <w:rsid w:val="00451C86"/>
    <w:rsid w:val="004523F5"/>
    <w:rsid w:val="004537B8"/>
    <w:rsid w:val="00453AF0"/>
    <w:rsid w:val="00455199"/>
    <w:rsid w:val="00455DE2"/>
    <w:rsid w:val="00460551"/>
    <w:rsid w:val="00462832"/>
    <w:rsid w:val="00462C27"/>
    <w:rsid w:val="00462FDA"/>
    <w:rsid w:val="00464ACA"/>
    <w:rsid w:val="00464C2E"/>
    <w:rsid w:val="00465297"/>
    <w:rsid w:val="00466662"/>
    <w:rsid w:val="00466770"/>
    <w:rsid w:val="00467258"/>
    <w:rsid w:val="00470027"/>
    <w:rsid w:val="0047346F"/>
    <w:rsid w:val="00474396"/>
    <w:rsid w:val="0047445F"/>
    <w:rsid w:val="00481DCF"/>
    <w:rsid w:val="00483F62"/>
    <w:rsid w:val="00484CE0"/>
    <w:rsid w:val="00485C94"/>
    <w:rsid w:val="004907E0"/>
    <w:rsid w:val="004918C0"/>
    <w:rsid w:val="00492DAB"/>
    <w:rsid w:val="004956C9"/>
    <w:rsid w:val="004A1FAB"/>
    <w:rsid w:val="004A233A"/>
    <w:rsid w:val="004A388A"/>
    <w:rsid w:val="004A5A34"/>
    <w:rsid w:val="004A7089"/>
    <w:rsid w:val="004B0ACE"/>
    <w:rsid w:val="004B10F9"/>
    <w:rsid w:val="004B1FE5"/>
    <w:rsid w:val="004B53DC"/>
    <w:rsid w:val="004C0952"/>
    <w:rsid w:val="004C299A"/>
    <w:rsid w:val="004C365B"/>
    <w:rsid w:val="004C378D"/>
    <w:rsid w:val="004C4658"/>
    <w:rsid w:val="004C46F6"/>
    <w:rsid w:val="004C5BDA"/>
    <w:rsid w:val="004C7374"/>
    <w:rsid w:val="004D08DC"/>
    <w:rsid w:val="004D48F5"/>
    <w:rsid w:val="004E2BC2"/>
    <w:rsid w:val="004E2C9E"/>
    <w:rsid w:val="004E5C46"/>
    <w:rsid w:val="004E5CBF"/>
    <w:rsid w:val="004E6331"/>
    <w:rsid w:val="004E6385"/>
    <w:rsid w:val="004E75B9"/>
    <w:rsid w:val="004F0E5D"/>
    <w:rsid w:val="004F1823"/>
    <w:rsid w:val="004F3114"/>
    <w:rsid w:val="004F68E1"/>
    <w:rsid w:val="004F6F2A"/>
    <w:rsid w:val="00500071"/>
    <w:rsid w:val="00500611"/>
    <w:rsid w:val="00500961"/>
    <w:rsid w:val="00501BCB"/>
    <w:rsid w:val="00505219"/>
    <w:rsid w:val="005052F2"/>
    <w:rsid w:val="00507580"/>
    <w:rsid w:val="005115EE"/>
    <w:rsid w:val="0051197F"/>
    <w:rsid w:val="00511C13"/>
    <w:rsid w:val="00515178"/>
    <w:rsid w:val="00515895"/>
    <w:rsid w:val="00517E0F"/>
    <w:rsid w:val="00517F6C"/>
    <w:rsid w:val="00521AF9"/>
    <w:rsid w:val="00522281"/>
    <w:rsid w:val="0052254E"/>
    <w:rsid w:val="005229CB"/>
    <w:rsid w:val="00523673"/>
    <w:rsid w:val="00524D47"/>
    <w:rsid w:val="00524DA7"/>
    <w:rsid w:val="0052564F"/>
    <w:rsid w:val="00526457"/>
    <w:rsid w:val="00527572"/>
    <w:rsid w:val="00530B7E"/>
    <w:rsid w:val="005319E9"/>
    <w:rsid w:val="0053342C"/>
    <w:rsid w:val="00533979"/>
    <w:rsid w:val="00534A3A"/>
    <w:rsid w:val="00537B8C"/>
    <w:rsid w:val="0054466D"/>
    <w:rsid w:val="0054563C"/>
    <w:rsid w:val="00546E67"/>
    <w:rsid w:val="00546F75"/>
    <w:rsid w:val="00551FB3"/>
    <w:rsid w:val="00552433"/>
    <w:rsid w:val="005529A5"/>
    <w:rsid w:val="005544AB"/>
    <w:rsid w:val="005546C4"/>
    <w:rsid w:val="00555B5E"/>
    <w:rsid w:val="005565B4"/>
    <w:rsid w:val="0055688E"/>
    <w:rsid w:val="00556C88"/>
    <w:rsid w:val="0055719B"/>
    <w:rsid w:val="00560CC1"/>
    <w:rsid w:val="005627E7"/>
    <w:rsid w:val="00563E5F"/>
    <w:rsid w:val="0056438B"/>
    <w:rsid w:val="00566CA2"/>
    <w:rsid w:val="005674C3"/>
    <w:rsid w:val="00571D06"/>
    <w:rsid w:val="005728AA"/>
    <w:rsid w:val="00573989"/>
    <w:rsid w:val="00576C12"/>
    <w:rsid w:val="00577013"/>
    <w:rsid w:val="00580B5B"/>
    <w:rsid w:val="00580D14"/>
    <w:rsid w:val="005839AE"/>
    <w:rsid w:val="00587B8A"/>
    <w:rsid w:val="0059255A"/>
    <w:rsid w:val="005951C9"/>
    <w:rsid w:val="005957B8"/>
    <w:rsid w:val="005A1554"/>
    <w:rsid w:val="005A2A28"/>
    <w:rsid w:val="005A39BB"/>
    <w:rsid w:val="005A3F2D"/>
    <w:rsid w:val="005A4FC5"/>
    <w:rsid w:val="005A5069"/>
    <w:rsid w:val="005A51C0"/>
    <w:rsid w:val="005A6A13"/>
    <w:rsid w:val="005B2FA9"/>
    <w:rsid w:val="005B5A96"/>
    <w:rsid w:val="005B606E"/>
    <w:rsid w:val="005B61EE"/>
    <w:rsid w:val="005B648C"/>
    <w:rsid w:val="005B6AC7"/>
    <w:rsid w:val="005C09D7"/>
    <w:rsid w:val="005C2E10"/>
    <w:rsid w:val="005C30DB"/>
    <w:rsid w:val="005C4212"/>
    <w:rsid w:val="005C7C39"/>
    <w:rsid w:val="005C7D2F"/>
    <w:rsid w:val="005D37FF"/>
    <w:rsid w:val="005D4431"/>
    <w:rsid w:val="005D467B"/>
    <w:rsid w:val="005D6C21"/>
    <w:rsid w:val="005D7AFF"/>
    <w:rsid w:val="005E2F1E"/>
    <w:rsid w:val="005E30F1"/>
    <w:rsid w:val="005E41A6"/>
    <w:rsid w:val="005F1CAE"/>
    <w:rsid w:val="005F27EC"/>
    <w:rsid w:val="005F40B1"/>
    <w:rsid w:val="005F46B5"/>
    <w:rsid w:val="005F4977"/>
    <w:rsid w:val="005F792E"/>
    <w:rsid w:val="005F7953"/>
    <w:rsid w:val="00601746"/>
    <w:rsid w:val="00605D5A"/>
    <w:rsid w:val="00606815"/>
    <w:rsid w:val="006118CC"/>
    <w:rsid w:val="0061268B"/>
    <w:rsid w:val="00614D09"/>
    <w:rsid w:val="006155B4"/>
    <w:rsid w:val="006158CC"/>
    <w:rsid w:val="006227AD"/>
    <w:rsid w:val="006229BB"/>
    <w:rsid w:val="006252EE"/>
    <w:rsid w:val="006264BE"/>
    <w:rsid w:val="00627860"/>
    <w:rsid w:val="0063008E"/>
    <w:rsid w:val="006319A2"/>
    <w:rsid w:val="00633424"/>
    <w:rsid w:val="006421FB"/>
    <w:rsid w:val="0064261A"/>
    <w:rsid w:val="00642954"/>
    <w:rsid w:val="00644B9D"/>
    <w:rsid w:val="00645E3D"/>
    <w:rsid w:val="00647593"/>
    <w:rsid w:val="0065195A"/>
    <w:rsid w:val="00653295"/>
    <w:rsid w:val="006533B9"/>
    <w:rsid w:val="006534CF"/>
    <w:rsid w:val="0065568B"/>
    <w:rsid w:val="0065599B"/>
    <w:rsid w:val="00655FF2"/>
    <w:rsid w:val="00656468"/>
    <w:rsid w:val="006570CA"/>
    <w:rsid w:val="0066028A"/>
    <w:rsid w:val="0066060F"/>
    <w:rsid w:val="00660A63"/>
    <w:rsid w:val="00662289"/>
    <w:rsid w:val="00663E7F"/>
    <w:rsid w:val="00664960"/>
    <w:rsid w:val="00664D7F"/>
    <w:rsid w:val="00666901"/>
    <w:rsid w:val="006679B0"/>
    <w:rsid w:val="00671072"/>
    <w:rsid w:val="0067181A"/>
    <w:rsid w:val="00673E9D"/>
    <w:rsid w:val="00680E47"/>
    <w:rsid w:val="006824EF"/>
    <w:rsid w:val="00682E60"/>
    <w:rsid w:val="00682F24"/>
    <w:rsid w:val="00685B49"/>
    <w:rsid w:val="006868C4"/>
    <w:rsid w:val="00687A68"/>
    <w:rsid w:val="00687FA1"/>
    <w:rsid w:val="00690597"/>
    <w:rsid w:val="00692846"/>
    <w:rsid w:val="00694CD0"/>
    <w:rsid w:val="00696036"/>
    <w:rsid w:val="006975E4"/>
    <w:rsid w:val="00697891"/>
    <w:rsid w:val="006A004C"/>
    <w:rsid w:val="006A3014"/>
    <w:rsid w:val="006A3C23"/>
    <w:rsid w:val="006A476C"/>
    <w:rsid w:val="006A5B92"/>
    <w:rsid w:val="006B0EFC"/>
    <w:rsid w:val="006B7E9B"/>
    <w:rsid w:val="006C23C5"/>
    <w:rsid w:val="006C324B"/>
    <w:rsid w:val="006C3406"/>
    <w:rsid w:val="006C7192"/>
    <w:rsid w:val="006D23C7"/>
    <w:rsid w:val="006D2BE4"/>
    <w:rsid w:val="006D7E4C"/>
    <w:rsid w:val="006E14DE"/>
    <w:rsid w:val="006E47AE"/>
    <w:rsid w:val="006E62E4"/>
    <w:rsid w:val="006F0753"/>
    <w:rsid w:val="006F10B9"/>
    <w:rsid w:val="006F24C8"/>
    <w:rsid w:val="006F4DD1"/>
    <w:rsid w:val="006F6EC5"/>
    <w:rsid w:val="007009A3"/>
    <w:rsid w:val="0070109B"/>
    <w:rsid w:val="00702D27"/>
    <w:rsid w:val="00703D2A"/>
    <w:rsid w:val="00710701"/>
    <w:rsid w:val="00711217"/>
    <w:rsid w:val="0071462D"/>
    <w:rsid w:val="00714FE9"/>
    <w:rsid w:val="00717F3A"/>
    <w:rsid w:val="007235D1"/>
    <w:rsid w:val="0072378D"/>
    <w:rsid w:val="007239B1"/>
    <w:rsid w:val="00723F0A"/>
    <w:rsid w:val="00724870"/>
    <w:rsid w:val="00725212"/>
    <w:rsid w:val="0072634D"/>
    <w:rsid w:val="007301BF"/>
    <w:rsid w:val="00732D34"/>
    <w:rsid w:val="0073381B"/>
    <w:rsid w:val="00735709"/>
    <w:rsid w:val="00736236"/>
    <w:rsid w:val="00736769"/>
    <w:rsid w:val="007368D3"/>
    <w:rsid w:val="007369ED"/>
    <w:rsid w:val="00737A17"/>
    <w:rsid w:val="007468F7"/>
    <w:rsid w:val="00746CC6"/>
    <w:rsid w:val="00747E65"/>
    <w:rsid w:val="00751AB6"/>
    <w:rsid w:val="007534CA"/>
    <w:rsid w:val="00755E59"/>
    <w:rsid w:val="00756360"/>
    <w:rsid w:val="00756611"/>
    <w:rsid w:val="0076305B"/>
    <w:rsid w:val="0076444E"/>
    <w:rsid w:val="00764FAB"/>
    <w:rsid w:val="00765C0E"/>
    <w:rsid w:val="00767D6E"/>
    <w:rsid w:val="0077179F"/>
    <w:rsid w:val="00773331"/>
    <w:rsid w:val="007776C3"/>
    <w:rsid w:val="00780870"/>
    <w:rsid w:val="00780BFA"/>
    <w:rsid w:val="00780D8B"/>
    <w:rsid w:val="007811C2"/>
    <w:rsid w:val="007843DB"/>
    <w:rsid w:val="00785F40"/>
    <w:rsid w:val="0078673B"/>
    <w:rsid w:val="00786EA2"/>
    <w:rsid w:val="00787106"/>
    <w:rsid w:val="00791422"/>
    <w:rsid w:val="00793160"/>
    <w:rsid w:val="00795B09"/>
    <w:rsid w:val="00797AF8"/>
    <w:rsid w:val="007A1044"/>
    <w:rsid w:val="007A1E98"/>
    <w:rsid w:val="007A2573"/>
    <w:rsid w:val="007A2EB1"/>
    <w:rsid w:val="007A6B78"/>
    <w:rsid w:val="007A6C21"/>
    <w:rsid w:val="007A7F4D"/>
    <w:rsid w:val="007B2BCB"/>
    <w:rsid w:val="007B4815"/>
    <w:rsid w:val="007B557A"/>
    <w:rsid w:val="007B56F8"/>
    <w:rsid w:val="007B65C0"/>
    <w:rsid w:val="007B6C6C"/>
    <w:rsid w:val="007C1CB3"/>
    <w:rsid w:val="007C2F9E"/>
    <w:rsid w:val="007C303D"/>
    <w:rsid w:val="007C4688"/>
    <w:rsid w:val="007C4709"/>
    <w:rsid w:val="007C702D"/>
    <w:rsid w:val="007C7FE8"/>
    <w:rsid w:val="007D1498"/>
    <w:rsid w:val="007D29AB"/>
    <w:rsid w:val="007D363D"/>
    <w:rsid w:val="007D38B7"/>
    <w:rsid w:val="007D5556"/>
    <w:rsid w:val="007D5A63"/>
    <w:rsid w:val="007D5C95"/>
    <w:rsid w:val="007D72DD"/>
    <w:rsid w:val="007E29F8"/>
    <w:rsid w:val="007E40BA"/>
    <w:rsid w:val="007E7489"/>
    <w:rsid w:val="007E7CEB"/>
    <w:rsid w:val="007F1FF1"/>
    <w:rsid w:val="007F38B6"/>
    <w:rsid w:val="007F3CDC"/>
    <w:rsid w:val="007F4174"/>
    <w:rsid w:val="007F41CB"/>
    <w:rsid w:val="007F44DA"/>
    <w:rsid w:val="007F4867"/>
    <w:rsid w:val="007F4A04"/>
    <w:rsid w:val="007F53E9"/>
    <w:rsid w:val="007F5936"/>
    <w:rsid w:val="007F5E18"/>
    <w:rsid w:val="007F72C3"/>
    <w:rsid w:val="00800CFC"/>
    <w:rsid w:val="00804064"/>
    <w:rsid w:val="0080493D"/>
    <w:rsid w:val="0080589B"/>
    <w:rsid w:val="0080713D"/>
    <w:rsid w:val="00814779"/>
    <w:rsid w:val="0081767D"/>
    <w:rsid w:val="00821AF4"/>
    <w:rsid w:val="00827A13"/>
    <w:rsid w:val="00827D2F"/>
    <w:rsid w:val="00827F21"/>
    <w:rsid w:val="008308D6"/>
    <w:rsid w:val="0083162C"/>
    <w:rsid w:val="00832423"/>
    <w:rsid w:val="008336EA"/>
    <w:rsid w:val="00833BFA"/>
    <w:rsid w:val="0083434E"/>
    <w:rsid w:val="0083494F"/>
    <w:rsid w:val="00835ADD"/>
    <w:rsid w:val="00836D8D"/>
    <w:rsid w:val="00836DEC"/>
    <w:rsid w:val="00840813"/>
    <w:rsid w:val="008412B1"/>
    <w:rsid w:val="00842080"/>
    <w:rsid w:val="00843AC3"/>
    <w:rsid w:val="00844516"/>
    <w:rsid w:val="008454BA"/>
    <w:rsid w:val="00845C0B"/>
    <w:rsid w:val="00847B51"/>
    <w:rsid w:val="00847FE4"/>
    <w:rsid w:val="008500A2"/>
    <w:rsid w:val="008507FF"/>
    <w:rsid w:val="008516C6"/>
    <w:rsid w:val="0085473D"/>
    <w:rsid w:val="008547FD"/>
    <w:rsid w:val="0085481F"/>
    <w:rsid w:val="00854A38"/>
    <w:rsid w:val="00854D65"/>
    <w:rsid w:val="00856CD6"/>
    <w:rsid w:val="00857E25"/>
    <w:rsid w:val="008633C8"/>
    <w:rsid w:val="008647DC"/>
    <w:rsid w:val="00864919"/>
    <w:rsid w:val="00864D7C"/>
    <w:rsid w:val="00864E7B"/>
    <w:rsid w:val="00867C5E"/>
    <w:rsid w:val="00872905"/>
    <w:rsid w:val="00872C83"/>
    <w:rsid w:val="0087300B"/>
    <w:rsid w:val="0087494B"/>
    <w:rsid w:val="008756D3"/>
    <w:rsid w:val="008756F1"/>
    <w:rsid w:val="00875F65"/>
    <w:rsid w:val="008779C9"/>
    <w:rsid w:val="00881840"/>
    <w:rsid w:val="0088233E"/>
    <w:rsid w:val="0088254D"/>
    <w:rsid w:val="00882C0F"/>
    <w:rsid w:val="00885EC7"/>
    <w:rsid w:val="00887836"/>
    <w:rsid w:val="00891C08"/>
    <w:rsid w:val="00892B4D"/>
    <w:rsid w:val="0089481F"/>
    <w:rsid w:val="0089571E"/>
    <w:rsid w:val="00896602"/>
    <w:rsid w:val="008966BA"/>
    <w:rsid w:val="00896F67"/>
    <w:rsid w:val="00897095"/>
    <w:rsid w:val="008A1FA3"/>
    <w:rsid w:val="008A2237"/>
    <w:rsid w:val="008A79D7"/>
    <w:rsid w:val="008B0F32"/>
    <w:rsid w:val="008B388C"/>
    <w:rsid w:val="008B447E"/>
    <w:rsid w:val="008B549D"/>
    <w:rsid w:val="008B7940"/>
    <w:rsid w:val="008B7F73"/>
    <w:rsid w:val="008C2823"/>
    <w:rsid w:val="008C34F7"/>
    <w:rsid w:val="008C3AF0"/>
    <w:rsid w:val="008D0010"/>
    <w:rsid w:val="008D0D25"/>
    <w:rsid w:val="008D0D49"/>
    <w:rsid w:val="008D1D86"/>
    <w:rsid w:val="008D2EF9"/>
    <w:rsid w:val="008D559A"/>
    <w:rsid w:val="008D5BE8"/>
    <w:rsid w:val="008E0C62"/>
    <w:rsid w:val="008E1C3E"/>
    <w:rsid w:val="008E1D8E"/>
    <w:rsid w:val="008E4913"/>
    <w:rsid w:val="008E71B8"/>
    <w:rsid w:val="008E7404"/>
    <w:rsid w:val="008F0C66"/>
    <w:rsid w:val="008F158A"/>
    <w:rsid w:val="008F3DEF"/>
    <w:rsid w:val="008F5A67"/>
    <w:rsid w:val="008F6D46"/>
    <w:rsid w:val="0090134E"/>
    <w:rsid w:val="00901AB6"/>
    <w:rsid w:val="00902BCB"/>
    <w:rsid w:val="00902C1F"/>
    <w:rsid w:val="0090448F"/>
    <w:rsid w:val="00904F00"/>
    <w:rsid w:val="00904F30"/>
    <w:rsid w:val="00906F04"/>
    <w:rsid w:val="0091025A"/>
    <w:rsid w:val="009114E7"/>
    <w:rsid w:val="00913C97"/>
    <w:rsid w:val="0091435D"/>
    <w:rsid w:val="00914632"/>
    <w:rsid w:val="0091646D"/>
    <w:rsid w:val="009224B5"/>
    <w:rsid w:val="00923054"/>
    <w:rsid w:val="00923D16"/>
    <w:rsid w:val="0092410E"/>
    <w:rsid w:val="00924452"/>
    <w:rsid w:val="00926CC0"/>
    <w:rsid w:val="00932150"/>
    <w:rsid w:val="00934BBE"/>
    <w:rsid w:val="0093545B"/>
    <w:rsid w:val="00941163"/>
    <w:rsid w:val="009432CB"/>
    <w:rsid w:val="0094395A"/>
    <w:rsid w:val="00943D4B"/>
    <w:rsid w:val="00944F61"/>
    <w:rsid w:val="00944F92"/>
    <w:rsid w:val="00946C1B"/>
    <w:rsid w:val="00951CD0"/>
    <w:rsid w:val="00952EAE"/>
    <w:rsid w:val="009541B5"/>
    <w:rsid w:val="00955778"/>
    <w:rsid w:val="0095671E"/>
    <w:rsid w:val="00957FF8"/>
    <w:rsid w:val="0096051A"/>
    <w:rsid w:val="00960D17"/>
    <w:rsid w:val="00961AF4"/>
    <w:rsid w:val="00961B69"/>
    <w:rsid w:val="009637B3"/>
    <w:rsid w:val="00964306"/>
    <w:rsid w:val="0096473B"/>
    <w:rsid w:val="00965D7B"/>
    <w:rsid w:val="00971010"/>
    <w:rsid w:val="0097448C"/>
    <w:rsid w:val="00975E76"/>
    <w:rsid w:val="00976769"/>
    <w:rsid w:val="00983BA2"/>
    <w:rsid w:val="00991BDC"/>
    <w:rsid w:val="0099402F"/>
    <w:rsid w:val="00994274"/>
    <w:rsid w:val="009949DB"/>
    <w:rsid w:val="0099525A"/>
    <w:rsid w:val="009979DC"/>
    <w:rsid w:val="00997DB1"/>
    <w:rsid w:val="009A00EF"/>
    <w:rsid w:val="009A1043"/>
    <w:rsid w:val="009A14E7"/>
    <w:rsid w:val="009A2D22"/>
    <w:rsid w:val="009A30A3"/>
    <w:rsid w:val="009A7AFB"/>
    <w:rsid w:val="009B2553"/>
    <w:rsid w:val="009B3D5B"/>
    <w:rsid w:val="009B414A"/>
    <w:rsid w:val="009B4EB5"/>
    <w:rsid w:val="009B6777"/>
    <w:rsid w:val="009B7301"/>
    <w:rsid w:val="009C10D9"/>
    <w:rsid w:val="009C5B53"/>
    <w:rsid w:val="009C7F1D"/>
    <w:rsid w:val="009D0291"/>
    <w:rsid w:val="009D266B"/>
    <w:rsid w:val="009D3830"/>
    <w:rsid w:val="009D4CA2"/>
    <w:rsid w:val="009D509F"/>
    <w:rsid w:val="009D5A7C"/>
    <w:rsid w:val="009D6630"/>
    <w:rsid w:val="009D68B3"/>
    <w:rsid w:val="009D6940"/>
    <w:rsid w:val="009D6A7B"/>
    <w:rsid w:val="009D6E2E"/>
    <w:rsid w:val="009D7824"/>
    <w:rsid w:val="009D7DA9"/>
    <w:rsid w:val="009E1790"/>
    <w:rsid w:val="009E3DF7"/>
    <w:rsid w:val="009E5644"/>
    <w:rsid w:val="009E579D"/>
    <w:rsid w:val="009E58A2"/>
    <w:rsid w:val="009E5A59"/>
    <w:rsid w:val="009E5B88"/>
    <w:rsid w:val="009E7F70"/>
    <w:rsid w:val="009F0337"/>
    <w:rsid w:val="009F0E34"/>
    <w:rsid w:val="009F1A41"/>
    <w:rsid w:val="009F4F8E"/>
    <w:rsid w:val="009F5C73"/>
    <w:rsid w:val="009F6F19"/>
    <w:rsid w:val="00A01858"/>
    <w:rsid w:val="00A02008"/>
    <w:rsid w:val="00A0234F"/>
    <w:rsid w:val="00A05192"/>
    <w:rsid w:val="00A071B5"/>
    <w:rsid w:val="00A07FC5"/>
    <w:rsid w:val="00A11E36"/>
    <w:rsid w:val="00A124EE"/>
    <w:rsid w:val="00A12673"/>
    <w:rsid w:val="00A14380"/>
    <w:rsid w:val="00A17579"/>
    <w:rsid w:val="00A17B8B"/>
    <w:rsid w:val="00A2037D"/>
    <w:rsid w:val="00A22CC4"/>
    <w:rsid w:val="00A261AE"/>
    <w:rsid w:val="00A26B70"/>
    <w:rsid w:val="00A31770"/>
    <w:rsid w:val="00A350F9"/>
    <w:rsid w:val="00A36220"/>
    <w:rsid w:val="00A415FB"/>
    <w:rsid w:val="00A4218B"/>
    <w:rsid w:val="00A44198"/>
    <w:rsid w:val="00A44F96"/>
    <w:rsid w:val="00A4604D"/>
    <w:rsid w:val="00A4630E"/>
    <w:rsid w:val="00A466A1"/>
    <w:rsid w:val="00A469F9"/>
    <w:rsid w:val="00A47489"/>
    <w:rsid w:val="00A5037C"/>
    <w:rsid w:val="00A52BE8"/>
    <w:rsid w:val="00A53B72"/>
    <w:rsid w:val="00A54278"/>
    <w:rsid w:val="00A557DC"/>
    <w:rsid w:val="00A56908"/>
    <w:rsid w:val="00A57D6B"/>
    <w:rsid w:val="00A607BD"/>
    <w:rsid w:val="00A63D59"/>
    <w:rsid w:val="00A6648D"/>
    <w:rsid w:val="00A668FC"/>
    <w:rsid w:val="00A67E58"/>
    <w:rsid w:val="00A70134"/>
    <w:rsid w:val="00A713EB"/>
    <w:rsid w:val="00A738C7"/>
    <w:rsid w:val="00A74425"/>
    <w:rsid w:val="00A744CC"/>
    <w:rsid w:val="00A74DB5"/>
    <w:rsid w:val="00A76F87"/>
    <w:rsid w:val="00A77E5E"/>
    <w:rsid w:val="00A807C7"/>
    <w:rsid w:val="00A83608"/>
    <w:rsid w:val="00A85AF5"/>
    <w:rsid w:val="00A8671B"/>
    <w:rsid w:val="00A876C6"/>
    <w:rsid w:val="00A90E0B"/>
    <w:rsid w:val="00A915F6"/>
    <w:rsid w:val="00A91BA0"/>
    <w:rsid w:val="00A92E0F"/>
    <w:rsid w:val="00A9436E"/>
    <w:rsid w:val="00A96A97"/>
    <w:rsid w:val="00A97B00"/>
    <w:rsid w:val="00AA1651"/>
    <w:rsid w:val="00AA3F91"/>
    <w:rsid w:val="00AB101A"/>
    <w:rsid w:val="00AB15DC"/>
    <w:rsid w:val="00AB2B09"/>
    <w:rsid w:val="00AB3B74"/>
    <w:rsid w:val="00AC2B8A"/>
    <w:rsid w:val="00AC3394"/>
    <w:rsid w:val="00AC3436"/>
    <w:rsid w:val="00AC3D34"/>
    <w:rsid w:val="00AC5AE9"/>
    <w:rsid w:val="00AC690A"/>
    <w:rsid w:val="00AD05C0"/>
    <w:rsid w:val="00AD27FB"/>
    <w:rsid w:val="00AD347D"/>
    <w:rsid w:val="00AD362C"/>
    <w:rsid w:val="00AD7E06"/>
    <w:rsid w:val="00AE2F1C"/>
    <w:rsid w:val="00AE6645"/>
    <w:rsid w:val="00AE6FC4"/>
    <w:rsid w:val="00AE7C9A"/>
    <w:rsid w:val="00AF188F"/>
    <w:rsid w:val="00AF1E72"/>
    <w:rsid w:val="00AF2A4A"/>
    <w:rsid w:val="00AF3092"/>
    <w:rsid w:val="00AF3FFC"/>
    <w:rsid w:val="00AF73EA"/>
    <w:rsid w:val="00AF7511"/>
    <w:rsid w:val="00B002E3"/>
    <w:rsid w:val="00B01F9B"/>
    <w:rsid w:val="00B03094"/>
    <w:rsid w:val="00B06BB3"/>
    <w:rsid w:val="00B075C6"/>
    <w:rsid w:val="00B1050D"/>
    <w:rsid w:val="00B10F4F"/>
    <w:rsid w:val="00B1199A"/>
    <w:rsid w:val="00B11CEA"/>
    <w:rsid w:val="00B15259"/>
    <w:rsid w:val="00B15CD8"/>
    <w:rsid w:val="00B16C76"/>
    <w:rsid w:val="00B179B2"/>
    <w:rsid w:val="00B179F2"/>
    <w:rsid w:val="00B203C4"/>
    <w:rsid w:val="00B21040"/>
    <w:rsid w:val="00B226B1"/>
    <w:rsid w:val="00B22C73"/>
    <w:rsid w:val="00B22DEA"/>
    <w:rsid w:val="00B2549F"/>
    <w:rsid w:val="00B25CCE"/>
    <w:rsid w:val="00B26782"/>
    <w:rsid w:val="00B314C1"/>
    <w:rsid w:val="00B3335A"/>
    <w:rsid w:val="00B3501B"/>
    <w:rsid w:val="00B35427"/>
    <w:rsid w:val="00B37162"/>
    <w:rsid w:val="00B407B3"/>
    <w:rsid w:val="00B42E07"/>
    <w:rsid w:val="00B43035"/>
    <w:rsid w:val="00B44885"/>
    <w:rsid w:val="00B463F8"/>
    <w:rsid w:val="00B52130"/>
    <w:rsid w:val="00B52CEA"/>
    <w:rsid w:val="00B56108"/>
    <w:rsid w:val="00B56D0B"/>
    <w:rsid w:val="00B56EC8"/>
    <w:rsid w:val="00B60E5A"/>
    <w:rsid w:val="00B61AAF"/>
    <w:rsid w:val="00B6300D"/>
    <w:rsid w:val="00B64ABB"/>
    <w:rsid w:val="00B6533F"/>
    <w:rsid w:val="00B66ED2"/>
    <w:rsid w:val="00B6712D"/>
    <w:rsid w:val="00B729E9"/>
    <w:rsid w:val="00B73908"/>
    <w:rsid w:val="00B74637"/>
    <w:rsid w:val="00B74D0F"/>
    <w:rsid w:val="00B76736"/>
    <w:rsid w:val="00B76D2F"/>
    <w:rsid w:val="00B77B98"/>
    <w:rsid w:val="00B8175D"/>
    <w:rsid w:val="00B84615"/>
    <w:rsid w:val="00B84C46"/>
    <w:rsid w:val="00B86E05"/>
    <w:rsid w:val="00B9045F"/>
    <w:rsid w:val="00B904F5"/>
    <w:rsid w:val="00B906C2"/>
    <w:rsid w:val="00B91EBC"/>
    <w:rsid w:val="00B935C8"/>
    <w:rsid w:val="00B940EB"/>
    <w:rsid w:val="00B94EE0"/>
    <w:rsid w:val="00B954A1"/>
    <w:rsid w:val="00B95C63"/>
    <w:rsid w:val="00BA0945"/>
    <w:rsid w:val="00BA2730"/>
    <w:rsid w:val="00BA3105"/>
    <w:rsid w:val="00BA332A"/>
    <w:rsid w:val="00BA44CC"/>
    <w:rsid w:val="00BA4D15"/>
    <w:rsid w:val="00BB068F"/>
    <w:rsid w:val="00BB2D4D"/>
    <w:rsid w:val="00BB35E5"/>
    <w:rsid w:val="00BB477D"/>
    <w:rsid w:val="00BB62AB"/>
    <w:rsid w:val="00BC1BBA"/>
    <w:rsid w:val="00BC3BC3"/>
    <w:rsid w:val="00BC4415"/>
    <w:rsid w:val="00BC7E5E"/>
    <w:rsid w:val="00BD0AAA"/>
    <w:rsid w:val="00BD0F04"/>
    <w:rsid w:val="00BD2206"/>
    <w:rsid w:val="00BD26A4"/>
    <w:rsid w:val="00BD38C0"/>
    <w:rsid w:val="00BD40E8"/>
    <w:rsid w:val="00BD558F"/>
    <w:rsid w:val="00BD6268"/>
    <w:rsid w:val="00BD752D"/>
    <w:rsid w:val="00BE08F7"/>
    <w:rsid w:val="00BE2067"/>
    <w:rsid w:val="00BE3FF8"/>
    <w:rsid w:val="00BE6993"/>
    <w:rsid w:val="00BE6F6D"/>
    <w:rsid w:val="00BF24D5"/>
    <w:rsid w:val="00BF33A2"/>
    <w:rsid w:val="00BF4915"/>
    <w:rsid w:val="00BF4DE8"/>
    <w:rsid w:val="00BF7432"/>
    <w:rsid w:val="00C01195"/>
    <w:rsid w:val="00C02639"/>
    <w:rsid w:val="00C0349A"/>
    <w:rsid w:val="00C05735"/>
    <w:rsid w:val="00C06230"/>
    <w:rsid w:val="00C071F8"/>
    <w:rsid w:val="00C11849"/>
    <w:rsid w:val="00C128A0"/>
    <w:rsid w:val="00C13100"/>
    <w:rsid w:val="00C16275"/>
    <w:rsid w:val="00C24C9C"/>
    <w:rsid w:val="00C25113"/>
    <w:rsid w:val="00C33B2F"/>
    <w:rsid w:val="00C34D94"/>
    <w:rsid w:val="00C36761"/>
    <w:rsid w:val="00C40AAE"/>
    <w:rsid w:val="00C4299A"/>
    <w:rsid w:val="00C43365"/>
    <w:rsid w:val="00C45887"/>
    <w:rsid w:val="00C46829"/>
    <w:rsid w:val="00C46EF8"/>
    <w:rsid w:val="00C51565"/>
    <w:rsid w:val="00C5208F"/>
    <w:rsid w:val="00C531B9"/>
    <w:rsid w:val="00C56ABD"/>
    <w:rsid w:val="00C56BD7"/>
    <w:rsid w:val="00C63FD8"/>
    <w:rsid w:val="00C64E4C"/>
    <w:rsid w:val="00C67B75"/>
    <w:rsid w:val="00C709A2"/>
    <w:rsid w:val="00C74B78"/>
    <w:rsid w:val="00C75119"/>
    <w:rsid w:val="00C8094F"/>
    <w:rsid w:val="00C81242"/>
    <w:rsid w:val="00C836EA"/>
    <w:rsid w:val="00C83F5B"/>
    <w:rsid w:val="00C85D00"/>
    <w:rsid w:val="00C85D61"/>
    <w:rsid w:val="00C8602B"/>
    <w:rsid w:val="00C87003"/>
    <w:rsid w:val="00C87013"/>
    <w:rsid w:val="00C90456"/>
    <w:rsid w:val="00C917AA"/>
    <w:rsid w:val="00C91FA3"/>
    <w:rsid w:val="00C9203B"/>
    <w:rsid w:val="00C934CF"/>
    <w:rsid w:val="00C93CCA"/>
    <w:rsid w:val="00C93FC0"/>
    <w:rsid w:val="00C956E6"/>
    <w:rsid w:val="00C95E20"/>
    <w:rsid w:val="00C96827"/>
    <w:rsid w:val="00C96F12"/>
    <w:rsid w:val="00CA0260"/>
    <w:rsid w:val="00CA1A29"/>
    <w:rsid w:val="00CA4E58"/>
    <w:rsid w:val="00CA664C"/>
    <w:rsid w:val="00CB0623"/>
    <w:rsid w:val="00CB1E34"/>
    <w:rsid w:val="00CB346A"/>
    <w:rsid w:val="00CB386E"/>
    <w:rsid w:val="00CB3B12"/>
    <w:rsid w:val="00CB3BD9"/>
    <w:rsid w:val="00CC238B"/>
    <w:rsid w:val="00CC48BB"/>
    <w:rsid w:val="00CC4A76"/>
    <w:rsid w:val="00CC4B09"/>
    <w:rsid w:val="00CC5595"/>
    <w:rsid w:val="00CC5C1E"/>
    <w:rsid w:val="00CC7B4B"/>
    <w:rsid w:val="00CD05BD"/>
    <w:rsid w:val="00CD2E87"/>
    <w:rsid w:val="00CD3C35"/>
    <w:rsid w:val="00CD45DE"/>
    <w:rsid w:val="00CE13D2"/>
    <w:rsid w:val="00CE472D"/>
    <w:rsid w:val="00CE5204"/>
    <w:rsid w:val="00CE5A1D"/>
    <w:rsid w:val="00CE6DB4"/>
    <w:rsid w:val="00CE75E1"/>
    <w:rsid w:val="00CE7EED"/>
    <w:rsid w:val="00CE7F50"/>
    <w:rsid w:val="00CF05D0"/>
    <w:rsid w:val="00CF061C"/>
    <w:rsid w:val="00CF0641"/>
    <w:rsid w:val="00CF130E"/>
    <w:rsid w:val="00CF4AD6"/>
    <w:rsid w:val="00CF53F9"/>
    <w:rsid w:val="00CF6074"/>
    <w:rsid w:val="00CF71DC"/>
    <w:rsid w:val="00D01A60"/>
    <w:rsid w:val="00D028CB"/>
    <w:rsid w:val="00D02E33"/>
    <w:rsid w:val="00D032AD"/>
    <w:rsid w:val="00D04419"/>
    <w:rsid w:val="00D04D02"/>
    <w:rsid w:val="00D05048"/>
    <w:rsid w:val="00D05923"/>
    <w:rsid w:val="00D06F36"/>
    <w:rsid w:val="00D07080"/>
    <w:rsid w:val="00D12180"/>
    <w:rsid w:val="00D12F49"/>
    <w:rsid w:val="00D131C3"/>
    <w:rsid w:val="00D134CC"/>
    <w:rsid w:val="00D13855"/>
    <w:rsid w:val="00D149A2"/>
    <w:rsid w:val="00D14E5E"/>
    <w:rsid w:val="00D14EB6"/>
    <w:rsid w:val="00D15377"/>
    <w:rsid w:val="00D16EB9"/>
    <w:rsid w:val="00D21D0C"/>
    <w:rsid w:val="00D246D2"/>
    <w:rsid w:val="00D251AB"/>
    <w:rsid w:val="00D26FDB"/>
    <w:rsid w:val="00D27CE9"/>
    <w:rsid w:val="00D30366"/>
    <w:rsid w:val="00D32CA1"/>
    <w:rsid w:val="00D332BE"/>
    <w:rsid w:val="00D33D35"/>
    <w:rsid w:val="00D36D34"/>
    <w:rsid w:val="00D36EFC"/>
    <w:rsid w:val="00D377D6"/>
    <w:rsid w:val="00D40685"/>
    <w:rsid w:val="00D40CF3"/>
    <w:rsid w:val="00D4243C"/>
    <w:rsid w:val="00D445E7"/>
    <w:rsid w:val="00D44893"/>
    <w:rsid w:val="00D44B44"/>
    <w:rsid w:val="00D468E0"/>
    <w:rsid w:val="00D47276"/>
    <w:rsid w:val="00D52B71"/>
    <w:rsid w:val="00D54B7A"/>
    <w:rsid w:val="00D555D5"/>
    <w:rsid w:val="00D5657B"/>
    <w:rsid w:val="00D60C3A"/>
    <w:rsid w:val="00D61678"/>
    <w:rsid w:val="00D62056"/>
    <w:rsid w:val="00D62E23"/>
    <w:rsid w:val="00D64C6F"/>
    <w:rsid w:val="00D65A38"/>
    <w:rsid w:val="00D66377"/>
    <w:rsid w:val="00D677A7"/>
    <w:rsid w:val="00D72C07"/>
    <w:rsid w:val="00D7378E"/>
    <w:rsid w:val="00D74A34"/>
    <w:rsid w:val="00D768FA"/>
    <w:rsid w:val="00D7791D"/>
    <w:rsid w:val="00D80BF3"/>
    <w:rsid w:val="00D824E9"/>
    <w:rsid w:val="00D873E4"/>
    <w:rsid w:val="00D9267C"/>
    <w:rsid w:val="00D93606"/>
    <w:rsid w:val="00D975F0"/>
    <w:rsid w:val="00DA02C0"/>
    <w:rsid w:val="00DA2F1B"/>
    <w:rsid w:val="00DB076B"/>
    <w:rsid w:val="00DB0C0A"/>
    <w:rsid w:val="00DB0DA1"/>
    <w:rsid w:val="00DB5CF8"/>
    <w:rsid w:val="00DC20C7"/>
    <w:rsid w:val="00DC3059"/>
    <w:rsid w:val="00DC3490"/>
    <w:rsid w:val="00DC38E6"/>
    <w:rsid w:val="00DC4F79"/>
    <w:rsid w:val="00DC521B"/>
    <w:rsid w:val="00DC7363"/>
    <w:rsid w:val="00DC778F"/>
    <w:rsid w:val="00DC7EA8"/>
    <w:rsid w:val="00DD06A1"/>
    <w:rsid w:val="00DD25FA"/>
    <w:rsid w:val="00DD4BCC"/>
    <w:rsid w:val="00DE0128"/>
    <w:rsid w:val="00DE0575"/>
    <w:rsid w:val="00DE0AB5"/>
    <w:rsid w:val="00DE1260"/>
    <w:rsid w:val="00DE15A6"/>
    <w:rsid w:val="00DE1C5A"/>
    <w:rsid w:val="00DE32DF"/>
    <w:rsid w:val="00DE6775"/>
    <w:rsid w:val="00DE677E"/>
    <w:rsid w:val="00DF1033"/>
    <w:rsid w:val="00DF2EEC"/>
    <w:rsid w:val="00DF5739"/>
    <w:rsid w:val="00DF5F00"/>
    <w:rsid w:val="00DF6DB4"/>
    <w:rsid w:val="00DF7FE8"/>
    <w:rsid w:val="00E00215"/>
    <w:rsid w:val="00E01FFC"/>
    <w:rsid w:val="00E025F0"/>
    <w:rsid w:val="00E02784"/>
    <w:rsid w:val="00E033F3"/>
    <w:rsid w:val="00E03BE9"/>
    <w:rsid w:val="00E04884"/>
    <w:rsid w:val="00E105F1"/>
    <w:rsid w:val="00E107DD"/>
    <w:rsid w:val="00E108E1"/>
    <w:rsid w:val="00E126D3"/>
    <w:rsid w:val="00E12889"/>
    <w:rsid w:val="00E13ACD"/>
    <w:rsid w:val="00E14F1F"/>
    <w:rsid w:val="00E16841"/>
    <w:rsid w:val="00E17931"/>
    <w:rsid w:val="00E231EF"/>
    <w:rsid w:val="00E232DE"/>
    <w:rsid w:val="00E23627"/>
    <w:rsid w:val="00E25B80"/>
    <w:rsid w:val="00E26E9F"/>
    <w:rsid w:val="00E27751"/>
    <w:rsid w:val="00E279CF"/>
    <w:rsid w:val="00E30407"/>
    <w:rsid w:val="00E33530"/>
    <w:rsid w:val="00E345DE"/>
    <w:rsid w:val="00E37522"/>
    <w:rsid w:val="00E43578"/>
    <w:rsid w:val="00E447C1"/>
    <w:rsid w:val="00E4619E"/>
    <w:rsid w:val="00E47191"/>
    <w:rsid w:val="00E47881"/>
    <w:rsid w:val="00E50381"/>
    <w:rsid w:val="00E53D42"/>
    <w:rsid w:val="00E60269"/>
    <w:rsid w:val="00E6238C"/>
    <w:rsid w:val="00E63D62"/>
    <w:rsid w:val="00E64F94"/>
    <w:rsid w:val="00E65A72"/>
    <w:rsid w:val="00E66593"/>
    <w:rsid w:val="00E67817"/>
    <w:rsid w:val="00E700A4"/>
    <w:rsid w:val="00E70BD9"/>
    <w:rsid w:val="00E730E6"/>
    <w:rsid w:val="00E749AA"/>
    <w:rsid w:val="00E81A15"/>
    <w:rsid w:val="00E81E22"/>
    <w:rsid w:val="00E82A75"/>
    <w:rsid w:val="00E83121"/>
    <w:rsid w:val="00E83191"/>
    <w:rsid w:val="00E8541D"/>
    <w:rsid w:val="00E859E5"/>
    <w:rsid w:val="00E86C94"/>
    <w:rsid w:val="00E878EF"/>
    <w:rsid w:val="00E8798D"/>
    <w:rsid w:val="00E879CB"/>
    <w:rsid w:val="00E87B40"/>
    <w:rsid w:val="00E91D17"/>
    <w:rsid w:val="00E9262D"/>
    <w:rsid w:val="00E92FC6"/>
    <w:rsid w:val="00E94658"/>
    <w:rsid w:val="00E96190"/>
    <w:rsid w:val="00E97E7C"/>
    <w:rsid w:val="00EA01D5"/>
    <w:rsid w:val="00EA5110"/>
    <w:rsid w:val="00EA5DDF"/>
    <w:rsid w:val="00EA6061"/>
    <w:rsid w:val="00EA6421"/>
    <w:rsid w:val="00EB0788"/>
    <w:rsid w:val="00EB50B7"/>
    <w:rsid w:val="00EB5272"/>
    <w:rsid w:val="00EB58A0"/>
    <w:rsid w:val="00EC1A72"/>
    <w:rsid w:val="00EC4BF2"/>
    <w:rsid w:val="00EC4F81"/>
    <w:rsid w:val="00EC5F10"/>
    <w:rsid w:val="00ED071B"/>
    <w:rsid w:val="00ED23F0"/>
    <w:rsid w:val="00ED5289"/>
    <w:rsid w:val="00ED52B4"/>
    <w:rsid w:val="00ED53DE"/>
    <w:rsid w:val="00ED5671"/>
    <w:rsid w:val="00ED7D17"/>
    <w:rsid w:val="00EE319D"/>
    <w:rsid w:val="00EE4284"/>
    <w:rsid w:val="00EE5728"/>
    <w:rsid w:val="00EE682E"/>
    <w:rsid w:val="00EF1E36"/>
    <w:rsid w:val="00EF3E59"/>
    <w:rsid w:val="00EF430B"/>
    <w:rsid w:val="00F00B55"/>
    <w:rsid w:val="00F010BC"/>
    <w:rsid w:val="00F02D4E"/>
    <w:rsid w:val="00F04C89"/>
    <w:rsid w:val="00F05448"/>
    <w:rsid w:val="00F107B3"/>
    <w:rsid w:val="00F11BA0"/>
    <w:rsid w:val="00F144E9"/>
    <w:rsid w:val="00F169A5"/>
    <w:rsid w:val="00F202FB"/>
    <w:rsid w:val="00F20FC6"/>
    <w:rsid w:val="00F22612"/>
    <w:rsid w:val="00F26228"/>
    <w:rsid w:val="00F274CD"/>
    <w:rsid w:val="00F27966"/>
    <w:rsid w:val="00F31697"/>
    <w:rsid w:val="00F333E2"/>
    <w:rsid w:val="00F33789"/>
    <w:rsid w:val="00F363E1"/>
    <w:rsid w:val="00F36D4B"/>
    <w:rsid w:val="00F371D0"/>
    <w:rsid w:val="00F407B9"/>
    <w:rsid w:val="00F41956"/>
    <w:rsid w:val="00F41C0C"/>
    <w:rsid w:val="00F428ED"/>
    <w:rsid w:val="00F43D50"/>
    <w:rsid w:val="00F45C52"/>
    <w:rsid w:val="00F4758D"/>
    <w:rsid w:val="00F5020C"/>
    <w:rsid w:val="00F504CB"/>
    <w:rsid w:val="00F546D8"/>
    <w:rsid w:val="00F5498A"/>
    <w:rsid w:val="00F55428"/>
    <w:rsid w:val="00F55C07"/>
    <w:rsid w:val="00F6172C"/>
    <w:rsid w:val="00F61B98"/>
    <w:rsid w:val="00F63F68"/>
    <w:rsid w:val="00F65D63"/>
    <w:rsid w:val="00F65E1F"/>
    <w:rsid w:val="00F70CFA"/>
    <w:rsid w:val="00F70DE8"/>
    <w:rsid w:val="00F7536B"/>
    <w:rsid w:val="00F77B9F"/>
    <w:rsid w:val="00F80006"/>
    <w:rsid w:val="00F8092E"/>
    <w:rsid w:val="00F80FB8"/>
    <w:rsid w:val="00F81E66"/>
    <w:rsid w:val="00F842B1"/>
    <w:rsid w:val="00F8527E"/>
    <w:rsid w:val="00F856CC"/>
    <w:rsid w:val="00F85CD0"/>
    <w:rsid w:val="00F87B37"/>
    <w:rsid w:val="00F90066"/>
    <w:rsid w:val="00F908AA"/>
    <w:rsid w:val="00FA102D"/>
    <w:rsid w:val="00FA1222"/>
    <w:rsid w:val="00FA1652"/>
    <w:rsid w:val="00FA1B31"/>
    <w:rsid w:val="00FA1BFA"/>
    <w:rsid w:val="00FA2AE4"/>
    <w:rsid w:val="00FA61D3"/>
    <w:rsid w:val="00FA63B1"/>
    <w:rsid w:val="00FB0B84"/>
    <w:rsid w:val="00FB1297"/>
    <w:rsid w:val="00FB238B"/>
    <w:rsid w:val="00FB3C87"/>
    <w:rsid w:val="00FB3D1F"/>
    <w:rsid w:val="00FB56B0"/>
    <w:rsid w:val="00FB7857"/>
    <w:rsid w:val="00FB78DB"/>
    <w:rsid w:val="00FC1AE5"/>
    <w:rsid w:val="00FC3102"/>
    <w:rsid w:val="00FC34D6"/>
    <w:rsid w:val="00FC36A6"/>
    <w:rsid w:val="00FC5079"/>
    <w:rsid w:val="00FC582F"/>
    <w:rsid w:val="00FC6C67"/>
    <w:rsid w:val="00FD1499"/>
    <w:rsid w:val="00FD2ED3"/>
    <w:rsid w:val="00FD37B8"/>
    <w:rsid w:val="00FD46BB"/>
    <w:rsid w:val="00FD4A19"/>
    <w:rsid w:val="00FD6AFB"/>
    <w:rsid w:val="00FE2691"/>
    <w:rsid w:val="00FE3E6D"/>
    <w:rsid w:val="00FE47D6"/>
    <w:rsid w:val="00FE5582"/>
    <w:rsid w:val="00FE5C3A"/>
    <w:rsid w:val="00FE6FD9"/>
    <w:rsid w:val="00FE7C94"/>
    <w:rsid w:val="00FE7E54"/>
    <w:rsid w:val="00FF437D"/>
    <w:rsid w:val="00FF5B43"/>
    <w:rsid w:val="00FF5FF6"/>
    <w:rsid w:val="00FF617A"/>
    <w:rsid w:val="00FF64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779BCFEB"/>
  <w15:docId w15:val="{8710C9D4-8FF2-427E-ACF9-C3D65A00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67"/>
    <w:rPr>
      <w:lang w:val="en-GB"/>
    </w:rPr>
  </w:style>
  <w:style w:type="paragraph" w:styleId="Heading1">
    <w:name w:val="heading 1"/>
    <w:basedOn w:val="Normal"/>
    <w:next w:val="Normal"/>
    <w:link w:val="Heading1Char"/>
    <w:uiPriority w:val="9"/>
    <w:qFormat/>
    <w:rsid w:val="00E66593"/>
    <w:pPr>
      <w:spacing w:before="240" w:after="360"/>
      <w:jc w:val="center"/>
      <w:outlineLvl w:val="0"/>
    </w:pPr>
    <w:rPr>
      <w:b/>
      <w:i/>
      <w:color w:val="5B9BD5" w:themeColor="accent1"/>
      <w:sz w:val="36"/>
      <w:u w:val="single"/>
    </w:rPr>
  </w:style>
  <w:style w:type="paragraph" w:styleId="Heading2">
    <w:name w:val="heading 2"/>
    <w:basedOn w:val="Normal"/>
    <w:next w:val="Normal"/>
    <w:link w:val="Heading2Char"/>
    <w:uiPriority w:val="9"/>
    <w:unhideWhenUsed/>
    <w:qFormat/>
    <w:rsid w:val="00D44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4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37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5D4431"/>
    <w:pPr>
      <w:pBdr>
        <w:top w:val="single" w:sz="4" w:space="1" w:color="auto"/>
        <w:left w:val="single" w:sz="4" w:space="4" w:color="auto"/>
        <w:bottom w:val="single" w:sz="4" w:space="1" w:color="auto"/>
        <w:right w:val="single" w:sz="4" w:space="4" w:color="auto"/>
      </w:pBdr>
      <w:spacing w:before="160"/>
      <w:contextualSpacing/>
    </w:pPr>
    <w:rPr>
      <w:b/>
      <w:i/>
    </w:rPr>
  </w:style>
  <w:style w:type="paragraph" w:styleId="Title">
    <w:name w:val="Title"/>
    <w:basedOn w:val="Normal"/>
    <w:next w:val="Normal"/>
    <w:link w:val="TitleChar"/>
    <w:uiPriority w:val="10"/>
    <w:qFormat/>
    <w:rsid w:val="004E2C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QuestionChar">
    <w:name w:val="Question Char"/>
    <w:basedOn w:val="DefaultParagraphFont"/>
    <w:link w:val="Question"/>
    <w:rsid w:val="005D4431"/>
    <w:rPr>
      <w:b/>
      <w:i/>
      <w:lang w:val="en-GB"/>
    </w:rPr>
  </w:style>
  <w:style w:type="character" w:customStyle="1" w:styleId="TitleChar">
    <w:name w:val="Title Char"/>
    <w:basedOn w:val="DefaultParagraphFont"/>
    <w:link w:val="Title"/>
    <w:uiPriority w:val="10"/>
    <w:rsid w:val="004E2C9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E66593"/>
    <w:rPr>
      <w:b/>
      <w:i/>
      <w:color w:val="5B9BD5" w:themeColor="accent1"/>
      <w:sz w:val="36"/>
      <w:u w:val="single"/>
      <w:lang w:val="en-GB"/>
    </w:rPr>
  </w:style>
  <w:style w:type="paragraph" w:customStyle="1" w:styleId="Default">
    <w:name w:val="Default"/>
    <w:rsid w:val="007468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Paragraphe EI,Paragraphe de liste1,EC"/>
    <w:basedOn w:val="Normal"/>
    <w:link w:val="ListParagraphChar"/>
    <w:uiPriority w:val="99"/>
    <w:qFormat/>
    <w:rsid w:val="006D23C7"/>
    <w:pPr>
      <w:ind w:left="720"/>
      <w:contextualSpacing/>
    </w:pPr>
  </w:style>
  <w:style w:type="paragraph" w:styleId="BalloonText">
    <w:name w:val="Balloon Text"/>
    <w:basedOn w:val="Normal"/>
    <w:link w:val="BalloonTextChar"/>
    <w:uiPriority w:val="99"/>
    <w:semiHidden/>
    <w:unhideWhenUsed/>
    <w:rsid w:val="00910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5A"/>
    <w:rPr>
      <w:rFonts w:ascii="Segoe UI" w:hAnsi="Segoe UI" w:cs="Segoe UI"/>
      <w:sz w:val="18"/>
      <w:szCs w:val="18"/>
      <w:lang w:val="en-GB"/>
    </w:rPr>
  </w:style>
  <w:style w:type="character" w:styleId="CommentReference">
    <w:name w:val="annotation reference"/>
    <w:basedOn w:val="DefaultParagraphFont"/>
    <w:uiPriority w:val="99"/>
    <w:semiHidden/>
    <w:unhideWhenUsed/>
    <w:rsid w:val="0091025A"/>
    <w:rPr>
      <w:sz w:val="16"/>
      <w:szCs w:val="16"/>
    </w:rPr>
  </w:style>
  <w:style w:type="paragraph" w:styleId="CommentText">
    <w:name w:val="annotation text"/>
    <w:basedOn w:val="Normal"/>
    <w:link w:val="CommentTextChar"/>
    <w:uiPriority w:val="99"/>
    <w:unhideWhenUsed/>
    <w:rsid w:val="0091025A"/>
    <w:pPr>
      <w:spacing w:line="240" w:lineRule="auto"/>
    </w:pPr>
    <w:rPr>
      <w:sz w:val="20"/>
      <w:szCs w:val="20"/>
    </w:rPr>
  </w:style>
  <w:style w:type="character" w:customStyle="1" w:styleId="CommentTextChar">
    <w:name w:val="Comment Text Char"/>
    <w:basedOn w:val="DefaultParagraphFont"/>
    <w:link w:val="CommentText"/>
    <w:uiPriority w:val="99"/>
    <w:rsid w:val="0091025A"/>
    <w:rPr>
      <w:sz w:val="20"/>
      <w:szCs w:val="20"/>
      <w:lang w:val="en-GB"/>
    </w:rPr>
  </w:style>
  <w:style w:type="paragraph" w:styleId="CommentSubject">
    <w:name w:val="annotation subject"/>
    <w:basedOn w:val="CommentText"/>
    <w:next w:val="CommentText"/>
    <w:link w:val="CommentSubjectChar"/>
    <w:uiPriority w:val="99"/>
    <w:semiHidden/>
    <w:unhideWhenUsed/>
    <w:rsid w:val="0091025A"/>
    <w:rPr>
      <w:b/>
      <w:bCs/>
    </w:rPr>
  </w:style>
  <w:style w:type="character" w:customStyle="1" w:styleId="CommentSubjectChar">
    <w:name w:val="Comment Subject Char"/>
    <w:basedOn w:val="CommentTextChar"/>
    <w:link w:val="CommentSubject"/>
    <w:uiPriority w:val="99"/>
    <w:semiHidden/>
    <w:rsid w:val="0091025A"/>
    <w:rPr>
      <w:b/>
      <w:bCs/>
      <w:sz w:val="20"/>
      <w:szCs w:val="20"/>
      <w:lang w:val="en-GB"/>
    </w:rPr>
  </w:style>
  <w:style w:type="paragraph" w:styleId="PlainText">
    <w:name w:val="Plain Text"/>
    <w:basedOn w:val="Normal"/>
    <w:link w:val="PlainTextChar"/>
    <w:uiPriority w:val="99"/>
    <w:unhideWhenUsed/>
    <w:rsid w:val="00DE12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E1260"/>
    <w:rPr>
      <w:rFonts w:ascii="Calibri" w:hAnsi="Calibri"/>
      <w:szCs w:val="21"/>
      <w:lang w:val="en-GB"/>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unhideWhenUsed/>
    <w:qFormat/>
    <w:rsid w:val="00195473"/>
    <w:pPr>
      <w:spacing w:after="0" w:line="240" w:lineRule="auto"/>
    </w:pPr>
    <w:rPr>
      <w:sz w:val="20"/>
      <w:szCs w:val="20"/>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195473"/>
    <w:rPr>
      <w:sz w:val="20"/>
      <w:szCs w:val="20"/>
      <w:lang w:val="en-GB"/>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95473"/>
    <w:rPr>
      <w:vertAlign w:val="superscript"/>
    </w:rPr>
  </w:style>
  <w:style w:type="character" w:customStyle="1" w:styleId="aui-field-content">
    <w:name w:val="aui-field-content"/>
    <w:basedOn w:val="DefaultParagraphFont"/>
    <w:rsid w:val="00656468"/>
  </w:style>
  <w:style w:type="paragraph" w:customStyle="1" w:styleId="Bullet1">
    <w:name w:val="Bullet 1"/>
    <w:basedOn w:val="Default"/>
    <w:qFormat/>
    <w:rsid w:val="00656468"/>
    <w:pPr>
      <w:numPr>
        <w:numId w:val="1"/>
      </w:numPr>
    </w:pPr>
    <w:rPr>
      <w:rFonts w:eastAsiaTheme="minorEastAsia"/>
      <w:sz w:val="22"/>
      <w:szCs w:val="20"/>
      <w:lang w:val="en-GB"/>
    </w:rPr>
  </w:style>
  <w:style w:type="paragraph" w:customStyle="1" w:styleId="Bullet2">
    <w:name w:val="Bullet 2"/>
    <w:basedOn w:val="Default"/>
    <w:link w:val="Bullet2Char"/>
    <w:qFormat/>
    <w:rsid w:val="00656468"/>
    <w:pPr>
      <w:numPr>
        <w:ilvl w:val="1"/>
        <w:numId w:val="1"/>
      </w:numPr>
      <w:ind w:left="567" w:hanging="284"/>
    </w:pPr>
    <w:rPr>
      <w:rFonts w:eastAsiaTheme="minorEastAsia"/>
      <w:sz w:val="22"/>
      <w:szCs w:val="20"/>
      <w:lang w:val="en-GB"/>
    </w:rPr>
  </w:style>
  <w:style w:type="paragraph" w:customStyle="1" w:styleId="Bullet3">
    <w:name w:val="Bullet 3"/>
    <w:basedOn w:val="Bullet2"/>
    <w:rsid w:val="00656468"/>
    <w:pPr>
      <w:numPr>
        <w:ilvl w:val="2"/>
      </w:numPr>
      <w:ind w:left="851" w:hanging="284"/>
    </w:pPr>
  </w:style>
  <w:style w:type="character" w:customStyle="1" w:styleId="Bullet2Char">
    <w:name w:val="Bullet 2 Char"/>
    <w:basedOn w:val="DefaultParagraphFont"/>
    <w:link w:val="Bullet2"/>
    <w:rsid w:val="00656468"/>
    <w:rPr>
      <w:rFonts w:ascii="Calibri" w:eastAsiaTheme="minorEastAsia" w:hAnsi="Calibri" w:cs="Calibri"/>
      <w:color w:val="000000"/>
      <w:szCs w:val="20"/>
      <w:lang w:val="en-GB"/>
    </w:rPr>
  </w:style>
  <w:style w:type="paragraph" w:styleId="Revision">
    <w:name w:val="Revision"/>
    <w:hidden/>
    <w:uiPriority w:val="99"/>
    <w:semiHidden/>
    <w:rsid w:val="004E5CBF"/>
    <w:pPr>
      <w:spacing w:after="0" w:line="240" w:lineRule="auto"/>
    </w:pPr>
    <w:rPr>
      <w:lang w:val="en-GB"/>
    </w:rPr>
  </w:style>
  <w:style w:type="paragraph" w:styleId="Header">
    <w:name w:val="header"/>
    <w:basedOn w:val="Normal"/>
    <w:link w:val="HeaderChar"/>
    <w:uiPriority w:val="99"/>
    <w:unhideWhenUsed/>
    <w:rsid w:val="00D52B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B71"/>
    <w:rPr>
      <w:lang w:val="en-GB"/>
    </w:rPr>
  </w:style>
  <w:style w:type="paragraph" w:styleId="Footer">
    <w:name w:val="footer"/>
    <w:basedOn w:val="Normal"/>
    <w:link w:val="FooterChar"/>
    <w:uiPriority w:val="99"/>
    <w:unhideWhenUsed/>
    <w:rsid w:val="00D52B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B71"/>
    <w:rPr>
      <w:lang w:val="en-GB"/>
    </w:rPr>
  </w:style>
  <w:style w:type="character" w:styleId="Hyperlink">
    <w:name w:val="Hyperlink"/>
    <w:basedOn w:val="DefaultParagraphFont"/>
    <w:uiPriority w:val="99"/>
    <w:unhideWhenUsed/>
    <w:rsid w:val="003D7C4D"/>
    <w:rPr>
      <w:color w:val="0563C1" w:themeColor="hyperlink"/>
      <w:u w:val="single"/>
    </w:rPr>
  </w:style>
  <w:style w:type="table" w:styleId="TableGrid">
    <w:name w:val="Table Grid"/>
    <w:basedOn w:val="TableNormal"/>
    <w:rsid w:val="003A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4B78"/>
    <w:rPr>
      <w:color w:val="954F72" w:themeColor="followedHyperlink"/>
      <w:u w:val="single"/>
    </w:rPr>
  </w:style>
  <w:style w:type="paragraph" w:styleId="IntenseQuote">
    <w:name w:val="Intense Quote"/>
    <w:basedOn w:val="Question"/>
    <w:next w:val="Normal"/>
    <w:link w:val="IntenseQuoteChar"/>
    <w:uiPriority w:val="30"/>
    <w:qFormat/>
    <w:rsid w:val="00854D65"/>
    <w:pPr>
      <w:numPr>
        <w:numId w:val="2"/>
      </w:numPr>
      <w:tabs>
        <w:tab w:val="left" w:pos="426"/>
      </w:tabs>
      <w:spacing w:before="0" w:after="0" w:line="276" w:lineRule="auto"/>
      <w:jc w:val="both"/>
    </w:pPr>
  </w:style>
  <w:style w:type="character" w:customStyle="1" w:styleId="IntenseQuoteChar">
    <w:name w:val="Intense Quote Char"/>
    <w:basedOn w:val="DefaultParagraphFont"/>
    <w:link w:val="IntenseQuote"/>
    <w:uiPriority w:val="30"/>
    <w:rsid w:val="00854D65"/>
    <w:rPr>
      <w:b/>
      <w:i/>
      <w:lang w:val="en-GB"/>
    </w:rPr>
  </w:style>
  <w:style w:type="paragraph" w:customStyle="1" w:styleId="CPQuestions">
    <w:name w:val="CP_Questions"/>
    <w:basedOn w:val="Normal"/>
    <w:link w:val="CPQuestionsChar"/>
    <w:rsid w:val="0061268B"/>
    <w:pPr>
      <w:numPr>
        <w:numId w:val="3"/>
      </w:numPr>
      <w:spacing w:before="250" w:after="250" w:line="276" w:lineRule="auto"/>
      <w:jc w:val="both"/>
    </w:pPr>
    <w:rPr>
      <w:rFonts w:ascii="Arial" w:eastAsiaTheme="minorEastAsia" w:hAnsi="Arial"/>
      <w:b/>
      <w:szCs w:val="20"/>
    </w:rPr>
  </w:style>
  <w:style w:type="character" w:customStyle="1" w:styleId="CPQuestionsChar">
    <w:name w:val="CP_Questions Char"/>
    <w:basedOn w:val="DefaultParagraphFont"/>
    <w:link w:val="CPQuestions"/>
    <w:rsid w:val="0061268B"/>
    <w:rPr>
      <w:rFonts w:ascii="Arial" w:eastAsiaTheme="minorEastAsia" w:hAnsi="Arial"/>
      <w:b/>
      <w:szCs w:val="20"/>
      <w:lang w:val="en-GB"/>
    </w:rPr>
  </w:style>
  <w:style w:type="paragraph" w:customStyle="1" w:styleId="05dHeadline1blue">
    <w:name w:val="05d_Headline 1 blue"/>
    <w:basedOn w:val="Normal"/>
    <w:next w:val="Normal"/>
    <w:rsid w:val="0061268B"/>
    <w:pPr>
      <w:keepNext/>
      <w:numPr>
        <w:numId w:val="4"/>
      </w:numPr>
      <w:pBdr>
        <w:top w:val="single" w:sz="4" w:space="10" w:color="283583"/>
      </w:pBdr>
      <w:tabs>
        <w:tab w:val="left" w:pos="284"/>
        <w:tab w:val="left" w:pos="397"/>
      </w:tabs>
      <w:spacing w:after="280" w:line="280" w:lineRule="exact"/>
      <w:jc w:val="both"/>
    </w:pPr>
    <w:rPr>
      <w:rFonts w:ascii="Arial" w:eastAsia="Times New Roman" w:hAnsi="Arial" w:cs="Times New Roman"/>
      <w:b/>
      <w:color w:val="2D4190"/>
      <w:sz w:val="20"/>
      <w:szCs w:val="24"/>
      <w:lang w:eastAsia="de-DE"/>
    </w:rPr>
  </w:style>
  <w:style w:type="character" w:customStyle="1" w:styleId="Heading2Char">
    <w:name w:val="Heading 2 Char"/>
    <w:basedOn w:val="DefaultParagraphFont"/>
    <w:link w:val="Heading2"/>
    <w:uiPriority w:val="9"/>
    <w:rsid w:val="00D44893"/>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D44893"/>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FD37B8"/>
    <w:rPr>
      <w:rFonts w:asciiTheme="majorHAnsi" w:eastAsiaTheme="majorEastAsia" w:hAnsiTheme="majorHAnsi" w:cstheme="majorBidi"/>
      <w:i/>
      <w:iCs/>
      <w:color w:val="2E74B5" w:themeColor="accent1" w:themeShade="BF"/>
      <w:lang w:val="en-GB"/>
    </w:rPr>
  </w:style>
  <w:style w:type="character" w:styleId="IntenseEmphasis">
    <w:name w:val="Intense Emphasis"/>
    <w:basedOn w:val="DefaultParagraphFont"/>
    <w:uiPriority w:val="21"/>
    <w:qFormat/>
    <w:rsid w:val="00347C3C"/>
    <w:rPr>
      <w:b/>
      <w:bCs/>
      <w:i/>
      <w:iCs/>
    </w:rPr>
  </w:style>
  <w:style w:type="character" w:styleId="PlaceholderText">
    <w:name w:val="Placeholder Text"/>
    <w:basedOn w:val="DefaultParagraphFont"/>
    <w:uiPriority w:val="99"/>
    <w:semiHidden/>
    <w:rsid w:val="00CE7F50"/>
    <w:rPr>
      <w:color w:val="808080"/>
    </w:rPr>
  </w:style>
  <w:style w:type="paragraph" w:styleId="NoSpacing">
    <w:name w:val="No Spacing"/>
    <w:link w:val="NoSpacingChar"/>
    <w:uiPriority w:val="1"/>
    <w:qFormat/>
    <w:rsid w:val="00AE6645"/>
    <w:pPr>
      <w:spacing w:after="0" w:line="240" w:lineRule="auto"/>
    </w:pPr>
    <w:rPr>
      <w:rFonts w:ascii="Arial" w:hAnsi="Arial"/>
      <w:sz w:val="20"/>
      <w:lang w:val="en-GB"/>
    </w:rPr>
  </w:style>
  <w:style w:type="character" w:customStyle="1" w:styleId="NoSpacingChar">
    <w:name w:val="No Spacing Char"/>
    <w:basedOn w:val="DefaultParagraphFont"/>
    <w:link w:val="NoSpacing"/>
    <w:uiPriority w:val="1"/>
    <w:rsid w:val="00AE6645"/>
    <w:rPr>
      <w:rFonts w:ascii="Arial" w:hAnsi="Arial"/>
      <w:sz w:val="20"/>
      <w:lang w:val="en-GB"/>
    </w:rPr>
  </w:style>
  <w:style w:type="paragraph" w:styleId="TOCHeading">
    <w:name w:val="TOC Heading"/>
    <w:basedOn w:val="Heading1"/>
    <w:next w:val="Normal"/>
    <w:uiPriority w:val="39"/>
    <w:unhideWhenUsed/>
    <w:qFormat/>
    <w:rsid w:val="000A5FEF"/>
    <w:pPr>
      <w:spacing w:after="0"/>
      <w:outlineLvl w:val="9"/>
    </w:pPr>
    <w:rPr>
      <w:sz w:val="32"/>
      <w:lang w:val="en-US"/>
    </w:rPr>
  </w:style>
  <w:style w:type="character" w:customStyle="1" w:styleId="ListParagraphChar">
    <w:name w:val="List Paragraph Char"/>
    <w:aliases w:val="Paragraphe EI Char,Paragraphe de liste1 Char,EC Char"/>
    <w:link w:val="ListParagraph"/>
    <w:uiPriority w:val="99"/>
    <w:locked/>
    <w:rsid w:val="00CE520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320">
      <w:bodyDiv w:val="1"/>
      <w:marLeft w:val="0"/>
      <w:marRight w:val="0"/>
      <w:marTop w:val="0"/>
      <w:marBottom w:val="0"/>
      <w:divBdr>
        <w:top w:val="none" w:sz="0" w:space="0" w:color="auto"/>
        <w:left w:val="none" w:sz="0" w:space="0" w:color="auto"/>
        <w:bottom w:val="none" w:sz="0" w:space="0" w:color="auto"/>
        <w:right w:val="none" w:sz="0" w:space="0" w:color="auto"/>
      </w:divBdr>
    </w:div>
    <w:div w:id="62995836">
      <w:bodyDiv w:val="1"/>
      <w:marLeft w:val="0"/>
      <w:marRight w:val="0"/>
      <w:marTop w:val="0"/>
      <w:marBottom w:val="0"/>
      <w:divBdr>
        <w:top w:val="none" w:sz="0" w:space="0" w:color="auto"/>
        <w:left w:val="none" w:sz="0" w:space="0" w:color="auto"/>
        <w:bottom w:val="none" w:sz="0" w:space="0" w:color="auto"/>
        <w:right w:val="none" w:sz="0" w:space="0" w:color="auto"/>
      </w:divBdr>
    </w:div>
    <w:div w:id="81341527">
      <w:bodyDiv w:val="1"/>
      <w:marLeft w:val="0"/>
      <w:marRight w:val="0"/>
      <w:marTop w:val="0"/>
      <w:marBottom w:val="0"/>
      <w:divBdr>
        <w:top w:val="none" w:sz="0" w:space="0" w:color="auto"/>
        <w:left w:val="none" w:sz="0" w:space="0" w:color="auto"/>
        <w:bottom w:val="none" w:sz="0" w:space="0" w:color="auto"/>
        <w:right w:val="none" w:sz="0" w:space="0" w:color="auto"/>
      </w:divBdr>
    </w:div>
    <w:div w:id="98841468">
      <w:bodyDiv w:val="1"/>
      <w:marLeft w:val="0"/>
      <w:marRight w:val="0"/>
      <w:marTop w:val="0"/>
      <w:marBottom w:val="0"/>
      <w:divBdr>
        <w:top w:val="none" w:sz="0" w:space="0" w:color="auto"/>
        <w:left w:val="none" w:sz="0" w:space="0" w:color="auto"/>
        <w:bottom w:val="none" w:sz="0" w:space="0" w:color="auto"/>
        <w:right w:val="none" w:sz="0" w:space="0" w:color="auto"/>
      </w:divBdr>
    </w:div>
    <w:div w:id="118693461">
      <w:bodyDiv w:val="1"/>
      <w:marLeft w:val="0"/>
      <w:marRight w:val="0"/>
      <w:marTop w:val="0"/>
      <w:marBottom w:val="0"/>
      <w:divBdr>
        <w:top w:val="none" w:sz="0" w:space="0" w:color="auto"/>
        <w:left w:val="none" w:sz="0" w:space="0" w:color="auto"/>
        <w:bottom w:val="none" w:sz="0" w:space="0" w:color="auto"/>
        <w:right w:val="none" w:sz="0" w:space="0" w:color="auto"/>
      </w:divBdr>
    </w:div>
    <w:div w:id="124080685">
      <w:bodyDiv w:val="1"/>
      <w:marLeft w:val="0"/>
      <w:marRight w:val="0"/>
      <w:marTop w:val="0"/>
      <w:marBottom w:val="0"/>
      <w:divBdr>
        <w:top w:val="none" w:sz="0" w:space="0" w:color="auto"/>
        <w:left w:val="none" w:sz="0" w:space="0" w:color="auto"/>
        <w:bottom w:val="none" w:sz="0" w:space="0" w:color="auto"/>
        <w:right w:val="none" w:sz="0" w:space="0" w:color="auto"/>
      </w:divBdr>
    </w:div>
    <w:div w:id="125393852">
      <w:bodyDiv w:val="1"/>
      <w:marLeft w:val="0"/>
      <w:marRight w:val="0"/>
      <w:marTop w:val="0"/>
      <w:marBottom w:val="0"/>
      <w:divBdr>
        <w:top w:val="none" w:sz="0" w:space="0" w:color="auto"/>
        <w:left w:val="none" w:sz="0" w:space="0" w:color="auto"/>
        <w:bottom w:val="none" w:sz="0" w:space="0" w:color="auto"/>
        <w:right w:val="none" w:sz="0" w:space="0" w:color="auto"/>
      </w:divBdr>
    </w:div>
    <w:div w:id="133760793">
      <w:bodyDiv w:val="1"/>
      <w:marLeft w:val="0"/>
      <w:marRight w:val="0"/>
      <w:marTop w:val="0"/>
      <w:marBottom w:val="0"/>
      <w:divBdr>
        <w:top w:val="none" w:sz="0" w:space="0" w:color="auto"/>
        <w:left w:val="none" w:sz="0" w:space="0" w:color="auto"/>
        <w:bottom w:val="none" w:sz="0" w:space="0" w:color="auto"/>
        <w:right w:val="none" w:sz="0" w:space="0" w:color="auto"/>
      </w:divBdr>
    </w:div>
    <w:div w:id="166871444">
      <w:bodyDiv w:val="1"/>
      <w:marLeft w:val="0"/>
      <w:marRight w:val="0"/>
      <w:marTop w:val="0"/>
      <w:marBottom w:val="0"/>
      <w:divBdr>
        <w:top w:val="none" w:sz="0" w:space="0" w:color="auto"/>
        <w:left w:val="none" w:sz="0" w:space="0" w:color="auto"/>
        <w:bottom w:val="none" w:sz="0" w:space="0" w:color="auto"/>
        <w:right w:val="none" w:sz="0" w:space="0" w:color="auto"/>
      </w:divBdr>
    </w:div>
    <w:div w:id="181941842">
      <w:bodyDiv w:val="1"/>
      <w:marLeft w:val="0"/>
      <w:marRight w:val="0"/>
      <w:marTop w:val="0"/>
      <w:marBottom w:val="0"/>
      <w:divBdr>
        <w:top w:val="none" w:sz="0" w:space="0" w:color="auto"/>
        <w:left w:val="none" w:sz="0" w:space="0" w:color="auto"/>
        <w:bottom w:val="none" w:sz="0" w:space="0" w:color="auto"/>
        <w:right w:val="none" w:sz="0" w:space="0" w:color="auto"/>
      </w:divBdr>
    </w:div>
    <w:div w:id="185170780">
      <w:bodyDiv w:val="1"/>
      <w:marLeft w:val="0"/>
      <w:marRight w:val="0"/>
      <w:marTop w:val="0"/>
      <w:marBottom w:val="0"/>
      <w:divBdr>
        <w:top w:val="none" w:sz="0" w:space="0" w:color="auto"/>
        <w:left w:val="none" w:sz="0" w:space="0" w:color="auto"/>
        <w:bottom w:val="none" w:sz="0" w:space="0" w:color="auto"/>
        <w:right w:val="none" w:sz="0" w:space="0" w:color="auto"/>
      </w:divBdr>
    </w:div>
    <w:div w:id="244582546">
      <w:bodyDiv w:val="1"/>
      <w:marLeft w:val="0"/>
      <w:marRight w:val="0"/>
      <w:marTop w:val="0"/>
      <w:marBottom w:val="0"/>
      <w:divBdr>
        <w:top w:val="none" w:sz="0" w:space="0" w:color="auto"/>
        <w:left w:val="none" w:sz="0" w:space="0" w:color="auto"/>
        <w:bottom w:val="none" w:sz="0" w:space="0" w:color="auto"/>
        <w:right w:val="none" w:sz="0" w:space="0" w:color="auto"/>
      </w:divBdr>
    </w:div>
    <w:div w:id="258492153">
      <w:bodyDiv w:val="1"/>
      <w:marLeft w:val="0"/>
      <w:marRight w:val="0"/>
      <w:marTop w:val="0"/>
      <w:marBottom w:val="0"/>
      <w:divBdr>
        <w:top w:val="none" w:sz="0" w:space="0" w:color="auto"/>
        <w:left w:val="none" w:sz="0" w:space="0" w:color="auto"/>
        <w:bottom w:val="none" w:sz="0" w:space="0" w:color="auto"/>
        <w:right w:val="none" w:sz="0" w:space="0" w:color="auto"/>
      </w:divBdr>
    </w:div>
    <w:div w:id="287130918">
      <w:bodyDiv w:val="1"/>
      <w:marLeft w:val="0"/>
      <w:marRight w:val="0"/>
      <w:marTop w:val="0"/>
      <w:marBottom w:val="0"/>
      <w:divBdr>
        <w:top w:val="none" w:sz="0" w:space="0" w:color="auto"/>
        <w:left w:val="none" w:sz="0" w:space="0" w:color="auto"/>
        <w:bottom w:val="none" w:sz="0" w:space="0" w:color="auto"/>
        <w:right w:val="none" w:sz="0" w:space="0" w:color="auto"/>
      </w:divBdr>
    </w:div>
    <w:div w:id="291400986">
      <w:bodyDiv w:val="1"/>
      <w:marLeft w:val="0"/>
      <w:marRight w:val="0"/>
      <w:marTop w:val="0"/>
      <w:marBottom w:val="0"/>
      <w:divBdr>
        <w:top w:val="none" w:sz="0" w:space="0" w:color="auto"/>
        <w:left w:val="none" w:sz="0" w:space="0" w:color="auto"/>
        <w:bottom w:val="none" w:sz="0" w:space="0" w:color="auto"/>
        <w:right w:val="none" w:sz="0" w:space="0" w:color="auto"/>
      </w:divBdr>
    </w:div>
    <w:div w:id="344138406">
      <w:bodyDiv w:val="1"/>
      <w:marLeft w:val="0"/>
      <w:marRight w:val="0"/>
      <w:marTop w:val="0"/>
      <w:marBottom w:val="0"/>
      <w:divBdr>
        <w:top w:val="none" w:sz="0" w:space="0" w:color="auto"/>
        <w:left w:val="none" w:sz="0" w:space="0" w:color="auto"/>
        <w:bottom w:val="none" w:sz="0" w:space="0" w:color="auto"/>
        <w:right w:val="none" w:sz="0" w:space="0" w:color="auto"/>
      </w:divBdr>
    </w:div>
    <w:div w:id="402920711">
      <w:bodyDiv w:val="1"/>
      <w:marLeft w:val="0"/>
      <w:marRight w:val="0"/>
      <w:marTop w:val="0"/>
      <w:marBottom w:val="0"/>
      <w:divBdr>
        <w:top w:val="none" w:sz="0" w:space="0" w:color="auto"/>
        <w:left w:val="none" w:sz="0" w:space="0" w:color="auto"/>
        <w:bottom w:val="none" w:sz="0" w:space="0" w:color="auto"/>
        <w:right w:val="none" w:sz="0" w:space="0" w:color="auto"/>
      </w:divBdr>
    </w:div>
    <w:div w:id="409549383">
      <w:bodyDiv w:val="1"/>
      <w:marLeft w:val="0"/>
      <w:marRight w:val="0"/>
      <w:marTop w:val="0"/>
      <w:marBottom w:val="0"/>
      <w:divBdr>
        <w:top w:val="none" w:sz="0" w:space="0" w:color="auto"/>
        <w:left w:val="none" w:sz="0" w:space="0" w:color="auto"/>
        <w:bottom w:val="none" w:sz="0" w:space="0" w:color="auto"/>
        <w:right w:val="none" w:sz="0" w:space="0" w:color="auto"/>
      </w:divBdr>
    </w:div>
    <w:div w:id="419912716">
      <w:bodyDiv w:val="1"/>
      <w:marLeft w:val="0"/>
      <w:marRight w:val="0"/>
      <w:marTop w:val="0"/>
      <w:marBottom w:val="0"/>
      <w:divBdr>
        <w:top w:val="none" w:sz="0" w:space="0" w:color="auto"/>
        <w:left w:val="none" w:sz="0" w:space="0" w:color="auto"/>
        <w:bottom w:val="none" w:sz="0" w:space="0" w:color="auto"/>
        <w:right w:val="none" w:sz="0" w:space="0" w:color="auto"/>
      </w:divBdr>
    </w:div>
    <w:div w:id="420952533">
      <w:bodyDiv w:val="1"/>
      <w:marLeft w:val="0"/>
      <w:marRight w:val="0"/>
      <w:marTop w:val="0"/>
      <w:marBottom w:val="0"/>
      <w:divBdr>
        <w:top w:val="none" w:sz="0" w:space="0" w:color="auto"/>
        <w:left w:val="none" w:sz="0" w:space="0" w:color="auto"/>
        <w:bottom w:val="none" w:sz="0" w:space="0" w:color="auto"/>
        <w:right w:val="none" w:sz="0" w:space="0" w:color="auto"/>
      </w:divBdr>
    </w:div>
    <w:div w:id="451285908">
      <w:bodyDiv w:val="1"/>
      <w:marLeft w:val="0"/>
      <w:marRight w:val="0"/>
      <w:marTop w:val="0"/>
      <w:marBottom w:val="0"/>
      <w:divBdr>
        <w:top w:val="none" w:sz="0" w:space="0" w:color="auto"/>
        <w:left w:val="none" w:sz="0" w:space="0" w:color="auto"/>
        <w:bottom w:val="none" w:sz="0" w:space="0" w:color="auto"/>
        <w:right w:val="none" w:sz="0" w:space="0" w:color="auto"/>
      </w:divBdr>
    </w:div>
    <w:div w:id="515073512">
      <w:bodyDiv w:val="1"/>
      <w:marLeft w:val="0"/>
      <w:marRight w:val="0"/>
      <w:marTop w:val="0"/>
      <w:marBottom w:val="0"/>
      <w:divBdr>
        <w:top w:val="none" w:sz="0" w:space="0" w:color="auto"/>
        <w:left w:val="none" w:sz="0" w:space="0" w:color="auto"/>
        <w:bottom w:val="none" w:sz="0" w:space="0" w:color="auto"/>
        <w:right w:val="none" w:sz="0" w:space="0" w:color="auto"/>
      </w:divBdr>
    </w:div>
    <w:div w:id="550194322">
      <w:bodyDiv w:val="1"/>
      <w:marLeft w:val="0"/>
      <w:marRight w:val="0"/>
      <w:marTop w:val="0"/>
      <w:marBottom w:val="0"/>
      <w:divBdr>
        <w:top w:val="none" w:sz="0" w:space="0" w:color="auto"/>
        <w:left w:val="none" w:sz="0" w:space="0" w:color="auto"/>
        <w:bottom w:val="none" w:sz="0" w:space="0" w:color="auto"/>
        <w:right w:val="none" w:sz="0" w:space="0" w:color="auto"/>
      </w:divBdr>
    </w:div>
    <w:div w:id="554656470">
      <w:bodyDiv w:val="1"/>
      <w:marLeft w:val="0"/>
      <w:marRight w:val="0"/>
      <w:marTop w:val="0"/>
      <w:marBottom w:val="0"/>
      <w:divBdr>
        <w:top w:val="none" w:sz="0" w:space="0" w:color="auto"/>
        <w:left w:val="none" w:sz="0" w:space="0" w:color="auto"/>
        <w:bottom w:val="none" w:sz="0" w:space="0" w:color="auto"/>
        <w:right w:val="none" w:sz="0" w:space="0" w:color="auto"/>
      </w:divBdr>
    </w:div>
    <w:div w:id="564536459">
      <w:bodyDiv w:val="1"/>
      <w:marLeft w:val="0"/>
      <w:marRight w:val="0"/>
      <w:marTop w:val="0"/>
      <w:marBottom w:val="0"/>
      <w:divBdr>
        <w:top w:val="none" w:sz="0" w:space="0" w:color="auto"/>
        <w:left w:val="none" w:sz="0" w:space="0" w:color="auto"/>
        <w:bottom w:val="none" w:sz="0" w:space="0" w:color="auto"/>
        <w:right w:val="none" w:sz="0" w:space="0" w:color="auto"/>
      </w:divBdr>
    </w:div>
    <w:div w:id="570622485">
      <w:bodyDiv w:val="1"/>
      <w:marLeft w:val="0"/>
      <w:marRight w:val="0"/>
      <w:marTop w:val="0"/>
      <w:marBottom w:val="0"/>
      <w:divBdr>
        <w:top w:val="none" w:sz="0" w:space="0" w:color="auto"/>
        <w:left w:val="none" w:sz="0" w:space="0" w:color="auto"/>
        <w:bottom w:val="none" w:sz="0" w:space="0" w:color="auto"/>
        <w:right w:val="none" w:sz="0" w:space="0" w:color="auto"/>
      </w:divBdr>
    </w:div>
    <w:div w:id="575551104">
      <w:bodyDiv w:val="1"/>
      <w:marLeft w:val="0"/>
      <w:marRight w:val="0"/>
      <w:marTop w:val="0"/>
      <w:marBottom w:val="0"/>
      <w:divBdr>
        <w:top w:val="none" w:sz="0" w:space="0" w:color="auto"/>
        <w:left w:val="none" w:sz="0" w:space="0" w:color="auto"/>
        <w:bottom w:val="none" w:sz="0" w:space="0" w:color="auto"/>
        <w:right w:val="none" w:sz="0" w:space="0" w:color="auto"/>
      </w:divBdr>
    </w:div>
    <w:div w:id="588807449">
      <w:bodyDiv w:val="1"/>
      <w:marLeft w:val="0"/>
      <w:marRight w:val="0"/>
      <w:marTop w:val="0"/>
      <w:marBottom w:val="0"/>
      <w:divBdr>
        <w:top w:val="none" w:sz="0" w:space="0" w:color="auto"/>
        <w:left w:val="none" w:sz="0" w:space="0" w:color="auto"/>
        <w:bottom w:val="none" w:sz="0" w:space="0" w:color="auto"/>
        <w:right w:val="none" w:sz="0" w:space="0" w:color="auto"/>
      </w:divBdr>
    </w:div>
    <w:div w:id="607005250">
      <w:bodyDiv w:val="1"/>
      <w:marLeft w:val="0"/>
      <w:marRight w:val="0"/>
      <w:marTop w:val="0"/>
      <w:marBottom w:val="0"/>
      <w:divBdr>
        <w:top w:val="none" w:sz="0" w:space="0" w:color="auto"/>
        <w:left w:val="none" w:sz="0" w:space="0" w:color="auto"/>
        <w:bottom w:val="none" w:sz="0" w:space="0" w:color="auto"/>
        <w:right w:val="none" w:sz="0" w:space="0" w:color="auto"/>
      </w:divBdr>
    </w:div>
    <w:div w:id="618267849">
      <w:bodyDiv w:val="1"/>
      <w:marLeft w:val="0"/>
      <w:marRight w:val="0"/>
      <w:marTop w:val="0"/>
      <w:marBottom w:val="0"/>
      <w:divBdr>
        <w:top w:val="none" w:sz="0" w:space="0" w:color="auto"/>
        <w:left w:val="none" w:sz="0" w:space="0" w:color="auto"/>
        <w:bottom w:val="none" w:sz="0" w:space="0" w:color="auto"/>
        <w:right w:val="none" w:sz="0" w:space="0" w:color="auto"/>
      </w:divBdr>
    </w:div>
    <w:div w:id="679888104">
      <w:bodyDiv w:val="1"/>
      <w:marLeft w:val="0"/>
      <w:marRight w:val="0"/>
      <w:marTop w:val="0"/>
      <w:marBottom w:val="0"/>
      <w:divBdr>
        <w:top w:val="none" w:sz="0" w:space="0" w:color="auto"/>
        <w:left w:val="none" w:sz="0" w:space="0" w:color="auto"/>
        <w:bottom w:val="none" w:sz="0" w:space="0" w:color="auto"/>
        <w:right w:val="none" w:sz="0" w:space="0" w:color="auto"/>
      </w:divBdr>
    </w:div>
    <w:div w:id="689331915">
      <w:bodyDiv w:val="1"/>
      <w:marLeft w:val="0"/>
      <w:marRight w:val="0"/>
      <w:marTop w:val="0"/>
      <w:marBottom w:val="0"/>
      <w:divBdr>
        <w:top w:val="none" w:sz="0" w:space="0" w:color="auto"/>
        <w:left w:val="none" w:sz="0" w:space="0" w:color="auto"/>
        <w:bottom w:val="none" w:sz="0" w:space="0" w:color="auto"/>
        <w:right w:val="none" w:sz="0" w:space="0" w:color="auto"/>
      </w:divBdr>
    </w:div>
    <w:div w:id="703946478">
      <w:bodyDiv w:val="1"/>
      <w:marLeft w:val="0"/>
      <w:marRight w:val="0"/>
      <w:marTop w:val="0"/>
      <w:marBottom w:val="0"/>
      <w:divBdr>
        <w:top w:val="none" w:sz="0" w:space="0" w:color="auto"/>
        <w:left w:val="none" w:sz="0" w:space="0" w:color="auto"/>
        <w:bottom w:val="none" w:sz="0" w:space="0" w:color="auto"/>
        <w:right w:val="none" w:sz="0" w:space="0" w:color="auto"/>
      </w:divBdr>
    </w:div>
    <w:div w:id="780610233">
      <w:bodyDiv w:val="1"/>
      <w:marLeft w:val="0"/>
      <w:marRight w:val="0"/>
      <w:marTop w:val="0"/>
      <w:marBottom w:val="0"/>
      <w:divBdr>
        <w:top w:val="none" w:sz="0" w:space="0" w:color="auto"/>
        <w:left w:val="none" w:sz="0" w:space="0" w:color="auto"/>
        <w:bottom w:val="none" w:sz="0" w:space="0" w:color="auto"/>
        <w:right w:val="none" w:sz="0" w:space="0" w:color="auto"/>
      </w:divBdr>
    </w:div>
    <w:div w:id="805002740">
      <w:bodyDiv w:val="1"/>
      <w:marLeft w:val="0"/>
      <w:marRight w:val="0"/>
      <w:marTop w:val="0"/>
      <w:marBottom w:val="0"/>
      <w:divBdr>
        <w:top w:val="none" w:sz="0" w:space="0" w:color="auto"/>
        <w:left w:val="none" w:sz="0" w:space="0" w:color="auto"/>
        <w:bottom w:val="none" w:sz="0" w:space="0" w:color="auto"/>
        <w:right w:val="none" w:sz="0" w:space="0" w:color="auto"/>
      </w:divBdr>
    </w:div>
    <w:div w:id="843127670">
      <w:bodyDiv w:val="1"/>
      <w:marLeft w:val="0"/>
      <w:marRight w:val="0"/>
      <w:marTop w:val="0"/>
      <w:marBottom w:val="0"/>
      <w:divBdr>
        <w:top w:val="none" w:sz="0" w:space="0" w:color="auto"/>
        <w:left w:val="none" w:sz="0" w:space="0" w:color="auto"/>
        <w:bottom w:val="none" w:sz="0" w:space="0" w:color="auto"/>
        <w:right w:val="none" w:sz="0" w:space="0" w:color="auto"/>
      </w:divBdr>
    </w:div>
    <w:div w:id="892345938">
      <w:bodyDiv w:val="1"/>
      <w:marLeft w:val="0"/>
      <w:marRight w:val="0"/>
      <w:marTop w:val="0"/>
      <w:marBottom w:val="0"/>
      <w:divBdr>
        <w:top w:val="none" w:sz="0" w:space="0" w:color="auto"/>
        <w:left w:val="none" w:sz="0" w:space="0" w:color="auto"/>
        <w:bottom w:val="none" w:sz="0" w:space="0" w:color="auto"/>
        <w:right w:val="none" w:sz="0" w:space="0" w:color="auto"/>
      </w:divBdr>
    </w:div>
    <w:div w:id="892691385">
      <w:bodyDiv w:val="1"/>
      <w:marLeft w:val="0"/>
      <w:marRight w:val="0"/>
      <w:marTop w:val="0"/>
      <w:marBottom w:val="0"/>
      <w:divBdr>
        <w:top w:val="none" w:sz="0" w:space="0" w:color="auto"/>
        <w:left w:val="none" w:sz="0" w:space="0" w:color="auto"/>
        <w:bottom w:val="none" w:sz="0" w:space="0" w:color="auto"/>
        <w:right w:val="none" w:sz="0" w:space="0" w:color="auto"/>
      </w:divBdr>
    </w:div>
    <w:div w:id="912086029">
      <w:bodyDiv w:val="1"/>
      <w:marLeft w:val="0"/>
      <w:marRight w:val="0"/>
      <w:marTop w:val="0"/>
      <w:marBottom w:val="0"/>
      <w:divBdr>
        <w:top w:val="none" w:sz="0" w:space="0" w:color="auto"/>
        <w:left w:val="none" w:sz="0" w:space="0" w:color="auto"/>
        <w:bottom w:val="none" w:sz="0" w:space="0" w:color="auto"/>
        <w:right w:val="none" w:sz="0" w:space="0" w:color="auto"/>
      </w:divBdr>
    </w:div>
    <w:div w:id="932133193">
      <w:bodyDiv w:val="1"/>
      <w:marLeft w:val="0"/>
      <w:marRight w:val="0"/>
      <w:marTop w:val="0"/>
      <w:marBottom w:val="0"/>
      <w:divBdr>
        <w:top w:val="none" w:sz="0" w:space="0" w:color="auto"/>
        <w:left w:val="none" w:sz="0" w:space="0" w:color="auto"/>
        <w:bottom w:val="none" w:sz="0" w:space="0" w:color="auto"/>
        <w:right w:val="none" w:sz="0" w:space="0" w:color="auto"/>
      </w:divBdr>
    </w:div>
    <w:div w:id="934677330">
      <w:bodyDiv w:val="1"/>
      <w:marLeft w:val="0"/>
      <w:marRight w:val="0"/>
      <w:marTop w:val="0"/>
      <w:marBottom w:val="0"/>
      <w:divBdr>
        <w:top w:val="none" w:sz="0" w:space="0" w:color="auto"/>
        <w:left w:val="none" w:sz="0" w:space="0" w:color="auto"/>
        <w:bottom w:val="none" w:sz="0" w:space="0" w:color="auto"/>
        <w:right w:val="none" w:sz="0" w:space="0" w:color="auto"/>
      </w:divBdr>
    </w:div>
    <w:div w:id="964627273">
      <w:bodyDiv w:val="1"/>
      <w:marLeft w:val="0"/>
      <w:marRight w:val="0"/>
      <w:marTop w:val="0"/>
      <w:marBottom w:val="0"/>
      <w:divBdr>
        <w:top w:val="none" w:sz="0" w:space="0" w:color="auto"/>
        <w:left w:val="none" w:sz="0" w:space="0" w:color="auto"/>
        <w:bottom w:val="none" w:sz="0" w:space="0" w:color="auto"/>
        <w:right w:val="none" w:sz="0" w:space="0" w:color="auto"/>
      </w:divBdr>
    </w:div>
    <w:div w:id="1072770806">
      <w:bodyDiv w:val="1"/>
      <w:marLeft w:val="0"/>
      <w:marRight w:val="0"/>
      <w:marTop w:val="0"/>
      <w:marBottom w:val="0"/>
      <w:divBdr>
        <w:top w:val="none" w:sz="0" w:space="0" w:color="auto"/>
        <w:left w:val="none" w:sz="0" w:space="0" w:color="auto"/>
        <w:bottom w:val="none" w:sz="0" w:space="0" w:color="auto"/>
        <w:right w:val="none" w:sz="0" w:space="0" w:color="auto"/>
      </w:divBdr>
    </w:div>
    <w:div w:id="1086416031">
      <w:bodyDiv w:val="1"/>
      <w:marLeft w:val="0"/>
      <w:marRight w:val="0"/>
      <w:marTop w:val="0"/>
      <w:marBottom w:val="0"/>
      <w:divBdr>
        <w:top w:val="none" w:sz="0" w:space="0" w:color="auto"/>
        <w:left w:val="none" w:sz="0" w:space="0" w:color="auto"/>
        <w:bottom w:val="none" w:sz="0" w:space="0" w:color="auto"/>
        <w:right w:val="none" w:sz="0" w:space="0" w:color="auto"/>
      </w:divBdr>
    </w:div>
    <w:div w:id="1104111894">
      <w:bodyDiv w:val="1"/>
      <w:marLeft w:val="0"/>
      <w:marRight w:val="0"/>
      <w:marTop w:val="0"/>
      <w:marBottom w:val="0"/>
      <w:divBdr>
        <w:top w:val="none" w:sz="0" w:space="0" w:color="auto"/>
        <w:left w:val="none" w:sz="0" w:space="0" w:color="auto"/>
        <w:bottom w:val="none" w:sz="0" w:space="0" w:color="auto"/>
        <w:right w:val="none" w:sz="0" w:space="0" w:color="auto"/>
      </w:divBdr>
    </w:div>
    <w:div w:id="1110784479">
      <w:bodyDiv w:val="1"/>
      <w:marLeft w:val="0"/>
      <w:marRight w:val="0"/>
      <w:marTop w:val="0"/>
      <w:marBottom w:val="0"/>
      <w:divBdr>
        <w:top w:val="none" w:sz="0" w:space="0" w:color="auto"/>
        <w:left w:val="none" w:sz="0" w:space="0" w:color="auto"/>
        <w:bottom w:val="none" w:sz="0" w:space="0" w:color="auto"/>
        <w:right w:val="none" w:sz="0" w:space="0" w:color="auto"/>
      </w:divBdr>
    </w:div>
    <w:div w:id="1117792201">
      <w:bodyDiv w:val="1"/>
      <w:marLeft w:val="0"/>
      <w:marRight w:val="0"/>
      <w:marTop w:val="0"/>
      <w:marBottom w:val="0"/>
      <w:divBdr>
        <w:top w:val="none" w:sz="0" w:space="0" w:color="auto"/>
        <w:left w:val="none" w:sz="0" w:space="0" w:color="auto"/>
        <w:bottom w:val="none" w:sz="0" w:space="0" w:color="auto"/>
        <w:right w:val="none" w:sz="0" w:space="0" w:color="auto"/>
      </w:divBdr>
    </w:div>
    <w:div w:id="1170945757">
      <w:bodyDiv w:val="1"/>
      <w:marLeft w:val="0"/>
      <w:marRight w:val="0"/>
      <w:marTop w:val="0"/>
      <w:marBottom w:val="0"/>
      <w:divBdr>
        <w:top w:val="none" w:sz="0" w:space="0" w:color="auto"/>
        <w:left w:val="none" w:sz="0" w:space="0" w:color="auto"/>
        <w:bottom w:val="none" w:sz="0" w:space="0" w:color="auto"/>
        <w:right w:val="none" w:sz="0" w:space="0" w:color="auto"/>
      </w:divBdr>
    </w:div>
    <w:div w:id="1187258139">
      <w:bodyDiv w:val="1"/>
      <w:marLeft w:val="0"/>
      <w:marRight w:val="0"/>
      <w:marTop w:val="0"/>
      <w:marBottom w:val="0"/>
      <w:divBdr>
        <w:top w:val="none" w:sz="0" w:space="0" w:color="auto"/>
        <w:left w:val="none" w:sz="0" w:space="0" w:color="auto"/>
        <w:bottom w:val="none" w:sz="0" w:space="0" w:color="auto"/>
        <w:right w:val="none" w:sz="0" w:space="0" w:color="auto"/>
      </w:divBdr>
    </w:div>
    <w:div w:id="1215577330">
      <w:bodyDiv w:val="1"/>
      <w:marLeft w:val="0"/>
      <w:marRight w:val="0"/>
      <w:marTop w:val="0"/>
      <w:marBottom w:val="0"/>
      <w:divBdr>
        <w:top w:val="none" w:sz="0" w:space="0" w:color="auto"/>
        <w:left w:val="none" w:sz="0" w:space="0" w:color="auto"/>
        <w:bottom w:val="none" w:sz="0" w:space="0" w:color="auto"/>
        <w:right w:val="none" w:sz="0" w:space="0" w:color="auto"/>
      </w:divBdr>
    </w:div>
    <w:div w:id="1290820824">
      <w:bodyDiv w:val="1"/>
      <w:marLeft w:val="0"/>
      <w:marRight w:val="0"/>
      <w:marTop w:val="0"/>
      <w:marBottom w:val="0"/>
      <w:divBdr>
        <w:top w:val="none" w:sz="0" w:space="0" w:color="auto"/>
        <w:left w:val="none" w:sz="0" w:space="0" w:color="auto"/>
        <w:bottom w:val="none" w:sz="0" w:space="0" w:color="auto"/>
        <w:right w:val="none" w:sz="0" w:space="0" w:color="auto"/>
      </w:divBdr>
    </w:div>
    <w:div w:id="1293950221">
      <w:bodyDiv w:val="1"/>
      <w:marLeft w:val="0"/>
      <w:marRight w:val="0"/>
      <w:marTop w:val="0"/>
      <w:marBottom w:val="0"/>
      <w:divBdr>
        <w:top w:val="none" w:sz="0" w:space="0" w:color="auto"/>
        <w:left w:val="none" w:sz="0" w:space="0" w:color="auto"/>
        <w:bottom w:val="none" w:sz="0" w:space="0" w:color="auto"/>
        <w:right w:val="none" w:sz="0" w:space="0" w:color="auto"/>
      </w:divBdr>
    </w:div>
    <w:div w:id="1364094153">
      <w:bodyDiv w:val="1"/>
      <w:marLeft w:val="0"/>
      <w:marRight w:val="0"/>
      <w:marTop w:val="0"/>
      <w:marBottom w:val="0"/>
      <w:divBdr>
        <w:top w:val="none" w:sz="0" w:space="0" w:color="auto"/>
        <w:left w:val="none" w:sz="0" w:space="0" w:color="auto"/>
        <w:bottom w:val="none" w:sz="0" w:space="0" w:color="auto"/>
        <w:right w:val="none" w:sz="0" w:space="0" w:color="auto"/>
      </w:divBdr>
    </w:div>
    <w:div w:id="1376662434">
      <w:bodyDiv w:val="1"/>
      <w:marLeft w:val="0"/>
      <w:marRight w:val="0"/>
      <w:marTop w:val="0"/>
      <w:marBottom w:val="0"/>
      <w:divBdr>
        <w:top w:val="none" w:sz="0" w:space="0" w:color="auto"/>
        <w:left w:val="none" w:sz="0" w:space="0" w:color="auto"/>
        <w:bottom w:val="none" w:sz="0" w:space="0" w:color="auto"/>
        <w:right w:val="none" w:sz="0" w:space="0" w:color="auto"/>
      </w:divBdr>
    </w:div>
    <w:div w:id="1390612803">
      <w:bodyDiv w:val="1"/>
      <w:marLeft w:val="0"/>
      <w:marRight w:val="0"/>
      <w:marTop w:val="0"/>
      <w:marBottom w:val="0"/>
      <w:divBdr>
        <w:top w:val="none" w:sz="0" w:space="0" w:color="auto"/>
        <w:left w:val="none" w:sz="0" w:space="0" w:color="auto"/>
        <w:bottom w:val="none" w:sz="0" w:space="0" w:color="auto"/>
        <w:right w:val="none" w:sz="0" w:space="0" w:color="auto"/>
      </w:divBdr>
    </w:div>
    <w:div w:id="1431855130">
      <w:bodyDiv w:val="1"/>
      <w:marLeft w:val="0"/>
      <w:marRight w:val="0"/>
      <w:marTop w:val="0"/>
      <w:marBottom w:val="0"/>
      <w:divBdr>
        <w:top w:val="none" w:sz="0" w:space="0" w:color="auto"/>
        <w:left w:val="none" w:sz="0" w:space="0" w:color="auto"/>
        <w:bottom w:val="none" w:sz="0" w:space="0" w:color="auto"/>
        <w:right w:val="none" w:sz="0" w:space="0" w:color="auto"/>
      </w:divBdr>
    </w:div>
    <w:div w:id="1451968850">
      <w:bodyDiv w:val="1"/>
      <w:marLeft w:val="0"/>
      <w:marRight w:val="0"/>
      <w:marTop w:val="0"/>
      <w:marBottom w:val="0"/>
      <w:divBdr>
        <w:top w:val="none" w:sz="0" w:space="0" w:color="auto"/>
        <w:left w:val="none" w:sz="0" w:space="0" w:color="auto"/>
        <w:bottom w:val="none" w:sz="0" w:space="0" w:color="auto"/>
        <w:right w:val="none" w:sz="0" w:space="0" w:color="auto"/>
      </w:divBdr>
    </w:div>
    <w:div w:id="1456949862">
      <w:bodyDiv w:val="1"/>
      <w:marLeft w:val="0"/>
      <w:marRight w:val="0"/>
      <w:marTop w:val="0"/>
      <w:marBottom w:val="0"/>
      <w:divBdr>
        <w:top w:val="none" w:sz="0" w:space="0" w:color="auto"/>
        <w:left w:val="none" w:sz="0" w:space="0" w:color="auto"/>
        <w:bottom w:val="none" w:sz="0" w:space="0" w:color="auto"/>
        <w:right w:val="none" w:sz="0" w:space="0" w:color="auto"/>
      </w:divBdr>
    </w:div>
    <w:div w:id="1468859042">
      <w:bodyDiv w:val="1"/>
      <w:marLeft w:val="0"/>
      <w:marRight w:val="0"/>
      <w:marTop w:val="0"/>
      <w:marBottom w:val="0"/>
      <w:divBdr>
        <w:top w:val="none" w:sz="0" w:space="0" w:color="auto"/>
        <w:left w:val="none" w:sz="0" w:space="0" w:color="auto"/>
        <w:bottom w:val="none" w:sz="0" w:space="0" w:color="auto"/>
        <w:right w:val="none" w:sz="0" w:space="0" w:color="auto"/>
      </w:divBdr>
    </w:div>
    <w:div w:id="1518034893">
      <w:bodyDiv w:val="1"/>
      <w:marLeft w:val="0"/>
      <w:marRight w:val="0"/>
      <w:marTop w:val="0"/>
      <w:marBottom w:val="0"/>
      <w:divBdr>
        <w:top w:val="none" w:sz="0" w:space="0" w:color="auto"/>
        <w:left w:val="none" w:sz="0" w:space="0" w:color="auto"/>
        <w:bottom w:val="none" w:sz="0" w:space="0" w:color="auto"/>
        <w:right w:val="none" w:sz="0" w:space="0" w:color="auto"/>
      </w:divBdr>
    </w:div>
    <w:div w:id="1528062435">
      <w:bodyDiv w:val="1"/>
      <w:marLeft w:val="0"/>
      <w:marRight w:val="0"/>
      <w:marTop w:val="0"/>
      <w:marBottom w:val="0"/>
      <w:divBdr>
        <w:top w:val="none" w:sz="0" w:space="0" w:color="auto"/>
        <w:left w:val="none" w:sz="0" w:space="0" w:color="auto"/>
        <w:bottom w:val="none" w:sz="0" w:space="0" w:color="auto"/>
        <w:right w:val="none" w:sz="0" w:space="0" w:color="auto"/>
      </w:divBdr>
    </w:div>
    <w:div w:id="1551728451">
      <w:bodyDiv w:val="1"/>
      <w:marLeft w:val="0"/>
      <w:marRight w:val="0"/>
      <w:marTop w:val="0"/>
      <w:marBottom w:val="0"/>
      <w:divBdr>
        <w:top w:val="none" w:sz="0" w:space="0" w:color="auto"/>
        <w:left w:val="none" w:sz="0" w:space="0" w:color="auto"/>
        <w:bottom w:val="none" w:sz="0" w:space="0" w:color="auto"/>
        <w:right w:val="none" w:sz="0" w:space="0" w:color="auto"/>
      </w:divBdr>
    </w:div>
    <w:div w:id="1559516329">
      <w:bodyDiv w:val="1"/>
      <w:marLeft w:val="0"/>
      <w:marRight w:val="0"/>
      <w:marTop w:val="0"/>
      <w:marBottom w:val="0"/>
      <w:divBdr>
        <w:top w:val="none" w:sz="0" w:space="0" w:color="auto"/>
        <w:left w:val="none" w:sz="0" w:space="0" w:color="auto"/>
        <w:bottom w:val="none" w:sz="0" w:space="0" w:color="auto"/>
        <w:right w:val="none" w:sz="0" w:space="0" w:color="auto"/>
      </w:divBdr>
    </w:div>
    <w:div w:id="1566379470">
      <w:bodyDiv w:val="1"/>
      <w:marLeft w:val="0"/>
      <w:marRight w:val="0"/>
      <w:marTop w:val="0"/>
      <w:marBottom w:val="0"/>
      <w:divBdr>
        <w:top w:val="none" w:sz="0" w:space="0" w:color="auto"/>
        <w:left w:val="none" w:sz="0" w:space="0" w:color="auto"/>
        <w:bottom w:val="none" w:sz="0" w:space="0" w:color="auto"/>
        <w:right w:val="none" w:sz="0" w:space="0" w:color="auto"/>
      </w:divBdr>
    </w:div>
    <w:div w:id="1574779625">
      <w:bodyDiv w:val="1"/>
      <w:marLeft w:val="0"/>
      <w:marRight w:val="0"/>
      <w:marTop w:val="0"/>
      <w:marBottom w:val="0"/>
      <w:divBdr>
        <w:top w:val="none" w:sz="0" w:space="0" w:color="auto"/>
        <w:left w:val="none" w:sz="0" w:space="0" w:color="auto"/>
        <w:bottom w:val="none" w:sz="0" w:space="0" w:color="auto"/>
        <w:right w:val="none" w:sz="0" w:space="0" w:color="auto"/>
      </w:divBdr>
    </w:div>
    <w:div w:id="1574969520">
      <w:bodyDiv w:val="1"/>
      <w:marLeft w:val="0"/>
      <w:marRight w:val="0"/>
      <w:marTop w:val="0"/>
      <w:marBottom w:val="0"/>
      <w:divBdr>
        <w:top w:val="none" w:sz="0" w:space="0" w:color="auto"/>
        <w:left w:val="none" w:sz="0" w:space="0" w:color="auto"/>
        <w:bottom w:val="none" w:sz="0" w:space="0" w:color="auto"/>
        <w:right w:val="none" w:sz="0" w:space="0" w:color="auto"/>
      </w:divBdr>
    </w:div>
    <w:div w:id="1586763294">
      <w:bodyDiv w:val="1"/>
      <w:marLeft w:val="0"/>
      <w:marRight w:val="0"/>
      <w:marTop w:val="0"/>
      <w:marBottom w:val="0"/>
      <w:divBdr>
        <w:top w:val="none" w:sz="0" w:space="0" w:color="auto"/>
        <w:left w:val="none" w:sz="0" w:space="0" w:color="auto"/>
        <w:bottom w:val="none" w:sz="0" w:space="0" w:color="auto"/>
        <w:right w:val="none" w:sz="0" w:space="0" w:color="auto"/>
      </w:divBdr>
    </w:div>
    <w:div w:id="1589851765">
      <w:bodyDiv w:val="1"/>
      <w:marLeft w:val="0"/>
      <w:marRight w:val="0"/>
      <w:marTop w:val="0"/>
      <w:marBottom w:val="0"/>
      <w:divBdr>
        <w:top w:val="none" w:sz="0" w:space="0" w:color="auto"/>
        <w:left w:val="none" w:sz="0" w:space="0" w:color="auto"/>
        <w:bottom w:val="none" w:sz="0" w:space="0" w:color="auto"/>
        <w:right w:val="none" w:sz="0" w:space="0" w:color="auto"/>
      </w:divBdr>
    </w:div>
    <w:div w:id="1596092106">
      <w:bodyDiv w:val="1"/>
      <w:marLeft w:val="0"/>
      <w:marRight w:val="0"/>
      <w:marTop w:val="0"/>
      <w:marBottom w:val="0"/>
      <w:divBdr>
        <w:top w:val="none" w:sz="0" w:space="0" w:color="auto"/>
        <w:left w:val="none" w:sz="0" w:space="0" w:color="auto"/>
        <w:bottom w:val="none" w:sz="0" w:space="0" w:color="auto"/>
        <w:right w:val="none" w:sz="0" w:space="0" w:color="auto"/>
      </w:divBdr>
    </w:div>
    <w:div w:id="1599362452">
      <w:bodyDiv w:val="1"/>
      <w:marLeft w:val="0"/>
      <w:marRight w:val="0"/>
      <w:marTop w:val="0"/>
      <w:marBottom w:val="0"/>
      <w:divBdr>
        <w:top w:val="none" w:sz="0" w:space="0" w:color="auto"/>
        <w:left w:val="none" w:sz="0" w:space="0" w:color="auto"/>
        <w:bottom w:val="none" w:sz="0" w:space="0" w:color="auto"/>
        <w:right w:val="none" w:sz="0" w:space="0" w:color="auto"/>
      </w:divBdr>
    </w:div>
    <w:div w:id="1605335988">
      <w:bodyDiv w:val="1"/>
      <w:marLeft w:val="0"/>
      <w:marRight w:val="0"/>
      <w:marTop w:val="0"/>
      <w:marBottom w:val="0"/>
      <w:divBdr>
        <w:top w:val="none" w:sz="0" w:space="0" w:color="auto"/>
        <w:left w:val="none" w:sz="0" w:space="0" w:color="auto"/>
        <w:bottom w:val="none" w:sz="0" w:space="0" w:color="auto"/>
        <w:right w:val="none" w:sz="0" w:space="0" w:color="auto"/>
      </w:divBdr>
    </w:div>
    <w:div w:id="1645157941">
      <w:bodyDiv w:val="1"/>
      <w:marLeft w:val="0"/>
      <w:marRight w:val="0"/>
      <w:marTop w:val="0"/>
      <w:marBottom w:val="0"/>
      <w:divBdr>
        <w:top w:val="none" w:sz="0" w:space="0" w:color="auto"/>
        <w:left w:val="none" w:sz="0" w:space="0" w:color="auto"/>
        <w:bottom w:val="none" w:sz="0" w:space="0" w:color="auto"/>
        <w:right w:val="none" w:sz="0" w:space="0" w:color="auto"/>
      </w:divBdr>
    </w:div>
    <w:div w:id="1702853619">
      <w:bodyDiv w:val="1"/>
      <w:marLeft w:val="0"/>
      <w:marRight w:val="0"/>
      <w:marTop w:val="0"/>
      <w:marBottom w:val="0"/>
      <w:divBdr>
        <w:top w:val="none" w:sz="0" w:space="0" w:color="auto"/>
        <w:left w:val="none" w:sz="0" w:space="0" w:color="auto"/>
        <w:bottom w:val="none" w:sz="0" w:space="0" w:color="auto"/>
        <w:right w:val="none" w:sz="0" w:space="0" w:color="auto"/>
      </w:divBdr>
    </w:div>
    <w:div w:id="1711998734">
      <w:bodyDiv w:val="1"/>
      <w:marLeft w:val="0"/>
      <w:marRight w:val="0"/>
      <w:marTop w:val="0"/>
      <w:marBottom w:val="0"/>
      <w:divBdr>
        <w:top w:val="none" w:sz="0" w:space="0" w:color="auto"/>
        <w:left w:val="none" w:sz="0" w:space="0" w:color="auto"/>
        <w:bottom w:val="none" w:sz="0" w:space="0" w:color="auto"/>
        <w:right w:val="none" w:sz="0" w:space="0" w:color="auto"/>
      </w:divBdr>
    </w:div>
    <w:div w:id="1718042654">
      <w:bodyDiv w:val="1"/>
      <w:marLeft w:val="0"/>
      <w:marRight w:val="0"/>
      <w:marTop w:val="0"/>
      <w:marBottom w:val="0"/>
      <w:divBdr>
        <w:top w:val="none" w:sz="0" w:space="0" w:color="auto"/>
        <w:left w:val="none" w:sz="0" w:space="0" w:color="auto"/>
        <w:bottom w:val="none" w:sz="0" w:space="0" w:color="auto"/>
        <w:right w:val="none" w:sz="0" w:space="0" w:color="auto"/>
      </w:divBdr>
    </w:div>
    <w:div w:id="1735935217">
      <w:bodyDiv w:val="1"/>
      <w:marLeft w:val="0"/>
      <w:marRight w:val="0"/>
      <w:marTop w:val="0"/>
      <w:marBottom w:val="0"/>
      <w:divBdr>
        <w:top w:val="none" w:sz="0" w:space="0" w:color="auto"/>
        <w:left w:val="none" w:sz="0" w:space="0" w:color="auto"/>
        <w:bottom w:val="none" w:sz="0" w:space="0" w:color="auto"/>
        <w:right w:val="none" w:sz="0" w:space="0" w:color="auto"/>
      </w:divBdr>
    </w:div>
    <w:div w:id="1766219282">
      <w:bodyDiv w:val="1"/>
      <w:marLeft w:val="0"/>
      <w:marRight w:val="0"/>
      <w:marTop w:val="0"/>
      <w:marBottom w:val="0"/>
      <w:divBdr>
        <w:top w:val="none" w:sz="0" w:space="0" w:color="auto"/>
        <w:left w:val="none" w:sz="0" w:space="0" w:color="auto"/>
        <w:bottom w:val="none" w:sz="0" w:space="0" w:color="auto"/>
        <w:right w:val="none" w:sz="0" w:space="0" w:color="auto"/>
      </w:divBdr>
    </w:div>
    <w:div w:id="1769352018">
      <w:bodyDiv w:val="1"/>
      <w:marLeft w:val="0"/>
      <w:marRight w:val="0"/>
      <w:marTop w:val="0"/>
      <w:marBottom w:val="0"/>
      <w:divBdr>
        <w:top w:val="none" w:sz="0" w:space="0" w:color="auto"/>
        <w:left w:val="none" w:sz="0" w:space="0" w:color="auto"/>
        <w:bottom w:val="none" w:sz="0" w:space="0" w:color="auto"/>
        <w:right w:val="none" w:sz="0" w:space="0" w:color="auto"/>
      </w:divBdr>
    </w:div>
    <w:div w:id="1781872201">
      <w:bodyDiv w:val="1"/>
      <w:marLeft w:val="0"/>
      <w:marRight w:val="0"/>
      <w:marTop w:val="0"/>
      <w:marBottom w:val="0"/>
      <w:divBdr>
        <w:top w:val="none" w:sz="0" w:space="0" w:color="auto"/>
        <w:left w:val="none" w:sz="0" w:space="0" w:color="auto"/>
        <w:bottom w:val="none" w:sz="0" w:space="0" w:color="auto"/>
        <w:right w:val="none" w:sz="0" w:space="0" w:color="auto"/>
      </w:divBdr>
    </w:div>
    <w:div w:id="1783567438">
      <w:bodyDiv w:val="1"/>
      <w:marLeft w:val="0"/>
      <w:marRight w:val="0"/>
      <w:marTop w:val="0"/>
      <w:marBottom w:val="0"/>
      <w:divBdr>
        <w:top w:val="none" w:sz="0" w:space="0" w:color="auto"/>
        <w:left w:val="none" w:sz="0" w:space="0" w:color="auto"/>
        <w:bottom w:val="none" w:sz="0" w:space="0" w:color="auto"/>
        <w:right w:val="none" w:sz="0" w:space="0" w:color="auto"/>
      </w:divBdr>
    </w:div>
    <w:div w:id="1811819504">
      <w:bodyDiv w:val="1"/>
      <w:marLeft w:val="0"/>
      <w:marRight w:val="0"/>
      <w:marTop w:val="0"/>
      <w:marBottom w:val="0"/>
      <w:divBdr>
        <w:top w:val="none" w:sz="0" w:space="0" w:color="auto"/>
        <w:left w:val="none" w:sz="0" w:space="0" w:color="auto"/>
        <w:bottom w:val="none" w:sz="0" w:space="0" w:color="auto"/>
        <w:right w:val="none" w:sz="0" w:space="0" w:color="auto"/>
      </w:divBdr>
    </w:div>
    <w:div w:id="1830901834">
      <w:bodyDiv w:val="1"/>
      <w:marLeft w:val="0"/>
      <w:marRight w:val="0"/>
      <w:marTop w:val="0"/>
      <w:marBottom w:val="0"/>
      <w:divBdr>
        <w:top w:val="none" w:sz="0" w:space="0" w:color="auto"/>
        <w:left w:val="none" w:sz="0" w:space="0" w:color="auto"/>
        <w:bottom w:val="none" w:sz="0" w:space="0" w:color="auto"/>
        <w:right w:val="none" w:sz="0" w:space="0" w:color="auto"/>
      </w:divBdr>
    </w:div>
    <w:div w:id="1844471114">
      <w:bodyDiv w:val="1"/>
      <w:marLeft w:val="0"/>
      <w:marRight w:val="0"/>
      <w:marTop w:val="0"/>
      <w:marBottom w:val="0"/>
      <w:divBdr>
        <w:top w:val="none" w:sz="0" w:space="0" w:color="auto"/>
        <w:left w:val="none" w:sz="0" w:space="0" w:color="auto"/>
        <w:bottom w:val="none" w:sz="0" w:space="0" w:color="auto"/>
        <w:right w:val="none" w:sz="0" w:space="0" w:color="auto"/>
      </w:divBdr>
    </w:div>
    <w:div w:id="1858038664">
      <w:bodyDiv w:val="1"/>
      <w:marLeft w:val="0"/>
      <w:marRight w:val="0"/>
      <w:marTop w:val="0"/>
      <w:marBottom w:val="0"/>
      <w:divBdr>
        <w:top w:val="none" w:sz="0" w:space="0" w:color="auto"/>
        <w:left w:val="none" w:sz="0" w:space="0" w:color="auto"/>
        <w:bottom w:val="none" w:sz="0" w:space="0" w:color="auto"/>
        <w:right w:val="none" w:sz="0" w:space="0" w:color="auto"/>
      </w:divBdr>
    </w:div>
    <w:div w:id="1887255513">
      <w:bodyDiv w:val="1"/>
      <w:marLeft w:val="0"/>
      <w:marRight w:val="0"/>
      <w:marTop w:val="0"/>
      <w:marBottom w:val="0"/>
      <w:divBdr>
        <w:top w:val="none" w:sz="0" w:space="0" w:color="auto"/>
        <w:left w:val="none" w:sz="0" w:space="0" w:color="auto"/>
        <w:bottom w:val="none" w:sz="0" w:space="0" w:color="auto"/>
        <w:right w:val="none" w:sz="0" w:space="0" w:color="auto"/>
      </w:divBdr>
    </w:div>
    <w:div w:id="1901557381">
      <w:bodyDiv w:val="1"/>
      <w:marLeft w:val="0"/>
      <w:marRight w:val="0"/>
      <w:marTop w:val="0"/>
      <w:marBottom w:val="0"/>
      <w:divBdr>
        <w:top w:val="none" w:sz="0" w:space="0" w:color="auto"/>
        <w:left w:val="none" w:sz="0" w:space="0" w:color="auto"/>
        <w:bottom w:val="none" w:sz="0" w:space="0" w:color="auto"/>
        <w:right w:val="none" w:sz="0" w:space="0" w:color="auto"/>
      </w:divBdr>
    </w:div>
    <w:div w:id="1915235473">
      <w:bodyDiv w:val="1"/>
      <w:marLeft w:val="0"/>
      <w:marRight w:val="0"/>
      <w:marTop w:val="0"/>
      <w:marBottom w:val="0"/>
      <w:divBdr>
        <w:top w:val="none" w:sz="0" w:space="0" w:color="auto"/>
        <w:left w:val="none" w:sz="0" w:space="0" w:color="auto"/>
        <w:bottom w:val="none" w:sz="0" w:space="0" w:color="auto"/>
        <w:right w:val="none" w:sz="0" w:space="0" w:color="auto"/>
      </w:divBdr>
    </w:div>
    <w:div w:id="1927496912">
      <w:bodyDiv w:val="1"/>
      <w:marLeft w:val="0"/>
      <w:marRight w:val="0"/>
      <w:marTop w:val="0"/>
      <w:marBottom w:val="0"/>
      <w:divBdr>
        <w:top w:val="none" w:sz="0" w:space="0" w:color="auto"/>
        <w:left w:val="none" w:sz="0" w:space="0" w:color="auto"/>
        <w:bottom w:val="none" w:sz="0" w:space="0" w:color="auto"/>
        <w:right w:val="none" w:sz="0" w:space="0" w:color="auto"/>
      </w:divBdr>
    </w:div>
    <w:div w:id="1934236684">
      <w:bodyDiv w:val="1"/>
      <w:marLeft w:val="0"/>
      <w:marRight w:val="0"/>
      <w:marTop w:val="0"/>
      <w:marBottom w:val="0"/>
      <w:divBdr>
        <w:top w:val="none" w:sz="0" w:space="0" w:color="auto"/>
        <w:left w:val="none" w:sz="0" w:space="0" w:color="auto"/>
        <w:bottom w:val="none" w:sz="0" w:space="0" w:color="auto"/>
        <w:right w:val="none" w:sz="0" w:space="0" w:color="auto"/>
      </w:divBdr>
    </w:div>
    <w:div w:id="1937866720">
      <w:bodyDiv w:val="1"/>
      <w:marLeft w:val="0"/>
      <w:marRight w:val="0"/>
      <w:marTop w:val="0"/>
      <w:marBottom w:val="0"/>
      <w:divBdr>
        <w:top w:val="none" w:sz="0" w:space="0" w:color="auto"/>
        <w:left w:val="none" w:sz="0" w:space="0" w:color="auto"/>
        <w:bottom w:val="none" w:sz="0" w:space="0" w:color="auto"/>
        <w:right w:val="none" w:sz="0" w:space="0" w:color="auto"/>
      </w:divBdr>
    </w:div>
    <w:div w:id="1949583344">
      <w:bodyDiv w:val="1"/>
      <w:marLeft w:val="0"/>
      <w:marRight w:val="0"/>
      <w:marTop w:val="0"/>
      <w:marBottom w:val="0"/>
      <w:divBdr>
        <w:top w:val="none" w:sz="0" w:space="0" w:color="auto"/>
        <w:left w:val="none" w:sz="0" w:space="0" w:color="auto"/>
        <w:bottom w:val="none" w:sz="0" w:space="0" w:color="auto"/>
        <w:right w:val="none" w:sz="0" w:space="0" w:color="auto"/>
      </w:divBdr>
    </w:div>
    <w:div w:id="1970238606">
      <w:bodyDiv w:val="1"/>
      <w:marLeft w:val="0"/>
      <w:marRight w:val="0"/>
      <w:marTop w:val="0"/>
      <w:marBottom w:val="0"/>
      <w:divBdr>
        <w:top w:val="none" w:sz="0" w:space="0" w:color="auto"/>
        <w:left w:val="none" w:sz="0" w:space="0" w:color="auto"/>
        <w:bottom w:val="none" w:sz="0" w:space="0" w:color="auto"/>
        <w:right w:val="none" w:sz="0" w:space="0" w:color="auto"/>
      </w:divBdr>
    </w:div>
    <w:div w:id="1978291384">
      <w:bodyDiv w:val="1"/>
      <w:marLeft w:val="0"/>
      <w:marRight w:val="0"/>
      <w:marTop w:val="0"/>
      <w:marBottom w:val="0"/>
      <w:divBdr>
        <w:top w:val="none" w:sz="0" w:space="0" w:color="auto"/>
        <w:left w:val="none" w:sz="0" w:space="0" w:color="auto"/>
        <w:bottom w:val="none" w:sz="0" w:space="0" w:color="auto"/>
        <w:right w:val="none" w:sz="0" w:space="0" w:color="auto"/>
      </w:divBdr>
    </w:div>
    <w:div w:id="1992245355">
      <w:bodyDiv w:val="1"/>
      <w:marLeft w:val="0"/>
      <w:marRight w:val="0"/>
      <w:marTop w:val="0"/>
      <w:marBottom w:val="0"/>
      <w:divBdr>
        <w:top w:val="none" w:sz="0" w:space="0" w:color="auto"/>
        <w:left w:val="none" w:sz="0" w:space="0" w:color="auto"/>
        <w:bottom w:val="none" w:sz="0" w:space="0" w:color="auto"/>
        <w:right w:val="none" w:sz="0" w:space="0" w:color="auto"/>
      </w:divBdr>
    </w:div>
    <w:div w:id="2019772099">
      <w:bodyDiv w:val="1"/>
      <w:marLeft w:val="0"/>
      <w:marRight w:val="0"/>
      <w:marTop w:val="0"/>
      <w:marBottom w:val="0"/>
      <w:divBdr>
        <w:top w:val="none" w:sz="0" w:space="0" w:color="auto"/>
        <w:left w:val="none" w:sz="0" w:space="0" w:color="auto"/>
        <w:bottom w:val="none" w:sz="0" w:space="0" w:color="auto"/>
        <w:right w:val="none" w:sz="0" w:space="0" w:color="auto"/>
      </w:divBdr>
    </w:div>
    <w:div w:id="2036809561">
      <w:bodyDiv w:val="1"/>
      <w:marLeft w:val="0"/>
      <w:marRight w:val="0"/>
      <w:marTop w:val="0"/>
      <w:marBottom w:val="0"/>
      <w:divBdr>
        <w:top w:val="none" w:sz="0" w:space="0" w:color="auto"/>
        <w:left w:val="none" w:sz="0" w:space="0" w:color="auto"/>
        <w:bottom w:val="none" w:sz="0" w:space="0" w:color="auto"/>
        <w:right w:val="none" w:sz="0" w:space="0" w:color="auto"/>
      </w:divBdr>
    </w:div>
    <w:div w:id="2037660546">
      <w:bodyDiv w:val="1"/>
      <w:marLeft w:val="0"/>
      <w:marRight w:val="0"/>
      <w:marTop w:val="0"/>
      <w:marBottom w:val="0"/>
      <w:divBdr>
        <w:top w:val="none" w:sz="0" w:space="0" w:color="auto"/>
        <w:left w:val="none" w:sz="0" w:space="0" w:color="auto"/>
        <w:bottom w:val="none" w:sz="0" w:space="0" w:color="auto"/>
        <w:right w:val="none" w:sz="0" w:space="0" w:color="auto"/>
      </w:divBdr>
    </w:div>
    <w:div w:id="2039744214">
      <w:bodyDiv w:val="1"/>
      <w:marLeft w:val="0"/>
      <w:marRight w:val="0"/>
      <w:marTop w:val="0"/>
      <w:marBottom w:val="0"/>
      <w:divBdr>
        <w:top w:val="none" w:sz="0" w:space="0" w:color="auto"/>
        <w:left w:val="none" w:sz="0" w:space="0" w:color="auto"/>
        <w:bottom w:val="none" w:sz="0" w:space="0" w:color="auto"/>
        <w:right w:val="none" w:sz="0" w:space="0" w:color="auto"/>
      </w:divBdr>
    </w:div>
    <w:div w:id="2043088044">
      <w:bodyDiv w:val="1"/>
      <w:marLeft w:val="0"/>
      <w:marRight w:val="0"/>
      <w:marTop w:val="0"/>
      <w:marBottom w:val="0"/>
      <w:divBdr>
        <w:top w:val="none" w:sz="0" w:space="0" w:color="auto"/>
        <w:left w:val="none" w:sz="0" w:space="0" w:color="auto"/>
        <w:bottom w:val="none" w:sz="0" w:space="0" w:color="auto"/>
        <w:right w:val="none" w:sz="0" w:space="0" w:color="auto"/>
      </w:divBdr>
    </w:div>
    <w:div w:id="2050373586">
      <w:bodyDiv w:val="1"/>
      <w:marLeft w:val="0"/>
      <w:marRight w:val="0"/>
      <w:marTop w:val="0"/>
      <w:marBottom w:val="0"/>
      <w:divBdr>
        <w:top w:val="none" w:sz="0" w:space="0" w:color="auto"/>
        <w:left w:val="none" w:sz="0" w:space="0" w:color="auto"/>
        <w:bottom w:val="none" w:sz="0" w:space="0" w:color="auto"/>
        <w:right w:val="none" w:sz="0" w:space="0" w:color="auto"/>
      </w:divBdr>
    </w:div>
    <w:div w:id="2061123770">
      <w:bodyDiv w:val="1"/>
      <w:marLeft w:val="0"/>
      <w:marRight w:val="0"/>
      <w:marTop w:val="0"/>
      <w:marBottom w:val="0"/>
      <w:divBdr>
        <w:top w:val="none" w:sz="0" w:space="0" w:color="auto"/>
        <w:left w:val="none" w:sz="0" w:space="0" w:color="auto"/>
        <w:bottom w:val="none" w:sz="0" w:space="0" w:color="auto"/>
        <w:right w:val="none" w:sz="0" w:space="0" w:color="auto"/>
      </w:divBdr>
    </w:div>
    <w:div w:id="2095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fama.org" TargetMode="External"/><Relationship Id="rId1" Type="http://schemas.openxmlformats.org/officeDocument/2006/relationships/hyperlink" Target="mailto:info@efama.org"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0D65-FC37-4468-BE10-861A61BB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4735</Words>
  <Characters>24721</Characters>
  <Application>Microsoft Office Word</Application>
  <DocSecurity>0</DocSecurity>
  <Lines>449</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Stepnitzka</dc:creator>
  <cp:lastModifiedBy>Isabelle Van Acker</cp:lastModifiedBy>
  <cp:revision>4</cp:revision>
  <cp:lastPrinted>2015-12-18T09:21:00Z</cp:lastPrinted>
  <dcterms:created xsi:type="dcterms:W3CDTF">2016-01-25T15:51:00Z</dcterms:created>
  <dcterms:modified xsi:type="dcterms:W3CDTF">2016-01-25T15:56:00Z</dcterms:modified>
</cp:coreProperties>
</file>