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bookmarkStart w:id="0" w:name="_GoBack"/>
            <w:bookmarkEnd w:id="0"/>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D43913" w:rsidRPr="001D79C0" w:rsidRDefault="00D43913" w:rsidP="00D43913">
      <w:pPr>
        <w:autoSpaceDE w:val="0"/>
        <w:autoSpaceDN w:val="0"/>
        <w:adjustRightInd w:val="0"/>
        <w:rPr>
          <w:rFonts w:ascii="Arial Narrow" w:hAnsi="Arial Narrow" w:cs="Arial Narrow"/>
          <w:szCs w:val="20"/>
        </w:rPr>
      </w:pPr>
      <w:permStart w:id="0" w:edGrp="everyone"/>
      <w:r w:rsidRPr="001D79C0">
        <w:rPr>
          <w:rFonts w:ascii="Arial Narrow" w:hAnsi="Arial Narrow" w:cs="Arial Narrow"/>
          <w:szCs w:val="20"/>
        </w:rPr>
        <w:t>We welcome this further opportunity to comment on the ESAs’ Joint Consultation paper on Draft Regulatory Technical Standards (RTS) for the PRIIPs Key Information Documents (KIDs). We agree with the overall goal to ensure risks, investment performance and costs are covered within the KID across the multitude of products in a way that provides transparency to assist retail inve</w:t>
      </w:r>
      <w:r w:rsidRPr="001D79C0">
        <w:rPr>
          <w:rFonts w:ascii="Arial Narrow" w:hAnsi="Arial Narrow" w:cs="Arial Narrow"/>
          <w:szCs w:val="20"/>
        </w:rPr>
        <w:t>s</w:t>
      </w:r>
      <w:r w:rsidRPr="001D79C0">
        <w:rPr>
          <w:rFonts w:ascii="Arial Narrow" w:hAnsi="Arial Narrow" w:cs="Arial Narrow"/>
          <w:szCs w:val="20"/>
        </w:rPr>
        <w:t xml:space="preserve">tors to make the right investment decision. Before answering the specific questions raised for consultation purposes, we would like to highlight some further aspects of relevance for the overall PRIIPs framework and raise some serious implementation challenges. </w:t>
      </w:r>
    </w:p>
    <w:p w:rsidR="00D43913" w:rsidRPr="001D79C0" w:rsidRDefault="00D43913" w:rsidP="00D43913">
      <w:pPr>
        <w:autoSpaceDE w:val="0"/>
        <w:autoSpaceDN w:val="0"/>
        <w:adjustRightInd w:val="0"/>
        <w:rPr>
          <w:rFonts w:ascii="Arial Narrow" w:hAnsi="Arial Narrow" w:cs="Arial Narrow"/>
          <w:szCs w:val="20"/>
        </w:rPr>
      </w:pPr>
    </w:p>
    <w:p w:rsidR="00D43913" w:rsidRPr="001D79C0" w:rsidRDefault="00D43913" w:rsidP="00D43913">
      <w:pPr>
        <w:autoSpaceDE w:val="0"/>
        <w:autoSpaceDN w:val="0"/>
        <w:adjustRightInd w:val="0"/>
        <w:rPr>
          <w:rFonts w:ascii="Arial Narrow" w:hAnsi="Arial Narrow" w:cs="Arial Narrow"/>
          <w:szCs w:val="20"/>
        </w:rPr>
      </w:pPr>
      <w:r w:rsidRPr="001D79C0">
        <w:rPr>
          <w:rFonts w:ascii="Arial Narrow" w:hAnsi="Arial Narrow" w:cs="Arial Narrow"/>
          <w:szCs w:val="20"/>
        </w:rPr>
        <w:t>Developing the methodology underpinning the presentation of risk and reward and the calculation of costs is technically very challenging, as shown by the ongoing contentious discussions among both the industry and the ESA members. Therefore, we provide detailed comments hereafter to help ensure consumers are able to make the best possible investment decisions.</w:t>
      </w:r>
      <w:r w:rsidRPr="001D79C0" w:rsidDel="00D85114">
        <w:rPr>
          <w:rFonts w:ascii="Arial Narrow" w:hAnsi="Arial Narrow" w:cs="Arial Narrow"/>
          <w:szCs w:val="20"/>
        </w:rPr>
        <w:t xml:space="preserve"> </w:t>
      </w:r>
    </w:p>
    <w:p w:rsidR="00D43913" w:rsidRPr="001D79C0" w:rsidRDefault="00D43913" w:rsidP="00D43913">
      <w:pPr>
        <w:autoSpaceDE w:val="0"/>
        <w:autoSpaceDN w:val="0"/>
        <w:adjustRightInd w:val="0"/>
        <w:rPr>
          <w:rFonts w:ascii="Arial Narrow" w:hAnsi="Arial Narrow" w:cs="Arial Narrow"/>
          <w:szCs w:val="20"/>
        </w:rPr>
      </w:pPr>
      <w:r w:rsidRPr="001D79C0">
        <w:rPr>
          <w:rFonts w:ascii="Arial Narrow" w:hAnsi="Arial Narrow" w:cs="Arial Narrow"/>
          <w:szCs w:val="20"/>
        </w:rPr>
        <w:t>Please do not hesitate to get in touch if you want to discuss the contents of this response in more detail.</w:t>
      </w:r>
    </w:p>
    <w:p w:rsidR="00D43913" w:rsidRPr="001D79C0" w:rsidRDefault="00D43913" w:rsidP="00D43913">
      <w:pPr>
        <w:autoSpaceDE w:val="0"/>
        <w:autoSpaceDN w:val="0"/>
        <w:adjustRightInd w:val="0"/>
        <w:rPr>
          <w:rFonts w:ascii="Arial Narrow" w:hAnsi="Arial Narrow" w:cs="Arial Narrow"/>
          <w:szCs w:val="20"/>
        </w:rPr>
      </w:pPr>
    </w:p>
    <w:p w:rsidR="00D43913" w:rsidRPr="001D79C0" w:rsidRDefault="00D43913" w:rsidP="00D43913">
      <w:pPr>
        <w:autoSpaceDE w:val="0"/>
        <w:autoSpaceDN w:val="0"/>
        <w:adjustRightInd w:val="0"/>
        <w:jc w:val="center"/>
        <w:rPr>
          <w:rFonts w:ascii="Arial Narrow" w:hAnsi="Arial Narrow" w:cs="Arial Narrow"/>
          <w:b/>
          <w:szCs w:val="20"/>
        </w:rPr>
      </w:pPr>
    </w:p>
    <w:p w:rsidR="00D43913" w:rsidRPr="001D79C0" w:rsidRDefault="00D43913" w:rsidP="004A06E5">
      <w:pPr>
        <w:autoSpaceDE w:val="0"/>
        <w:autoSpaceDN w:val="0"/>
        <w:adjustRightInd w:val="0"/>
        <w:rPr>
          <w:rFonts w:ascii="Arial Narrow" w:hAnsi="Arial Narrow" w:cs="Arial Narrow"/>
          <w:b/>
          <w:szCs w:val="20"/>
        </w:rPr>
      </w:pPr>
      <w:r w:rsidRPr="001D79C0">
        <w:rPr>
          <w:rFonts w:ascii="Arial Narrow" w:hAnsi="Arial Narrow" w:cs="Arial Narrow"/>
          <w:b/>
          <w:szCs w:val="20"/>
        </w:rPr>
        <w:t>Some general comments in relation to KIDs design</w:t>
      </w: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The proposed mixed qualitative and quantitative approach for the determination of the </w:t>
      </w:r>
      <w:r w:rsidRPr="001D79C0">
        <w:rPr>
          <w:rFonts w:ascii="Arial Narrow" w:hAnsi="Arial Narrow" w:cs="Arial Narrow"/>
          <w:b/>
          <w:szCs w:val="20"/>
        </w:rPr>
        <w:t>risk class</w:t>
      </w:r>
      <w:r w:rsidRPr="001D79C0">
        <w:rPr>
          <w:rFonts w:ascii="Arial Narrow" w:hAnsi="Arial Narrow" w:cs="Arial Narrow"/>
          <w:szCs w:val="20"/>
        </w:rPr>
        <w:t xml:space="preserve"> is problematic. As a first step, products are qualitatively assigned to different risk categories which prevent individual financial products being compared against each other and an overall consistent risk classification. Moreover, the product scope for this qualitative distribution (Category I or Category V PRIIPs) has neither been defined clearly for all product types; in particular, there would have to be a clear statement that the term "derivatives that qualify as a PRIIP" used here, does not include (structured) transferable securities. The quantitative approach then applying - for most products - on the second level largely follows the methodology currently in place for the calculation of the SRRI shown in UCITS KIIDs, which was not amongst the approaches </w:t>
      </w:r>
      <w:proofErr w:type="spellStart"/>
      <w:r w:rsidRPr="001D79C0">
        <w:rPr>
          <w:rFonts w:ascii="Arial Narrow" w:hAnsi="Arial Narrow" w:cs="Arial Narrow"/>
          <w:szCs w:val="20"/>
        </w:rPr>
        <w:t>favored</w:t>
      </w:r>
      <w:proofErr w:type="spellEnd"/>
      <w:r w:rsidRPr="001D79C0">
        <w:rPr>
          <w:rFonts w:ascii="Arial Narrow" w:hAnsi="Arial Narrow" w:cs="Arial Narrow"/>
          <w:szCs w:val="20"/>
        </w:rPr>
        <w:t xml:space="preserve"> by the Expert Group.</w:t>
      </w:r>
    </w:p>
    <w:p w:rsidR="00D43913" w:rsidRPr="001D79C0" w:rsidRDefault="00D43913" w:rsidP="00D43913">
      <w:pPr>
        <w:autoSpaceDE w:val="0"/>
        <w:autoSpaceDN w:val="0"/>
        <w:adjustRightInd w:val="0"/>
        <w:jc w:val="both"/>
        <w:rPr>
          <w:rFonts w:ascii="Arial Narrow" w:hAnsi="Arial Narrow" w:cs="Arial Narrow"/>
          <w:szCs w:val="20"/>
        </w:rPr>
      </w:pP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The methodology to compute the risk indicator for structured product as a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Equivalent Volatility (Category III PRIIPs, p.38 to 40: § 30 to 52) refers to a principal component analysis (PCA) for curves, but the benefits of such PCA are unclear. References to a PCA should be deleted as we believe the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should be simply computed with the actual market parameters and model used to price (and hedge) the product. Using the manufacturer’s market data and model to compute the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of structured product falling under PRIIP Category III, is the only way to ensure consistency between market data and a forward-looking risk indicator.</w:t>
      </w:r>
    </w:p>
    <w:p w:rsidR="00D43913" w:rsidRPr="001D79C0" w:rsidRDefault="00D43913" w:rsidP="00D43913">
      <w:pPr>
        <w:autoSpaceDE w:val="0"/>
        <w:autoSpaceDN w:val="0"/>
        <w:adjustRightInd w:val="0"/>
        <w:jc w:val="both"/>
        <w:rPr>
          <w:rFonts w:ascii="Arial Narrow" w:hAnsi="Arial Narrow" w:cs="Arial Narrow"/>
          <w:szCs w:val="20"/>
        </w:rPr>
      </w:pP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For structured products, while the methodology refers to the SRRI, we note a significant difference in the model used to compute the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The UCITS SRII model is based on Black </w:t>
      </w:r>
      <w:proofErr w:type="spellStart"/>
      <w:r w:rsidRPr="001D79C0">
        <w:rPr>
          <w:rFonts w:ascii="Arial Narrow" w:hAnsi="Arial Narrow" w:cs="Arial Narrow"/>
          <w:szCs w:val="20"/>
        </w:rPr>
        <w:t>Scholes</w:t>
      </w:r>
      <w:proofErr w:type="spellEnd"/>
      <w:r w:rsidRPr="001D79C0">
        <w:rPr>
          <w:rFonts w:ascii="Arial Narrow" w:hAnsi="Arial Narrow" w:cs="Arial Narrow"/>
          <w:szCs w:val="20"/>
        </w:rPr>
        <w:t xml:space="preserve"> while the PRIIPS proposal is a bootstrap of historical returns. This proposed computation method is operationally complex and does not seem to bring a clear advantage over its UCITS equivalent. As a consequence, we would recommend using a Black </w:t>
      </w:r>
      <w:proofErr w:type="spellStart"/>
      <w:r w:rsidRPr="001D79C0">
        <w:rPr>
          <w:rFonts w:ascii="Arial Narrow" w:hAnsi="Arial Narrow" w:cs="Arial Narrow"/>
          <w:szCs w:val="20"/>
        </w:rPr>
        <w:t>Scholes</w:t>
      </w:r>
      <w:proofErr w:type="spellEnd"/>
      <w:r w:rsidRPr="001D79C0">
        <w:rPr>
          <w:rFonts w:ascii="Arial Narrow" w:hAnsi="Arial Narrow" w:cs="Arial Narrow"/>
          <w:szCs w:val="20"/>
        </w:rPr>
        <w:t xml:space="preserve"> model.</w:t>
      </w:r>
    </w:p>
    <w:p w:rsidR="00D43913" w:rsidRPr="001D79C0" w:rsidRDefault="00D43913" w:rsidP="00D43913">
      <w:pPr>
        <w:autoSpaceDE w:val="0"/>
        <w:autoSpaceDN w:val="0"/>
        <w:adjustRightInd w:val="0"/>
        <w:jc w:val="both"/>
        <w:rPr>
          <w:rFonts w:ascii="Arial Narrow" w:hAnsi="Arial Narrow" w:cs="Arial Narrow"/>
          <w:szCs w:val="20"/>
        </w:rPr>
      </w:pPr>
    </w:p>
    <w:p w:rsidR="00D43913"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Moreover, the scaling within this methodology seems to have been taken over from the SRRI approach. For UCITS, this metho</w:t>
      </w:r>
      <w:r w:rsidRPr="001D79C0">
        <w:rPr>
          <w:rFonts w:ascii="Arial Narrow" w:hAnsi="Arial Narrow" w:cs="Arial Narrow"/>
          <w:szCs w:val="20"/>
        </w:rPr>
        <w:t>d</w:t>
      </w:r>
      <w:r w:rsidRPr="001D79C0">
        <w:rPr>
          <w:rFonts w:ascii="Arial Narrow" w:hAnsi="Arial Narrow" w:cs="Arial Narrow"/>
          <w:szCs w:val="20"/>
        </w:rPr>
        <w:t>ology meant that practically all equity funds were assigned to the highest or second highest of the seven risk categories. Exten</w:t>
      </w:r>
      <w:r w:rsidRPr="001D79C0">
        <w:rPr>
          <w:rFonts w:ascii="Arial Narrow" w:hAnsi="Arial Narrow" w:cs="Arial Narrow"/>
          <w:szCs w:val="20"/>
        </w:rPr>
        <w:t>d</w:t>
      </w:r>
      <w:r w:rsidRPr="001D79C0">
        <w:rPr>
          <w:rFonts w:ascii="Arial Narrow" w:hAnsi="Arial Narrow" w:cs="Arial Narrow"/>
          <w:szCs w:val="20"/>
        </w:rPr>
        <w:t>ing this approach to all equity-based PRIIPs would mean to create a highly distortional effect in the form of unjustified discrimin</w:t>
      </w:r>
      <w:r w:rsidRPr="001D79C0">
        <w:rPr>
          <w:rFonts w:ascii="Arial Narrow" w:hAnsi="Arial Narrow" w:cs="Arial Narrow"/>
          <w:szCs w:val="20"/>
        </w:rPr>
        <w:t>a</w:t>
      </w:r>
      <w:r w:rsidRPr="001D79C0">
        <w:rPr>
          <w:rFonts w:ascii="Arial Narrow" w:hAnsi="Arial Narrow" w:cs="Arial Narrow"/>
          <w:szCs w:val="20"/>
        </w:rPr>
        <w:t xml:space="preserve">tion of equity </w:t>
      </w:r>
      <w:proofErr w:type="spellStart"/>
      <w:r w:rsidRPr="001D79C0">
        <w:rPr>
          <w:rFonts w:ascii="Arial Narrow" w:hAnsi="Arial Narrow" w:cs="Arial Narrow"/>
          <w:szCs w:val="20"/>
        </w:rPr>
        <w:t>underlyings</w:t>
      </w:r>
      <w:proofErr w:type="spellEnd"/>
      <w:r w:rsidRPr="001D79C0">
        <w:rPr>
          <w:rFonts w:ascii="Arial Narrow" w:hAnsi="Arial Narrow" w:cs="Arial Narrow"/>
          <w:szCs w:val="20"/>
        </w:rPr>
        <w:t xml:space="preserve">. Ultimately, such application of the risk indicator would create a judgment bias at the retail point of sale triggering an abstention from distributing equity-linked products (lacking selling effort of the distributor and a diminished interest of the investor). Such an effect seems contradictory to the ideas underlying the recently launched Capital Markets Union (CMU) concept which is meant to encourage equity investment by private households so to foster long-term capital accumulation, i.e. for retirement planning, next to improving market-based finance for </w:t>
      </w:r>
      <w:proofErr w:type="spellStart"/>
      <w:r w:rsidRPr="001D79C0">
        <w:rPr>
          <w:rFonts w:ascii="Arial Narrow" w:hAnsi="Arial Narrow" w:cs="Arial Narrow"/>
          <w:szCs w:val="20"/>
        </w:rPr>
        <w:t>corporates</w:t>
      </w:r>
      <w:proofErr w:type="spellEnd"/>
      <w:r w:rsidRPr="001D79C0">
        <w:rPr>
          <w:rFonts w:ascii="Arial Narrow" w:hAnsi="Arial Narrow" w:cs="Arial Narrow"/>
          <w:szCs w:val="20"/>
        </w:rPr>
        <w:t>.</w:t>
      </w:r>
    </w:p>
    <w:p w:rsidR="004A06E5" w:rsidRDefault="004A06E5" w:rsidP="00D43913">
      <w:pPr>
        <w:autoSpaceDE w:val="0"/>
        <w:autoSpaceDN w:val="0"/>
        <w:adjustRightInd w:val="0"/>
        <w:jc w:val="both"/>
        <w:rPr>
          <w:rFonts w:ascii="Arial Narrow" w:hAnsi="Arial Narrow" w:cs="Arial Narrow"/>
          <w:szCs w:val="20"/>
        </w:rPr>
      </w:pPr>
    </w:p>
    <w:p w:rsidR="004A06E5" w:rsidRPr="001D79C0" w:rsidRDefault="004A06E5" w:rsidP="004A06E5">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The </w:t>
      </w:r>
      <w:r w:rsidR="00DD4FA0">
        <w:rPr>
          <w:rFonts w:ascii="Arial Narrow" w:hAnsi="Arial Narrow" w:cs="Arial Narrow"/>
          <w:szCs w:val="20"/>
        </w:rPr>
        <w:t xml:space="preserve">MRM </w:t>
      </w:r>
      <w:r w:rsidRPr="001D79C0">
        <w:rPr>
          <w:rFonts w:ascii="Arial Narrow" w:hAnsi="Arial Narrow" w:cs="Arial Narrow"/>
          <w:szCs w:val="20"/>
        </w:rPr>
        <w:t>calculation formula for category II PRIIPs</w:t>
      </w:r>
      <w:r w:rsidR="00DD4FA0" w:rsidRPr="001D79C0">
        <w:rPr>
          <w:rFonts w:ascii="Arial Narrow" w:hAnsi="Arial Narrow" w:cs="Arial Narrow"/>
          <w:szCs w:val="20"/>
        </w:rPr>
        <w:t>(esp. § 20 to 52 of Annex II)</w:t>
      </w:r>
      <w:r w:rsidRPr="001D79C0">
        <w:rPr>
          <w:rFonts w:ascii="Arial Narrow" w:hAnsi="Arial Narrow" w:cs="Arial Narrow"/>
          <w:szCs w:val="20"/>
        </w:rPr>
        <w:t xml:space="preserve"> has</w:t>
      </w:r>
      <w:r w:rsidR="00DD4FA0">
        <w:rPr>
          <w:rFonts w:ascii="Arial Narrow" w:hAnsi="Arial Narrow" w:cs="Arial Narrow"/>
          <w:szCs w:val="20"/>
        </w:rPr>
        <w:t xml:space="preserve"> </w:t>
      </w:r>
      <w:r w:rsidRPr="001D79C0">
        <w:rPr>
          <w:rFonts w:ascii="Arial Narrow" w:hAnsi="Arial Narrow" w:cs="Arial Narrow"/>
          <w:szCs w:val="20"/>
        </w:rPr>
        <w:t>been already rectified twice after the public</w:t>
      </w:r>
      <w:r w:rsidRPr="001D79C0">
        <w:rPr>
          <w:rFonts w:ascii="Arial Narrow" w:hAnsi="Arial Narrow" w:cs="Arial Narrow"/>
          <w:szCs w:val="20"/>
        </w:rPr>
        <w:t>a</w:t>
      </w:r>
      <w:r w:rsidRPr="001D79C0">
        <w:rPr>
          <w:rFonts w:ascii="Arial Narrow" w:hAnsi="Arial Narrow" w:cs="Arial Narrow"/>
          <w:szCs w:val="20"/>
        </w:rPr>
        <w:t>tion of the consultation paper leading to confusion and hampering the assessment of the proposed formulas, since their applic</w:t>
      </w:r>
      <w:r w:rsidRPr="001D79C0">
        <w:rPr>
          <w:rFonts w:ascii="Arial Narrow" w:hAnsi="Arial Narrow" w:cs="Arial Narrow"/>
          <w:szCs w:val="20"/>
        </w:rPr>
        <w:t>a</w:t>
      </w:r>
      <w:r w:rsidRPr="001D79C0">
        <w:rPr>
          <w:rFonts w:ascii="Arial Narrow" w:hAnsi="Arial Narrow" w:cs="Arial Narrow"/>
          <w:szCs w:val="20"/>
        </w:rPr>
        <w:t>tion seems to produce different results. It should be avoided to endorse potentially incorrect calculation methodol</w:t>
      </w:r>
      <w:r w:rsidRPr="001D79C0">
        <w:rPr>
          <w:rFonts w:ascii="Arial Narrow" w:hAnsi="Arial Narrow" w:cs="Arial Narrow"/>
          <w:szCs w:val="20"/>
        </w:rPr>
        <w:t>o</w:t>
      </w:r>
      <w:r w:rsidRPr="001D79C0">
        <w:rPr>
          <w:rFonts w:ascii="Arial Narrow" w:hAnsi="Arial Narrow" w:cs="Arial Narrow"/>
          <w:szCs w:val="20"/>
        </w:rPr>
        <w:t xml:space="preserve">gies in an EU Delegated Regulation. </w:t>
      </w:r>
    </w:p>
    <w:p w:rsidR="004A06E5" w:rsidRPr="001D79C0" w:rsidRDefault="004A06E5" w:rsidP="00D43913">
      <w:pPr>
        <w:autoSpaceDE w:val="0"/>
        <w:autoSpaceDN w:val="0"/>
        <w:adjustRightInd w:val="0"/>
        <w:jc w:val="both"/>
        <w:rPr>
          <w:rFonts w:ascii="Arial Narrow" w:hAnsi="Arial Narrow" w:cs="Arial Narrow"/>
          <w:szCs w:val="20"/>
        </w:rPr>
      </w:pPr>
    </w:p>
    <w:p w:rsidR="00D43913" w:rsidRPr="001D79C0" w:rsidRDefault="00D43913" w:rsidP="00D43913">
      <w:pPr>
        <w:autoSpaceDE w:val="0"/>
        <w:autoSpaceDN w:val="0"/>
        <w:adjustRightInd w:val="0"/>
        <w:jc w:val="both"/>
        <w:rPr>
          <w:rFonts w:ascii="Arial Narrow" w:hAnsi="Arial Narrow" w:cs="Arial Narrow"/>
          <w:szCs w:val="20"/>
        </w:rPr>
      </w:pP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The approach proposed in the Consultation Paper requires the </w:t>
      </w:r>
      <w:r w:rsidRPr="001D79C0">
        <w:rPr>
          <w:rFonts w:ascii="Arial Narrow" w:hAnsi="Arial Narrow" w:cs="Arial Narrow"/>
          <w:b/>
          <w:szCs w:val="20"/>
        </w:rPr>
        <w:t>performance scenarios</w:t>
      </w:r>
      <w:r w:rsidRPr="001D79C0">
        <w:rPr>
          <w:rFonts w:ascii="Arial Narrow" w:hAnsi="Arial Narrow" w:cs="Arial Narrow"/>
          <w:szCs w:val="20"/>
        </w:rPr>
        <w:t xml:space="preserve"> primarily to be based on the "reco</w:t>
      </w:r>
      <w:r w:rsidRPr="001D79C0">
        <w:rPr>
          <w:rFonts w:ascii="Arial Narrow" w:hAnsi="Arial Narrow" w:cs="Arial Narrow"/>
          <w:szCs w:val="20"/>
        </w:rPr>
        <w:t>m</w:t>
      </w:r>
      <w:r w:rsidRPr="001D79C0">
        <w:rPr>
          <w:rFonts w:ascii="Arial Narrow" w:hAnsi="Arial Narrow" w:cs="Arial Narrow"/>
          <w:szCs w:val="20"/>
        </w:rPr>
        <w:t xml:space="preserve">mended holding period" - e.g. "five years" - which, for products with a fixed maturity date, would often not correspond to the latter. </w:t>
      </w:r>
      <w:r w:rsidRPr="001D79C0">
        <w:rPr>
          <w:rFonts w:ascii="Arial Narrow" w:hAnsi="Arial Narrow" w:cs="Arial Narrow"/>
          <w:szCs w:val="20"/>
        </w:rPr>
        <w:lastRenderedPageBreak/>
        <w:t>This would mean that the scenarios would, in the absence of payouts under the products before their maturity dates, have to be calculated based on exchange (or OTC) prices. In addition, two other scenarios would have to be displayed for shorter “interim holding periods”. For structured securities, scenarios on this basis would be highly problematic from a methodological perspe</w:t>
      </w:r>
      <w:r w:rsidRPr="001D79C0">
        <w:rPr>
          <w:rFonts w:ascii="Arial Narrow" w:hAnsi="Arial Narrow" w:cs="Arial Narrow"/>
          <w:szCs w:val="20"/>
        </w:rPr>
        <w:t>c</w:t>
      </w:r>
      <w:r w:rsidRPr="001D79C0">
        <w:rPr>
          <w:rFonts w:ascii="Arial Narrow" w:hAnsi="Arial Narrow" w:cs="Arial Narrow"/>
          <w:szCs w:val="20"/>
        </w:rPr>
        <w:t>tive. Figures calculated on this basis would not provide reliable statements about the expected return of a product. Instead we would suggest that, for products with fixed maturity dates, only one performance analysis should be required with reference to such maturity date.</w:t>
      </w:r>
    </w:p>
    <w:p w:rsidR="00D43913" w:rsidRPr="001D79C0" w:rsidRDefault="00D43913" w:rsidP="00D43913">
      <w:pPr>
        <w:autoSpaceDE w:val="0"/>
        <w:autoSpaceDN w:val="0"/>
        <w:adjustRightInd w:val="0"/>
        <w:jc w:val="both"/>
        <w:rPr>
          <w:rFonts w:ascii="Arial Narrow" w:hAnsi="Arial Narrow" w:cs="Arial Narrow"/>
          <w:szCs w:val="20"/>
        </w:rPr>
      </w:pPr>
    </w:p>
    <w:p w:rsidR="004A06E5" w:rsidRDefault="00D43913" w:rsidP="004A06E5">
      <w:pPr>
        <w:autoSpaceDE w:val="0"/>
        <w:autoSpaceDN w:val="0"/>
        <w:adjustRightInd w:val="0"/>
        <w:jc w:val="both"/>
        <w:rPr>
          <w:rFonts w:ascii="Arial Narrow" w:hAnsi="Arial Narrow" w:cs="Arial Narrow"/>
          <w:szCs w:val="20"/>
        </w:rPr>
      </w:pPr>
      <w:r w:rsidRPr="001D79C0">
        <w:rPr>
          <w:rFonts w:ascii="Arial Narrow" w:hAnsi="Arial Narrow" w:cs="Arial Narrow"/>
          <w:szCs w:val="20"/>
        </w:rPr>
        <w:t>Generally three performance scenarios would be required. However, different to the practice for certain national law product information documents (e.g. the German PIB), the middle scenario would be called "moderate" and would have to be calculated based on the expected return. This approach could mislead investors to expect the realisation of that scenario with a high degree of certainty. A better way would be to allow that the "moderate" scenario can be set freely according to reasonable discretion of the issuer, or to turn this into a "neutral" scenario. In addition, it should be possible to include more scenarios, if the structure and functioning of the product cannot be fully captured by three scenarios.</w:t>
      </w:r>
    </w:p>
    <w:p w:rsidR="004A06E5" w:rsidRDefault="004A06E5" w:rsidP="004A06E5">
      <w:pPr>
        <w:autoSpaceDE w:val="0"/>
        <w:autoSpaceDN w:val="0"/>
        <w:adjustRightInd w:val="0"/>
        <w:jc w:val="both"/>
        <w:rPr>
          <w:rFonts w:ascii="Arial Narrow" w:hAnsi="Arial Narrow" w:cs="Arial Narrow"/>
          <w:szCs w:val="20"/>
        </w:rPr>
      </w:pP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bCs/>
          <w:szCs w:val="20"/>
          <w:lang w:val="en-US"/>
        </w:rPr>
        <w:t>Regarding</w:t>
      </w:r>
      <w:r w:rsidRPr="001D79C0">
        <w:rPr>
          <w:rFonts w:ascii="Arial Narrow" w:hAnsi="Arial Narrow" w:cs="Arial Narrow"/>
          <w:b/>
          <w:bCs/>
          <w:szCs w:val="20"/>
          <w:lang w:val="en-US"/>
        </w:rPr>
        <w:t xml:space="preserve"> Closed-end Alternative Investment Funds (AIF</w:t>
      </w:r>
      <w:r w:rsidRPr="001D79C0">
        <w:rPr>
          <w:rFonts w:ascii="Arial Narrow" w:hAnsi="Arial Narrow" w:cs="Arial Narrow"/>
          <w:bCs/>
          <w:szCs w:val="20"/>
          <w:lang w:val="en-US"/>
        </w:rPr>
        <w:t>) and the methodology underpinning the market risk</w:t>
      </w:r>
      <w:r w:rsidRPr="001D79C0">
        <w:rPr>
          <w:rFonts w:ascii="Arial Narrow" w:hAnsi="Arial Narrow" w:cs="Arial Narrow"/>
          <w:szCs w:val="20"/>
          <w:lang w:val="en-US"/>
        </w:rPr>
        <w:t xml:space="preserve"> (A</w:t>
      </w:r>
      <w:r w:rsidRPr="001D79C0">
        <w:rPr>
          <w:rFonts w:ascii="Arial Narrow" w:hAnsi="Arial Narrow" w:cs="Arial Narrow"/>
          <w:szCs w:val="20"/>
          <w:lang w:val="en-US"/>
        </w:rPr>
        <w:t>n</w:t>
      </w:r>
      <w:r w:rsidRPr="001D79C0">
        <w:rPr>
          <w:rFonts w:ascii="Arial Narrow" w:hAnsi="Arial Narrow" w:cs="Arial Narrow"/>
          <w:szCs w:val="20"/>
          <w:lang w:val="en-US"/>
        </w:rPr>
        <w:t xml:space="preserve">nex II) clarification is needed as to whether </w:t>
      </w:r>
      <w:r w:rsidRPr="001D79C0">
        <w:rPr>
          <w:rFonts w:ascii="Arial Narrow" w:hAnsi="Arial Narrow" w:cs="Arial Narrow"/>
          <w:bCs/>
          <w:szCs w:val="20"/>
          <w:lang w:val="en-US"/>
        </w:rPr>
        <w:t>performance scenarios</w:t>
      </w:r>
      <w:r w:rsidRPr="001D79C0">
        <w:rPr>
          <w:rFonts w:ascii="Arial Narrow" w:hAnsi="Arial Narrow" w:cs="Arial Narrow"/>
          <w:szCs w:val="20"/>
          <w:lang w:val="en-US"/>
        </w:rPr>
        <w:t xml:space="preserve"> under the draft RTS for PRIIPs (Art. 6) are the same as scenario analysis in the case of MIFID2 Technical Advice 2.7,§12.</w:t>
      </w:r>
      <w:r w:rsidR="004A06E5">
        <w:rPr>
          <w:rFonts w:ascii="Arial Narrow" w:hAnsi="Arial Narrow" w:cs="Arial Narrow"/>
          <w:szCs w:val="20"/>
          <w:lang w:val="en-US"/>
        </w:rPr>
        <w:t xml:space="preserve"> </w:t>
      </w:r>
      <w:r w:rsidRPr="001D79C0">
        <w:rPr>
          <w:rFonts w:ascii="Arial Narrow" w:hAnsi="Arial Narrow" w:cs="Arial Narrow"/>
          <w:szCs w:val="20"/>
        </w:rPr>
        <w:t xml:space="preserve">It is indeed not clear whether closed-end AIF fall into </w:t>
      </w:r>
      <w:r w:rsidRPr="001D79C0">
        <w:rPr>
          <w:rFonts w:ascii="Arial Narrow" w:hAnsi="Arial Narrow" w:cs="Arial Narrow"/>
          <w:b/>
          <w:bCs/>
          <w:szCs w:val="20"/>
        </w:rPr>
        <w:t>Category II</w:t>
      </w:r>
      <w:r w:rsidRPr="001D79C0">
        <w:rPr>
          <w:rFonts w:ascii="Arial Narrow" w:hAnsi="Arial Narrow" w:cs="Arial Narrow"/>
          <w:szCs w:val="20"/>
        </w:rPr>
        <w:t xml:space="preserve"> or</w:t>
      </w:r>
      <w:r w:rsidRPr="001D79C0">
        <w:rPr>
          <w:rFonts w:ascii="Arial Narrow" w:hAnsi="Arial Narrow" w:cs="Arial Narrow"/>
          <w:b/>
          <w:bCs/>
          <w:szCs w:val="20"/>
        </w:rPr>
        <w:t xml:space="preserve"> Category III </w:t>
      </w:r>
      <w:r w:rsidRPr="001D79C0">
        <w:rPr>
          <w:rFonts w:ascii="Arial Narrow" w:hAnsi="Arial Narrow" w:cs="Arial Narrow"/>
          <w:szCs w:val="20"/>
        </w:rPr>
        <w:t xml:space="preserve">or </w:t>
      </w:r>
      <w:r w:rsidRPr="001D79C0">
        <w:rPr>
          <w:rFonts w:ascii="Arial Narrow" w:hAnsi="Arial Narrow" w:cs="Arial Narrow"/>
          <w:b/>
          <w:bCs/>
          <w:szCs w:val="20"/>
        </w:rPr>
        <w:t>Category V</w:t>
      </w:r>
      <w:r w:rsidRPr="001D79C0">
        <w:rPr>
          <w:rFonts w:ascii="Arial Narrow" w:hAnsi="Arial Narrow" w:cs="Arial Narrow"/>
          <w:szCs w:val="20"/>
        </w:rPr>
        <w:t>.</w:t>
      </w: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In </w:t>
      </w:r>
      <w:r w:rsidRPr="001D79C0">
        <w:rPr>
          <w:rFonts w:ascii="Arial Narrow" w:hAnsi="Arial Narrow" w:cs="Arial Narrow"/>
          <w:b/>
          <w:bCs/>
          <w:szCs w:val="20"/>
        </w:rPr>
        <w:t>Category II,</w:t>
      </w:r>
      <w:r w:rsidRPr="001D79C0">
        <w:rPr>
          <w:rFonts w:ascii="Arial Narrow" w:hAnsi="Arial Narrow" w:cs="Arial Narrow"/>
          <w:szCs w:val="20"/>
        </w:rPr>
        <w:t xml:space="preserve"> AIF are mentioned explicitly and can thus be assigned to this Category II (page 35, §10a). The following additional conditions in this paragraph are also applicable:</w:t>
      </w:r>
    </w:p>
    <w:p w:rsidR="00D43913" w:rsidRPr="001D79C0" w:rsidRDefault="00D43913" w:rsidP="00D43913">
      <w:pPr>
        <w:autoSpaceDE w:val="0"/>
        <w:autoSpaceDN w:val="0"/>
        <w:adjustRightInd w:val="0"/>
        <w:jc w:val="both"/>
        <w:rPr>
          <w:rFonts w:ascii="Arial Narrow" w:hAnsi="Arial Narrow" w:cs="Arial Narrow"/>
          <w:i/>
          <w:iCs/>
          <w:szCs w:val="20"/>
        </w:rPr>
      </w:pPr>
      <w:r w:rsidRPr="001D79C0">
        <w:rPr>
          <w:rFonts w:ascii="Arial Narrow" w:hAnsi="Arial Narrow" w:cs="Arial Narrow"/>
          <w:i/>
          <w:iCs/>
          <w:szCs w:val="20"/>
        </w:rPr>
        <w:t xml:space="preserve">- where these PRIIPs have, either directly or on a synthetic basis, a delta one or a leveraged exposure on underlying asset(s) that pays a constant multiple of a market price or index, and </w:t>
      </w:r>
    </w:p>
    <w:p w:rsidR="00D43913" w:rsidRPr="001D79C0" w:rsidRDefault="00D43913" w:rsidP="00D43913">
      <w:pPr>
        <w:autoSpaceDE w:val="0"/>
        <w:autoSpaceDN w:val="0"/>
        <w:adjustRightInd w:val="0"/>
        <w:jc w:val="both"/>
        <w:rPr>
          <w:rFonts w:ascii="Arial Narrow" w:hAnsi="Arial Narrow" w:cs="Arial Narrow"/>
          <w:i/>
          <w:iCs/>
          <w:szCs w:val="20"/>
        </w:rPr>
      </w:pPr>
      <w:r w:rsidRPr="001D79C0">
        <w:rPr>
          <w:rFonts w:ascii="Arial Narrow" w:hAnsi="Arial Narrow" w:cs="Arial Narrow"/>
          <w:i/>
          <w:iCs/>
          <w:szCs w:val="20"/>
        </w:rPr>
        <w:t xml:space="preserve">- where at least 2 years of historical daily prices or 4 years of historical weekly prices are available, or, in the case where such minimum data are not available, where a natural benchmark or proxy exists (e.g. recently created ETF on a liquid market index), such that the data of this benchmark or proxy shall be used, on a complementary basis, in the calculation of the market risk. </w:t>
      </w: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For closed-end AIF such a proxy would be indices for unlisted real estate and infrastructure funds.</w:t>
      </w: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In </w:t>
      </w:r>
      <w:r w:rsidRPr="001D79C0">
        <w:rPr>
          <w:rFonts w:ascii="Arial Narrow" w:hAnsi="Arial Narrow" w:cs="Arial Narrow"/>
          <w:b/>
          <w:bCs/>
          <w:szCs w:val="20"/>
        </w:rPr>
        <w:t xml:space="preserve">Category V </w:t>
      </w:r>
      <w:r w:rsidRPr="001D79C0">
        <w:rPr>
          <w:rFonts w:ascii="Arial Narrow" w:hAnsi="Arial Narrow" w:cs="Arial Narrow"/>
          <w:szCs w:val="20"/>
        </w:rPr>
        <w:t>closed-end investment funds are mentioned that invest at least 30% of their assets in illiquid assets, which is also applicable for closed-end AIF (page 36, paragraph 13b, (</w:t>
      </w:r>
      <w:proofErr w:type="spellStart"/>
      <w:r w:rsidRPr="001D79C0">
        <w:rPr>
          <w:rFonts w:ascii="Arial Narrow" w:hAnsi="Arial Narrow" w:cs="Arial Narrow"/>
          <w:szCs w:val="20"/>
        </w:rPr>
        <w:t>i</w:t>
      </w:r>
      <w:proofErr w:type="spellEnd"/>
      <w:r w:rsidRPr="001D79C0">
        <w:rPr>
          <w:rFonts w:ascii="Arial Narrow" w:hAnsi="Arial Narrow" w:cs="Arial Narrow"/>
          <w:szCs w:val="20"/>
        </w:rPr>
        <w:t>)).</w:t>
      </w:r>
    </w:p>
    <w:p w:rsidR="00D43913" w:rsidRPr="001D79C0" w:rsidRDefault="00D43913" w:rsidP="00D43913">
      <w:pPr>
        <w:autoSpaceDE w:val="0"/>
        <w:autoSpaceDN w:val="0"/>
        <w:adjustRightInd w:val="0"/>
        <w:jc w:val="both"/>
        <w:rPr>
          <w:rFonts w:ascii="Arial Narrow" w:hAnsi="Arial Narrow" w:cs="Arial Narrow"/>
          <w:b/>
          <w:bCs/>
          <w:szCs w:val="20"/>
        </w:rPr>
      </w:pPr>
      <w:r w:rsidRPr="001D79C0">
        <w:rPr>
          <w:rFonts w:ascii="Arial Narrow" w:hAnsi="Arial Narrow" w:cs="Arial Narrow"/>
          <w:szCs w:val="20"/>
        </w:rPr>
        <w:t xml:space="preserve">Finally, in Annex II, §15, it is mentioned that AIF not falling under Category II should be classified under </w:t>
      </w:r>
      <w:r w:rsidRPr="001D79C0">
        <w:rPr>
          <w:rFonts w:ascii="Arial Narrow" w:hAnsi="Arial Narrow" w:cs="Arial Narrow"/>
          <w:b/>
          <w:bCs/>
          <w:szCs w:val="20"/>
        </w:rPr>
        <w:t>Category III.</w:t>
      </w:r>
    </w:p>
    <w:p w:rsidR="00D43913" w:rsidRPr="001D79C0" w:rsidRDefault="004A06E5" w:rsidP="00D43913">
      <w:pPr>
        <w:autoSpaceDE w:val="0"/>
        <w:autoSpaceDN w:val="0"/>
        <w:adjustRightInd w:val="0"/>
        <w:jc w:val="both"/>
        <w:rPr>
          <w:rFonts w:ascii="Arial Narrow" w:hAnsi="Arial Narrow" w:cs="Arial Narrow"/>
          <w:szCs w:val="20"/>
        </w:rPr>
      </w:pPr>
      <w:r>
        <w:rPr>
          <w:rFonts w:ascii="Arial Narrow" w:hAnsi="Arial Narrow" w:cs="Arial Narrow"/>
          <w:szCs w:val="20"/>
        </w:rPr>
        <w:t>I</w:t>
      </w:r>
      <w:r w:rsidR="00D43913" w:rsidRPr="001D79C0">
        <w:rPr>
          <w:rFonts w:ascii="Arial Narrow" w:hAnsi="Arial Narrow" w:cs="Arial Narrow"/>
          <w:szCs w:val="20"/>
        </w:rPr>
        <w:t>f closed-end AIF fall into Category II, it is not clear how to calculate annualized volatility, on which basis the risk class is a</w:t>
      </w:r>
      <w:r w:rsidR="00D43913" w:rsidRPr="001D79C0">
        <w:rPr>
          <w:rFonts w:ascii="Arial Narrow" w:hAnsi="Arial Narrow" w:cs="Arial Narrow"/>
          <w:szCs w:val="20"/>
        </w:rPr>
        <w:t>s</w:t>
      </w:r>
      <w:r w:rsidR="00D43913" w:rsidRPr="001D79C0">
        <w:rPr>
          <w:rFonts w:ascii="Arial Narrow" w:hAnsi="Arial Narrow" w:cs="Arial Narrow"/>
          <w:szCs w:val="20"/>
        </w:rPr>
        <w:t>signed (page 38). The procedure described in the consultation paper (page 37) is applicable for daily prices, but proxies for such pro</w:t>
      </w:r>
      <w:r w:rsidR="00D43913" w:rsidRPr="001D79C0">
        <w:rPr>
          <w:rFonts w:ascii="Arial Narrow" w:hAnsi="Arial Narrow" w:cs="Arial Narrow"/>
          <w:szCs w:val="20"/>
        </w:rPr>
        <w:t>d</w:t>
      </w:r>
      <w:r w:rsidR="00D43913" w:rsidRPr="001D79C0">
        <w:rPr>
          <w:rFonts w:ascii="Arial Narrow" w:hAnsi="Arial Narrow" w:cs="Arial Narrow"/>
          <w:szCs w:val="20"/>
        </w:rPr>
        <w:t xml:space="preserve">ucts are usually rated quarterly. When calculating the volatility for a common index like the NCREIF (National Council of Real Estate Investment Fiduciaries) using number of </w:t>
      </w:r>
      <w:proofErr w:type="spellStart"/>
      <w:r w:rsidR="00D43913" w:rsidRPr="001D79C0">
        <w:rPr>
          <w:rFonts w:ascii="Arial Narrow" w:hAnsi="Arial Narrow" w:cs="Arial Narrow"/>
          <w:szCs w:val="20"/>
        </w:rPr>
        <w:t>quartals</w:t>
      </w:r>
      <w:proofErr w:type="spellEnd"/>
      <w:r w:rsidR="00D43913" w:rsidRPr="001D79C0">
        <w:rPr>
          <w:rFonts w:ascii="Arial Narrow" w:hAnsi="Arial Narrow" w:cs="Arial Narrow"/>
          <w:szCs w:val="20"/>
        </w:rPr>
        <w:t xml:space="preserve"> instead of the number of days, the results is a negative </w:t>
      </w:r>
      <w:proofErr w:type="spellStart"/>
      <w:r w:rsidR="00D43913" w:rsidRPr="001D79C0">
        <w:rPr>
          <w:rFonts w:ascii="Arial Narrow" w:hAnsi="Arial Narrow" w:cs="Arial Narrow"/>
          <w:szCs w:val="20"/>
        </w:rPr>
        <w:t>VaR</w:t>
      </w:r>
      <w:proofErr w:type="spellEnd"/>
      <w:r w:rsidR="00D43913" w:rsidRPr="001D79C0">
        <w:rPr>
          <w:rFonts w:ascii="Arial Narrow" w:hAnsi="Arial Narrow" w:cs="Arial Narrow"/>
          <w:szCs w:val="20"/>
        </w:rPr>
        <w:t>-equivalent volatility which would not correspond to the aim of this regulation.</w:t>
      </w: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In Annex II</w:t>
      </w:r>
      <w:proofErr w:type="gramStart"/>
      <w:r w:rsidRPr="001D79C0">
        <w:rPr>
          <w:rFonts w:ascii="Arial Narrow" w:hAnsi="Arial Narrow" w:cs="Arial Narrow"/>
          <w:szCs w:val="20"/>
        </w:rPr>
        <w:t>,§</w:t>
      </w:r>
      <w:proofErr w:type="gramEnd"/>
      <w:r w:rsidRPr="001D79C0">
        <w:rPr>
          <w:rFonts w:ascii="Arial Narrow" w:hAnsi="Arial Narrow" w:cs="Arial Narrow"/>
          <w:szCs w:val="20"/>
        </w:rPr>
        <w:t xml:space="preserve">29 the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is dedicated to MRM classes. Calculating the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with the mentioned index NCREIF the MRM class would be MRM class I (see also encl sheet:  the calculation of </w:t>
      </w:r>
      <w:proofErr w:type="spellStart"/>
      <w:r w:rsidRPr="001D79C0">
        <w:rPr>
          <w:rFonts w:ascii="Arial Narrow" w:hAnsi="Arial Narrow" w:cs="Arial Narrow"/>
          <w:szCs w:val="20"/>
        </w:rPr>
        <w:t>VaR</w:t>
      </w:r>
      <w:proofErr w:type="spellEnd"/>
      <w:r w:rsidRPr="001D79C0">
        <w:rPr>
          <w:rFonts w:ascii="Arial Narrow" w:hAnsi="Arial Narrow" w:cs="Arial Narrow"/>
          <w:szCs w:val="20"/>
        </w:rPr>
        <w:t xml:space="preserve"> and VEV for </w:t>
      </w:r>
      <w:proofErr w:type="spellStart"/>
      <w:r w:rsidRPr="001D79C0">
        <w:rPr>
          <w:rFonts w:ascii="Arial Narrow" w:hAnsi="Arial Narrow" w:cs="Arial Narrow"/>
          <w:szCs w:val="20"/>
        </w:rPr>
        <w:t>Illiquids</w:t>
      </w:r>
      <w:proofErr w:type="spellEnd"/>
      <w:r w:rsidRPr="001D79C0">
        <w:rPr>
          <w:rFonts w:ascii="Arial Narrow" w:hAnsi="Arial Narrow" w:cs="Arial Narrow"/>
          <w:szCs w:val="20"/>
        </w:rPr>
        <w:t xml:space="preserve"> and </w:t>
      </w:r>
      <w:hyperlink r:id="rId14" w:history="1">
        <w:r w:rsidRPr="001D79C0">
          <w:rPr>
            <w:rStyle w:val="Hyperlink"/>
            <w:rFonts w:ascii="Arial Narrow" w:hAnsi="Arial Narrow" w:cs="Arial Narrow"/>
            <w:color w:val="auto"/>
            <w:szCs w:val="20"/>
          </w:rPr>
          <w:t>http://www.ncreif.org/</w:t>
        </w:r>
      </w:hyperlink>
      <w:r w:rsidRPr="001D79C0">
        <w:rPr>
          <w:rFonts w:ascii="Arial Narrow" w:hAnsi="Arial Narrow" w:cs="Arial Narrow"/>
          <w:szCs w:val="20"/>
        </w:rPr>
        <w:t>)</w:t>
      </w:r>
    </w:p>
    <w:p w:rsidR="00D43913" w:rsidRPr="001D79C0" w:rsidRDefault="00D43913" w:rsidP="00D43913">
      <w:pPr>
        <w:autoSpaceDE w:val="0"/>
        <w:autoSpaceDN w:val="0"/>
        <w:adjustRightInd w:val="0"/>
        <w:jc w:val="both"/>
        <w:rPr>
          <w:rFonts w:ascii="Arial Narrow" w:hAnsi="Arial Narrow" w:cs="Arial Narrow"/>
          <w:szCs w:val="20"/>
        </w:rPr>
      </w:pPr>
    </w:p>
    <w:p w:rsidR="00D43913" w:rsidRPr="001D79C0" w:rsidRDefault="00D43913" w:rsidP="00D43913">
      <w:pPr>
        <w:autoSpaceDE w:val="0"/>
        <w:autoSpaceDN w:val="0"/>
        <w:adjustRightInd w:val="0"/>
        <w:jc w:val="both"/>
        <w:rPr>
          <w:rFonts w:ascii="Arial Narrow" w:hAnsi="Arial Narrow" w:cs="Arial Narrow"/>
          <w:szCs w:val="20"/>
        </w:rPr>
      </w:pPr>
      <w:r w:rsidRPr="001D79C0">
        <w:rPr>
          <w:rFonts w:ascii="Arial Narrow" w:hAnsi="Arial Narrow" w:cs="Arial Narrow"/>
          <w:szCs w:val="20"/>
        </w:rPr>
        <w:t xml:space="preserve">On the future </w:t>
      </w:r>
      <w:r w:rsidRPr="001D79C0">
        <w:rPr>
          <w:rFonts w:ascii="Arial Narrow" w:hAnsi="Arial Narrow" w:cs="Arial Narrow"/>
          <w:b/>
          <w:bCs/>
          <w:szCs w:val="20"/>
        </w:rPr>
        <w:t>Guidelines on performance scenarios</w:t>
      </w:r>
      <w:r w:rsidRPr="001D79C0">
        <w:rPr>
          <w:rFonts w:ascii="Arial Narrow" w:hAnsi="Arial Narrow" w:cs="Arial Narrow"/>
          <w:szCs w:val="20"/>
        </w:rPr>
        <w:t xml:space="preserve"> (Article 6(7) of the draft RTS), the ESAs so far neither made no clear commitment as to the timing of these guidelines covering the assumptions underlying the choice of scenarios by PRIIPs manufa</w:t>
      </w:r>
      <w:r w:rsidRPr="001D79C0">
        <w:rPr>
          <w:rFonts w:ascii="Arial Narrow" w:hAnsi="Arial Narrow" w:cs="Arial Narrow"/>
          <w:szCs w:val="20"/>
        </w:rPr>
        <w:t>c</w:t>
      </w:r>
      <w:r w:rsidRPr="001D79C0">
        <w:rPr>
          <w:rFonts w:ascii="Arial Narrow" w:hAnsi="Arial Narrow" w:cs="Arial Narrow"/>
          <w:szCs w:val="20"/>
        </w:rPr>
        <w:t xml:space="preserve">turers. If these guidelines are agreed on too late for the first round of KID production the relevant IT processes and systems would need to be modified shortly after their first configuration, involving additional costs. </w:t>
      </w:r>
    </w:p>
    <w:p w:rsidR="00D43913" w:rsidRPr="001D79C0" w:rsidRDefault="00D43913" w:rsidP="00D43913">
      <w:pPr>
        <w:autoSpaceDE w:val="0"/>
        <w:autoSpaceDN w:val="0"/>
        <w:adjustRightInd w:val="0"/>
        <w:rPr>
          <w:rFonts w:ascii="Arial Narrow" w:hAnsi="Arial Narrow" w:cs="Arial Narrow"/>
          <w:szCs w:val="20"/>
        </w:rPr>
      </w:pPr>
    </w:p>
    <w:p w:rsidR="00D43913" w:rsidRPr="001D79C0" w:rsidRDefault="00DD4FA0" w:rsidP="00D43913">
      <w:pPr>
        <w:autoSpaceDE w:val="0"/>
        <w:autoSpaceDN w:val="0"/>
        <w:adjustRightInd w:val="0"/>
        <w:jc w:val="both"/>
        <w:rPr>
          <w:rFonts w:ascii="Arial Narrow" w:hAnsi="Arial Narrow" w:cs="Arial Narrow"/>
          <w:szCs w:val="20"/>
        </w:rPr>
      </w:pPr>
      <w:r>
        <w:rPr>
          <w:rFonts w:ascii="Arial Narrow" w:hAnsi="Arial Narrow" w:cs="Arial Narrow"/>
          <w:szCs w:val="20"/>
        </w:rPr>
        <w:t>T</w:t>
      </w:r>
      <w:r w:rsidR="00D43913" w:rsidRPr="001D79C0">
        <w:rPr>
          <w:rFonts w:ascii="Arial Narrow" w:hAnsi="Arial Narrow" w:cs="Arial Narrow"/>
          <w:szCs w:val="20"/>
        </w:rPr>
        <w:t xml:space="preserve">he proposed calculation methodology </w:t>
      </w:r>
      <w:r>
        <w:rPr>
          <w:rFonts w:ascii="Arial Narrow" w:hAnsi="Arial Narrow" w:cs="Arial Narrow"/>
          <w:szCs w:val="20"/>
        </w:rPr>
        <w:t xml:space="preserve">for </w:t>
      </w:r>
      <w:r w:rsidRPr="00DD4FA0">
        <w:rPr>
          <w:rFonts w:ascii="Arial Narrow" w:hAnsi="Arial Narrow" w:cs="Arial Narrow"/>
          <w:b/>
          <w:szCs w:val="20"/>
        </w:rPr>
        <w:t>transaction costs</w:t>
      </w:r>
      <w:r w:rsidRPr="001D79C0">
        <w:rPr>
          <w:rFonts w:ascii="Arial Narrow" w:hAnsi="Arial Narrow" w:cs="Arial Narrow"/>
          <w:szCs w:val="20"/>
        </w:rPr>
        <w:t xml:space="preserve"> (esp. § 14 to 28 of Annex VI - see also response to Q16 and 17):  </w:t>
      </w:r>
      <w:r w:rsidR="00D43913" w:rsidRPr="001D79C0">
        <w:rPr>
          <w:rFonts w:ascii="Arial Narrow" w:hAnsi="Arial Narrow" w:cs="Arial Narrow"/>
          <w:szCs w:val="20"/>
        </w:rPr>
        <w:t>does not work for fixed-income transactions for which no reference prices are avai</w:t>
      </w:r>
      <w:r w:rsidR="00D43913" w:rsidRPr="001D79C0">
        <w:rPr>
          <w:rFonts w:ascii="Arial Narrow" w:hAnsi="Arial Narrow" w:cs="Arial Narrow"/>
          <w:szCs w:val="20"/>
        </w:rPr>
        <w:t>l</w:t>
      </w:r>
      <w:r w:rsidR="00D43913" w:rsidRPr="001D79C0">
        <w:rPr>
          <w:rFonts w:ascii="Arial Narrow" w:hAnsi="Arial Narrow" w:cs="Arial Narrow"/>
          <w:szCs w:val="20"/>
        </w:rPr>
        <w:t xml:space="preserve">able. The only feasible solution would be calculation of transaction costs based on a standardised table which should be flexible enough in order to accommodate any changes in market conditions which impact the average costs of a transaction. In the longer term MiFID2 might remedy this situation due to the new requirements for pre-trade transparency that would become applicable to fixed-income instruments. </w:t>
      </w:r>
    </w:p>
    <w:p w:rsidR="00D43913" w:rsidRPr="001D79C0" w:rsidRDefault="00D43913" w:rsidP="00D43913">
      <w:pPr>
        <w:pStyle w:val="Default"/>
        <w:jc w:val="both"/>
        <w:rPr>
          <w:rFonts w:ascii="Arial Narrow" w:hAnsi="Arial Narrow" w:cs="Arial Narrow"/>
          <w:b/>
          <w:bCs/>
          <w:color w:val="auto"/>
          <w:sz w:val="20"/>
          <w:szCs w:val="20"/>
          <w:lang w:val="en-US"/>
        </w:rPr>
      </w:pPr>
    </w:p>
    <w:p w:rsidR="00D43913" w:rsidRPr="001D79C0" w:rsidRDefault="00D43913" w:rsidP="00D43913">
      <w:pPr>
        <w:pStyle w:val="Default"/>
        <w:jc w:val="both"/>
        <w:rPr>
          <w:rFonts w:ascii="Arial Narrow" w:hAnsi="Arial Narrow" w:cs="Arial Narrow"/>
          <w:color w:val="auto"/>
          <w:sz w:val="20"/>
          <w:szCs w:val="20"/>
          <w:lang w:val="en-US"/>
        </w:rPr>
      </w:pPr>
      <w:r w:rsidRPr="001D79C0">
        <w:rPr>
          <w:rFonts w:ascii="Arial Narrow" w:hAnsi="Arial Narrow" w:cs="Arial Narrow"/>
          <w:color w:val="auto"/>
          <w:sz w:val="20"/>
          <w:szCs w:val="20"/>
          <w:lang w:val="en-US"/>
        </w:rPr>
        <w:t xml:space="preserve">Detailed specifications on the </w:t>
      </w:r>
      <w:r w:rsidRPr="001D79C0">
        <w:rPr>
          <w:rFonts w:ascii="Arial Narrow" w:hAnsi="Arial Narrow" w:cs="Arial Narrow"/>
          <w:b/>
          <w:bCs/>
          <w:color w:val="auto"/>
          <w:sz w:val="20"/>
          <w:szCs w:val="20"/>
          <w:lang w:val="en-US"/>
        </w:rPr>
        <w:t>product scope</w:t>
      </w:r>
      <w:r w:rsidRPr="001D79C0">
        <w:rPr>
          <w:rFonts w:ascii="Arial Narrow" w:hAnsi="Arial Narrow" w:cs="Arial Narrow"/>
          <w:color w:val="auto"/>
          <w:sz w:val="20"/>
          <w:szCs w:val="20"/>
          <w:lang w:val="en-US"/>
        </w:rPr>
        <w:t xml:space="preserve"> of the Regulation are also needed. In Annex II, Part 1, 9(c) it is highlighted that all </w:t>
      </w:r>
      <w:r w:rsidRPr="001D79C0">
        <w:rPr>
          <w:rFonts w:ascii="Arial Narrow" w:hAnsi="Arial Narrow" w:cs="Arial Narrow"/>
          <w:b/>
          <w:color w:val="auto"/>
          <w:sz w:val="20"/>
          <w:szCs w:val="20"/>
          <w:lang w:val="en-US"/>
        </w:rPr>
        <w:t>derivatives</w:t>
      </w:r>
      <w:r w:rsidRPr="001D79C0">
        <w:rPr>
          <w:rFonts w:ascii="Arial Narrow" w:hAnsi="Arial Narrow" w:cs="Arial Narrow"/>
          <w:color w:val="auto"/>
          <w:sz w:val="20"/>
          <w:szCs w:val="20"/>
          <w:lang w:val="en-US"/>
        </w:rPr>
        <w:t xml:space="preserve"> as defined in </w:t>
      </w:r>
      <w:proofErr w:type="spellStart"/>
      <w:r w:rsidRPr="001D79C0">
        <w:rPr>
          <w:rFonts w:ascii="Arial Narrow" w:hAnsi="Arial Narrow" w:cs="Arial Narrow"/>
          <w:color w:val="auto"/>
          <w:sz w:val="20"/>
          <w:szCs w:val="20"/>
          <w:lang w:val="en-US"/>
        </w:rPr>
        <w:t>MiFID</w:t>
      </w:r>
      <w:proofErr w:type="spellEnd"/>
      <w:r w:rsidRPr="001D79C0">
        <w:rPr>
          <w:rFonts w:ascii="Arial Narrow" w:hAnsi="Arial Narrow" w:cs="Arial Narrow"/>
          <w:color w:val="auto"/>
          <w:sz w:val="20"/>
          <w:szCs w:val="20"/>
          <w:lang w:val="en-US"/>
        </w:rPr>
        <w:t xml:space="preserve"> II are in the scope. There is however still no clarity as to whether derivatives are in the scope regardless of the underlying purpose – speculation respectively hedging (of commercial and/or investment risk). If derivatives used for hedging purposes are in the scope, the format and information contained in the KID will be misleading, as the purpose of the hedging strategy is to obtain exactly the opposite result of the derivative as a stand-alone investment. In this case also a number of outstanding issues so far not addressed in the RTS must be clarified. The question arises at what level a KID must be produced as for derivatives there is no Unique Identifier Product (UPI). In order to provide legal certainty, it should be clarified in the recitals that the Regulation applies to the product, so as to ensure that no KID must be established for individual contracts which would simply be impossible for manufacturers. </w:t>
      </w:r>
    </w:p>
    <w:p w:rsidR="00D43913" w:rsidRPr="001D79C0" w:rsidRDefault="00D43913" w:rsidP="00D43913">
      <w:pPr>
        <w:pStyle w:val="Default"/>
        <w:jc w:val="both"/>
        <w:rPr>
          <w:rFonts w:ascii="Arial Narrow" w:hAnsi="Arial Narrow" w:cs="Arial Narrow"/>
          <w:b/>
          <w:bCs/>
          <w:color w:val="auto"/>
          <w:sz w:val="20"/>
          <w:szCs w:val="20"/>
          <w:lang w:val="en-US"/>
        </w:rPr>
      </w:pPr>
    </w:p>
    <w:p w:rsidR="00D43913" w:rsidRPr="001D79C0" w:rsidRDefault="00D43913" w:rsidP="00D43913">
      <w:pPr>
        <w:autoSpaceDE w:val="0"/>
        <w:autoSpaceDN w:val="0"/>
        <w:adjustRightInd w:val="0"/>
        <w:jc w:val="both"/>
        <w:rPr>
          <w:rFonts w:ascii="Arial Narrow" w:eastAsiaTheme="minorHAnsi" w:hAnsi="Arial Narrow" w:cs="Helv"/>
          <w:szCs w:val="20"/>
        </w:rPr>
      </w:pPr>
      <w:r w:rsidRPr="001D79C0">
        <w:rPr>
          <w:rFonts w:ascii="Arial Narrow" w:hAnsi="Arial Narrow" w:cs="Arial Narrow"/>
          <w:szCs w:val="20"/>
        </w:rPr>
        <w:t xml:space="preserve">The absence any of </w:t>
      </w:r>
      <w:r w:rsidRPr="001D79C0">
        <w:rPr>
          <w:rFonts w:ascii="Arial Narrow" w:hAnsi="Arial Narrow" w:cs="Arial Narrow"/>
          <w:b/>
          <w:bCs/>
          <w:szCs w:val="20"/>
        </w:rPr>
        <w:t>grandfathering rules</w:t>
      </w:r>
      <w:r w:rsidRPr="001D79C0">
        <w:rPr>
          <w:rFonts w:ascii="Arial Narrow" w:hAnsi="Arial Narrow" w:cs="Arial Narrow"/>
          <w:szCs w:val="20"/>
        </w:rPr>
        <w:t xml:space="preserve"> at level 1 is a problem for the outstanding stock of products on offer and we would recommend foreseeing at least a transitional period of</w:t>
      </w:r>
      <w:r w:rsidRPr="001D79C0">
        <w:rPr>
          <w:rFonts w:ascii="Arial Narrow" w:hAnsi="Arial Narrow" w:cs="Arial Narrow"/>
          <w:b/>
          <w:szCs w:val="20"/>
        </w:rPr>
        <w:t xml:space="preserve"> </w:t>
      </w:r>
      <w:r w:rsidRPr="001029E8">
        <w:rPr>
          <w:rFonts w:ascii="Arial Narrow" w:hAnsi="Arial Narrow" w:cs="Arial Narrow"/>
          <w:szCs w:val="20"/>
        </w:rPr>
        <w:t>12 month</w:t>
      </w:r>
      <w:r w:rsidRPr="001D79C0">
        <w:rPr>
          <w:rFonts w:ascii="Arial Narrow" w:hAnsi="Arial Narrow" w:cs="Arial Narrow"/>
          <w:szCs w:val="20"/>
        </w:rPr>
        <w:t>. Industry will need to update KIDs esp. those for “continuously available products" (updating every 12month or when SRI changes or a material change occurs). It is also yet unclear whether we need to update when an investor redeems its PRIIPs.</w:t>
      </w:r>
      <w:r w:rsidRPr="001D79C0">
        <w:rPr>
          <w:rFonts w:ascii="Arial Narrow" w:eastAsiaTheme="minorHAnsi" w:hAnsi="Arial Narrow" w:cs="Helv"/>
          <w:szCs w:val="20"/>
        </w:rPr>
        <w:t xml:space="preserve"> </w:t>
      </w:r>
    </w:p>
    <w:p w:rsidR="00D43913" w:rsidRPr="001D79C0" w:rsidRDefault="00D43913" w:rsidP="00D43913">
      <w:pPr>
        <w:pStyle w:val="Default"/>
        <w:rPr>
          <w:rFonts w:ascii="Arial Narrow" w:hAnsi="Arial Narrow" w:cs="Arial Narrow"/>
          <w:b/>
          <w:bCs/>
          <w:color w:val="auto"/>
          <w:sz w:val="20"/>
          <w:szCs w:val="20"/>
          <w:lang w:val="en-US"/>
        </w:rPr>
      </w:pPr>
    </w:p>
    <w:p w:rsidR="00D43913" w:rsidRPr="001D79C0" w:rsidRDefault="00D43913" w:rsidP="00D43913">
      <w:pPr>
        <w:pStyle w:val="Default"/>
        <w:rPr>
          <w:rFonts w:ascii="Arial Narrow" w:hAnsi="Arial Narrow" w:cs="Arial Narrow"/>
          <w:color w:val="auto"/>
          <w:sz w:val="20"/>
          <w:szCs w:val="20"/>
          <w:lang w:val="en-US"/>
        </w:rPr>
      </w:pPr>
      <w:r w:rsidRPr="001D79C0">
        <w:rPr>
          <w:rFonts w:ascii="Arial Narrow" w:hAnsi="Arial Narrow" w:cs="Arial Narrow"/>
          <w:color w:val="auto"/>
          <w:sz w:val="20"/>
          <w:szCs w:val="20"/>
          <w:lang w:val="en-US"/>
        </w:rPr>
        <w:t xml:space="preserve">Some questions not covered in the current draft RTS will also require rapid regulatory answers such as e. g. the </w:t>
      </w:r>
      <w:r w:rsidRPr="001D79C0">
        <w:rPr>
          <w:rFonts w:ascii="Arial Narrow" w:hAnsi="Arial Narrow" w:cs="Arial Narrow"/>
          <w:b/>
          <w:bCs/>
          <w:color w:val="auto"/>
          <w:sz w:val="20"/>
          <w:szCs w:val="20"/>
          <w:lang w:val="en-US"/>
        </w:rPr>
        <w:t>determination of competent authorities</w:t>
      </w:r>
      <w:r w:rsidRPr="001D79C0">
        <w:rPr>
          <w:rFonts w:ascii="Arial Narrow" w:hAnsi="Arial Narrow" w:cs="Arial Narrow"/>
          <w:color w:val="auto"/>
          <w:sz w:val="20"/>
          <w:szCs w:val="20"/>
          <w:lang w:val="en-US"/>
        </w:rPr>
        <w:t xml:space="preserve"> in case of cross-border scenarios. It should be avoided that a KID accepted in one EU Member State would need to be further adapted if the same product is marketed in another Member State.</w:t>
      </w:r>
    </w:p>
    <w:p w:rsidR="00D43913" w:rsidRPr="001D79C0" w:rsidRDefault="00D43913" w:rsidP="00D43913">
      <w:pPr>
        <w:pStyle w:val="Default"/>
        <w:rPr>
          <w:rFonts w:ascii="Arial Narrow" w:hAnsi="Arial Narrow" w:cs="Arial Narrow"/>
          <w:color w:val="auto"/>
          <w:sz w:val="20"/>
          <w:szCs w:val="20"/>
          <w:lang w:val="en-US"/>
        </w:rPr>
      </w:pPr>
    </w:p>
    <w:p w:rsidR="00D43913" w:rsidRPr="001D79C0" w:rsidRDefault="00D43913" w:rsidP="00D43913">
      <w:pPr>
        <w:pStyle w:val="Default"/>
        <w:rPr>
          <w:rFonts w:ascii="Arial Narrow" w:hAnsi="Arial Narrow" w:cs="Arial Narrow"/>
          <w:color w:val="auto"/>
          <w:sz w:val="20"/>
          <w:szCs w:val="20"/>
          <w:lang w:val="en-US"/>
        </w:rPr>
      </w:pPr>
      <w:r w:rsidRPr="001D79C0">
        <w:rPr>
          <w:rFonts w:ascii="Arial Narrow" w:hAnsi="Arial Narrow" w:cs="Arial Narrow"/>
          <w:color w:val="auto"/>
          <w:sz w:val="20"/>
          <w:szCs w:val="20"/>
          <w:lang w:val="en-US"/>
        </w:rPr>
        <w:t>More detailed rules are also needed for the scenarios covered by Art.13.3 (case where KID may be provided after conclusion of the transaction) and Art.13.4 (successive transactions regarding the same PRIIP carried out on behalf of a retail investor in accordance with his instructions given prior to the first transaction) of the PRIIPs Regulation.</w:t>
      </w:r>
    </w:p>
    <w:permEnd w:id="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2631AC" w:rsidP="00750796">
      <w:permStart w:id="1" w:edGrp="everyone"/>
      <w:r>
        <w:t xml:space="preserve"> </w:t>
      </w:r>
      <w:r w:rsidRPr="000330A7">
        <w:rPr>
          <w:rFonts w:ascii="Arial Narrow" w:hAnsi="Arial Narrow" w:cs="Arial Narrow"/>
          <w:color w:val="0000FF"/>
        </w:rPr>
        <w:t xml:space="preserve">We see merit in clarifying the criteria set out in recital 18 of the Level 1 text. Since the PRIIPs KID is meant to constitute a common standard for key information and, subject to its translation, shall be universally applicable throughout the EU, it is </w:t>
      </w:r>
      <w:r>
        <w:rPr>
          <w:rFonts w:ascii="Arial Narrow" w:hAnsi="Arial Narrow" w:cs="Arial Narrow"/>
          <w:color w:val="0000FF"/>
        </w:rPr>
        <w:t xml:space="preserve">important </w:t>
      </w:r>
      <w:r w:rsidRPr="000330A7">
        <w:rPr>
          <w:rFonts w:ascii="Arial Narrow" w:hAnsi="Arial Narrow" w:cs="Arial Narrow"/>
          <w:color w:val="0000FF"/>
        </w:rPr>
        <w:t xml:space="preserve">that the circumstances under which a comprehension alert needs to be included are consistently interpreted across the Member States. As mentioned in our introductory remarks, for PRIIP manufacturers it is essential that all RTS or other guidelines are issued and published in final form </w:t>
      </w:r>
      <w:r w:rsidRPr="002631AC">
        <w:rPr>
          <w:rFonts w:ascii="Arial Narrow" w:hAnsi="Arial Narrow" w:cs="Arial Narrow"/>
          <w:color w:val="0000FF"/>
        </w:rPr>
        <w:t>9</w:t>
      </w:r>
      <w:r w:rsidRPr="000330A7">
        <w:rPr>
          <w:rFonts w:ascii="Arial Narrow" w:hAnsi="Arial Narrow" w:cs="Arial Narrow"/>
          <w:color w:val="0000FF"/>
        </w:rPr>
        <w:t xml:space="preserve"> month</w:t>
      </w:r>
      <w:r>
        <w:rPr>
          <w:rFonts w:ascii="Arial Narrow" w:hAnsi="Arial Narrow" w:cs="Arial Narrow"/>
          <w:color w:val="0000FF"/>
        </w:rPr>
        <w:t>s</w:t>
      </w:r>
      <w:r w:rsidRPr="000330A7">
        <w:rPr>
          <w:rFonts w:ascii="Arial Narrow" w:hAnsi="Arial Narrow" w:cs="Arial Narrow"/>
          <w:color w:val="0000FF"/>
        </w:rPr>
        <w:t xml:space="preserve"> </w:t>
      </w:r>
      <w:r>
        <w:rPr>
          <w:rFonts w:ascii="Arial Narrow" w:hAnsi="Arial Narrow" w:cs="Arial Narrow"/>
          <w:color w:val="0000FF"/>
        </w:rPr>
        <w:t xml:space="preserve">at the latest </w:t>
      </w:r>
      <w:r w:rsidRPr="000330A7">
        <w:rPr>
          <w:rFonts w:ascii="Arial Narrow" w:hAnsi="Arial Narrow" w:cs="Arial Narrow"/>
          <w:color w:val="0000FF"/>
        </w:rPr>
        <w:t>before the PRIIPs Regulation becomes applicable</w:t>
      </w:r>
      <w:r w:rsidR="001D79C0">
        <w:rPr>
          <w:rFonts w:ascii="Arial Narrow" w:hAnsi="Arial Narrow" w:cs="Arial Narrow"/>
          <w:color w:val="0000FF"/>
        </w:rPr>
        <w:t xml:space="preserve"> </w:t>
      </w:r>
      <w:r>
        <w:rPr>
          <w:rFonts w:ascii="Arial Narrow" w:hAnsi="Arial Narrow" w:cs="Arial Narrow"/>
          <w:color w:val="0000FF"/>
        </w:rPr>
        <w:t>.</w:t>
      </w:r>
      <w:permEnd w:id="1"/>
      <w:r w:rsidR="00750796">
        <w:t>&lt;ESMA_QUESTION_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Pr="00580880" w:rsidRDefault="002631AC" w:rsidP="00750796">
      <w:pPr>
        <w:rPr>
          <w:lang w:val="fr-FR"/>
        </w:rPr>
      </w:pPr>
      <w:permStart w:id="2" w:edGrp="everyone"/>
      <w:r w:rsidRPr="00135BD0">
        <w:rPr>
          <w:rFonts w:ascii="Arial Narrow" w:hAnsi="Arial Narrow" w:cs="Arial Narrow"/>
          <w:color w:val="0000FF"/>
        </w:rPr>
        <w:t xml:space="preserve">In order to allow investors to calculate the impact of cost information on their individual amount, a multiple of 10 has in any case to be used. </w:t>
      </w:r>
      <w:r w:rsidRPr="0036042C">
        <w:rPr>
          <w:rFonts w:ascii="Arial Narrow" w:hAnsi="Arial Narrow" w:cs="Arial Narrow"/>
          <w:color w:val="0000FF"/>
        </w:rPr>
        <w:t xml:space="preserve">We agree with assuming </w:t>
      </w:r>
      <w:r w:rsidRPr="002631AC">
        <w:rPr>
          <w:rFonts w:ascii="Arial Narrow" w:hAnsi="Arial Narrow" w:cs="Arial Narrow"/>
          <w:color w:val="0000FF"/>
        </w:rPr>
        <w:t>EUR 1,000</w:t>
      </w:r>
      <w:r w:rsidRPr="0036042C">
        <w:rPr>
          <w:rFonts w:ascii="Arial Narrow" w:hAnsi="Arial Narrow" w:cs="Arial Narrow"/>
          <w:color w:val="0000FF"/>
        </w:rPr>
        <w:t xml:space="preserve"> as the standard investment amount. This solution represents a fair compromise between average lump sum investments which tend to be rather higher and saving plans which generally involve lower instalment payments. It also has the advantage of being easily multipliable/</w:t>
      </w:r>
      <w:r>
        <w:rPr>
          <w:rFonts w:ascii="Arial Narrow" w:hAnsi="Arial Narrow" w:cs="Arial Narrow"/>
          <w:color w:val="0000FF"/>
        </w:rPr>
        <w:t xml:space="preserve"> </w:t>
      </w:r>
      <w:r w:rsidRPr="0036042C">
        <w:rPr>
          <w:rFonts w:ascii="Arial Narrow" w:hAnsi="Arial Narrow" w:cs="Arial Narrow"/>
          <w:color w:val="0000FF"/>
        </w:rPr>
        <w:t>dividable in order to generate more personalised figures at the point of sale.</w:t>
      </w:r>
      <w:r>
        <w:rPr>
          <w:rFonts w:ascii="Arial Narrow" w:hAnsi="Arial Narrow" w:cs="Arial Narrow"/>
          <w:color w:val="0000FF"/>
        </w:rPr>
        <w:t xml:space="preserve"> </w:t>
      </w:r>
      <w:r w:rsidRPr="0036042C">
        <w:rPr>
          <w:rFonts w:ascii="Arial Narrow" w:hAnsi="Arial Narrow" w:cs="Arial Narrow"/>
          <w:color w:val="0000FF"/>
        </w:rPr>
        <w:t>Moreover, we deem it appropriate to treat the prescribed standardised amount as a default option while allowing the use of different figures in case of PRIIPs with a required investment amount or price which is known in advance.</w:t>
      </w:r>
      <w:r>
        <w:rPr>
          <w:rFonts w:ascii="Arial Narrow" w:hAnsi="Arial Narrow" w:cs="Arial Narrow"/>
          <w:color w:val="808080"/>
        </w:rPr>
        <w:t xml:space="preserve"> </w:t>
      </w:r>
      <w:r w:rsidRPr="0044717B">
        <w:rPr>
          <w:rFonts w:ascii="Arial Narrow" w:hAnsi="Arial Narrow" w:cs="Arial Narrow"/>
          <w:color w:val="0000FF"/>
        </w:rPr>
        <w:t>The investment amounts have to be aligned across all types of PRIIPs. The differentiation between investment funds and insurance based products for instance is not needed and is not in line with the aim of comparability</w:t>
      </w:r>
      <w:permEnd w:id="2"/>
      <w:r w:rsidR="00750796" w:rsidRPr="00580880">
        <w:rPr>
          <w:lang w:val="fr-FR"/>
        </w:rPr>
        <w:t>&lt;ESMA_QUESTION_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493FA6" w:rsidP="00750796">
      <w:pPr>
        <w:rPr>
          <w:lang w:val="fr-FR"/>
        </w:rPr>
      </w:pPr>
      <w:permStart w:id="3" w:edGrp="everyone"/>
      <w:r w:rsidRPr="00DF3968">
        <w:rPr>
          <w:rFonts w:ascii="Arial Narrow" w:hAnsi="Arial Narrow" w:cs="Arial Narrow"/>
          <w:color w:val="0000FF"/>
          <w:szCs w:val="20"/>
        </w:rPr>
        <w:t>In general, we support the overall aim of the Regulation to achieve comparability among all PRIIPs. The existence of different methodologies for different PRIIP categories is clearly contrary to this aim, so we strongly support a harmonization of methodol</w:t>
      </w:r>
      <w:r w:rsidRPr="00DF3968">
        <w:rPr>
          <w:rFonts w:ascii="Arial Narrow" w:hAnsi="Arial Narrow" w:cs="Arial Narrow"/>
          <w:color w:val="0000FF"/>
          <w:szCs w:val="20"/>
        </w:rPr>
        <w:t>o</w:t>
      </w:r>
      <w:r w:rsidRPr="00DF3968">
        <w:rPr>
          <w:rFonts w:ascii="Arial Narrow" w:hAnsi="Arial Narrow" w:cs="Arial Narrow"/>
          <w:color w:val="0000FF"/>
          <w:szCs w:val="20"/>
        </w:rPr>
        <w:t>gies. Referring to the comparison between Cornish Fisher and the bootstrapping approach, our calculations so far indicate similar but not equal results, so we could accept the usage of the Cornish Fisher approach</w:t>
      </w:r>
      <w:proofErr w:type="gramStart"/>
      <w:r w:rsidRPr="00DF3968">
        <w:rPr>
          <w:rFonts w:ascii="Arial Narrow" w:hAnsi="Arial Narrow" w:cs="Arial Narrow"/>
          <w:color w:val="0000FF"/>
          <w:szCs w:val="20"/>
        </w:rPr>
        <w:t>.</w:t>
      </w:r>
      <w:permEnd w:id="3"/>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DF3968" w:rsidRPr="00DF3968" w:rsidRDefault="00DF3968" w:rsidP="00DF3968">
      <w:pPr>
        <w:pStyle w:val="ListParagraph"/>
        <w:ind w:left="0"/>
        <w:jc w:val="both"/>
        <w:rPr>
          <w:rFonts w:ascii="Arial Narrow" w:hAnsi="Arial Narrow" w:cs="Arial Narrow"/>
          <w:color w:val="0000FF"/>
          <w:szCs w:val="20"/>
          <w:lang w:val="en-US"/>
        </w:rPr>
      </w:pPr>
      <w:permStart w:id="4" w:edGrp="everyone"/>
      <w:r w:rsidRPr="00DF3968">
        <w:rPr>
          <w:rFonts w:ascii="Arial Narrow" w:hAnsi="Arial Narrow" w:cs="Arial Narrow"/>
          <w:color w:val="0000FF"/>
          <w:szCs w:val="20"/>
          <w:lang w:val="en-US"/>
        </w:rPr>
        <w:t xml:space="preserve">As the </w:t>
      </w:r>
      <w:proofErr w:type="spellStart"/>
      <w:r w:rsidRPr="00DF3968">
        <w:rPr>
          <w:rFonts w:ascii="Arial Narrow" w:hAnsi="Arial Narrow" w:cs="Arial Narrow"/>
          <w:color w:val="0000FF"/>
          <w:szCs w:val="20"/>
          <w:lang w:val="en-US"/>
        </w:rPr>
        <w:t>VaR</w:t>
      </w:r>
      <w:proofErr w:type="spellEnd"/>
      <w:r w:rsidRPr="00DF3968">
        <w:rPr>
          <w:rFonts w:ascii="Arial Narrow" w:hAnsi="Arial Narrow" w:cs="Arial Narrow"/>
          <w:color w:val="0000FF"/>
          <w:szCs w:val="20"/>
          <w:lang w:val="en-US"/>
        </w:rPr>
        <w:t xml:space="preserve"> level only serves as a basis to calculate the VEV, the confidence interval is of low importance. More important is the prescribed methodology for calculating the </w:t>
      </w:r>
      <w:proofErr w:type="spellStart"/>
      <w:r w:rsidRPr="00DF3968">
        <w:rPr>
          <w:rFonts w:ascii="Arial Narrow" w:hAnsi="Arial Narrow" w:cs="Arial Narrow"/>
          <w:color w:val="0000FF"/>
          <w:szCs w:val="20"/>
          <w:lang w:val="en-US"/>
        </w:rPr>
        <w:t>VaR</w:t>
      </w:r>
      <w:proofErr w:type="spellEnd"/>
      <w:r w:rsidRPr="00DF3968">
        <w:rPr>
          <w:rFonts w:ascii="Arial Narrow" w:hAnsi="Arial Narrow" w:cs="Arial Narrow"/>
          <w:color w:val="0000FF"/>
          <w:szCs w:val="20"/>
          <w:lang w:val="en-US"/>
        </w:rPr>
        <w:t xml:space="preserve"> itself. Due to the fact that different holding periods are taken into account, comparable results cannot be achieved. Furthermore, the proposed methodology enables regulatory arbitrage, for instance in the case of products with a protection feature / barrier. Only small adjustments in barrier levels can have huge impacts on the su</w:t>
      </w:r>
      <w:r w:rsidRPr="00DF3968">
        <w:rPr>
          <w:rFonts w:ascii="Arial Narrow" w:hAnsi="Arial Narrow" w:cs="Arial Narrow"/>
          <w:color w:val="0000FF"/>
          <w:szCs w:val="20"/>
          <w:lang w:val="en-US"/>
        </w:rPr>
        <w:t>m</w:t>
      </w:r>
      <w:r w:rsidRPr="00DF3968">
        <w:rPr>
          <w:rFonts w:ascii="Arial Narrow" w:hAnsi="Arial Narrow" w:cs="Arial Narrow"/>
          <w:color w:val="0000FF"/>
          <w:szCs w:val="20"/>
          <w:lang w:val="en-US"/>
        </w:rPr>
        <w:t xml:space="preserve">mary risk indicator. The confidence level here has an impact on the threshold value for the barrier in order to “produce” low risk indicators, but this methodological problem cannot be solved with an adjustment of the confidence level.    </w:t>
      </w:r>
    </w:p>
    <w:p w:rsidR="00750796" w:rsidRDefault="00DF3968" w:rsidP="00750796">
      <w:r w:rsidRPr="00DF3968">
        <w:rPr>
          <w:rFonts w:ascii="Arial Narrow" w:hAnsi="Arial Narrow" w:cs="Arial Narrow"/>
          <w:bCs/>
          <w:color w:val="0000FF"/>
          <w:szCs w:val="20"/>
        </w:rPr>
        <w:lastRenderedPageBreak/>
        <w:t xml:space="preserve">We support the DDV proposals re. </w:t>
      </w:r>
      <w:proofErr w:type="gramStart"/>
      <w:r w:rsidRPr="00DF3968">
        <w:rPr>
          <w:rFonts w:ascii="Arial Narrow" w:hAnsi="Arial Narrow" w:cs="Arial Narrow"/>
          <w:bCs/>
          <w:color w:val="0000FF"/>
          <w:szCs w:val="20"/>
        </w:rPr>
        <w:t>new</w:t>
      </w:r>
      <w:proofErr w:type="gramEnd"/>
      <w:r w:rsidRPr="00DF3968">
        <w:rPr>
          <w:rFonts w:ascii="Arial Narrow" w:hAnsi="Arial Narrow" w:cs="Arial Narrow"/>
          <w:bCs/>
          <w:color w:val="0000FF"/>
          <w:szCs w:val="20"/>
        </w:rPr>
        <w:t xml:space="preserve"> volatility thresholds for the Market Risk measure as they would prevent that e.g. medium risk equity products are automatically falling in the highest baskets 6</w:t>
      </w:r>
      <w:r w:rsidR="009958C2">
        <w:rPr>
          <w:rFonts w:ascii="Arial Narrow" w:hAnsi="Arial Narrow" w:cs="Arial Narrow"/>
          <w:bCs/>
          <w:color w:val="0000FF"/>
          <w:szCs w:val="20"/>
        </w:rPr>
        <w:t xml:space="preserve"> </w:t>
      </w:r>
      <w:r w:rsidRPr="00DF3968">
        <w:rPr>
          <w:rFonts w:ascii="Arial Narrow" w:hAnsi="Arial Narrow" w:cs="Arial Narrow"/>
          <w:bCs/>
          <w:color w:val="0000FF"/>
          <w:szCs w:val="20"/>
        </w:rPr>
        <w:t>and 7 just because their volatility is above the currently proposed threshold of 25%</w:t>
      </w:r>
      <w:r>
        <w:rPr>
          <w:rFonts w:ascii="Arial Narrow" w:hAnsi="Arial Narrow" w:cs="Arial Narrow"/>
          <w:bCs/>
          <w:color w:val="0000FF"/>
        </w:rPr>
        <w:t xml:space="preserve"> </w:t>
      </w:r>
      <w:permEnd w:id="4"/>
      <w:r w:rsidR="00750796">
        <w:t>&lt;ESMA_QUESTION_</w:t>
      </w:r>
      <w:r w:rsidR="003E4B00">
        <w:t>PRIIPS</w:t>
      </w:r>
      <w:r w:rsidR="00750796">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Pr="00580880" w:rsidRDefault="001D79C0" w:rsidP="00750796">
      <w:pPr>
        <w:rPr>
          <w:lang w:val="fr-FR"/>
        </w:rPr>
      </w:pPr>
      <w:permStart w:id="5" w:edGrp="everyone"/>
      <w:r>
        <w:t xml:space="preserve"> </w:t>
      </w:r>
      <w:r w:rsidRPr="000105D9">
        <w:rPr>
          <w:rFonts w:ascii="Arial Narrow" w:hAnsi="Arial Narrow"/>
          <w:bCs/>
          <w:color w:val="0000FF"/>
        </w:rPr>
        <w:t>Due to the existence of different amounts repayable per person in most compensation or guarantee schemes at national level, we would recommend not taking into account such guarantees in the credit risk assessment of the PRIIPs. We would rather mention the existence of such schemes in the KID</w:t>
      </w:r>
      <w:r w:rsidRPr="000105D9">
        <w:rPr>
          <w:rFonts w:ascii="Arial Narrow" w:hAnsi="Arial Narrow" w:cs="Arial Narrow"/>
          <w:color w:val="0000FF"/>
        </w:rPr>
        <w:t xml:space="preserve"> section </w:t>
      </w:r>
      <w:r w:rsidRPr="000105D9">
        <w:rPr>
          <w:rFonts w:ascii="Arial Narrow" w:hAnsi="Arial Narrow" w:cs="Arial Narrow"/>
          <w:i/>
          <w:color w:val="0000FF"/>
        </w:rPr>
        <w:t>‘</w:t>
      </w:r>
      <w:r w:rsidRPr="000105D9">
        <w:rPr>
          <w:rFonts w:ascii="Arial Narrow" w:hAnsi="Arial Narrow" w:cs="Arial Narrow"/>
          <w:bCs/>
          <w:i/>
          <w:color w:val="0000FF"/>
        </w:rPr>
        <w:t>What happens if [the name of the PRIIP manufacturer] is unable to pay out?</w:t>
      </w:r>
      <w:r>
        <w:rPr>
          <w:rFonts w:ascii="Arial Narrow" w:hAnsi="Arial Narrow" w:cs="Arial Narrow"/>
          <w:bCs/>
          <w:i/>
          <w:color w:val="0000FF"/>
        </w:rPr>
        <w:t xml:space="preserve"> </w:t>
      </w:r>
      <w:permEnd w:id="5"/>
      <w:r w:rsidR="00750796" w:rsidRPr="00580880">
        <w:rPr>
          <w:lang w:val="fr-FR"/>
        </w:rPr>
        <w:t>&lt;ESMA_QUESTION_</w:t>
      </w:r>
      <w:r w:rsidR="003E4B00">
        <w:rPr>
          <w:lang w:val="fr-FR"/>
        </w:rPr>
        <w:t>PRIIPS</w:t>
      </w:r>
      <w:r w:rsidR="00750796"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Pr="00580880" w:rsidRDefault="001D79C0" w:rsidP="003E4B00">
      <w:pPr>
        <w:rPr>
          <w:lang w:val="fr-FR"/>
        </w:rPr>
      </w:pPr>
      <w:permStart w:id="6" w:edGrp="everyone"/>
      <w:r w:rsidRPr="00135BD0">
        <w:rPr>
          <w:rFonts w:ascii="Arial Narrow" w:hAnsi="Arial Narrow" w:cs="Arial Narrow"/>
          <w:color w:val="0000FF"/>
        </w:rPr>
        <w:t>We would not favour PRIIP manufacturers having the option to voluntarily increase the disclosed SRI since it would not be transparent to investors why this discretionary manipulation of the SRI is taking place. A qualitative warning would be more transparent</w:t>
      </w:r>
      <w:r>
        <w:rPr>
          <w:rFonts w:ascii="Arial Narrow" w:hAnsi="Arial Narrow" w:cs="Arial Narrow"/>
          <w:color w:val="0000FF"/>
        </w:rPr>
        <w:t xml:space="preserve"> </w:t>
      </w:r>
      <w:permEnd w:id="6"/>
      <w:r w:rsidR="003E4B00" w:rsidRPr="00580880">
        <w:rPr>
          <w:lang w:val="fr-FR"/>
        </w:rPr>
        <w:t>&lt;ESMA_QUESTION_</w:t>
      </w:r>
      <w:r w:rsidR="003E4B00">
        <w:rPr>
          <w:lang w:val="fr-FR"/>
        </w:rPr>
        <w:t>PRIIPS_6</w:t>
      </w:r>
      <w:r w:rsidR="003E4B00"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Pr="00580880" w:rsidRDefault="00274822" w:rsidP="003E4B00">
      <w:pPr>
        <w:rPr>
          <w:lang w:val="fr-FR"/>
        </w:rPr>
      </w:pPr>
      <w:permStart w:id="7" w:edGrp="everyone"/>
      <w:r w:rsidRPr="00274822">
        <w:rPr>
          <w:rFonts w:ascii="Arial Narrow" w:hAnsi="Arial Narrow"/>
          <w:bCs/>
          <w:color w:val="0000FF"/>
          <w:szCs w:val="20"/>
          <w:lang w:val="en-US"/>
        </w:rPr>
        <w:t>The intention of this question seems to be unclear to us. Compared to UCITS, indeed credit risk applies for the determination of the risk of the PRIIP. However, the tenor will also influence the market risk of the PRIIP so we see no real justification for adding another adjustment for tenor in the credit risk</w:t>
      </w:r>
      <w:proofErr w:type="gramStart"/>
      <w:r w:rsidR="003E5ADB">
        <w:rPr>
          <w:rFonts w:ascii="Arial Narrow" w:hAnsi="Arial Narrow"/>
          <w:bCs/>
          <w:color w:val="0000FF"/>
          <w:szCs w:val="20"/>
          <w:lang w:val="en-US"/>
        </w:rPr>
        <w:t>.</w:t>
      </w:r>
      <w:permEnd w:id="7"/>
      <w:r w:rsidR="003E4B00" w:rsidRPr="00580880">
        <w:rPr>
          <w:lang w:val="fr-FR"/>
        </w:rPr>
        <w:t>&lt;</w:t>
      </w:r>
      <w:proofErr w:type="gramEnd"/>
      <w:r w:rsidR="003E4B00" w:rsidRPr="00580880">
        <w:rPr>
          <w:lang w:val="fr-FR"/>
        </w:rPr>
        <w: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DA3646" w:rsidRPr="002B5619" w:rsidRDefault="00DA3646" w:rsidP="00DA3646">
      <w:pPr>
        <w:pStyle w:val="Default"/>
        <w:jc w:val="both"/>
        <w:rPr>
          <w:rFonts w:ascii="Arial Narrow" w:hAnsi="Arial Narrow" w:cs="Arial Narrow"/>
          <w:color w:val="0000FF"/>
          <w:sz w:val="20"/>
          <w:szCs w:val="20"/>
          <w:lang w:val="en-US"/>
        </w:rPr>
      </w:pPr>
      <w:permStart w:id="8" w:edGrp="everyone"/>
      <w:r w:rsidRPr="002B5619">
        <w:rPr>
          <w:rFonts w:ascii="Arial Narrow" w:hAnsi="Arial Narrow" w:cs="Arial Narrow"/>
          <w:color w:val="0000FF"/>
          <w:sz w:val="20"/>
          <w:szCs w:val="20"/>
          <w:lang w:val="en-US"/>
        </w:rPr>
        <w:t>The scale for Market Risk Measure (MRM) 1-7 looks reasonable. However, we do not consider the assignation of the product Categories I-V to the Market Risk Measure (MRM) to be feasible.</w:t>
      </w:r>
    </w:p>
    <w:p w:rsidR="00DA3646" w:rsidRPr="002B5619" w:rsidRDefault="00DA3646" w:rsidP="00DA3646">
      <w:pPr>
        <w:pStyle w:val="Default"/>
        <w:jc w:val="both"/>
        <w:rPr>
          <w:rFonts w:ascii="Arial Narrow" w:hAnsi="Arial Narrow" w:cs="Arial Narrow"/>
          <w:color w:val="0000FF"/>
          <w:sz w:val="20"/>
          <w:szCs w:val="20"/>
          <w:lang w:val="en-US"/>
        </w:rPr>
      </w:pPr>
      <w:r w:rsidRPr="002B5619">
        <w:rPr>
          <w:rFonts w:ascii="Arial Narrow" w:hAnsi="Arial Narrow" w:cs="Arial Narrow"/>
          <w:color w:val="0000FF"/>
          <w:sz w:val="20"/>
          <w:szCs w:val="20"/>
          <w:lang w:val="en-US"/>
        </w:rPr>
        <w:t>Since there has to be a difference between derivatives (F&amp;O, swaps, forwards,...) and securities (mutual funds, certificates,..) the scale for Category II - V products has to stop at MRM 5, leaving:</w:t>
      </w:r>
    </w:p>
    <w:p w:rsidR="00DA3646" w:rsidRPr="002B5619" w:rsidRDefault="00DA3646" w:rsidP="00DA3646">
      <w:pPr>
        <w:pStyle w:val="Default"/>
        <w:numPr>
          <w:ilvl w:val="0"/>
          <w:numId w:val="52"/>
        </w:numPr>
        <w:jc w:val="both"/>
        <w:rPr>
          <w:rFonts w:ascii="Arial Narrow" w:hAnsi="Arial Narrow" w:cs="Arial Narrow"/>
          <w:color w:val="0000FF"/>
          <w:sz w:val="20"/>
          <w:szCs w:val="20"/>
          <w:lang w:val="en-US"/>
        </w:rPr>
      </w:pPr>
      <w:r w:rsidRPr="002B5619">
        <w:rPr>
          <w:rFonts w:ascii="Arial Narrow" w:hAnsi="Arial Narrow" w:cs="Arial Narrow"/>
          <w:color w:val="0000FF"/>
          <w:sz w:val="20"/>
          <w:szCs w:val="20"/>
          <w:lang w:val="en-US"/>
        </w:rPr>
        <w:t xml:space="preserve">MRM 6 for products with a significant total loss potential (long positions in options, derivatives with leveraged downside) </w:t>
      </w:r>
    </w:p>
    <w:p w:rsidR="00DA3646" w:rsidRPr="002B5619" w:rsidRDefault="00DA3646" w:rsidP="00DA3646">
      <w:pPr>
        <w:pStyle w:val="Default"/>
        <w:numPr>
          <w:ilvl w:val="0"/>
          <w:numId w:val="52"/>
        </w:numPr>
        <w:jc w:val="both"/>
        <w:rPr>
          <w:rFonts w:ascii="Arial Narrow" w:hAnsi="Arial Narrow" w:cs="Arial Narrow"/>
          <w:color w:val="0000FF"/>
          <w:sz w:val="20"/>
          <w:szCs w:val="20"/>
          <w:lang w:val="en-US"/>
        </w:rPr>
      </w:pPr>
      <w:r w:rsidRPr="002B5619">
        <w:rPr>
          <w:rFonts w:ascii="Arial Narrow" w:hAnsi="Arial Narrow" w:cs="Arial Narrow"/>
          <w:color w:val="0000FF"/>
          <w:sz w:val="20"/>
          <w:szCs w:val="20"/>
          <w:lang w:val="en-US"/>
        </w:rPr>
        <w:t>MRM 7 for products with a loss potential being higher than the initially invested amount.</w:t>
      </w:r>
    </w:p>
    <w:p w:rsidR="00DA3646" w:rsidRPr="002B5619" w:rsidRDefault="00DA3646" w:rsidP="00DA3646">
      <w:pPr>
        <w:pStyle w:val="Default"/>
        <w:jc w:val="both"/>
        <w:rPr>
          <w:rFonts w:ascii="Arial Narrow" w:hAnsi="Arial Narrow" w:cs="Arial Narrow"/>
          <w:color w:val="0000FF"/>
          <w:sz w:val="20"/>
          <w:szCs w:val="20"/>
          <w:lang w:val="en-US"/>
        </w:rPr>
      </w:pPr>
      <w:r w:rsidRPr="002B5619">
        <w:rPr>
          <w:rFonts w:ascii="Arial Narrow" w:hAnsi="Arial Narrow" w:cs="Arial Narrow"/>
          <w:color w:val="0000FF"/>
          <w:sz w:val="20"/>
          <w:szCs w:val="20"/>
          <w:lang w:val="en-US"/>
        </w:rPr>
        <w:t>Otherwise, an equity fund may get the same MRM7 as a future on a single stock, which is clearly misleading. In general, the scale does not offer much difference between higher risk products.</w:t>
      </w:r>
    </w:p>
    <w:p w:rsidR="00DA3646" w:rsidRPr="002B5619" w:rsidRDefault="00DA3646" w:rsidP="00DA3646">
      <w:pPr>
        <w:pStyle w:val="Default"/>
        <w:jc w:val="both"/>
        <w:rPr>
          <w:rFonts w:ascii="Arial Narrow" w:hAnsi="Arial Narrow" w:cs="Arial Narrow"/>
          <w:color w:val="0000FF"/>
          <w:sz w:val="20"/>
          <w:szCs w:val="20"/>
          <w:lang w:val="en-US"/>
        </w:rPr>
      </w:pPr>
    </w:p>
    <w:p w:rsidR="00DA3646" w:rsidRPr="002B5619" w:rsidRDefault="00DA3646" w:rsidP="00DA3646">
      <w:pPr>
        <w:pStyle w:val="Default"/>
        <w:jc w:val="both"/>
        <w:rPr>
          <w:rFonts w:ascii="Arial Narrow" w:hAnsi="Arial Narrow"/>
          <w:bCs/>
          <w:color w:val="0000FF"/>
          <w:sz w:val="20"/>
          <w:szCs w:val="20"/>
          <w:lang w:val="en-US"/>
        </w:rPr>
      </w:pPr>
      <w:r w:rsidRPr="002B5619">
        <w:rPr>
          <w:rFonts w:ascii="Arial Narrow" w:hAnsi="Arial Narrow"/>
          <w:bCs/>
          <w:color w:val="0000FF"/>
          <w:sz w:val="20"/>
          <w:szCs w:val="20"/>
          <w:lang w:val="en-US"/>
        </w:rPr>
        <w:t xml:space="preserve">In addition, we would recommend to change for CR3 and MR1&amp;2 from 3 to SRI class 2 in the table. A capital protected product issued or guaranteed by an investment grade institution should be class 2 for short maturities. The strong difference in default </w:t>
      </w:r>
      <w:r w:rsidRPr="002B5619">
        <w:rPr>
          <w:rFonts w:ascii="Arial Narrow" w:hAnsi="Arial Narrow"/>
          <w:bCs/>
          <w:color w:val="0000FF"/>
          <w:sz w:val="20"/>
          <w:szCs w:val="20"/>
          <w:lang w:val="en-US"/>
        </w:rPr>
        <w:lastRenderedPageBreak/>
        <w:t xml:space="preserve">rates between Investment Grade and non Investment Grade issuers should be accentuated here. The longer tenor products will see their risk adjusted through the market risk. </w:t>
      </w:r>
    </w:p>
    <w:p w:rsidR="00DA3646" w:rsidRPr="002B5619" w:rsidRDefault="00DA3646" w:rsidP="00DA3646">
      <w:pPr>
        <w:pStyle w:val="Default"/>
        <w:rPr>
          <w:rFonts w:ascii="Arial Narrow" w:hAnsi="Arial Narrow" w:cs="Arial Narrow"/>
          <w:color w:val="0000FF"/>
          <w:sz w:val="20"/>
          <w:szCs w:val="20"/>
          <w:lang w:val="en-US"/>
        </w:rPr>
      </w:pPr>
    </w:p>
    <w:p w:rsidR="00DA3646" w:rsidRPr="002B5619" w:rsidRDefault="00DA3646" w:rsidP="00DA3646">
      <w:pPr>
        <w:autoSpaceDE w:val="0"/>
        <w:autoSpaceDN w:val="0"/>
        <w:adjustRightInd w:val="0"/>
        <w:jc w:val="both"/>
        <w:rPr>
          <w:rFonts w:ascii="Arial Narrow" w:hAnsi="Arial Narrow" w:cs="Arial Narrow"/>
          <w:color w:val="0000FF"/>
          <w:szCs w:val="20"/>
        </w:rPr>
      </w:pPr>
      <w:r w:rsidRPr="002B5619">
        <w:rPr>
          <w:rFonts w:ascii="Arial Narrow" w:hAnsi="Arial Narrow" w:cs="Arial Narrow"/>
          <w:color w:val="0000FF"/>
          <w:szCs w:val="20"/>
        </w:rPr>
        <w:t xml:space="preserve">Concerning the MRM of </w:t>
      </w:r>
      <w:r w:rsidRPr="002B5619">
        <w:rPr>
          <w:rFonts w:ascii="Arial Narrow" w:hAnsi="Arial Narrow" w:cs="Arial Narrow"/>
          <w:b/>
          <w:color w:val="0000FF"/>
          <w:szCs w:val="20"/>
        </w:rPr>
        <w:t>category V</w:t>
      </w:r>
      <w:r w:rsidRPr="002B5619">
        <w:rPr>
          <w:rFonts w:ascii="Arial Narrow" w:hAnsi="Arial Narrow" w:cs="Arial Narrow"/>
          <w:color w:val="0000FF"/>
          <w:szCs w:val="20"/>
        </w:rPr>
        <w:t xml:space="preserve"> PRIIPs (§12, 13 of Annex II) we strongly disagree with the proposal in § 12 and 14 of Annex II to consider the illiquid nature of the underlying assets as criteria for the MRM of category V PRIIPs. It is essential to ensure that the determination of market risks is without reference to liquidity risk. According to the general proposal in the consultation paper, liquidity risks shall not be part of the overall summery risk indicator (SRI) but shall instead be explained in the narrative part and a warning to the liquidity effect shall be added in the presentation of the SRI (Art. 5 (3) of the draft RTS). Considering the illiquid nature of the underlying assets as criteria for the MRM of category V PRIIPs would be incompatible with the system of the clear distinction between liquidity and market risks. In particular, retail funds which invest more than 50 % of their portfolios in illiquid assets such as German open-ended real estate funds would be assigned disproportionately high risk with the proposed MRM class 4 as category V PRIIPs. Therefore the reference to the illiquid nature of the underlying asset in paragraph 12 of Annex II and the examples described in §14 (ii) and (iii) of Annex II should be deleted. </w:t>
      </w:r>
    </w:p>
    <w:p w:rsidR="00DA3646" w:rsidRPr="002B5619" w:rsidRDefault="00DA3646" w:rsidP="00DA3646">
      <w:pPr>
        <w:autoSpaceDE w:val="0"/>
        <w:autoSpaceDN w:val="0"/>
        <w:adjustRightInd w:val="0"/>
        <w:rPr>
          <w:rFonts w:ascii="Arial Narrow" w:hAnsi="Arial Narrow" w:cs="Arial Narrow"/>
          <w:color w:val="0000FF"/>
          <w:szCs w:val="20"/>
        </w:rPr>
      </w:pPr>
    </w:p>
    <w:p w:rsidR="00DA3646" w:rsidRPr="002B5619" w:rsidRDefault="00DA3646" w:rsidP="00DA3646">
      <w:pPr>
        <w:autoSpaceDE w:val="0"/>
        <w:autoSpaceDN w:val="0"/>
        <w:adjustRightInd w:val="0"/>
        <w:jc w:val="both"/>
        <w:rPr>
          <w:rFonts w:ascii="Arial Narrow" w:hAnsi="Arial Narrow" w:cs="Arial Narrow"/>
          <w:color w:val="0000FF"/>
          <w:szCs w:val="20"/>
        </w:rPr>
      </w:pPr>
      <w:r w:rsidRPr="002B5619">
        <w:rPr>
          <w:rFonts w:ascii="Arial Narrow" w:hAnsi="Arial Narrow" w:cs="Arial Narrow"/>
          <w:color w:val="0000FF"/>
          <w:szCs w:val="20"/>
          <w:u w:val="single"/>
        </w:rPr>
        <w:t xml:space="preserve">If it is decided not to go down this route, </w:t>
      </w:r>
      <w:r w:rsidRPr="002B5619">
        <w:rPr>
          <w:rFonts w:ascii="Arial Narrow" w:hAnsi="Arial Narrow" w:cs="Arial Narrow"/>
          <w:color w:val="0000FF"/>
          <w:szCs w:val="20"/>
        </w:rPr>
        <w:t xml:space="preserve">as a minimum it must be clarified that funds investing in illiquid assets are allowed (or required) to calculate their MRM figures according to the methodology under class II or III if they have sufficient price data for performing such calculations. New funds which anticipate obtaining the relevant data during their lifetime should be able to make provisional MRM calculations with reference to a benchmark or proxy such as an existing fund with a comparable investment strategy as it is foreseen for category II PRIIPs. </w:t>
      </w:r>
    </w:p>
    <w:p w:rsidR="00DA3646" w:rsidRPr="002B5619" w:rsidRDefault="00DA3646" w:rsidP="00DA3646">
      <w:pPr>
        <w:autoSpaceDE w:val="0"/>
        <w:autoSpaceDN w:val="0"/>
        <w:adjustRightInd w:val="0"/>
        <w:jc w:val="both"/>
        <w:rPr>
          <w:rFonts w:ascii="Arial Narrow" w:hAnsi="Arial Narrow" w:cs="Arial Narrow"/>
          <w:color w:val="0000FF"/>
          <w:szCs w:val="20"/>
        </w:rPr>
      </w:pPr>
      <w:r w:rsidRPr="002B5619">
        <w:rPr>
          <w:rFonts w:ascii="Arial Narrow" w:hAnsi="Arial Narrow" w:cs="Arial Narrow"/>
          <w:color w:val="0000FF"/>
          <w:szCs w:val="20"/>
        </w:rPr>
        <w:t>We therefore suggest changing § 13 (a</w:t>
      </w:r>
      <w:proofErr w:type="gramStart"/>
      <w:r w:rsidRPr="002B5619">
        <w:rPr>
          <w:rFonts w:ascii="Arial Narrow" w:hAnsi="Arial Narrow" w:cs="Arial Narrow"/>
          <w:color w:val="0000FF"/>
          <w:szCs w:val="20"/>
        </w:rPr>
        <w:t>)(</w:t>
      </w:r>
      <w:proofErr w:type="spellStart"/>
      <w:proofErr w:type="gramEnd"/>
      <w:r w:rsidRPr="002B5619">
        <w:rPr>
          <w:rFonts w:ascii="Arial Narrow" w:hAnsi="Arial Narrow" w:cs="Arial Narrow"/>
          <w:color w:val="0000FF"/>
          <w:szCs w:val="20"/>
        </w:rPr>
        <w:t>i</w:t>
      </w:r>
      <w:proofErr w:type="spellEnd"/>
      <w:r w:rsidRPr="002B5619">
        <w:rPr>
          <w:rFonts w:ascii="Arial Narrow" w:hAnsi="Arial Narrow" w:cs="Arial Narrow"/>
          <w:color w:val="0000FF"/>
          <w:szCs w:val="20"/>
        </w:rPr>
        <w:t xml:space="preserve">) of Annex II as follows: </w:t>
      </w:r>
    </w:p>
    <w:p w:rsidR="00DA3646" w:rsidRPr="002B5619" w:rsidRDefault="00DA3646" w:rsidP="00DA3646">
      <w:pPr>
        <w:autoSpaceDE w:val="0"/>
        <w:autoSpaceDN w:val="0"/>
        <w:adjustRightInd w:val="0"/>
        <w:ind w:left="360"/>
        <w:jc w:val="both"/>
        <w:rPr>
          <w:rFonts w:ascii="Arial Narrow" w:hAnsi="Arial Narrow" w:cs="Arial Narrow"/>
          <w:color w:val="0000FF"/>
          <w:szCs w:val="20"/>
        </w:rPr>
      </w:pPr>
      <w:r w:rsidRPr="002B5619">
        <w:rPr>
          <w:rFonts w:ascii="Arial Narrow" w:hAnsi="Arial Narrow" w:cs="Arial Narrow"/>
          <w:i/>
          <w:iCs/>
          <w:color w:val="0000FF"/>
          <w:szCs w:val="20"/>
        </w:rPr>
        <w:t xml:space="preserve">“13. For These Category V PRIIPs the MRM class is determined as follows: </w:t>
      </w:r>
    </w:p>
    <w:p w:rsidR="00DA3646" w:rsidRPr="002B5619" w:rsidRDefault="00DA3646" w:rsidP="00DA3646">
      <w:pPr>
        <w:autoSpaceDE w:val="0"/>
        <w:autoSpaceDN w:val="0"/>
        <w:adjustRightInd w:val="0"/>
        <w:ind w:left="360"/>
        <w:jc w:val="both"/>
        <w:rPr>
          <w:rFonts w:ascii="Arial Narrow" w:hAnsi="Arial Narrow" w:cs="Arial Narrow"/>
          <w:color w:val="0000FF"/>
          <w:szCs w:val="20"/>
        </w:rPr>
      </w:pPr>
      <w:r w:rsidRPr="002B5619">
        <w:rPr>
          <w:rFonts w:ascii="Arial Narrow" w:hAnsi="Arial Narrow" w:cs="Arial Narrow"/>
          <w:i/>
          <w:iCs/>
          <w:color w:val="0000FF"/>
          <w:szCs w:val="20"/>
        </w:rPr>
        <w:t xml:space="preserve">(a) Insufficient Data </w:t>
      </w:r>
    </w:p>
    <w:p w:rsidR="00DA3646" w:rsidRPr="002B5619" w:rsidRDefault="00DA3646" w:rsidP="00DA3646">
      <w:pPr>
        <w:autoSpaceDE w:val="0"/>
        <w:autoSpaceDN w:val="0"/>
        <w:adjustRightInd w:val="0"/>
        <w:ind w:left="360"/>
        <w:jc w:val="both"/>
        <w:rPr>
          <w:rFonts w:ascii="Arial Narrow" w:hAnsi="Arial Narrow" w:cs="Arial Narrow"/>
          <w:color w:val="0000FF"/>
          <w:szCs w:val="20"/>
        </w:rPr>
      </w:pPr>
      <w:proofErr w:type="spellStart"/>
      <w:r w:rsidRPr="002B5619">
        <w:rPr>
          <w:rFonts w:ascii="Arial Narrow" w:hAnsi="Arial Narrow" w:cs="Arial Narrow"/>
          <w:i/>
          <w:iCs/>
          <w:color w:val="0000FF"/>
          <w:szCs w:val="20"/>
        </w:rPr>
        <w:t>i</w:t>
      </w:r>
      <w:proofErr w:type="spellEnd"/>
      <w:r w:rsidRPr="002B5619">
        <w:rPr>
          <w:rFonts w:ascii="Arial Narrow" w:hAnsi="Arial Narrow" w:cs="Arial Narrow"/>
          <w:i/>
          <w:iCs/>
          <w:color w:val="0000FF"/>
          <w:szCs w:val="20"/>
        </w:rPr>
        <w:t xml:space="preserve">. When historical data is lacking but a </w:t>
      </w:r>
      <w:r w:rsidRPr="002B5619">
        <w:rPr>
          <w:rFonts w:ascii="Arial Narrow" w:hAnsi="Arial Narrow" w:cs="Arial Narrow"/>
          <w:i/>
          <w:iCs/>
          <w:strike/>
          <w:color w:val="0000FF"/>
          <w:szCs w:val="20"/>
        </w:rPr>
        <w:t xml:space="preserve">natural </w:t>
      </w:r>
      <w:r w:rsidRPr="002B5619">
        <w:rPr>
          <w:rFonts w:ascii="Arial Narrow" w:hAnsi="Arial Narrow" w:cs="Arial Narrow"/>
          <w:i/>
          <w:iCs/>
          <w:color w:val="0000FF"/>
          <w:szCs w:val="20"/>
        </w:rPr>
        <w:t xml:space="preserve">benchmark or a proxy </w:t>
      </w:r>
      <w:r w:rsidRPr="002B5619">
        <w:rPr>
          <w:rFonts w:ascii="Arial Narrow" w:hAnsi="Arial Narrow" w:cs="Arial Narrow"/>
          <w:b/>
          <w:i/>
          <w:iCs/>
          <w:color w:val="0000FF"/>
          <w:szCs w:val="20"/>
        </w:rPr>
        <w:t xml:space="preserve">such as a PRIIP with a comparable investment strategy </w:t>
      </w:r>
      <w:r w:rsidRPr="002B5619">
        <w:rPr>
          <w:rFonts w:ascii="Arial Narrow" w:hAnsi="Arial Narrow" w:cs="Arial Narrow"/>
          <w:i/>
          <w:iCs/>
          <w:color w:val="0000FF"/>
          <w:szCs w:val="20"/>
        </w:rPr>
        <w:t xml:space="preserve">exists, such benchmark or proxy shall be used, subject to relevant documentation; …” </w:t>
      </w:r>
    </w:p>
    <w:p w:rsidR="00DA3646" w:rsidRPr="002B5619" w:rsidRDefault="00DA3646" w:rsidP="00DA3646">
      <w:pPr>
        <w:autoSpaceDE w:val="0"/>
        <w:autoSpaceDN w:val="0"/>
        <w:adjustRightInd w:val="0"/>
        <w:jc w:val="both"/>
        <w:rPr>
          <w:rFonts w:ascii="Arial Narrow" w:hAnsi="Arial Narrow" w:cs="Arial Narrow"/>
          <w:color w:val="0000FF"/>
          <w:szCs w:val="20"/>
        </w:rPr>
      </w:pPr>
      <w:r w:rsidRPr="002B5619">
        <w:rPr>
          <w:rFonts w:ascii="Arial Narrow" w:hAnsi="Arial Narrow" w:cs="Arial Narrow"/>
          <w:color w:val="0000FF"/>
          <w:szCs w:val="20"/>
        </w:rPr>
        <w:t xml:space="preserve">An equivalent supplement should be included in the wording of § 10, last subparagraph, of Annex II. </w:t>
      </w:r>
    </w:p>
    <w:p w:rsidR="00DA3646" w:rsidRPr="002B5619" w:rsidRDefault="00DA3646" w:rsidP="00DA3646">
      <w:pPr>
        <w:autoSpaceDE w:val="0"/>
        <w:autoSpaceDN w:val="0"/>
        <w:adjustRightInd w:val="0"/>
        <w:rPr>
          <w:rFonts w:ascii="Arial Narrow" w:hAnsi="Arial Narrow" w:cs="Arial Narrow"/>
          <w:color w:val="0000FF"/>
          <w:szCs w:val="20"/>
        </w:rPr>
      </w:pPr>
    </w:p>
    <w:p w:rsidR="00DA3646" w:rsidRPr="002B5619" w:rsidRDefault="00DA3646" w:rsidP="00DA3646">
      <w:pPr>
        <w:autoSpaceDE w:val="0"/>
        <w:autoSpaceDN w:val="0"/>
        <w:adjustRightInd w:val="0"/>
        <w:jc w:val="both"/>
        <w:rPr>
          <w:rFonts w:ascii="Arial Narrow" w:hAnsi="Arial Narrow" w:cs="Arial Narrow"/>
          <w:color w:val="0000FF"/>
          <w:szCs w:val="20"/>
        </w:rPr>
      </w:pPr>
      <w:r w:rsidRPr="002B5619">
        <w:rPr>
          <w:rFonts w:ascii="Arial Narrow" w:hAnsi="Arial Narrow" w:cs="Arial Narrow"/>
          <w:color w:val="0000FF"/>
          <w:szCs w:val="20"/>
        </w:rPr>
        <w:t xml:space="preserve">With regard to § 13 of Annex II, we propose to add </w:t>
      </w:r>
      <w:r w:rsidRPr="002B5619">
        <w:rPr>
          <w:rFonts w:ascii="Arial Narrow" w:hAnsi="Arial Narrow" w:cs="Arial Narrow"/>
          <w:b/>
          <w:color w:val="0000FF"/>
          <w:szCs w:val="20"/>
        </w:rPr>
        <w:t>“mixed funds”</w:t>
      </w:r>
      <w:r w:rsidRPr="002B5619">
        <w:rPr>
          <w:rFonts w:ascii="Arial Narrow" w:hAnsi="Arial Narrow" w:cs="Arial Narrow"/>
          <w:color w:val="0000FF"/>
          <w:szCs w:val="20"/>
        </w:rPr>
        <w:t xml:space="preserve"> as another special PRIIP type with a MRM class of “4” in the table. Otherwise this type of funds would be categorised as “all other funds” with a MRM class of 6 although its overall market risk is generally derived from a mixed bond and equity portfolio with varying weightings and the admixture of other assets, and thus should be significantly lower in comparison with other PRIIPs with a MRM class of 6 (such as structured PRIIPs). Mixed funds are retail AIFs established in different forms in several Member States which invest in other investment funds units and/or in assets in which UCITS invest (with the same restrictions as required under the UCITS Directive). According to the current experiences with the synthetic risk and reward indicator (SRRI) for UCITS which also applies for mixed retail funds in Germany, mixed funds are categorised with an average SRRI of “4”. </w:t>
      </w:r>
    </w:p>
    <w:p w:rsidR="00DA3646" w:rsidRPr="002B5619" w:rsidRDefault="00DA3646" w:rsidP="00DA3646">
      <w:pPr>
        <w:autoSpaceDE w:val="0"/>
        <w:autoSpaceDN w:val="0"/>
        <w:adjustRightInd w:val="0"/>
        <w:rPr>
          <w:rFonts w:ascii="Arial Narrow" w:hAnsi="Arial Narrow" w:cs="Arial Narrow"/>
          <w:color w:val="0000FF"/>
          <w:szCs w:val="20"/>
        </w:rPr>
      </w:pPr>
    </w:p>
    <w:p w:rsidR="00DA3646" w:rsidRPr="002B5619" w:rsidRDefault="00DA3646" w:rsidP="00DA3646">
      <w:pPr>
        <w:autoSpaceDE w:val="0"/>
        <w:autoSpaceDN w:val="0"/>
        <w:adjustRightInd w:val="0"/>
        <w:jc w:val="both"/>
        <w:rPr>
          <w:rFonts w:ascii="Arial Narrow" w:hAnsi="Arial Narrow" w:cs="Arial Narrow"/>
          <w:color w:val="0000FF"/>
          <w:szCs w:val="20"/>
        </w:rPr>
      </w:pPr>
      <w:r w:rsidRPr="002B5619">
        <w:rPr>
          <w:rFonts w:ascii="Arial Narrow" w:hAnsi="Arial Narrow" w:cs="Arial Narrow"/>
          <w:color w:val="0000FF"/>
          <w:szCs w:val="20"/>
        </w:rPr>
        <w:t xml:space="preserve">Regarding MRM for </w:t>
      </w:r>
      <w:r w:rsidRPr="002B5619">
        <w:rPr>
          <w:rFonts w:ascii="Arial Narrow" w:hAnsi="Arial Narrow" w:cs="Arial Narrow"/>
          <w:b/>
          <w:color w:val="0000FF"/>
          <w:szCs w:val="20"/>
        </w:rPr>
        <w:t>category II</w:t>
      </w:r>
      <w:r w:rsidRPr="002B5619">
        <w:rPr>
          <w:rFonts w:ascii="Arial Narrow" w:hAnsi="Arial Narrow" w:cs="Arial Narrow"/>
          <w:color w:val="0000FF"/>
          <w:szCs w:val="20"/>
        </w:rPr>
        <w:t xml:space="preserve"> PRIIPs and volatility table </w:t>
      </w:r>
      <w:r w:rsidRPr="002B5619">
        <w:rPr>
          <w:rFonts w:ascii="Arial Narrow" w:hAnsi="Arial Narrow" w:cs="Arial Narrow"/>
          <w:i/>
          <w:iCs/>
          <w:color w:val="0000FF"/>
          <w:szCs w:val="20"/>
        </w:rPr>
        <w:t>(§</w:t>
      </w:r>
      <w:r w:rsidRPr="002B5619">
        <w:rPr>
          <w:rFonts w:ascii="Arial Narrow" w:hAnsi="Arial Narrow" w:cs="Arial Narrow"/>
          <w:color w:val="0000FF"/>
          <w:szCs w:val="20"/>
        </w:rPr>
        <w:t xml:space="preserve"> 29 of Annex II) we suggest modifying the proposed volatility table. This table is identical with the volatility table presented for the computation of the SRRI for UCITS which has been very controve</w:t>
      </w:r>
      <w:r w:rsidRPr="002B5619">
        <w:rPr>
          <w:rFonts w:ascii="Arial Narrow" w:hAnsi="Arial Narrow" w:cs="Arial Narrow"/>
          <w:color w:val="0000FF"/>
          <w:szCs w:val="20"/>
        </w:rPr>
        <w:t>r</w:t>
      </w:r>
      <w:r w:rsidRPr="002B5619">
        <w:rPr>
          <w:rFonts w:ascii="Arial Narrow" w:hAnsi="Arial Narrow" w:cs="Arial Narrow"/>
          <w:color w:val="0000FF"/>
          <w:szCs w:val="20"/>
        </w:rPr>
        <w:t>sially debated from its very inception. It is important to review these volatility buckets bearing in mind that the universe of PRIIPs has been considerably extended in comparison to the range of UCITS and should allow for better discrimination of products. Moreover, the buckets are incapable of addressing all market conditions (e.g. there is no consideration of changed yield curves). The buckets are only based on a five-years-volatility which does not allow any other information about time horizon. However, volatility is only a figure which describes on the basis of estimations how past returns are shared. Depending on certain cond</w:t>
      </w:r>
      <w:r w:rsidRPr="002B5619">
        <w:rPr>
          <w:rFonts w:ascii="Arial Narrow" w:hAnsi="Arial Narrow" w:cs="Arial Narrow"/>
          <w:color w:val="0000FF"/>
          <w:szCs w:val="20"/>
        </w:rPr>
        <w:t>i</w:t>
      </w:r>
      <w:r w:rsidRPr="002B5619">
        <w:rPr>
          <w:rFonts w:ascii="Arial Narrow" w:hAnsi="Arial Narrow" w:cs="Arial Narrow"/>
          <w:color w:val="0000FF"/>
          <w:szCs w:val="20"/>
        </w:rPr>
        <w:t xml:space="preserve">tions, the estimation procedures may vary. These aspects are not considered in the volatility table. Moreover, the volatility (also on the basis of the five-year-volatility) could be subject to large fluctuation depending on the certain market conditions (e.g. very high or very low volatility). Based on these practical experiences, we suggest increasing the level of volatility for MRM class 7 to 30% and to adjust the preceding buckets accordingly. </w:t>
      </w:r>
    </w:p>
    <w:p w:rsidR="00DA3646" w:rsidRPr="002B5619" w:rsidRDefault="00DA3646" w:rsidP="00DA3646">
      <w:pPr>
        <w:rPr>
          <w:rFonts w:ascii="Arial Narrow" w:hAnsi="Arial Narrow" w:cs="Arial Narrow"/>
          <w:b/>
          <w:i/>
          <w:iCs/>
          <w:color w:val="0000FF"/>
          <w:szCs w:val="20"/>
        </w:rPr>
      </w:pPr>
    </w:p>
    <w:p w:rsidR="003E4B00" w:rsidRPr="00580880" w:rsidRDefault="00DA3646" w:rsidP="003E4B00">
      <w:pPr>
        <w:rPr>
          <w:lang w:val="fr-FR"/>
        </w:rPr>
      </w:pPr>
      <w:r w:rsidRPr="002B5619">
        <w:rPr>
          <w:rFonts w:ascii="Arial Narrow" w:hAnsi="Arial Narrow" w:cs="Arial Narrow"/>
          <w:color w:val="0000FF"/>
          <w:szCs w:val="20"/>
        </w:rPr>
        <w:t>As to credit risk classes and the table in § 68 of Annex II showing various credit rating scales used by a number of Credit Rating Agencies (ECAIs), we propose referring to the new rating scales defined in the proposed Final Draft ITS of ECAIs’ Mapping. The rating table presented in the consultation paper seems to deviate from the relevant ESAs proposals</w:t>
      </w:r>
      <w:r w:rsidRPr="0036042C">
        <w:rPr>
          <w:rFonts w:ascii="Arial Narrow" w:hAnsi="Arial Narrow" w:cs="Arial Narrow"/>
          <w:color w:val="0000FF"/>
          <w:sz w:val="24"/>
        </w:rPr>
        <w:t xml:space="preserve">. </w:t>
      </w:r>
      <w:permEnd w:id="8"/>
      <w:r w:rsidR="003E4B00" w:rsidRPr="00580880">
        <w:rPr>
          <w:lang w:val="fr-FR"/>
        </w:rPr>
        <w:t>&lt;E</w:t>
      </w:r>
      <w:r w:rsidR="003E4B00" w:rsidRPr="00580880">
        <w:rPr>
          <w:lang w:val="fr-FR"/>
        </w:rPr>
        <w:t>S</w:t>
      </w:r>
      <w:r w:rsidR="003E4B00" w:rsidRPr="00580880">
        <w:rPr>
          <w:lang w:val="fr-FR"/>
        </w:rPr>
        <w:t>MA_QUESTION_</w:t>
      </w:r>
      <w:r w:rsidR="003E4B00">
        <w:rPr>
          <w:lang w:val="fr-FR"/>
        </w:rPr>
        <w:t>PRIIPS_8</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lastRenderedPageBreak/>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ED7C0C" w:rsidRPr="00ED7C0C" w:rsidRDefault="00ED7C0C" w:rsidP="00ED7C0C">
      <w:pPr>
        <w:pStyle w:val="Default"/>
        <w:jc w:val="both"/>
        <w:rPr>
          <w:rFonts w:ascii="Arial Narrow" w:hAnsi="Arial Narrow" w:cs="Arial Narrow"/>
          <w:color w:val="0000FF"/>
          <w:sz w:val="20"/>
          <w:szCs w:val="20"/>
          <w:lang w:val="en-US"/>
        </w:rPr>
      </w:pPr>
      <w:permStart w:id="9" w:edGrp="everyone"/>
      <w:r w:rsidRPr="00ED7C0C">
        <w:rPr>
          <w:rFonts w:ascii="Arial Narrow" w:hAnsi="Arial Narrow" w:cs="Arial Narrow"/>
          <w:color w:val="0000FF"/>
          <w:sz w:val="20"/>
          <w:szCs w:val="20"/>
          <w:lang w:val="en-US"/>
        </w:rPr>
        <w:t xml:space="preserve">This approach is right for all investors investing at inception at 100% of the nominal. In case the investor invests later through the secondary market he may get the product at e.g. 120% of the nominal since market performance may increase the value of the product. </w:t>
      </w:r>
    </w:p>
    <w:p w:rsidR="00ED7C0C" w:rsidRPr="00ED7C0C" w:rsidRDefault="00ED7C0C" w:rsidP="00ED7C0C">
      <w:pPr>
        <w:pStyle w:val="Default"/>
        <w:jc w:val="both"/>
        <w:rPr>
          <w:rFonts w:ascii="Arial Narrow" w:hAnsi="Arial Narrow" w:cs="Arial Narrow"/>
          <w:color w:val="0000FF"/>
          <w:sz w:val="20"/>
          <w:szCs w:val="20"/>
          <w:lang w:val="en-US"/>
        </w:rPr>
      </w:pPr>
      <w:r w:rsidRPr="00ED7C0C">
        <w:rPr>
          <w:rFonts w:ascii="Arial Narrow" w:hAnsi="Arial Narrow" w:cs="Arial Narrow"/>
          <w:color w:val="0000FF"/>
          <w:sz w:val="20"/>
          <w:szCs w:val="20"/>
          <w:lang w:val="en-US"/>
        </w:rPr>
        <w:t>This investor does not feel 100% capital protection but a partial protection. Therefore, for the MRM there should be a difference between primary and secondary market.</w:t>
      </w:r>
    </w:p>
    <w:p w:rsidR="003E4B00" w:rsidRPr="00580880" w:rsidRDefault="00ED7C0C" w:rsidP="003E4B00">
      <w:pPr>
        <w:rPr>
          <w:lang w:val="fr-FR"/>
        </w:rPr>
      </w:pPr>
      <w:r w:rsidRPr="00ED7C0C">
        <w:rPr>
          <w:rFonts w:ascii="Arial Narrow" w:hAnsi="Arial Narrow"/>
          <w:bCs/>
          <w:color w:val="0000FF"/>
          <w:szCs w:val="20"/>
        </w:rPr>
        <w:t xml:space="preserve">We would recommend bringing the criteria of 5 years to 8 years. The most important criteria for retail clients </w:t>
      </w:r>
      <w:proofErr w:type="gramStart"/>
      <w:r w:rsidRPr="00ED7C0C">
        <w:rPr>
          <w:rFonts w:ascii="Arial Narrow" w:hAnsi="Arial Narrow"/>
          <w:bCs/>
          <w:color w:val="0000FF"/>
          <w:szCs w:val="20"/>
        </w:rPr>
        <w:t>is</w:t>
      </w:r>
      <w:proofErr w:type="gramEnd"/>
      <w:r w:rsidRPr="00ED7C0C">
        <w:rPr>
          <w:rFonts w:ascii="Arial Narrow" w:hAnsi="Arial Narrow"/>
          <w:bCs/>
          <w:color w:val="0000FF"/>
          <w:szCs w:val="20"/>
        </w:rPr>
        <w:t xml:space="preserve"> the capital prote</w:t>
      </w:r>
      <w:r w:rsidRPr="00ED7C0C">
        <w:rPr>
          <w:rFonts w:ascii="Arial Narrow" w:hAnsi="Arial Narrow"/>
          <w:bCs/>
          <w:color w:val="0000FF"/>
          <w:szCs w:val="20"/>
        </w:rPr>
        <w:t>c</w:t>
      </w:r>
      <w:r w:rsidRPr="00ED7C0C">
        <w:rPr>
          <w:rFonts w:ascii="Arial Narrow" w:hAnsi="Arial Narrow"/>
          <w:bCs/>
          <w:color w:val="0000FF"/>
          <w:szCs w:val="20"/>
        </w:rPr>
        <w:t xml:space="preserve">tion and the quality of the issuer or guarantor. The tenor is captured in </w:t>
      </w:r>
      <w:proofErr w:type="spellStart"/>
      <w:r w:rsidRPr="00ED7C0C">
        <w:rPr>
          <w:rFonts w:ascii="Arial Narrow" w:hAnsi="Arial Narrow"/>
          <w:bCs/>
          <w:color w:val="0000FF"/>
          <w:szCs w:val="20"/>
        </w:rPr>
        <w:t>MiFID</w:t>
      </w:r>
      <w:proofErr w:type="spellEnd"/>
      <w:r w:rsidRPr="00ED7C0C">
        <w:rPr>
          <w:rFonts w:ascii="Arial Narrow" w:hAnsi="Arial Narrow"/>
          <w:bCs/>
          <w:color w:val="0000FF"/>
          <w:szCs w:val="20"/>
        </w:rPr>
        <w:t xml:space="preserve"> through the investment horizon. If the 5 year is kept, products with capital guarantee and without will have too similar risk attributed where for retail clients they have very different objectives and </w:t>
      </w:r>
      <w:proofErr w:type="spellStart"/>
      <w:r w:rsidRPr="00ED7C0C">
        <w:rPr>
          <w:rFonts w:ascii="Arial Narrow" w:hAnsi="Arial Narrow"/>
          <w:bCs/>
          <w:color w:val="0000FF"/>
          <w:szCs w:val="20"/>
        </w:rPr>
        <w:t>behavior</w:t>
      </w:r>
      <w:proofErr w:type="spellEnd"/>
      <w:proofErr w:type="gramStart"/>
      <w:r w:rsidRPr="00ED7C0C">
        <w:rPr>
          <w:rFonts w:ascii="Arial Narrow" w:hAnsi="Arial Narrow"/>
          <w:bCs/>
          <w:color w:val="0000FF"/>
          <w:szCs w:val="20"/>
        </w:rPr>
        <w:t>.</w:t>
      </w:r>
      <w:permEnd w:id="9"/>
      <w:r w:rsidR="003E4B00" w:rsidRPr="00580880">
        <w:rPr>
          <w:lang w:val="fr-FR"/>
        </w:rPr>
        <w:t>&lt;</w:t>
      </w:r>
      <w:proofErr w:type="gramEnd"/>
      <w:r w:rsidR="003E4B00" w:rsidRPr="00580880">
        <w:rPr>
          <w:lang w:val="fr-FR"/>
        </w:rPr>
        <w: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Pr="00580880" w:rsidRDefault="00ED7C0C" w:rsidP="003E4B00">
      <w:pPr>
        <w:rPr>
          <w:lang w:val="fr-FR"/>
        </w:rPr>
      </w:pPr>
      <w:permStart w:id="10" w:edGrp="everyone"/>
      <w:r w:rsidRPr="00ED7C0C">
        <w:rPr>
          <w:rFonts w:ascii="Arial Narrow" w:hAnsi="Arial Narrow" w:cs="Arial Narrow"/>
          <w:color w:val="0000FF"/>
          <w:szCs w:val="20"/>
          <w:lang w:val="en-US"/>
        </w:rPr>
        <w:t>Only the credit risk mitigating factors such as those described in § 65 of Annex II should be taken into account in the credit risk assessment of the PRIIP</w:t>
      </w:r>
      <w:proofErr w:type="gramStart"/>
      <w:r w:rsidRPr="00ED7C0C">
        <w:rPr>
          <w:rFonts w:ascii="Arial Narrow" w:hAnsi="Arial Narrow" w:cs="Arial Narrow"/>
          <w:color w:val="0000FF"/>
          <w:szCs w:val="20"/>
          <w:lang w:val="en-US"/>
        </w:rPr>
        <w:t>.</w:t>
      </w:r>
      <w:permEnd w:id="10"/>
      <w:r w:rsidR="003E4B00" w:rsidRPr="00580880">
        <w:rPr>
          <w:lang w:val="fr-FR"/>
        </w:rPr>
        <w:t>&lt;</w:t>
      </w:r>
      <w:proofErr w:type="gramEnd"/>
      <w:r w:rsidR="003E4B00" w:rsidRPr="00580880">
        <w:rPr>
          <w:lang w:val="fr-FR"/>
        </w:rPr>
        <w:t>ESMA_QUESTION_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Pr="00580880" w:rsidRDefault="00646E4C" w:rsidP="003E4B00">
      <w:pPr>
        <w:rPr>
          <w:lang w:val="fr-FR"/>
        </w:rPr>
      </w:pPr>
      <w:permStart w:id="11" w:edGrp="everyone"/>
      <w:r w:rsidRPr="00646E4C">
        <w:rPr>
          <w:rFonts w:ascii="Arial Narrow" w:hAnsi="Arial Narrow" w:cs="Arial Narrow"/>
          <w:color w:val="0000FF"/>
          <w:szCs w:val="20"/>
          <w:lang w:val="en-US"/>
        </w:rPr>
        <w:t>Annex II § 55 c) should be deleted as it would mean that in case of a certificate on an established stock market index (such as the German DAX), the credit assessment should include all companies being covered by the index. Since credit risk of those comp</w:t>
      </w:r>
      <w:r w:rsidRPr="00646E4C">
        <w:rPr>
          <w:rFonts w:ascii="Arial Narrow" w:hAnsi="Arial Narrow" w:cs="Arial Narrow"/>
          <w:color w:val="0000FF"/>
          <w:szCs w:val="20"/>
          <w:lang w:val="en-US"/>
        </w:rPr>
        <w:t>a</w:t>
      </w:r>
      <w:r w:rsidRPr="00646E4C">
        <w:rPr>
          <w:rFonts w:ascii="Arial Narrow" w:hAnsi="Arial Narrow" w:cs="Arial Narrow"/>
          <w:color w:val="0000FF"/>
          <w:szCs w:val="20"/>
          <w:lang w:val="en-US"/>
        </w:rPr>
        <w:t xml:space="preserve">nies is not relevant (barely measurable), the logic should be that as long as the payout is linked to performance, the credit risk of the underlying should not have any impact. </w:t>
      </w:r>
      <w:permEnd w:id="11"/>
      <w:r w:rsidR="003E4B00" w:rsidRPr="00580880">
        <w:rPr>
          <w:lang w:val="fr-FR"/>
        </w:rPr>
        <w:t>&lt;ESMA_QUESTION_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Pr="00580880" w:rsidRDefault="00FB7CFD" w:rsidP="003E4B00">
      <w:pPr>
        <w:rPr>
          <w:lang w:val="fr-FR"/>
        </w:rPr>
      </w:pPr>
      <w:permStart w:id="12" w:edGrp="everyone"/>
      <w:r w:rsidRPr="00FB7CFD">
        <w:rPr>
          <w:rFonts w:ascii="Arial Narrow" w:hAnsi="Arial Narrow" w:cs="Arial Narrow"/>
          <w:color w:val="0000FF"/>
          <w:szCs w:val="20"/>
          <w:lang w:val="en-US"/>
        </w:rPr>
        <w:t xml:space="preserve">The currency risk is indeed varying depending on the home currency of the investor. However, since the PRIIP </w:t>
      </w:r>
      <w:r w:rsidRPr="00FB7CFD">
        <w:rPr>
          <w:rFonts w:ascii="Arial Narrow" w:hAnsi="Arial Narrow" w:cs="Arial Narrow"/>
          <w:bCs/>
          <w:color w:val="0000FF"/>
          <w:szCs w:val="20"/>
          <w:lang w:val="en-US"/>
        </w:rPr>
        <w:t>KID</w:t>
      </w:r>
      <w:r w:rsidRPr="00FB7CFD">
        <w:rPr>
          <w:rFonts w:ascii="Arial Narrow" w:hAnsi="Arial Narrow" w:cs="Arial Narrow"/>
          <w:color w:val="0000FF"/>
          <w:szCs w:val="20"/>
          <w:lang w:val="en-US"/>
        </w:rPr>
        <w:t xml:space="preserve"> should be the same in all countries it is not possible to have a general integration of the currency risk into the SRI calculation. Rather, a general disclaimer could be added giving investors an indication that he should be clear about the currency of his investment and that he should be aware of that there could be currency risk in case the currency of the products would be different from his home currency.</w:t>
      </w:r>
      <w:permEnd w:id="12"/>
      <w:r w:rsidR="003E4B00" w:rsidRPr="00580880">
        <w:rPr>
          <w:lang w:val="fr-FR"/>
        </w:rPr>
        <w:t>&lt;ESMA_QUESTION_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055A14" w:rsidRPr="00055A14" w:rsidRDefault="00055A14" w:rsidP="00055A14">
      <w:pPr>
        <w:pStyle w:val="Default"/>
        <w:jc w:val="both"/>
        <w:rPr>
          <w:rFonts w:ascii="Arial Narrow" w:hAnsi="Arial Narrow" w:cs="Arial Narrow"/>
          <w:color w:val="0000FF"/>
          <w:sz w:val="20"/>
          <w:szCs w:val="20"/>
          <w:lang w:val="en-US"/>
        </w:rPr>
      </w:pPr>
      <w:permStart w:id="13" w:edGrp="everyone"/>
      <w:r w:rsidRPr="00055A14">
        <w:rPr>
          <w:rFonts w:ascii="Arial Narrow" w:hAnsi="Arial Narrow" w:cs="Arial Narrow"/>
          <w:color w:val="0000FF"/>
          <w:sz w:val="20"/>
          <w:szCs w:val="20"/>
          <w:lang w:val="en-US"/>
        </w:rPr>
        <w:t>We do not consider this issue to be sufficiently addressed, please also refer to</w:t>
      </w:r>
      <w:r>
        <w:rPr>
          <w:rFonts w:ascii="Arial Narrow" w:hAnsi="Arial Narrow" w:cs="Arial Narrow"/>
          <w:color w:val="0000FF"/>
          <w:sz w:val="20"/>
          <w:szCs w:val="20"/>
          <w:lang w:val="en-US"/>
        </w:rPr>
        <w:t xml:space="preserve"> </w:t>
      </w:r>
      <w:r w:rsidRPr="00055A14">
        <w:rPr>
          <w:rFonts w:ascii="Arial Narrow" w:hAnsi="Arial Narrow" w:cs="Arial Narrow"/>
          <w:color w:val="0000FF"/>
          <w:sz w:val="20"/>
          <w:szCs w:val="20"/>
          <w:lang w:val="en-US"/>
        </w:rPr>
        <w:t xml:space="preserve">our answer to question 9 (re. </w:t>
      </w:r>
      <w:proofErr w:type="gramStart"/>
      <w:r w:rsidRPr="00055A14">
        <w:rPr>
          <w:rFonts w:ascii="Arial Narrow" w:hAnsi="Arial Narrow" w:cs="Arial Narrow"/>
          <w:color w:val="0000FF"/>
          <w:sz w:val="20"/>
          <w:szCs w:val="20"/>
          <w:lang w:val="en-US"/>
        </w:rPr>
        <w:t>PRIIPS offering a capital protection during their whole lifespan).</w:t>
      </w:r>
      <w:proofErr w:type="gramEnd"/>
      <w:r w:rsidRPr="00055A14">
        <w:rPr>
          <w:rFonts w:ascii="Arial Narrow" w:hAnsi="Arial Narrow" w:cs="Arial Narrow"/>
          <w:color w:val="0000FF"/>
          <w:sz w:val="20"/>
          <w:szCs w:val="20"/>
          <w:lang w:val="en-US"/>
        </w:rPr>
        <w:t xml:space="preserve"> These products could be treated the same way as Category III products.</w:t>
      </w:r>
    </w:p>
    <w:p w:rsidR="00055A14" w:rsidRPr="00055A14" w:rsidRDefault="00055A14" w:rsidP="00055A14">
      <w:pPr>
        <w:pStyle w:val="Default"/>
        <w:jc w:val="both"/>
        <w:rPr>
          <w:rFonts w:ascii="Arial Narrow" w:hAnsi="Arial Narrow" w:cs="Arial Narrow"/>
          <w:color w:val="0000FF"/>
          <w:sz w:val="20"/>
          <w:szCs w:val="20"/>
          <w:lang w:val="en-US"/>
        </w:rPr>
      </w:pPr>
    </w:p>
    <w:p w:rsidR="003E4B00" w:rsidRDefault="00055A14" w:rsidP="00055A14">
      <w:r w:rsidRPr="00055A14">
        <w:rPr>
          <w:rFonts w:ascii="Arial Narrow" w:hAnsi="Arial Narrow" w:cs="Arial Narrow"/>
          <w:color w:val="0000FF"/>
          <w:szCs w:val="20"/>
        </w:rPr>
        <w:t>The SRI should clearly indicate that it is computed on the assumption that the investor keeps the PRIIP until maturity, and therefore that it does not cover the risk associated with early redemptions by investors or secondary market transactions. A warning should be required for capital guaranteed PRIIPs, stating that the value of the PRIIP could be significantly lower than the guaranteed value during the life of the PRIIP due to market and liquidity risk and the corresponding fluctuations of market prices</w:t>
      </w:r>
    </w:p>
    <w:permEnd w:id="1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D3247C" w:rsidRPr="00D3247C" w:rsidRDefault="00D3247C" w:rsidP="00D3247C">
      <w:pPr>
        <w:autoSpaceDE w:val="0"/>
        <w:autoSpaceDN w:val="0"/>
        <w:adjustRightInd w:val="0"/>
        <w:jc w:val="both"/>
        <w:rPr>
          <w:rFonts w:ascii="Arial Narrow" w:hAnsi="Arial Narrow" w:cs="Arial Narrow"/>
          <w:color w:val="0000FF"/>
          <w:szCs w:val="20"/>
        </w:rPr>
      </w:pPr>
      <w:permStart w:id="14" w:edGrp="everyone"/>
      <w:r w:rsidRPr="00D3247C">
        <w:rPr>
          <w:rFonts w:ascii="Arial Narrow" w:hAnsi="Arial Narrow" w:cs="Arial Narrow"/>
          <w:color w:val="0000FF"/>
          <w:szCs w:val="20"/>
        </w:rPr>
        <w:t>The proposed use of the performance fee figures as displayed in the cost section is not appropriate as a basis for the relevant calculations of the moderate scenario. For investment funds charging performance fees this approach will effectively result in the past performance of the preceding five years being presented as a moderate performance option. For example, if a fund substa</w:t>
      </w:r>
      <w:r w:rsidRPr="00D3247C">
        <w:rPr>
          <w:rFonts w:ascii="Arial Narrow" w:hAnsi="Arial Narrow" w:cs="Arial Narrow"/>
          <w:color w:val="0000FF"/>
          <w:szCs w:val="20"/>
        </w:rPr>
        <w:t>n</w:t>
      </w:r>
      <w:r w:rsidRPr="00D3247C">
        <w:rPr>
          <w:rFonts w:ascii="Arial Narrow" w:hAnsi="Arial Narrow" w:cs="Arial Narrow"/>
          <w:color w:val="0000FF"/>
          <w:szCs w:val="20"/>
        </w:rPr>
        <w:t>tially outperformed its benchmark in the past five years, this outperformance would now be considered as the normally expected return under the moderate scenario. Moreover, the corresponding favourable scenario should assume an even stronger outpe</w:t>
      </w:r>
      <w:r w:rsidRPr="00D3247C">
        <w:rPr>
          <w:rFonts w:ascii="Arial Narrow" w:hAnsi="Arial Narrow" w:cs="Arial Narrow"/>
          <w:color w:val="0000FF"/>
          <w:szCs w:val="20"/>
        </w:rPr>
        <w:t>r</w:t>
      </w:r>
      <w:r w:rsidRPr="00D3247C">
        <w:rPr>
          <w:rFonts w:ascii="Arial Narrow" w:hAnsi="Arial Narrow" w:cs="Arial Narrow"/>
          <w:color w:val="0000FF"/>
          <w:szCs w:val="20"/>
        </w:rPr>
        <w:t>formance which would be even more peculiar. The unfavourable scenario would then need to be construed alongside perfor</w:t>
      </w:r>
      <w:r w:rsidRPr="00D3247C">
        <w:rPr>
          <w:rFonts w:ascii="Arial Narrow" w:hAnsi="Arial Narrow" w:cs="Arial Narrow"/>
          <w:color w:val="0000FF"/>
          <w:szCs w:val="20"/>
        </w:rPr>
        <w:t>m</w:t>
      </w:r>
      <w:r w:rsidRPr="00D3247C">
        <w:rPr>
          <w:rFonts w:ascii="Arial Narrow" w:hAnsi="Arial Narrow" w:cs="Arial Narrow"/>
          <w:color w:val="0000FF"/>
          <w:szCs w:val="20"/>
        </w:rPr>
        <w:t>ance prospects which should more or less mirror the favourable scenario on the negative side.</w:t>
      </w:r>
    </w:p>
    <w:p w:rsidR="00D3247C" w:rsidRPr="00D3247C" w:rsidRDefault="00D3247C" w:rsidP="00D3247C">
      <w:pPr>
        <w:autoSpaceDE w:val="0"/>
        <w:autoSpaceDN w:val="0"/>
        <w:adjustRightInd w:val="0"/>
        <w:jc w:val="both"/>
        <w:rPr>
          <w:rFonts w:ascii="Arial Narrow" w:hAnsi="Arial Narrow" w:cs="Arial Narrow"/>
          <w:color w:val="0000FF"/>
          <w:szCs w:val="20"/>
        </w:rPr>
      </w:pPr>
      <w:r w:rsidRPr="00D3247C">
        <w:rPr>
          <w:rFonts w:ascii="Arial Narrow" w:hAnsi="Arial Narrow" w:cs="Arial Narrow"/>
          <w:color w:val="0000FF"/>
          <w:szCs w:val="20"/>
        </w:rPr>
        <w:t xml:space="preserve"> </w:t>
      </w:r>
    </w:p>
    <w:p w:rsidR="00D3247C" w:rsidRPr="00D3247C" w:rsidRDefault="00D3247C" w:rsidP="00D3247C">
      <w:pPr>
        <w:pStyle w:val="Default"/>
        <w:jc w:val="both"/>
        <w:rPr>
          <w:rFonts w:ascii="Arial Narrow" w:hAnsi="Arial Narrow" w:cs="Arial Narrow"/>
          <w:color w:val="0000FF"/>
          <w:sz w:val="20"/>
          <w:szCs w:val="20"/>
          <w:lang w:val="en-US"/>
        </w:rPr>
      </w:pPr>
      <w:r w:rsidRPr="00D3247C">
        <w:rPr>
          <w:rFonts w:ascii="Arial Narrow" w:hAnsi="Arial Narrow" w:cs="Arial Narrow"/>
          <w:color w:val="0000FF"/>
          <w:sz w:val="20"/>
          <w:szCs w:val="20"/>
          <w:lang w:val="en-US"/>
        </w:rPr>
        <w:t xml:space="preserve">Since performance scenarios are meant to illustrate not only the effects of performance fees, but more generally the possible return achievable in a PRIIP in different market conditions, it appears too short-sighted to make the choice of relevant scenarios entirely dependent on the past results in terms of performance fees. </w:t>
      </w:r>
    </w:p>
    <w:p w:rsidR="00D3247C" w:rsidRPr="00D3247C" w:rsidRDefault="00D3247C" w:rsidP="00D3247C">
      <w:pPr>
        <w:autoSpaceDE w:val="0"/>
        <w:autoSpaceDN w:val="0"/>
        <w:adjustRightInd w:val="0"/>
        <w:jc w:val="both"/>
        <w:rPr>
          <w:rFonts w:ascii="Arial Narrow" w:hAnsi="Arial Narrow" w:cs="Arial Narrow"/>
          <w:color w:val="0000FF"/>
          <w:szCs w:val="20"/>
        </w:rPr>
      </w:pPr>
    </w:p>
    <w:p w:rsidR="00D3247C" w:rsidRPr="00D3247C" w:rsidRDefault="00D3247C" w:rsidP="00D3247C">
      <w:pPr>
        <w:autoSpaceDE w:val="0"/>
        <w:autoSpaceDN w:val="0"/>
        <w:adjustRightInd w:val="0"/>
        <w:jc w:val="both"/>
        <w:rPr>
          <w:rFonts w:ascii="Arial Narrow" w:hAnsi="Arial Narrow" w:cs="Arial Narrow"/>
          <w:color w:val="0000FF"/>
          <w:szCs w:val="20"/>
        </w:rPr>
      </w:pPr>
      <w:r w:rsidRPr="00D3247C">
        <w:rPr>
          <w:rFonts w:ascii="Arial Narrow" w:hAnsi="Arial Narrow" w:cs="Arial Narrow"/>
          <w:color w:val="0000FF"/>
          <w:szCs w:val="20"/>
        </w:rPr>
        <w:t xml:space="preserve">Rather, </w:t>
      </w:r>
      <w:r w:rsidRPr="00D3247C">
        <w:rPr>
          <w:rFonts w:ascii="Arial Narrow" w:hAnsi="Arial Narrow" w:cs="Arial Narrow"/>
          <w:bCs/>
          <w:color w:val="0000FF"/>
          <w:szCs w:val="20"/>
        </w:rPr>
        <w:t>it should be up to the discretion of the product provider whether the previous performance results which generated the performance fee are presented as a moderate or a favourable scenario depending on the extent of the achieved outperformance and the underlying development of the markets. Fund providers should also have the discretion to assume different benchmark returns for different scenarios in order to avoid overly positive performance presentation in case of outstanding market perfor</w:t>
      </w:r>
      <w:r w:rsidRPr="00D3247C">
        <w:rPr>
          <w:rFonts w:ascii="Arial Narrow" w:hAnsi="Arial Narrow" w:cs="Arial Narrow"/>
          <w:bCs/>
          <w:color w:val="0000FF"/>
          <w:szCs w:val="20"/>
        </w:rPr>
        <w:t>m</w:t>
      </w:r>
      <w:r w:rsidRPr="00D3247C">
        <w:rPr>
          <w:rFonts w:ascii="Arial Narrow" w:hAnsi="Arial Narrow" w:cs="Arial Narrow"/>
          <w:bCs/>
          <w:color w:val="0000FF"/>
          <w:szCs w:val="20"/>
        </w:rPr>
        <w:t>ance in the preceding years.</w:t>
      </w:r>
      <w:r w:rsidRPr="00D3247C">
        <w:rPr>
          <w:rFonts w:ascii="Arial Narrow" w:hAnsi="Arial Narrow" w:cs="Arial Narrow"/>
          <w:b/>
          <w:bCs/>
          <w:color w:val="0000FF"/>
          <w:szCs w:val="20"/>
        </w:rPr>
        <w:t xml:space="preserve"> </w:t>
      </w:r>
      <w:r w:rsidRPr="00D3247C">
        <w:rPr>
          <w:rFonts w:ascii="Arial Narrow" w:hAnsi="Arial Narrow" w:cs="Arial Narrow"/>
          <w:color w:val="0000FF"/>
          <w:szCs w:val="20"/>
        </w:rPr>
        <w:t>For instance, under the approach proposed by the ESAs, equity funds which succeeded to beat their respective benchmark would have been required to make assumptions on their performance on the basis of very positive market developments in the years 2003-2007, even though the market prospects have changed and the responsible fund managers would have known that past performance figures will not be even remotely achievable in the near future. In this case, and assu</w:t>
      </w:r>
      <w:r w:rsidRPr="00D3247C">
        <w:rPr>
          <w:rFonts w:ascii="Arial Narrow" w:hAnsi="Arial Narrow" w:cs="Arial Narrow"/>
          <w:color w:val="0000FF"/>
          <w:szCs w:val="20"/>
        </w:rPr>
        <w:t>m</w:t>
      </w:r>
      <w:r w:rsidRPr="00D3247C">
        <w:rPr>
          <w:rFonts w:ascii="Arial Narrow" w:hAnsi="Arial Narrow" w:cs="Arial Narrow"/>
          <w:color w:val="0000FF"/>
          <w:szCs w:val="20"/>
        </w:rPr>
        <w:t>ing that other funds would follow the general line of illustrating performance on the basis of reasonable and conservative assum</w:t>
      </w:r>
      <w:r w:rsidRPr="00D3247C">
        <w:rPr>
          <w:rFonts w:ascii="Arial Narrow" w:hAnsi="Arial Narrow" w:cs="Arial Narrow"/>
          <w:color w:val="0000FF"/>
          <w:szCs w:val="20"/>
        </w:rPr>
        <w:t>p</w:t>
      </w:r>
      <w:r w:rsidRPr="00D3247C">
        <w:rPr>
          <w:rFonts w:ascii="Arial Narrow" w:hAnsi="Arial Narrow" w:cs="Arial Narrow"/>
          <w:color w:val="0000FF"/>
          <w:szCs w:val="20"/>
        </w:rPr>
        <w:t xml:space="preserve">tions about future market conditions, it might even be that the ESAs would have created an unjustified bias in favour of funds charging performance fees by requiring excessively positive performance presentation on the basis of historical data. </w:t>
      </w:r>
    </w:p>
    <w:p w:rsidR="00D3247C" w:rsidRPr="00D3247C" w:rsidRDefault="00D3247C" w:rsidP="00D3247C">
      <w:pPr>
        <w:autoSpaceDE w:val="0"/>
        <w:autoSpaceDN w:val="0"/>
        <w:adjustRightInd w:val="0"/>
        <w:jc w:val="both"/>
        <w:rPr>
          <w:rFonts w:ascii="Arial Narrow" w:hAnsi="Arial Narrow" w:cs="Arial Narrow"/>
          <w:color w:val="0000FF"/>
          <w:szCs w:val="20"/>
        </w:rPr>
      </w:pPr>
    </w:p>
    <w:p w:rsidR="00D3247C" w:rsidRPr="00D3247C" w:rsidRDefault="00D3247C" w:rsidP="00D3247C">
      <w:pPr>
        <w:autoSpaceDE w:val="0"/>
        <w:autoSpaceDN w:val="0"/>
        <w:adjustRightInd w:val="0"/>
        <w:jc w:val="both"/>
        <w:rPr>
          <w:rFonts w:ascii="Arial Narrow" w:hAnsi="Arial Narrow" w:cs="Arial Narrow"/>
          <w:color w:val="0000FF"/>
          <w:szCs w:val="20"/>
        </w:rPr>
      </w:pPr>
      <w:r w:rsidRPr="00D3247C">
        <w:rPr>
          <w:rFonts w:ascii="Arial Narrow" w:hAnsi="Arial Narrow" w:cs="Arial Narrow"/>
          <w:color w:val="0000FF"/>
          <w:szCs w:val="20"/>
        </w:rPr>
        <w:lastRenderedPageBreak/>
        <w:t xml:space="preserve">In any event, the approach presuming that the return of the benchmark will remain stable for all scenarios should be clearly limited to events where a benchmark is being used as a determinant for performance fee calculation. Such assumption implies that a fund is able to generate performance which is detached from the relevant market developments which is certainly not true in every case. </w:t>
      </w:r>
    </w:p>
    <w:p w:rsidR="005A2F79" w:rsidRDefault="005A2F79" w:rsidP="00D3247C">
      <w:pPr>
        <w:autoSpaceDE w:val="0"/>
        <w:autoSpaceDN w:val="0"/>
        <w:adjustRightInd w:val="0"/>
        <w:jc w:val="both"/>
        <w:rPr>
          <w:rFonts w:ascii="Arial Narrow" w:hAnsi="Arial Narrow" w:cs="Arial Narrow"/>
          <w:color w:val="0000FF"/>
          <w:szCs w:val="20"/>
        </w:rPr>
      </w:pPr>
    </w:p>
    <w:p w:rsidR="00D3247C" w:rsidRPr="00D3247C" w:rsidRDefault="00D3247C" w:rsidP="00D3247C">
      <w:pPr>
        <w:autoSpaceDE w:val="0"/>
        <w:autoSpaceDN w:val="0"/>
        <w:adjustRightInd w:val="0"/>
        <w:jc w:val="both"/>
        <w:rPr>
          <w:rFonts w:ascii="Arial Narrow" w:hAnsi="Arial Narrow" w:cs="Arial Narrow"/>
          <w:color w:val="0000FF"/>
          <w:szCs w:val="20"/>
        </w:rPr>
      </w:pPr>
      <w:r w:rsidRPr="00D3247C">
        <w:rPr>
          <w:rFonts w:ascii="Arial Narrow" w:hAnsi="Arial Narrow" w:cs="Arial Narrow"/>
          <w:color w:val="0000FF"/>
          <w:szCs w:val="20"/>
        </w:rPr>
        <w:t xml:space="preserve">Beyond the issue of performance fees, we have some further comments relating to the construction of performance scenarios: </w:t>
      </w:r>
    </w:p>
    <w:p w:rsidR="00D3247C" w:rsidRPr="00D3247C" w:rsidRDefault="00D3247C" w:rsidP="00D3247C">
      <w:pPr>
        <w:autoSpaceDE w:val="0"/>
        <w:autoSpaceDN w:val="0"/>
        <w:adjustRightInd w:val="0"/>
        <w:jc w:val="both"/>
        <w:rPr>
          <w:rFonts w:ascii="Arial Narrow" w:hAnsi="Arial Narrow" w:cs="Arial Narrow"/>
          <w:color w:val="0000FF"/>
          <w:szCs w:val="20"/>
        </w:rPr>
      </w:pPr>
      <w:r w:rsidRPr="00D3247C">
        <w:rPr>
          <w:rFonts w:ascii="Arial Narrow" w:hAnsi="Arial Narrow" w:cs="Arial Narrow"/>
          <w:color w:val="0000FF"/>
          <w:szCs w:val="20"/>
          <w:u w:val="single"/>
        </w:rPr>
        <w:t>Treatment of illiquid products according to Annex V, §  5:</w:t>
      </w:r>
      <w:r w:rsidRPr="00D3247C">
        <w:rPr>
          <w:rFonts w:ascii="Arial Narrow" w:hAnsi="Arial Narrow" w:cs="Arial Narrow"/>
          <w:color w:val="0000FF"/>
          <w:szCs w:val="20"/>
        </w:rPr>
        <w:t xml:space="preserve"> We strongly oppose to the suggestion of exempting products which are considered as illiquid for the purpose of risk presentation from the duty to illustrate possible performance for interim holding periods. The liquidity warning in the SRI context pertains to a broad range of products, including those applying significant penalties for early exit, featuring long disinvestment periods or discretionary redemption prices, or even products with liquidity profiles not matching their underlying assets (cf. Annex II § 76 d) and e)). In these cases, investors have the general possibility of withdrawing from their investments before maturity, but mostly at the price of disproportionately high costs many of them do not expect. Presentation of possible performance outcomes net of costs at intermediate points of time would allow investors to take notice of these consequences of early withdrawal and to assess their impact on performance before an investment decision has been made and thus must be deemed an indispensable element of the PRIIPs KID for all products for which interim disinvestment opportunities exist. Only in cases in which the possibilities to redeem or dispose of an investment are expected to be very limited during the entire lifetime of a PRIIPs, presentation of interim performance results might be dispensed with as possibly creating false expectations for investors. </w:t>
      </w:r>
    </w:p>
    <w:p w:rsidR="00D3247C" w:rsidRPr="00D3247C" w:rsidRDefault="00D3247C" w:rsidP="00D3247C">
      <w:pPr>
        <w:pStyle w:val="Default"/>
        <w:jc w:val="both"/>
        <w:rPr>
          <w:rFonts w:ascii="Arial Narrow" w:hAnsi="Arial Narrow" w:cs="Arial Narrow"/>
          <w:color w:val="0000FF"/>
          <w:sz w:val="20"/>
          <w:szCs w:val="20"/>
          <w:lang w:val="en-US"/>
        </w:rPr>
      </w:pPr>
      <w:r w:rsidRPr="005A2F79">
        <w:rPr>
          <w:rFonts w:ascii="Arial Narrow" w:hAnsi="Arial Narrow" w:cs="Arial Narrow"/>
          <w:color w:val="0000FF"/>
          <w:sz w:val="20"/>
          <w:szCs w:val="20"/>
          <w:u w:val="single"/>
          <w:lang w:val="en-US"/>
        </w:rPr>
        <w:t>Accounting for future profit participation (Annex IV § 11):</w:t>
      </w:r>
      <w:r w:rsidRPr="00D3247C">
        <w:rPr>
          <w:rFonts w:ascii="Arial Narrow" w:hAnsi="Arial Narrow" w:cs="Arial Narrow"/>
          <w:color w:val="0000FF"/>
          <w:sz w:val="20"/>
          <w:szCs w:val="20"/>
          <w:lang w:val="en-US"/>
        </w:rPr>
        <w:t xml:space="preserve"> We agree with ESA’s stance that profit participation which is subject to a fully discretionary decision of the manufacturer shall not be taken into account in either risk, performance or cost calculations. For the sake of clarity, we think it helpful to reflect this limitation in the text of §11 a) (e.g. by stating that </w:t>
      </w:r>
      <w:r w:rsidRPr="00D3247C">
        <w:rPr>
          <w:rFonts w:ascii="Arial Narrow" w:hAnsi="Arial Narrow" w:cs="Arial Narrow"/>
          <w:i/>
          <w:color w:val="0000FF"/>
          <w:sz w:val="20"/>
          <w:szCs w:val="20"/>
          <w:lang w:val="en-US"/>
        </w:rPr>
        <w:t>“future profit participation shall be taken into account</w:t>
      </w:r>
      <w:r w:rsidRPr="00D3247C">
        <w:rPr>
          <w:rFonts w:ascii="Arial Narrow" w:hAnsi="Arial Narrow" w:cs="Arial Narrow"/>
          <w:b/>
          <w:bCs/>
          <w:i/>
          <w:color w:val="0000FF"/>
          <w:sz w:val="20"/>
          <w:szCs w:val="20"/>
          <w:lang w:val="en-US"/>
        </w:rPr>
        <w:t>, provided that it does not depend on a fully discretionary decision of the manufacturer</w:t>
      </w:r>
      <w:r w:rsidRPr="00D3247C">
        <w:rPr>
          <w:rFonts w:ascii="Arial Narrow" w:hAnsi="Arial Narrow" w:cs="Arial Narrow"/>
          <w:color w:val="0000FF"/>
          <w:sz w:val="20"/>
          <w:szCs w:val="20"/>
          <w:lang w:val="en-US"/>
        </w:rPr>
        <w:t xml:space="preserve">”). Furthermore, profit participation which is reflected in the simulated future performance cannot be additionally taken into account as a discount on costs (see Q19). </w:t>
      </w:r>
    </w:p>
    <w:p w:rsidR="003E4B00" w:rsidRDefault="00D3247C" w:rsidP="00D3247C">
      <w:pPr>
        <w:autoSpaceDE w:val="0"/>
        <w:autoSpaceDN w:val="0"/>
        <w:adjustRightInd w:val="0"/>
        <w:jc w:val="both"/>
      </w:pPr>
      <w:r w:rsidRPr="00D3247C">
        <w:rPr>
          <w:rFonts w:ascii="Arial Narrow" w:hAnsi="Arial Narrow" w:cs="Arial Narrow"/>
          <w:color w:val="0000FF"/>
          <w:szCs w:val="20"/>
          <w:u w:val="single"/>
        </w:rPr>
        <w:t>ESAs’ Guidelines on performance scenarios under Article 6(7) of the draft RTS</w:t>
      </w:r>
      <w:r w:rsidRPr="00D3247C">
        <w:rPr>
          <w:rFonts w:ascii="Arial Narrow" w:hAnsi="Arial Narrow" w:cs="Arial Narrow"/>
          <w:color w:val="0000FF"/>
          <w:szCs w:val="20"/>
        </w:rPr>
        <w:t>: We share the ESAs’ view that it will be helpful to further harmonise the approach to selecting scenarios for the performance presentation. However, prospective guidelines on the assumptions underlying the choice of scenarios by PRIIPs manufacturers entail significant problems in terms of timing. With the pending guidelines for which no definite time commitment has been made, the operational implement</w:t>
      </w:r>
      <w:r w:rsidRPr="00D3247C">
        <w:rPr>
          <w:rFonts w:ascii="Arial Narrow" w:hAnsi="Arial Narrow" w:cs="Arial Narrow"/>
          <w:color w:val="0000FF"/>
          <w:szCs w:val="20"/>
        </w:rPr>
        <w:t>a</w:t>
      </w:r>
      <w:r w:rsidRPr="00D3247C">
        <w:rPr>
          <w:rFonts w:ascii="Arial Narrow" w:hAnsi="Arial Narrow" w:cs="Arial Narrow"/>
          <w:color w:val="0000FF"/>
          <w:szCs w:val="20"/>
        </w:rPr>
        <w:t>tion will become even more challenging. In any case, it should be avoided that the guidelines be agreed on too late for the first round of KID production which would mean that the relevant IT processes and systems would need to be modified shortly after their first configuration, thus involving additional costs.</w:t>
      </w:r>
    </w:p>
    <w:permEnd w:id="1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Pr="008C7408" w:rsidRDefault="008C7408" w:rsidP="003E4B00">
      <w:pPr>
        <w:rPr>
          <w:szCs w:val="20"/>
        </w:rPr>
      </w:pPr>
      <w:permStart w:id="15" w:edGrp="everyone"/>
      <w:r w:rsidRPr="008C7408">
        <w:rPr>
          <w:rFonts w:ascii="Arial Narrow" w:hAnsi="Arial Narrow" w:cs="Arial Narrow"/>
          <w:color w:val="0000FF"/>
          <w:szCs w:val="20"/>
        </w:rPr>
        <w:t>Based on our experience with the German KID (PIBs) we have a preference for performance presentation in form of a table which works in all cases. For example,</w:t>
      </w:r>
      <w:r w:rsidRPr="008C7408">
        <w:rPr>
          <w:rFonts w:ascii="Arial Narrow" w:hAnsi="Arial Narrow" w:cs="Arial Narrow"/>
          <w:color w:val="808080"/>
          <w:szCs w:val="20"/>
        </w:rPr>
        <w:t xml:space="preserve"> i</w:t>
      </w:r>
      <w:r w:rsidRPr="008C7408">
        <w:rPr>
          <w:rFonts w:ascii="Arial Narrow" w:hAnsi="Arial Narrow" w:cs="Arial Narrow"/>
          <w:color w:val="0000FF"/>
          <w:szCs w:val="20"/>
        </w:rPr>
        <w:t>n case of products with a defined payout profile it should be possible to show the impact of the underlying on the payout at maturity and showing a path would not add much value</w:t>
      </w:r>
      <w:r w:rsidR="005A2F79">
        <w:rPr>
          <w:rFonts w:ascii="Arial Narrow" w:hAnsi="Arial Narrow" w:cs="Arial Narrow"/>
          <w:color w:val="0000FF"/>
          <w:szCs w:val="20"/>
        </w:rPr>
        <w:t>.</w:t>
      </w:r>
    </w:p>
    <w:permEnd w:id="15"/>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B83E2F" w:rsidRPr="00B83E2F" w:rsidRDefault="00B83E2F" w:rsidP="00B83E2F">
      <w:pPr>
        <w:autoSpaceDE w:val="0"/>
        <w:autoSpaceDN w:val="0"/>
        <w:adjustRightInd w:val="0"/>
        <w:jc w:val="both"/>
        <w:rPr>
          <w:rFonts w:ascii="Arial Narrow" w:hAnsi="Arial Narrow" w:cs="Arial Narrow"/>
          <w:b/>
          <w:bCs/>
          <w:color w:val="0000FF"/>
          <w:szCs w:val="20"/>
        </w:rPr>
      </w:pPr>
      <w:permStart w:id="16" w:edGrp="everyone"/>
      <w:r w:rsidRPr="00B83E2F">
        <w:rPr>
          <w:rFonts w:ascii="Arial Narrow" w:hAnsi="Arial Narrow" w:cs="Arial Narrow"/>
          <w:color w:val="0000FF"/>
          <w:szCs w:val="20"/>
        </w:rPr>
        <w:lastRenderedPageBreak/>
        <w:t>We have considerable objections to the methodology for calculation of transaction costs as proposed in § 8 &amp;ff. of Annex VI. This methodology, while being extremely complex and expensive in terms of implementation, is not feasible for transactions without multilateral trading opportunities, in particular for fixed-income trades. It is not feasible to calculate transaction costs for fixed-income trades on the basis of the proposed methodology due to the lack of reference data for establishing the relevant arrival prices. Since the arrival price shall reflect the mid-market price at the time the order to transact is initiated, the calculation of the arrival price necessarily implies availability of the relevant data on market prices.</w:t>
      </w:r>
    </w:p>
    <w:p w:rsidR="00B83E2F" w:rsidRPr="00B83E2F" w:rsidRDefault="00B83E2F" w:rsidP="00B83E2F">
      <w:pPr>
        <w:autoSpaceDE w:val="0"/>
        <w:autoSpaceDN w:val="0"/>
        <w:adjustRightInd w:val="0"/>
        <w:jc w:val="both"/>
        <w:rPr>
          <w:rFonts w:ascii="Arial Narrow" w:hAnsi="Arial Narrow" w:cs="Arial Narrow"/>
          <w:color w:val="0000FF"/>
          <w:szCs w:val="20"/>
        </w:rPr>
      </w:pPr>
      <w:r w:rsidRPr="00B83E2F">
        <w:rPr>
          <w:rFonts w:ascii="Arial Narrow" w:hAnsi="Arial Narrow" w:cs="Arial Narrow"/>
          <w:color w:val="0000FF"/>
          <w:szCs w:val="20"/>
        </w:rPr>
        <w:t xml:space="preserve">In the fixed-income market, however, market prices are not yet transparent. A few data vendors such as Bloomberg publish indicative quotes for fixed-income instruments which, however, do not represent real trading quotes since brokers are under no obligation to keep the information up to date. </w:t>
      </w:r>
      <w:r w:rsidRPr="00B83E2F">
        <w:rPr>
          <w:rFonts w:ascii="Arial Narrow" w:hAnsi="Arial Narrow" w:cs="Arial Narrow"/>
          <w:bCs/>
          <w:color w:val="0000FF"/>
          <w:szCs w:val="20"/>
        </w:rPr>
        <w:t xml:space="preserve">Hence calculations on the basis of such indicative prices will always entail faults which will be more or less significant depending on the timelines of the available quotes, and in any case, are not capable of establishing real transaction costs for fixed-income trades. </w:t>
      </w:r>
    </w:p>
    <w:p w:rsidR="00B83E2F" w:rsidRPr="00B83E2F" w:rsidRDefault="00B83E2F" w:rsidP="00B83E2F">
      <w:pPr>
        <w:autoSpaceDE w:val="0"/>
        <w:autoSpaceDN w:val="0"/>
        <w:adjustRightInd w:val="0"/>
        <w:jc w:val="both"/>
        <w:rPr>
          <w:rFonts w:ascii="Arial Narrow" w:hAnsi="Arial Narrow" w:cs="Arial Narrow"/>
          <w:color w:val="0000FF"/>
          <w:szCs w:val="20"/>
        </w:rPr>
      </w:pPr>
    </w:p>
    <w:p w:rsidR="00B83E2F" w:rsidRPr="00B83E2F" w:rsidRDefault="00B83E2F" w:rsidP="00B83E2F">
      <w:pPr>
        <w:autoSpaceDE w:val="0"/>
        <w:autoSpaceDN w:val="0"/>
        <w:adjustRightInd w:val="0"/>
        <w:jc w:val="both"/>
        <w:rPr>
          <w:rFonts w:ascii="Arial Narrow" w:hAnsi="Arial Narrow" w:cs="Arial Narrow"/>
          <w:color w:val="0000FF"/>
          <w:szCs w:val="20"/>
        </w:rPr>
      </w:pPr>
      <w:r w:rsidRPr="00B83E2F">
        <w:rPr>
          <w:rFonts w:ascii="Arial Narrow" w:hAnsi="Arial Narrow" w:cs="Arial Narrow"/>
          <w:color w:val="0000FF"/>
          <w:szCs w:val="20"/>
        </w:rPr>
        <w:t xml:space="preserve">In addition, the approach to determining the relevant arrival price as proposed in § 16 of Annex VI </w:t>
      </w:r>
      <w:proofErr w:type="gramStart"/>
      <w:r w:rsidRPr="00B83E2F">
        <w:rPr>
          <w:rFonts w:ascii="Arial Narrow" w:hAnsi="Arial Narrow" w:cs="Arial Narrow"/>
          <w:color w:val="0000FF"/>
          <w:szCs w:val="20"/>
        </w:rPr>
        <w:t>creates</w:t>
      </w:r>
      <w:proofErr w:type="gramEnd"/>
      <w:r w:rsidRPr="00B83E2F">
        <w:rPr>
          <w:rFonts w:ascii="Arial Narrow" w:hAnsi="Arial Narrow" w:cs="Arial Narrow"/>
          <w:color w:val="0000FF"/>
          <w:szCs w:val="20"/>
        </w:rPr>
        <w:t xml:space="preserve"> significant arbitrage opportunities for calculating transaction costs, thus increasing its susceptibility to errors. Specifically, calculations on the basis of market prices known before the initiation of an order may be used in order to push down transaction costs in case of an antic</w:t>
      </w:r>
      <w:r w:rsidRPr="00B83E2F">
        <w:rPr>
          <w:rFonts w:ascii="Arial Narrow" w:hAnsi="Arial Narrow" w:cs="Arial Narrow"/>
          <w:color w:val="0000FF"/>
          <w:szCs w:val="20"/>
        </w:rPr>
        <w:t>i</w:t>
      </w:r>
      <w:r w:rsidRPr="00B83E2F">
        <w:rPr>
          <w:rFonts w:ascii="Arial Narrow" w:hAnsi="Arial Narrow" w:cs="Arial Narrow"/>
          <w:color w:val="0000FF"/>
          <w:szCs w:val="20"/>
        </w:rPr>
        <w:t xml:space="preserve">pated price decrease, possibly based on market developments after the last available quote. Even indicative quotes for some fixed-income products are often not updated for several hours, or even days, due to the low level of relevant trading activities. </w:t>
      </w:r>
    </w:p>
    <w:p w:rsidR="00B83E2F" w:rsidRPr="00B83E2F" w:rsidRDefault="00B83E2F" w:rsidP="00B83E2F">
      <w:pPr>
        <w:autoSpaceDE w:val="0"/>
        <w:autoSpaceDN w:val="0"/>
        <w:adjustRightInd w:val="0"/>
        <w:jc w:val="both"/>
        <w:rPr>
          <w:rFonts w:ascii="Arial Narrow" w:hAnsi="Arial Narrow" w:cs="Arial Narrow"/>
          <w:color w:val="0000FF"/>
          <w:szCs w:val="20"/>
        </w:rPr>
      </w:pPr>
    </w:p>
    <w:p w:rsidR="00B83E2F" w:rsidRPr="00B83E2F" w:rsidRDefault="00B83E2F" w:rsidP="00B83E2F">
      <w:pPr>
        <w:autoSpaceDE w:val="0"/>
        <w:autoSpaceDN w:val="0"/>
        <w:adjustRightInd w:val="0"/>
        <w:jc w:val="both"/>
        <w:rPr>
          <w:rFonts w:ascii="Arial Narrow" w:hAnsi="Arial Narrow" w:cs="Arial Narrow"/>
          <w:color w:val="0000FF"/>
          <w:szCs w:val="20"/>
        </w:rPr>
      </w:pPr>
      <w:r w:rsidRPr="00B83E2F">
        <w:rPr>
          <w:rFonts w:ascii="Arial Narrow" w:hAnsi="Arial Narrow" w:cs="Arial Narrow"/>
          <w:color w:val="0000FF"/>
          <w:szCs w:val="20"/>
        </w:rPr>
        <w:t>MiFID2 might remedy this situation in the longer term due to the new requirements for pre-trade trans-</w:t>
      </w:r>
      <w:proofErr w:type="spellStart"/>
      <w:r w:rsidRPr="00B83E2F">
        <w:rPr>
          <w:rFonts w:ascii="Arial Narrow" w:hAnsi="Arial Narrow" w:cs="Arial Narrow"/>
          <w:color w:val="0000FF"/>
          <w:szCs w:val="20"/>
        </w:rPr>
        <w:t>parency</w:t>
      </w:r>
      <w:proofErr w:type="spellEnd"/>
      <w:r w:rsidRPr="00B83E2F">
        <w:rPr>
          <w:rFonts w:ascii="Arial Narrow" w:hAnsi="Arial Narrow" w:cs="Arial Narrow"/>
          <w:color w:val="0000FF"/>
          <w:szCs w:val="20"/>
        </w:rPr>
        <w:t xml:space="preserve"> applicable to fixed-income instruments. However, with the probable postponement of MiFID2 entry into force, it is clear that the necessary data will not become available in time for the implementation of the PRIIPs KID requirements. Even without a formal postponement of MiFID2I, from a today’s perspective it is difficult to assess whether the new pre-trade transparency regime will result in the effective access to market prices or whether the current market fragmentation will prevent such data consolidation and availability for the buy-side. It is thus too early to expect fund managers to make calculations on the basis of data which the market is yet to deliver. </w:t>
      </w:r>
    </w:p>
    <w:p w:rsidR="00B83E2F" w:rsidRPr="00B83E2F" w:rsidRDefault="00B83E2F" w:rsidP="00B83E2F">
      <w:pPr>
        <w:autoSpaceDE w:val="0"/>
        <w:autoSpaceDN w:val="0"/>
        <w:adjustRightInd w:val="0"/>
        <w:jc w:val="both"/>
        <w:rPr>
          <w:rFonts w:ascii="Arial Narrow" w:hAnsi="Arial Narrow" w:cs="Arial Narrow"/>
          <w:color w:val="0000FF"/>
          <w:szCs w:val="20"/>
        </w:rPr>
      </w:pPr>
    </w:p>
    <w:p w:rsidR="00B83E2F" w:rsidRPr="00B83E2F" w:rsidRDefault="00B83E2F" w:rsidP="00B83E2F">
      <w:pPr>
        <w:autoSpaceDE w:val="0"/>
        <w:autoSpaceDN w:val="0"/>
        <w:adjustRightInd w:val="0"/>
        <w:jc w:val="both"/>
        <w:rPr>
          <w:rFonts w:ascii="Arial Narrow" w:hAnsi="Arial Narrow" w:cs="Arial Narrow"/>
          <w:color w:val="0000FF"/>
          <w:szCs w:val="20"/>
        </w:rPr>
      </w:pPr>
      <w:r w:rsidRPr="00B83E2F">
        <w:rPr>
          <w:rFonts w:ascii="Arial Narrow" w:hAnsi="Arial Narrow" w:cs="Arial Narrow"/>
          <w:color w:val="0000FF"/>
          <w:szCs w:val="20"/>
        </w:rPr>
        <w:t>The proposed calculation methodology will anyway not be practicable at the time of the entry into force of the PRIIPs Regulation as it foresees calculation of average transaction costs on the basis of transactions incurred over the previous three years. This means that at the time of the first production of PRIIPs KIDs, i.e. December 2016, fund providers would need to calculate transa</w:t>
      </w:r>
      <w:r w:rsidRPr="00B83E2F">
        <w:rPr>
          <w:rFonts w:ascii="Arial Narrow" w:hAnsi="Arial Narrow" w:cs="Arial Narrow"/>
          <w:color w:val="0000FF"/>
          <w:szCs w:val="20"/>
        </w:rPr>
        <w:t>c</w:t>
      </w:r>
      <w:r w:rsidRPr="00B83E2F">
        <w:rPr>
          <w:rFonts w:ascii="Arial Narrow" w:hAnsi="Arial Narrow" w:cs="Arial Narrow"/>
          <w:color w:val="0000FF"/>
          <w:szCs w:val="20"/>
        </w:rPr>
        <w:t>tion costs by referring back to the data from December 2013 onwards. Even when applying the methodology to the indicative prices available in the market, basically no fund will be able to retrace the relevant data history. The proposed calculation met</w:t>
      </w:r>
      <w:r w:rsidRPr="00B83E2F">
        <w:rPr>
          <w:rFonts w:ascii="Arial Narrow" w:hAnsi="Arial Narrow" w:cs="Arial Narrow"/>
          <w:color w:val="0000FF"/>
          <w:szCs w:val="20"/>
        </w:rPr>
        <w:t>h</w:t>
      </w:r>
      <w:r w:rsidRPr="00B83E2F">
        <w:rPr>
          <w:rFonts w:ascii="Arial Narrow" w:hAnsi="Arial Narrow" w:cs="Arial Narrow"/>
          <w:color w:val="0000FF"/>
          <w:szCs w:val="20"/>
        </w:rPr>
        <w:t xml:space="preserve">odology will become workable only in December 2019 at the earliest. </w:t>
      </w:r>
    </w:p>
    <w:p w:rsidR="00B83E2F" w:rsidRPr="00B83E2F" w:rsidRDefault="00B83E2F" w:rsidP="00B83E2F">
      <w:pPr>
        <w:pStyle w:val="Default"/>
        <w:jc w:val="both"/>
        <w:rPr>
          <w:rFonts w:ascii="Arial Narrow" w:hAnsi="Arial Narrow" w:cs="Arial Narrow"/>
          <w:b/>
          <w:bCs/>
          <w:color w:val="0000FF"/>
          <w:sz w:val="20"/>
          <w:szCs w:val="20"/>
          <w:lang w:val="en-US"/>
        </w:rPr>
      </w:pPr>
    </w:p>
    <w:p w:rsidR="00B83E2F" w:rsidRPr="00B83E2F" w:rsidRDefault="00B83E2F" w:rsidP="00B83E2F">
      <w:pPr>
        <w:pStyle w:val="Default"/>
        <w:jc w:val="both"/>
        <w:rPr>
          <w:rFonts w:ascii="Arial Narrow" w:hAnsi="Arial Narrow" w:cs="Arial Narrow"/>
          <w:color w:val="0000FF"/>
          <w:sz w:val="20"/>
          <w:szCs w:val="20"/>
          <w:lang w:val="en-US"/>
        </w:rPr>
      </w:pPr>
      <w:r w:rsidRPr="00B83E2F">
        <w:rPr>
          <w:rFonts w:ascii="Arial Narrow" w:hAnsi="Arial Narrow" w:cs="Arial Narrow"/>
          <w:bCs/>
          <w:color w:val="0000FF"/>
          <w:sz w:val="20"/>
          <w:szCs w:val="20"/>
          <w:lang w:val="en-US"/>
        </w:rPr>
        <w:t>Since this date even exceeds the review timeline for the PRIIPs Regulation (Art. 33) by one year, we suggest postponing the decision about introducing such a sophisticated calculation methodology for transaction costs to the scheduled review process. The feasibility of the proposed calculations should then be appraised in light of the availability of data for the fixed-income ma</w:t>
      </w:r>
      <w:r w:rsidRPr="00B83E2F">
        <w:rPr>
          <w:rFonts w:ascii="Arial Narrow" w:hAnsi="Arial Narrow" w:cs="Arial Narrow"/>
          <w:bCs/>
          <w:color w:val="0000FF"/>
          <w:sz w:val="20"/>
          <w:szCs w:val="20"/>
          <w:lang w:val="en-US"/>
        </w:rPr>
        <w:t>r</w:t>
      </w:r>
      <w:r w:rsidRPr="00B83E2F">
        <w:rPr>
          <w:rFonts w:ascii="Arial Narrow" w:hAnsi="Arial Narrow" w:cs="Arial Narrow"/>
          <w:bCs/>
          <w:color w:val="0000FF"/>
          <w:sz w:val="20"/>
          <w:szCs w:val="20"/>
          <w:lang w:val="en-US"/>
        </w:rPr>
        <w:t>kets after the first experiences with the MiFID2 transparency regime. This woul</w:t>
      </w:r>
      <w:r w:rsidRPr="00B83E2F">
        <w:rPr>
          <w:rFonts w:ascii="Arial Narrow" w:hAnsi="Arial Narrow" w:cs="Arial Narrow"/>
          <w:color w:val="0000FF"/>
          <w:sz w:val="20"/>
          <w:szCs w:val="20"/>
          <w:lang w:val="en-US"/>
        </w:rPr>
        <w:t xml:space="preserve">d allow regulators to make evidence-based decisions instead of inventing new standards lacking the compulsory base of market data. In the meantime, ESAs should revive the hybrid approach to the calculation of transaction costs which has been </w:t>
      </w:r>
      <w:proofErr w:type="spellStart"/>
      <w:r w:rsidRPr="00B83E2F">
        <w:rPr>
          <w:rFonts w:ascii="Arial Narrow" w:hAnsi="Arial Narrow" w:cs="Arial Narrow"/>
          <w:color w:val="0000FF"/>
          <w:sz w:val="20"/>
          <w:szCs w:val="20"/>
          <w:lang w:val="en-US"/>
        </w:rPr>
        <w:t>favoured</w:t>
      </w:r>
      <w:proofErr w:type="spellEnd"/>
      <w:r w:rsidRPr="00B83E2F">
        <w:rPr>
          <w:rFonts w:ascii="Arial Narrow" w:hAnsi="Arial Narrow" w:cs="Arial Narrow"/>
          <w:color w:val="0000FF"/>
          <w:sz w:val="20"/>
          <w:szCs w:val="20"/>
          <w:lang w:val="en-US"/>
        </w:rPr>
        <w:t xml:space="preserve"> in the previous round of consultation. Under this approach, implicit transaction costs embedded in fixed-income prices should be calculated by reference to a </w:t>
      </w:r>
      <w:proofErr w:type="spellStart"/>
      <w:r w:rsidRPr="00B83E2F">
        <w:rPr>
          <w:rFonts w:ascii="Arial Narrow" w:hAnsi="Arial Narrow" w:cs="Arial Narrow"/>
          <w:color w:val="0000FF"/>
          <w:sz w:val="20"/>
          <w:szCs w:val="20"/>
          <w:lang w:val="en-US"/>
        </w:rPr>
        <w:t>standardised</w:t>
      </w:r>
      <w:proofErr w:type="spellEnd"/>
      <w:r w:rsidRPr="00B83E2F">
        <w:rPr>
          <w:rFonts w:ascii="Arial Narrow" w:hAnsi="Arial Narrow" w:cs="Arial Narrow"/>
          <w:color w:val="0000FF"/>
          <w:sz w:val="20"/>
          <w:szCs w:val="20"/>
          <w:lang w:val="en-US"/>
        </w:rPr>
        <w:t xml:space="preserve"> table established by the ESAs for which we make further suggestions below.</w:t>
      </w:r>
    </w:p>
    <w:p w:rsidR="00B83E2F" w:rsidRPr="00B83E2F" w:rsidRDefault="00B83E2F" w:rsidP="00B83E2F">
      <w:pPr>
        <w:pStyle w:val="Default"/>
        <w:jc w:val="both"/>
        <w:rPr>
          <w:rFonts w:ascii="Arial Narrow" w:hAnsi="Arial Narrow" w:cs="Arial Narrow"/>
          <w:color w:val="0000FF"/>
          <w:sz w:val="20"/>
          <w:szCs w:val="20"/>
          <w:lang w:val="en-US"/>
        </w:rPr>
      </w:pPr>
    </w:p>
    <w:p w:rsidR="00B83E2F" w:rsidRPr="00B83E2F" w:rsidRDefault="00B83E2F" w:rsidP="00B83E2F">
      <w:pPr>
        <w:pStyle w:val="Default"/>
        <w:jc w:val="both"/>
        <w:rPr>
          <w:rFonts w:ascii="Arial Narrow" w:hAnsi="Arial Narrow" w:cs="Arial Narrow"/>
          <w:color w:val="0000FF"/>
          <w:sz w:val="20"/>
          <w:szCs w:val="20"/>
          <w:lang w:val="en-US"/>
        </w:rPr>
      </w:pPr>
      <w:r w:rsidRPr="00B83E2F">
        <w:rPr>
          <w:rFonts w:ascii="Arial Narrow" w:hAnsi="Arial Narrow" w:cs="Arial Narrow"/>
          <w:color w:val="0000FF"/>
          <w:sz w:val="20"/>
          <w:szCs w:val="20"/>
          <w:lang w:val="en-US"/>
        </w:rPr>
        <w:t>Furthermore, and regardless of which method for computation will eventually be chosen, the ESAs should make it clear that transaction costs incurred in other PRIIPs than investment funds should also be calculated and disclosed according to the relevant methodology. This pertains in particular to insurance-based investment products which under the current wording are only generally required to account for costs for the management of insurance cover - such costs also need to include the relevant transaction costs.</w:t>
      </w:r>
    </w:p>
    <w:permEnd w:id="16"/>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464710" w:rsidRPr="00464710" w:rsidRDefault="00464710" w:rsidP="00464710">
      <w:pPr>
        <w:autoSpaceDE w:val="0"/>
        <w:autoSpaceDN w:val="0"/>
        <w:adjustRightInd w:val="0"/>
        <w:jc w:val="both"/>
        <w:rPr>
          <w:rFonts w:ascii="Arial Narrow" w:hAnsi="Arial Narrow" w:cs="Arial Narrow"/>
          <w:color w:val="0000FF"/>
          <w:szCs w:val="20"/>
        </w:rPr>
      </w:pPr>
      <w:permStart w:id="17" w:edGrp="everyone"/>
      <w:r w:rsidRPr="00464710">
        <w:rPr>
          <w:rFonts w:ascii="Arial Narrow" w:hAnsi="Arial Narrow" w:cs="Arial Narrow"/>
          <w:color w:val="0000FF"/>
          <w:szCs w:val="20"/>
        </w:rPr>
        <w:lastRenderedPageBreak/>
        <w:t xml:space="preserve">Since the calculation methodology proposed in § 8 &amp;ff. of Annex VI does not work for a major part of the market, specifically not for fixed-income transactions, we recommend reviving the hybrid approach to the calculation of transaction costs which has been favoured in the previous round of consultation.. Under this approach, implicit transaction costs incurred in any fund should be established by reference to a centrally designed table. This standardised way of calculation should apply in the first place to fixed-income transactions in government and corporate bonds. </w:t>
      </w:r>
    </w:p>
    <w:p w:rsidR="00464710" w:rsidRPr="00464710" w:rsidRDefault="00464710" w:rsidP="00464710">
      <w:pPr>
        <w:autoSpaceDE w:val="0"/>
        <w:autoSpaceDN w:val="0"/>
        <w:adjustRightInd w:val="0"/>
        <w:jc w:val="both"/>
        <w:rPr>
          <w:rFonts w:ascii="Arial Narrow" w:hAnsi="Arial Narrow" w:cs="Arial Narrow"/>
          <w:color w:val="0000FF"/>
          <w:szCs w:val="20"/>
        </w:rPr>
      </w:pPr>
    </w:p>
    <w:p w:rsidR="00464710" w:rsidRPr="00464710" w:rsidRDefault="00464710" w:rsidP="00464710">
      <w:pPr>
        <w:autoSpaceDE w:val="0"/>
        <w:autoSpaceDN w:val="0"/>
        <w:adjustRightInd w:val="0"/>
        <w:jc w:val="both"/>
        <w:rPr>
          <w:rFonts w:ascii="Arial Narrow" w:hAnsi="Arial Narrow" w:cs="Arial Narrow"/>
          <w:color w:val="0000FF"/>
          <w:szCs w:val="20"/>
        </w:rPr>
      </w:pPr>
      <w:r w:rsidRPr="00464710">
        <w:rPr>
          <w:rFonts w:ascii="Arial Narrow" w:hAnsi="Arial Narrow" w:cs="Arial Narrow"/>
          <w:color w:val="0000FF"/>
          <w:szCs w:val="20"/>
        </w:rPr>
        <w:t xml:space="preserve">ESMA should be best equipped to set up and maintain such standardised transaction cost measures in view of the transaction data to be collected and processed for </w:t>
      </w:r>
      <w:proofErr w:type="spellStart"/>
      <w:r w:rsidRPr="00464710">
        <w:rPr>
          <w:rFonts w:ascii="Arial Narrow" w:hAnsi="Arial Narrow" w:cs="Arial Narrow"/>
          <w:color w:val="0000FF"/>
          <w:szCs w:val="20"/>
        </w:rPr>
        <w:t>MiFID</w:t>
      </w:r>
      <w:proofErr w:type="spellEnd"/>
      <w:r w:rsidRPr="00464710">
        <w:rPr>
          <w:rFonts w:ascii="Arial Narrow" w:hAnsi="Arial Narrow" w:cs="Arial Narrow"/>
          <w:color w:val="0000FF"/>
          <w:szCs w:val="20"/>
        </w:rPr>
        <w:t xml:space="preserve"> II purposes. In the recent debate on the possible postponement of </w:t>
      </w:r>
      <w:proofErr w:type="spellStart"/>
      <w:r w:rsidRPr="00464710">
        <w:rPr>
          <w:rFonts w:ascii="Arial Narrow" w:hAnsi="Arial Narrow" w:cs="Arial Narrow"/>
          <w:color w:val="0000FF"/>
          <w:szCs w:val="20"/>
        </w:rPr>
        <w:t>MiFID</w:t>
      </w:r>
      <w:proofErr w:type="spellEnd"/>
      <w:r w:rsidRPr="00464710">
        <w:rPr>
          <w:rFonts w:ascii="Arial Narrow" w:hAnsi="Arial Narrow" w:cs="Arial Narrow"/>
          <w:color w:val="0000FF"/>
          <w:szCs w:val="20"/>
        </w:rPr>
        <w:t xml:space="preserve"> II, ESMA explained that it is currently running a project called FIRDS for centralising the collection of reference data which entails direct connections to around 100 trading venues and collection of data on more than 15 million instruments. The FIRDS project is also meant to apply to collecting and consolidating transaction data for the purpose of determining the liquidity status of a financial instrument. This extensive data collection exercise also should be utilised in order to establish average transaction cost of financial instruments, including fixed-income products, in the </w:t>
      </w:r>
      <w:proofErr w:type="spellStart"/>
      <w:r w:rsidRPr="00464710">
        <w:rPr>
          <w:rFonts w:ascii="Arial Narrow" w:hAnsi="Arial Narrow" w:cs="Arial Narrow"/>
          <w:color w:val="0000FF"/>
          <w:szCs w:val="20"/>
        </w:rPr>
        <w:t>MiFID</w:t>
      </w:r>
      <w:proofErr w:type="spellEnd"/>
      <w:r w:rsidRPr="00464710">
        <w:rPr>
          <w:rFonts w:ascii="Arial Narrow" w:hAnsi="Arial Narrow" w:cs="Arial Narrow"/>
          <w:color w:val="0000FF"/>
          <w:szCs w:val="20"/>
        </w:rPr>
        <w:t xml:space="preserve"> II environment. However, being aware that the complexity of FIRDS is one of the main reasons for the probable </w:t>
      </w:r>
      <w:proofErr w:type="spellStart"/>
      <w:r w:rsidRPr="00464710">
        <w:rPr>
          <w:rFonts w:ascii="Arial Narrow" w:hAnsi="Arial Narrow" w:cs="Arial Narrow"/>
          <w:color w:val="0000FF"/>
          <w:szCs w:val="20"/>
        </w:rPr>
        <w:t>MiFID</w:t>
      </w:r>
      <w:proofErr w:type="spellEnd"/>
      <w:r w:rsidRPr="00464710">
        <w:rPr>
          <w:rFonts w:ascii="Arial Narrow" w:hAnsi="Arial Narrow" w:cs="Arial Narrow"/>
          <w:color w:val="0000FF"/>
          <w:szCs w:val="20"/>
        </w:rPr>
        <w:t xml:space="preserve"> II delay and will not allow for operational readiness before mid 2017, it is likely that a temporary solution needs to be found even in case that the entry into force of the PRIIPs Regulation will be aligned with the new </w:t>
      </w:r>
      <w:proofErr w:type="spellStart"/>
      <w:r w:rsidRPr="00464710">
        <w:rPr>
          <w:rFonts w:ascii="Arial Narrow" w:hAnsi="Arial Narrow" w:cs="Arial Narrow"/>
          <w:color w:val="0000FF"/>
          <w:szCs w:val="20"/>
        </w:rPr>
        <w:t>MiFID</w:t>
      </w:r>
      <w:proofErr w:type="spellEnd"/>
      <w:r w:rsidRPr="00464710">
        <w:rPr>
          <w:rFonts w:ascii="Arial Narrow" w:hAnsi="Arial Narrow" w:cs="Arial Narrow"/>
          <w:color w:val="0000FF"/>
          <w:szCs w:val="20"/>
        </w:rPr>
        <w:t xml:space="preserve"> II timeline. Such temporary solution could involve a table based on reasonable estimations of relevant tran</w:t>
      </w:r>
      <w:r w:rsidRPr="00464710">
        <w:rPr>
          <w:rFonts w:ascii="Arial Narrow" w:hAnsi="Arial Narrow" w:cs="Arial Narrow"/>
          <w:color w:val="0000FF"/>
          <w:szCs w:val="20"/>
        </w:rPr>
        <w:t>s</w:t>
      </w:r>
      <w:r w:rsidRPr="00464710">
        <w:rPr>
          <w:rFonts w:ascii="Arial Narrow" w:hAnsi="Arial Narrow" w:cs="Arial Narrow"/>
          <w:color w:val="0000FF"/>
          <w:szCs w:val="20"/>
        </w:rPr>
        <w:t xml:space="preserve">action costs. </w:t>
      </w:r>
    </w:p>
    <w:p w:rsidR="00464710" w:rsidRPr="00464710" w:rsidRDefault="00464710" w:rsidP="00464710">
      <w:pPr>
        <w:autoSpaceDE w:val="0"/>
        <w:autoSpaceDN w:val="0"/>
        <w:adjustRightInd w:val="0"/>
        <w:jc w:val="both"/>
        <w:rPr>
          <w:rFonts w:ascii="Arial Narrow" w:hAnsi="Arial Narrow" w:cs="Arial Narrow"/>
          <w:bCs/>
          <w:color w:val="0000FF"/>
          <w:szCs w:val="20"/>
        </w:rPr>
      </w:pPr>
    </w:p>
    <w:p w:rsidR="00464710" w:rsidRPr="00464710" w:rsidRDefault="00464710" w:rsidP="00464710">
      <w:pPr>
        <w:autoSpaceDE w:val="0"/>
        <w:autoSpaceDN w:val="0"/>
        <w:adjustRightInd w:val="0"/>
        <w:jc w:val="both"/>
        <w:rPr>
          <w:rFonts w:ascii="Arial Narrow" w:hAnsi="Arial Narrow" w:cs="Arial Narrow"/>
          <w:color w:val="0000FF"/>
          <w:szCs w:val="20"/>
        </w:rPr>
      </w:pPr>
      <w:r w:rsidRPr="00464710">
        <w:rPr>
          <w:rFonts w:ascii="Arial Narrow" w:hAnsi="Arial Narrow" w:cs="Arial Narrow"/>
          <w:bCs/>
          <w:color w:val="0000FF"/>
          <w:szCs w:val="20"/>
        </w:rPr>
        <w:t>The table suggested in Annex VI § 25 could be used for standardised calculations of transaction costs subject to a few adjus</w:t>
      </w:r>
      <w:r w:rsidRPr="00464710">
        <w:rPr>
          <w:rFonts w:ascii="Arial Narrow" w:hAnsi="Arial Narrow" w:cs="Arial Narrow"/>
          <w:bCs/>
          <w:color w:val="0000FF"/>
          <w:szCs w:val="20"/>
        </w:rPr>
        <w:t>t</w:t>
      </w:r>
      <w:r w:rsidRPr="00464710">
        <w:rPr>
          <w:rFonts w:ascii="Arial Narrow" w:hAnsi="Arial Narrow" w:cs="Arial Narrow"/>
          <w:bCs/>
          <w:color w:val="0000FF"/>
          <w:szCs w:val="20"/>
        </w:rPr>
        <w:t xml:space="preserve">ments as specified below. Given the anticipated evolvement of transaction data transparency, the table should not be legally enshrined as part of the RTS, but should be adopted as a Level 3 measure in order to allow for more flexibility and smooth adaptation of the standardised values in line with potential new insights from market data. </w:t>
      </w:r>
    </w:p>
    <w:p w:rsidR="00464710" w:rsidRPr="00464710" w:rsidRDefault="00464710" w:rsidP="00464710">
      <w:pPr>
        <w:pStyle w:val="Default"/>
        <w:jc w:val="both"/>
        <w:rPr>
          <w:rFonts w:ascii="Arial Narrow" w:hAnsi="Arial Narrow" w:cs="Arial Narrow"/>
          <w:color w:val="0000FF"/>
          <w:sz w:val="20"/>
          <w:szCs w:val="20"/>
          <w:lang w:val="en-US"/>
        </w:rPr>
      </w:pPr>
    </w:p>
    <w:p w:rsidR="00464710" w:rsidRPr="00464710" w:rsidRDefault="00464710" w:rsidP="00464710">
      <w:pPr>
        <w:pStyle w:val="Default"/>
        <w:jc w:val="both"/>
        <w:rPr>
          <w:rFonts w:ascii="Arial Narrow" w:hAnsi="Arial Narrow" w:cs="Arial Narrow"/>
          <w:color w:val="0000FF"/>
          <w:sz w:val="20"/>
          <w:szCs w:val="20"/>
          <w:lang w:val="en-US"/>
        </w:rPr>
      </w:pPr>
      <w:r w:rsidRPr="00464710">
        <w:rPr>
          <w:rFonts w:ascii="Arial Narrow" w:hAnsi="Arial Narrow" w:cs="Arial Narrow"/>
          <w:color w:val="0000FF"/>
          <w:sz w:val="20"/>
          <w:szCs w:val="20"/>
          <w:lang w:val="en-US"/>
        </w:rPr>
        <w:t>Regarding the specific table design, we would suggest distinguishing between implicit and explicit costs and including a further column to accommodate the latter. Trading costs in equity instruments and listed derivatives should then be classified as explicit costs. In these terms, we would recommend distinguishing between program and no program trading also in terms of emerging market shares and</w:t>
      </w:r>
      <w:r>
        <w:rPr>
          <w:rFonts w:ascii="Arial Narrow" w:hAnsi="Arial Narrow" w:cs="Arial Narrow"/>
          <w:color w:val="0000FF"/>
          <w:sz w:val="20"/>
          <w:szCs w:val="20"/>
          <w:lang w:val="en-US"/>
        </w:rPr>
        <w:t xml:space="preserve"> </w:t>
      </w:r>
      <w:r w:rsidRPr="00464710">
        <w:rPr>
          <w:rFonts w:ascii="Arial Narrow" w:hAnsi="Arial Narrow" w:cs="Arial Narrow"/>
          <w:color w:val="0000FF"/>
          <w:sz w:val="20"/>
          <w:szCs w:val="20"/>
          <w:lang w:val="en-US"/>
        </w:rPr>
        <w:t xml:space="preserve">assuming the explicit costs of listed derivative transaction in absolute numbers in order to reflect the prevailing market practice. </w:t>
      </w:r>
    </w:p>
    <w:p w:rsidR="00464710" w:rsidRPr="00464710" w:rsidRDefault="00464710" w:rsidP="00464710">
      <w:pPr>
        <w:autoSpaceDE w:val="0"/>
        <w:autoSpaceDN w:val="0"/>
        <w:adjustRightInd w:val="0"/>
        <w:jc w:val="both"/>
        <w:rPr>
          <w:rFonts w:ascii="Arial Narrow" w:hAnsi="Arial Narrow" w:cs="Arial Narrow"/>
          <w:color w:val="0000FF"/>
          <w:szCs w:val="20"/>
        </w:rPr>
      </w:pPr>
    </w:p>
    <w:p w:rsidR="00464710" w:rsidRDefault="00464710" w:rsidP="00464710">
      <w:pPr>
        <w:pStyle w:val="Default"/>
        <w:jc w:val="both"/>
        <w:rPr>
          <w:rFonts w:ascii="Arial Narrow" w:hAnsi="Arial Narrow" w:cs="Arial Narrow"/>
          <w:color w:val="0000FF"/>
          <w:sz w:val="20"/>
          <w:szCs w:val="20"/>
          <w:lang w:val="en-US"/>
        </w:rPr>
      </w:pPr>
      <w:r w:rsidRPr="00464710">
        <w:rPr>
          <w:rFonts w:ascii="Arial Narrow" w:hAnsi="Arial Narrow" w:cs="Arial Narrow"/>
          <w:color w:val="0000FF"/>
          <w:sz w:val="20"/>
          <w:szCs w:val="20"/>
          <w:lang w:val="en-US"/>
        </w:rPr>
        <w:t>The adjusted table would then look as follows (the newly inserted values correspond to our market experience):</w:t>
      </w:r>
    </w:p>
    <w:p w:rsidR="00464710" w:rsidRDefault="00464710" w:rsidP="00464710">
      <w:pPr>
        <w:pStyle w:val="Default"/>
        <w:jc w:val="both"/>
        <w:rPr>
          <w:rFonts w:ascii="Arial Narrow" w:hAnsi="Arial Narrow" w:cs="Arial Narrow"/>
          <w:color w:val="0000FF"/>
          <w:sz w:val="20"/>
          <w:szCs w:val="20"/>
          <w:lang w:val="en-US"/>
        </w:rPr>
      </w:pPr>
    </w:p>
    <w:p w:rsidR="00464710" w:rsidRPr="004A06E5" w:rsidRDefault="00464710" w:rsidP="00464710">
      <w:pPr>
        <w:pStyle w:val="Default"/>
        <w:jc w:val="both"/>
        <w:rPr>
          <w:rFonts w:ascii="Arial Narrow" w:hAnsi="Arial Narrow" w:cs="Arial Narrow"/>
          <w:color w:val="0000FF"/>
          <w:lang w:val="en-US"/>
        </w:rPr>
      </w:pPr>
    </w:p>
    <w:tbl>
      <w:tblPr>
        <w:tblStyle w:val="TableGrid"/>
        <w:tblW w:w="8759" w:type="dxa"/>
        <w:tblLook w:val="04A0"/>
      </w:tblPr>
      <w:tblGrid>
        <w:gridCol w:w="2405"/>
        <w:gridCol w:w="3940"/>
        <w:gridCol w:w="1276"/>
        <w:gridCol w:w="1138"/>
      </w:tblGrid>
      <w:tr w:rsidR="00464710" w:rsidRPr="00970467" w:rsidTr="004A06E5">
        <w:tc>
          <w:tcPr>
            <w:tcW w:w="2405" w:type="dxa"/>
          </w:tcPr>
          <w:p w:rsidR="00464710" w:rsidRPr="00970467" w:rsidRDefault="00464710" w:rsidP="004A06E5">
            <w:pPr>
              <w:widowControl w:val="0"/>
              <w:autoSpaceDE w:val="0"/>
              <w:autoSpaceDN w:val="0"/>
              <w:adjustRightInd w:val="0"/>
              <w:spacing w:before="80"/>
              <w:rPr>
                <w:rFonts w:ascii="Arial Narrow" w:hAnsi="Arial Narrow" w:cs="Arial"/>
                <w:color w:val="0000FF"/>
                <w:szCs w:val="20"/>
              </w:rPr>
            </w:pPr>
            <w:r w:rsidRPr="00970467">
              <w:rPr>
                <w:rFonts w:ascii="Arial Narrow" w:hAnsi="Arial Narrow" w:cs="Arial"/>
                <w:b/>
                <w:bCs/>
                <w:color w:val="0000FF"/>
                <w:szCs w:val="20"/>
              </w:rPr>
              <w:t xml:space="preserve">Asset Classes  </w:t>
            </w:r>
          </w:p>
          <w:p w:rsidR="00464710" w:rsidRPr="00970467" w:rsidRDefault="00464710" w:rsidP="004A06E5">
            <w:pPr>
              <w:pStyle w:val="Default"/>
              <w:rPr>
                <w:rFonts w:ascii="Arial Narrow" w:hAnsi="Arial Narrow" w:cs="Arial Narrow"/>
                <w:b/>
                <w:bCs/>
                <w:color w:val="0000FF"/>
                <w:sz w:val="20"/>
                <w:szCs w:val="20"/>
              </w:rPr>
            </w:pPr>
          </w:p>
        </w:tc>
        <w:tc>
          <w:tcPr>
            <w:tcW w:w="3940" w:type="dxa"/>
          </w:tcPr>
          <w:p w:rsidR="00464710" w:rsidRPr="00970467" w:rsidRDefault="00464710" w:rsidP="004A06E5">
            <w:pPr>
              <w:pStyle w:val="Default"/>
              <w:rPr>
                <w:rFonts w:ascii="Arial Narrow" w:hAnsi="Arial Narrow" w:cs="Arial Narrow"/>
                <w:b/>
                <w:bCs/>
                <w:color w:val="0000FF"/>
                <w:sz w:val="20"/>
                <w:szCs w:val="20"/>
              </w:rPr>
            </w:pPr>
            <w:proofErr w:type="spellStart"/>
            <w:r w:rsidRPr="00970467">
              <w:rPr>
                <w:rFonts w:ascii="Arial Narrow" w:hAnsi="Arial Narrow" w:cs="Arial"/>
                <w:b/>
                <w:bCs/>
                <w:color w:val="0000FF"/>
                <w:sz w:val="20"/>
                <w:szCs w:val="20"/>
              </w:rPr>
              <w:t>Sub</w:t>
            </w:r>
            <w:proofErr w:type="spellEnd"/>
            <w:r w:rsidRPr="00970467">
              <w:rPr>
                <w:rFonts w:ascii="Arial Narrow" w:hAnsi="Arial Narrow" w:cs="Arial"/>
                <w:b/>
                <w:bCs/>
                <w:color w:val="0000FF"/>
                <w:sz w:val="20"/>
                <w:szCs w:val="20"/>
              </w:rPr>
              <w:t xml:space="preserve"> </w:t>
            </w:r>
            <w:proofErr w:type="spellStart"/>
            <w:r w:rsidRPr="00970467">
              <w:rPr>
                <w:rFonts w:ascii="Arial Narrow" w:hAnsi="Arial Narrow" w:cs="Arial"/>
                <w:b/>
                <w:bCs/>
                <w:color w:val="0000FF"/>
                <w:sz w:val="20"/>
                <w:szCs w:val="20"/>
              </w:rPr>
              <w:t>Asset</w:t>
            </w:r>
            <w:proofErr w:type="spellEnd"/>
            <w:r w:rsidRPr="00970467">
              <w:rPr>
                <w:rFonts w:ascii="Arial Narrow" w:hAnsi="Arial Narrow" w:cs="Arial"/>
                <w:b/>
                <w:bCs/>
                <w:color w:val="0000FF"/>
                <w:sz w:val="20"/>
                <w:szCs w:val="20"/>
              </w:rPr>
              <w:t xml:space="preserve"> Classes</w:t>
            </w:r>
          </w:p>
        </w:tc>
        <w:tc>
          <w:tcPr>
            <w:tcW w:w="1276" w:type="dxa"/>
          </w:tcPr>
          <w:p w:rsidR="00464710" w:rsidRPr="00970467" w:rsidRDefault="00464710" w:rsidP="004A06E5">
            <w:pPr>
              <w:pStyle w:val="Default"/>
              <w:rPr>
                <w:rFonts w:ascii="Arial Narrow" w:hAnsi="Arial Narrow" w:cs="Arial Narrow"/>
                <w:b/>
                <w:bCs/>
                <w:color w:val="0000FF"/>
                <w:sz w:val="20"/>
                <w:szCs w:val="20"/>
              </w:rPr>
            </w:pPr>
            <w:proofErr w:type="spellStart"/>
            <w:r w:rsidRPr="00970467">
              <w:rPr>
                <w:rFonts w:ascii="Arial Narrow" w:hAnsi="Arial Narrow" w:cs="Arial"/>
                <w:b/>
                <w:bCs/>
                <w:color w:val="0000FF"/>
                <w:sz w:val="20"/>
                <w:szCs w:val="20"/>
              </w:rPr>
              <w:t>Implicit</w:t>
            </w:r>
            <w:proofErr w:type="spellEnd"/>
            <w:r w:rsidRPr="00970467">
              <w:rPr>
                <w:rFonts w:ascii="Arial Narrow" w:hAnsi="Arial Narrow" w:cs="Arial"/>
                <w:b/>
                <w:bCs/>
                <w:color w:val="0000FF"/>
                <w:sz w:val="20"/>
                <w:szCs w:val="20"/>
              </w:rPr>
              <w:t xml:space="preserve"> </w:t>
            </w:r>
            <w:proofErr w:type="spellStart"/>
            <w:r w:rsidRPr="00970467">
              <w:rPr>
                <w:rFonts w:ascii="Arial Narrow" w:hAnsi="Arial Narrow" w:cs="Arial"/>
                <w:b/>
                <w:bCs/>
                <w:color w:val="0000FF"/>
                <w:sz w:val="20"/>
                <w:szCs w:val="20"/>
              </w:rPr>
              <w:t>Cost</w:t>
            </w:r>
            <w:proofErr w:type="spellEnd"/>
            <w:r w:rsidRPr="00970467">
              <w:rPr>
                <w:rFonts w:ascii="Arial Narrow" w:hAnsi="Arial Narrow" w:cs="Arial"/>
                <w:b/>
                <w:bCs/>
                <w:color w:val="0000FF"/>
                <w:sz w:val="20"/>
                <w:szCs w:val="20"/>
              </w:rPr>
              <w:t xml:space="preserve"> % (Bps)</w:t>
            </w:r>
          </w:p>
        </w:tc>
        <w:tc>
          <w:tcPr>
            <w:tcW w:w="1138" w:type="dxa"/>
          </w:tcPr>
          <w:p w:rsidR="00464710" w:rsidRPr="00970467" w:rsidRDefault="00464710" w:rsidP="004A06E5">
            <w:pPr>
              <w:pStyle w:val="Default"/>
              <w:rPr>
                <w:rFonts w:ascii="Arial Narrow" w:hAnsi="Arial Narrow" w:cs="Arial Narrow"/>
                <w:b/>
                <w:bCs/>
                <w:color w:val="0000FF"/>
                <w:sz w:val="20"/>
                <w:szCs w:val="20"/>
              </w:rPr>
            </w:pPr>
            <w:r w:rsidRPr="00970467">
              <w:rPr>
                <w:rFonts w:ascii="Arial Narrow" w:hAnsi="Arial Narrow" w:cs="Arial"/>
                <w:b/>
                <w:bCs/>
                <w:color w:val="0000FF"/>
                <w:sz w:val="20"/>
                <w:szCs w:val="20"/>
              </w:rPr>
              <w:t xml:space="preserve">Explicit </w:t>
            </w:r>
            <w:proofErr w:type="spellStart"/>
            <w:r w:rsidRPr="00970467">
              <w:rPr>
                <w:rFonts w:ascii="Arial Narrow" w:hAnsi="Arial Narrow" w:cs="Arial"/>
                <w:b/>
                <w:bCs/>
                <w:color w:val="0000FF"/>
                <w:sz w:val="20"/>
                <w:szCs w:val="20"/>
              </w:rPr>
              <w:t>Cost</w:t>
            </w:r>
            <w:proofErr w:type="spellEnd"/>
            <w:r w:rsidRPr="00970467">
              <w:rPr>
                <w:rFonts w:ascii="Arial Narrow" w:hAnsi="Arial Narrow" w:cs="Arial"/>
                <w:b/>
                <w:bCs/>
                <w:color w:val="0000FF"/>
                <w:sz w:val="20"/>
                <w:szCs w:val="20"/>
              </w:rPr>
              <w:t xml:space="preserve"> % (BPS)</w:t>
            </w:r>
          </w:p>
        </w:tc>
      </w:tr>
      <w:tr w:rsidR="00464710" w:rsidRPr="00970467" w:rsidTr="004A06E5">
        <w:tc>
          <w:tcPr>
            <w:tcW w:w="2405" w:type="dxa"/>
          </w:tcPr>
          <w:p w:rsidR="00464710" w:rsidRPr="00970467" w:rsidRDefault="00464710" w:rsidP="004A06E5">
            <w:pPr>
              <w:widowControl w:val="0"/>
              <w:autoSpaceDE w:val="0"/>
              <w:autoSpaceDN w:val="0"/>
              <w:adjustRightInd w:val="0"/>
              <w:spacing w:before="84"/>
              <w:rPr>
                <w:rFonts w:ascii="Arial Narrow" w:hAnsi="Arial Narrow" w:cs="Arial Narrow"/>
                <w:bCs/>
                <w:color w:val="0000FF"/>
                <w:szCs w:val="20"/>
              </w:rPr>
            </w:pPr>
            <w:r w:rsidRPr="00970467">
              <w:rPr>
                <w:rFonts w:ascii="Arial Narrow" w:hAnsi="Arial Narrow" w:cs="Arial"/>
                <w:color w:val="0000FF"/>
                <w:szCs w:val="20"/>
              </w:rPr>
              <w:t xml:space="preserve">Liquidity  </w:t>
            </w:r>
          </w:p>
        </w:tc>
        <w:tc>
          <w:tcPr>
            <w:tcW w:w="3940" w:type="dxa"/>
          </w:tcPr>
          <w:p w:rsidR="00464710" w:rsidRPr="00970467" w:rsidRDefault="00464710" w:rsidP="004A06E5">
            <w:pPr>
              <w:widowControl w:val="0"/>
              <w:autoSpaceDE w:val="0"/>
              <w:autoSpaceDN w:val="0"/>
              <w:adjustRightInd w:val="0"/>
              <w:spacing w:before="84"/>
              <w:rPr>
                <w:rFonts w:ascii="Arial Narrow" w:hAnsi="Arial Narrow" w:cs="Arial Narrow"/>
                <w:bCs/>
                <w:color w:val="0000FF"/>
                <w:szCs w:val="20"/>
              </w:rPr>
            </w:pPr>
            <w:r w:rsidRPr="00970467">
              <w:rPr>
                <w:rFonts w:ascii="Arial Narrow" w:hAnsi="Arial Narrow" w:cs="Arial"/>
                <w:color w:val="0000FF"/>
                <w:szCs w:val="20"/>
              </w:rPr>
              <w:t xml:space="preserve">Money market instruments (for the sake of clarity, money markets funds not included)  </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464710">
              <w:rPr>
                <w:rFonts w:ascii="Arial Narrow" w:hAnsi="Arial Narrow" w:cs="Arial Narrow"/>
                <w:bCs/>
                <w:color w:val="0000FF"/>
                <w:sz w:val="20"/>
                <w:szCs w:val="20"/>
                <w:lang w:val="en-US"/>
              </w:rPr>
              <w:t xml:space="preserve">                 </w:t>
            </w:r>
            <w:r w:rsidRPr="00970467">
              <w:rPr>
                <w:rFonts w:ascii="Arial Narrow" w:hAnsi="Arial Narrow" w:cs="Arial Narrow"/>
                <w:bCs/>
                <w:color w:val="0000FF"/>
                <w:sz w:val="20"/>
                <w:szCs w:val="20"/>
              </w:rPr>
              <w:t>1</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w:color w:val="0000FF"/>
                <w:sz w:val="20"/>
                <w:szCs w:val="20"/>
              </w:rPr>
              <w:t>Government</w:t>
            </w:r>
            <w:proofErr w:type="spellEnd"/>
            <w:r w:rsidRPr="00970467">
              <w:rPr>
                <w:rFonts w:ascii="Arial Narrow" w:hAnsi="Arial Narrow" w:cs="Arial"/>
                <w:color w:val="0000FF"/>
                <w:sz w:val="20"/>
                <w:szCs w:val="20"/>
              </w:rPr>
              <w:t xml:space="preserve"> bonds</w:t>
            </w:r>
          </w:p>
        </w:tc>
        <w:tc>
          <w:tcPr>
            <w:tcW w:w="3940" w:type="dxa"/>
          </w:tcPr>
          <w:p w:rsidR="00464710" w:rsidRPr="00464710" w:rsidRDefault="00464710" w:rsidP="004A06E5">
            <w:pPr>
              <w:pStyle w:val="Default"/>
              <w:rPr>
                <w:rFonts w:ascii="Arial Narrow" w:hAnsi="Arial Narrow" w:cs="Arial"/>
                <w:color w:val="0000FF"/>
                <w:sz w:val="20"/>
                <w:szCs w:val="20"/>
                <w:lang w:val="en-US"/>
              </w:rPr>
            </w:pPr>
            <w:r w:rsidRPr="00464710">
              <w:rPr>
                <w:rFonts w:ascii="Arial Narrow" w:hAnsi="Arial Narrow" w:cs="Arial"/>
                <w:color w:val="0000FF"/>
                <w:sz w:val="20"/>
                <w:szCs w:val="20"/>
                <w:lang w:val="en-US"/>
              </w:rPr>
              <w:t xml:space="preserve">Government bonds and similar instruments </w:t>
            </w:r>
          </w:p>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w:color w:val="0000FF"/>
                <w:sz w:val="20"/>
                <w:szCs w:val="20"/>
                <w:lang w:val="en-US"/>
              </w:rPr>
              <w:t xml:space="preserve">developed market rating AAA-A  </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464710">
              <w:rPr>
                <w:rFonts w:ascii="Arial Narrow" w:hAnsi="Arial Narrow" w:cs="Arial Narrow"/>
                <w:bCs/>
                <w:color w:val="0000FF"/>
                <w:sz w:val="20"/>
                <w:szCs w:val="20"/>
                <w:lang w:val="en-US"/>
              </w:rPr>
              <w:t xml:space="preserve">                 </w:t>
            </w:r>
            <w:r w:rsidRPr="00970467">
              <w:rPr>
                <w:rFonts w:ascii="Arial Narrow" w:hAnsi="Arial Narrow" w:cs="Arial Narrow"/>
                <w:bCs/>
                <w:color w:val="0000FF"/>
                <w:sz w:val="20"/>
                <w:szCs w:val="20"/>
              </w:rPr>
              <w:t>5</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
        </w:tc>
        <w:tc>
          <w:tcPr>
            <w:tcW w:w="3940" w:type="dxa"/>
          </w:tcPr>
          <w:p w:rsidR="00464710" w:rsidRPr="00464710" w:rsidRDefault="00464710" w:rsidP="004A06E5">
            <w:pPr>
              <w:pStyle w:val="Default"/>
              <w:rPr>
                <w:rFonts w:ascii="Arial Narrow" w:hAnsi="Arial Narrow" w:cs="Arial"/>
                <w:color w:val="0000FF"/>
                <w:sz w:val="20"/>
                <w:szCs w:val="20"/>
                <w:lang w:val="en-US"/>
              </w:rPr>
            </w:pPr>
            <w:r w:rsidRPr="00464710">
              <w:rPr>
                <w:rFonts w:ascii="Arial Narrow" w:hAnsi="Arial Narrow" w:cs="Arial"/>
                <w:color w:val="0000FF"/>
                <w:sz w:val="20"/>
                <w:szCs w:val="20"/>
                <w:lang w:val="en-US"/>
              </w:rPr>
              <w:t xml:space="preserve"> Government bonds and similar instruments</w:t>
            </w:r>
          </w:p>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w:color w:val="0000FF"/>
                <w:sz w:val="20"/>
                <w:szCs w:val="20"/>
                <w:lang w:val="en-US"/>
              </w:rPr>
              <w:t xml:space="preserve">developed market different rating below A </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464710">
              <w:rPr>
                <w:rFonts w:ascii="Arial Narrow" w:hAnsi="Arial Narrow" w:cs="Arial Narrow"/>
                <w:bCs/>
                <w:color w:val="0000FF"/>
                <w:sz w:val="20"/>
                <w:szCs w:val="20"/>
                <w:lang w:val="en-US"/>
              </w:rPr>
              <w:t xml:space="preserve">                 </w:t>
            </w:r>
            <w:r w:rsidRPr="00970467">
              <w:rPr>
                <w:rFonts w:ascii="Arial Narrow" w:hAnsi="Arial Narrow" w:cs="Arial Narrow"/>
                <w:bCs/>
                <w:color w:val="0000FF"/>
                <w:sz w:val="20"/>
                <w:szCs w:val="20"/>
              </w:rPr>
              <w:t>8</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464710" w:rsidRDefault="00464710" w:rsidP="004A06E5">
            <w:pPr>
              <w:pStyle w:val="Default"/>
              <w:rPr>
                <w:rFonts w:ascii="Arial Narrow" w:hAnsi="Arial Narrow" w:cs="Arial"/>
                <w:color w:val="0000FF"/>
                <w:sz w:val="20"/>
                <w:szCs w:val="20"/>
                <w:lang w:val="en-US"/>
              </w:rPr>
            </w:pPr>
            <w:r w:rsidRPr="00464710">
              <w:rPr>
                <w:rFonts w:ascii="Arial Narrow" w:hAnsi="Arial Narrow" w:cs="Arial"/>
                <w:color w:val="0000FF"/>
                <w:sz w:val="20"/>
                <w:szCs w:val="20"/>
                <w:lang w:val="en-US"/>
              </w:rPr>
              <w:t xml:space="preserve">Government bonds emerging markets </w:t>
            </w:r>
          </w:p>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w:color w:val="0000FF"/>
                <w:sz w:val="20"/>
                <w:szCs w:val="20"/>
                <w:lang w:val="en-US"/>
              </w:rPr>
              <w:t xml:space="preserve">(hard and soft currency)  </w:t>
            </w:r>
          </w:p>
        </w:tc>
        <w:tc>
          <w:tcPr>
            <w:tcW w:w="3940" w:type="dxa"/>
          </w:tcPr>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w:color w:val="0000FF"/>
                <w:sz w:val="20"/>
                <w:szCs w:val="20"/>
                <w:lang w:val="en-US"/>
              </w:rPr>
              <w:t xml:space="preserve">Government bonds emerging markets (hard and soft currency)  </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464710">
              <w:rPr>
                <w:rFonts w:ascii="Arial Narrow" w:hAnsi="Arial Narrow" w:cs="Arial Narrow"/>
                <w:bCs/>
                <w:color w:val="0000FF"/>
                <w:sz w:val="20"/>
                <w:szCs w:val="20"/>
                <w:lang w:val="en-US"/>
              </w:rPr>
              <w:t xml:space="preserve">               </w:t>
            </w:r>
            <w:r w:rsidRPr="00970467">
              <w:rPr>
                <w:rFonts w:ascii="Arial Narrow" w:hAnsi="Arial Narrow" w:cs="Arial Narrow"/>
                <w:bCs/>
                <w:color w:val="0000FF"/>
                <w:sz w:val="20"/>
                <w:szCs w:val="20"/>
              </w:rPr>
              <w:t>50</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w:color w:val="0000FF"/>
                <w:sz w:val="20"/>
                <w:szCs w:val="20"/>
              </w:rPr>
              <w:t>Investment</w:t>
            </w:r>
            <w:proofErr w:type="spellEnd"/>
            <w:r w:rsidRPr="00970467">
              <w:rPr>
                <w:rFonts w:ascii="Arial Narrow" w:hAnsi="Arial Narrow" w:cs="Arial"/>
                <w:color w:val="0000FF"/>
                <w:sz w:val="20"/>
                <w:szCs w:val="20"/>
              </w:rPr>
              <w:t xml:space="preserve"> grade </w:t>
            </w:r>
            <w:proofErr w:type="spellStart"/>
            <w:r w:rsidRPr="00970467">
              <w:rPr>
                <w:rFonts w:ascii="Arial Narrow" w:hAnsi="Arial Narrow" w:cs="Arial"/>
                <w:color w:val="0000FF"/>
                <w:sz w:val="20"/>
                <w:szCs w:val="20"/>
              </w:rPr>
              <w:t>corporate</w:t>
            </w:r>
            <w:proofErr w:type="spellEnd"/>
            <w:r w:rsidRPr="00970467">
              <w:rPr>
                <w:rFonts w:ascii="Arial Narrow" w:hAnsi="Arial Narrow" w:cs="Arial"/>
                <w:color w:val="0000FF"/>
                <w:sz w:val="20"/>
                <w:szCs w:val="20"/>
              </w:rPr>
              <w:t xml:space="preserve"> bonds</w:t>
            </w:r>
          </w:p>
        </w:tc>
        <w:tc>
          <w:tcPr>
            <w:tcW w:w="3940"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w:color w:val="0000FF"/>
                <w:sz w:val="20"/>
                <w:szCs w:val="20"/>
              </w:rPr>
              <w:t>Investment</w:t>
            </w:r>
            <w:proofErr w:type="spellEnd"/>
            <w:r w:rsidRPr="00970467">
              <w:rPr>
                <w:rFonts w:ascii="Arial Narrow" w:hAnsi="Arial Narrow" w:cs="Arial"/>
                <w:color w:val="0000FF"/>
                <w:sz w:val="20"/>
                <w:szCs w:val="20"/>
              </w:rPr>
              <w:t xml:space="preserve"> grade </w:t>
            </w:r>
            <w:proofErr w:type="spellStart"/>
            <w:r w:rsidRPr="00970467">
              <w:rPr>
                <w:rFonts w:ascii="Arial Narrow" w:hAnsi="Arial Narrow" w:cs="Arial"/>
                <w:color w:val="0000FF"/>
                <w:sz w:val="20"/>
                <w:szCs w:val="20"/>
              </w:rPr>
              <w:t>corporate</w:t>
            </w:r>
            <w:proofErr w:type="spellEnd"/>
            <w:r w:rsidRPr="00970467">
              <w:rPr>
                <w:rFonts w:ascii="Arial Narrow" w:hAnsi="Arial Narrow" w:cs="Arial"/>
                <w:color w:val="0000FF"/>
                <w:sz w:val="20"/>
                <w:szCs w:val="20"/>
              </w:rPr>
              <w:t xml:space="preserve"> bonds</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               25</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Narrow"/>
                <w:bCs/>
                <w:color w:val="0000FF"/>
                <w:sz w:val="20"/>
                <w:szCs w:val="20"/>
                <w:lang w:val="en-US"/>
              </w:rPr>
              <w:t xml:space="preserve">High yield corporate bonds (worldwide)  </w:t>
            </w:r>
          </w:p>
        </w:tc>
        <w:tc>
          <w:tcPr>
            <w:tcW w:w="3940"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High </w:t>
            </w:r>
            <w:proofErr w:type="spellStart"/>
            <w:r w:rsidRPr="00970467">
              <w:rPr>
                <w:rFonts w:ascii="Arial Narrow" w:hAnsi="Arial Narrow" w:cs="Arial Narrow"/>
                <w:bCs/>
                <w:color w:val="0000FF"/>
                <w:sz w:val="20"/>
                <w:szCs w:val="20"/>
              </w:rPr>
              <w:t>yield</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corporate</w:t>
            </w:r>
            <w:proofErr w:type="spellEnd"/>
            <w:r w:rsidRPr="00970467">
              <w:rPr>
                <w:rFonts w:ascii="Arial Narrow" w:hAnsi="Arial Narrow" w:cs="Arial Narrow"/>
                <w:bCs/>
                <w:color w:val="0000FF"/>
                <w:sz w:val="20"/>
                <w:szCs w:val="20"/>
              </w:rPr>
              <w:t xml:space="preserve"> bonds</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               50</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Narrow"/>
                <w:bCs/>
                <w:color w:val="0000FF"/>
                <w:sz w:val="20"/>
                <w:szCs w:val="20"/>
              </w:rPr>
              <w:t>Shares</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developed</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markets</w:t>
            </w:r>
            <w:proofErr w:type="spellEnd"/>
            <w:r w:rsidRPr="00970467">
              <w:rPr>
                <w:rFonts w:ascii="Arial Narrow" w:hAnsi="Arial Narrow" w:cs="Arial Narrow"/>
                <w:bCs/>
                <w:color w:val="0000FF"/>
                <w:sz w:val="20"/>
                <w:szCs w:val="20"/>
              </w:rPr>
              <w:t xml:space="preserve">  </w:t>
            </w:r>
          </w:p>
        </w:tc>
        <w:tc>
          <w:tcPr>
            <w:tcW w:w="3940"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Narrow"/>
                <w:bCs/>
                <w:color w:val="0000FF"/>
                <w:sz w:val="20"/>
                <w:szCs w:val="20"/>
              </w:rPr>
              <w:t>Shares</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developed</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markets</w:t>
            </w:r>
            <w:proofErr w:type="spellEnd"/>
            <w:r w:rsidRPr="00970467">
              <w:rPr>
                <w:rFonts w:ascii="Arial Narrow" w:hAnsi="Arial Narrow" w:cs="Arial Narrow"/>
                <w:bCs/>
                <w:color w:val="0000FF"/>
                <w:sz w:val="20"/>
                <w:szCs w:val="20"/>
              </w:rPr>
              <w:t xml:space="preserve">  </w:t>
            </w:r>
          </w:p>
        </w:tc>
        <w:tc>
          <w:tcPr>
            <w:tcW w:w="1276" w:type="dxa"/>
          </w:tcPr>
          <w:p w:rsidR="00464710" w:rsidRPr="00970467" w:rsidRDefault="00464710" w:rsidP="004A06E5">
            <w:pPr>
              <w:pStyle w:val="Default"/>
              <w:rPr>
                <w:rFonts w:ascii="Arial Narrow" w:hAnsi="Arial Narrow" w:cs="Arial Narrow"/>
                <w:bCs/>
                <w:color w:val="0000FF"/>
                <w:sz w:val="20"/>
                <w:szCs w:val="20"/>
              </w:rPr>
            </w:pPr>
          </w:p>
        </w:tc>
        <w:tc>
          <w:tcPr>
            <w:tcW w:w="1138" w:type="dxa"/>
          </w:tcPr>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Narrow"/>
                <w:bCs/>
                <w:color w:val="0000FF"/>
                <w:sz w:val="20"/>
                <w:szCs w:val="20"/>
                <w:lang w:val="en-US"/>
              </w:rPr>
              <w:t xml:space="preserve">Program trading: 4; no program trading: 15;  </w:t>
            </w: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Narrow"/>
                <w:bCs/>
                <w:color w:val="0000FF"/>
                <w:sz w:val="20"/>
                <w:szCs w:val="20"/>
              </w:rPr>
              <w:t>Shares</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emerging</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markets</w:t>
            </w:r>
            <w:proofErr w:type="spellEnd"/>
            <w:r w:rsidRPr="00970467">
              <w:rPr>
                <w:rFonts w:ascii="Arial Narrow" w:hAnsi="Arial Narrow" w:cs="Arial Narrow"/>
                <w:bCs/>
                <w:color w:val="0000FF"/>
                <w:sz w:val="20"/>
                <w:szCs w:val="20"/>
              </w:rPr>
              <w:t xml:space="preserve">  </w:t>
            </w:r>
          </w:p>
        </w:tc>
        <w:tc>
          <w:tcPr>
            <w:tcW w:w="3940"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Narrow"/>
                <w:bCs/>
                <w:color w:val="0000FF"/>
                <w:sz w:val="20"/>
                <w:szCs w:val="20"/>
              </w:rPr>
              <w:t>Shares</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emerging</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markets</w:t>
            </w:r>
            <w:proofErr w:type="spellEnd"/>
            <w:r w:rsidRPr="00970467">
              <w:rPr>
                <w:rFonts w:ascii="Arial Narrow" w:hAnsi="Arial Narrow" w:cs="Arial Narrow"/>
                <w:bCs/>
                <w:color w:val="0000FF"/>
                <w:sz w:val="20"/>
                <w:szCs w:val="20"/>
              </w:rPr>
              <w:t xml:space="preserve">  </w:t>
            </w:r>
          </w:p>
        </w:tc>
        <w:tc>
          <w:tcPr>
            <w:tcW w:w="1276" w:type="dxa"/>
          </w:tcPr>
          <w:p w:rsidR="00464710" w:rsidRPr="00970467" w:rsidRDefault="00464710" w:rsidP="004A06E5">
            <w:pPr>
              <w:pStyle w:val="Default"/>
              <w:rPr>
                <w:rFonts w:ascii="Arial Narrow" w:hAnsi="Arial Narrow" w:cs="Arial Narrow"/>
                <w:bCs/>
                <w:color w:val="0000FF"/>
                <w:sz w:val="20"/>
                <w:szCs w:val="20"/>
              </w:rPr>
            </w:pPr>
          </w:p>
        </w:tc>
        <w:tc>
          <w:tcPr>
            <w:tcW w:w="1138" w:type="dxa"/>
          </w:tcPr>
          <w:p w:rsidR="00464710" w:rsidRPr="00464710" w:rsidRDefault="00464710" w:rsidP="004A06E5">
            <w:pPr>
              <w:pStyle w:val="Default"/>
              <w:rPr>
                <w:rFonts w:ascii="Arial Narrow" w:hAnsi="Arial Narrow" w:cs="Arial Narrow"/>
                <w:bCs/>
                <w:color w:val="FF0000"/>
                <w:sz w:val="20"/>
                <w:szCs w:val="20"/>
                <w:lang w:val="en-US"/>
              </w:rPr>
            </w:pPr>
            <w:r w:rsidRPr="00464710">
              <w:rPr>
                <w:rFonts w:ascii="Arial Narrow" w:hAnsi="Arial Narrow" w:cs="Arial Narrow"/>
                <w:bCs/>
                <w:color w:val="FF0000"/>
                <w:sz w:val="20"/>
                <w:szCs w:val="20"/>
                <w:lang w:val="en-US"/>
              </w:rPr>
              <w:t xml:space="preserve">Program trading: 4; no program </w:t>
            </w:r>
          </w:p>
          <w:p w:rsidR="00464710" w:rsidRPr="00464710" w:rsidRDefault="00464710" w:rsidP="004A06E5">
            <w:pPr>
              <w:pStyle w:val="Default"/>
              <w:rPr>
                <w:rFonts w:ascii="Arial Narrow" w:hAnsi="Arial Narrow" w:cs="Arial Narrow"/>
                <w:bCs/>
                <w:color w:val="FF0000"/>
                <w:sz w:val="20"/>
                <w:szCs w:val="20"/>
                <w:lang w:val="en-US"/>
              </w:rPr>
            </w:pPr>
            <w:r w:rsidRPr="00464710">
              <w:rPr>
                <w:rFonts w:ascii="Arial Narrow" w:hAnsi="Arial Narrow" w:cs="Arial Narrow"/>
                <w:bCs/>
                <w:color w:val="FF0000"/>
                <w:sz w:val="20"/>
                <w:szCs w:val="20"/>
                <w:lang w:val="en-US"/>
              </w:rPr>
              <w:t xml:space="preserve">trading: 25;  </w:t>
            </w: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Narrow"/>
                <w:bCs/>
                <w:color w:val="0000FF"/>
                <w:sz w:val="20"/>
                <w:szCs w:val="20"/>
              </w:rPr>
              <w:lastRenderedPageBreak/>
              <w:t>Listed</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derivatives</w:t>
            </w:r>
            <w:proofErr w:type="spellEnd"/>
          </w:p>
        </w:tc>
        <w:tc>
          <w:tcPr>
            <w:tcW w:w="3940" w:type="dxa"/>
          </w:tcPr>
          <w:p w:rsidR="00464710" w:rsidRPr="00970467" w:rsidRDefault="00464710" w:rsidP="004A06E5">
            <w:pPr>
              <w:pStyle w:val="Default"/>
              <w:rPr>
                <w:rFonts w:ascii="Arial Narrow" w:hAnsi="Arial Narrow" w:cs="Arial Narrow"/>
                <w:bCs/>
                <w:color w:val="0000FF"/>
                <w:sz w:val="20"/>
                <w:szCs w:val="20"/>
              </w:rPr>
            </w:pPr>
            <w:proofErr w:type="spellStart"/>
            <w:r w:rsidRPr="00970467">
              <w:rPr>
                <w:rFonts w:ascii="Arial Narrow" w:hAnsi="Arial Narrow" w:cs="Arial Narrow"/>
                <w:bCs/>
                <w:color w:val="0000FF"/>
                <w:sz w:val="20"/>
                <w:szCs w:val="20"/>
              </w:rPr>
              <w:t>Listed</w:t>
            </w:r>
            <w:proofErr w:type="spellEnd"/>
            <w:r w:rsidRPr="00970467">
              <w:rPr>
                <w:rFonts w:ascii="Arial Narrow" w:hAnsi="Arial Narrow" w:cs="Arial Narrow"/>
                <w:bCs/>
                <w:color w:val="0000FF"/>
                <w:sz w:val="20"/>
                <w:szCs w:val="20"/>
              </w:rPr>
              <w:t xml:space="preserve"> </w:t>
            </w:r>
            <w:proofErr w:type="spellStart"/>
            <w:r w:rsidRPr="00970467">
              <w:rPr>
                <w:rFonts w:ascii="Arial Narrow" w:hAnsi="Arial Narrow" w:cs="Arial Narrow"/>
                <w:bCs/>
                <w:color w:val="0000FF"/>
                <w:sz w:val="20"/>
                <w:szCs w:val="20"/>
              </w:rPr>
              <w:t>derivatives</w:t>
            </w:r>
            <w:proofErr w:type="spellEnd"/>
          </w:p>
        </w:tc>
        <w:tc>
          <w:tcPr>
            <w:tcW w:w="1276" w:type="dxa"/>
          </w:tcPr>
          <w:p w:rsidR="00464710" w:rsidRPr="00970467" w:rsidRDefault="00464710" w:rsidP="004A06E5">
            <w:pPr>
              <w:pStyle w:val="Default"/>
              <w:rPr>
                <w:rFonts w:ascii="Arial Narrow" w:hAnsi="Arial Narrow" w:cs="Arial Narrow"/>
                <w:bCs/>
                <w:color w:val="0000FF"/>
                <w:sz w:val="20"/>
                <w:szCs w:val="20"/>
              </w:rPr>
            </w:pPr>
          </w:p>
        </w:tc>
        <w:tc>
          <w:tcPr>
            <w:tcW w:w="1138" w:type="dxa"/>
          </w:tcPr>
          <w:p w:rsidR="00464710" w:rsidRPr="00970467" w:rsidRDefault="00464710" w:rsidP="004A06E5">
            <w:pPr>
              <w:pStyle w:val="Default"/>
              <w:rPr>
                <w:rFonts w:ascii="Arial Narrow" w:hAnsi="Arial Narrow" w:cs="Arial Narrow"/>
                <w:bCs/>
                <w:color w:val="FF0000"/>
                <w:sz w:val="20"/>
                <w:szCs w:val="20"/>
              </w:rPr>
            </w:pPr>
            <w:r w:rsidRPr="00970467">
              <w:rPr>
                <w:rFonts w:ascii="Arial Narrow" w:hAnsi="Arial Narrow" w:cs="Arial Narrow"/>
                <w:bCs/>
                <w:color w:val="FF0000"/>
                <w:sz w:val="20"/>
                <w:szCs w:val="20"/>
              </w:rPr>
              <w:t xml:space="preserve">0,50 Euro per </w:t>
            </w:r>
            <w:proofErr w:type="spellStart"/>
            <w:r w:rsidRPr="00970467">
              <w:rPr>
                <w:rFonts w:ascii="Arial Narrow" w:hAnsi="Arial Narrow" w:cs="Arial Narrow"/>
                <w:bCs/>
                <w:color w:val="FF0000"/>
                <w:sz w:val="20"/>
                <w:szCs w:val="20"/>
              </w:rPr>
              <w:t>contract</w:t>
            </w:r>
            <w:proofErr w:type="spellEnd"/>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OTC</w:t>
            </w:r>
          </w:p>
        </w:tc>
        <w:tc>
          <w:tcPr>
            <w:tcW w:w="3940"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OTC </w:t>
            </w:r>
            <w:proofErr w:type="spellStart"/>
            <w:r w:rsidRPr="00970467">
              <w:rPr>
                <w:rFonts w:ascii="Arial Narrow" w:hAnsi="Arial Narrow" w:cs="Arial Narrow"/>
                <w:bCs/>
                <w:color w:val="0000FF"/>
                <w:sz w:val="20"/>
                <w:szCs w:val="20"/>
              </w:rPr>
              <w:t>Exotic</w:t>
            </w:r>
            <w:proofErr w:type="spellEnd"/>
            <w:r w:rsidRPr="00970467">
              <w:rPr>
                <w:rFonts w:ascii="Arial Narrow" w:hAnsi="Arial Narrow" w:cs="Arial Narrow"/>
                <w:bCs/>
                <w:color w:val="0000FF"/>
                <w:sz w:val="20"/>
                <w:szCs w:val="20"/>
              </w:rPr>
              <w:t xml:space="preserve"> options</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               70</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
        </w:tc>
        <w:tc>
          <w:tcPr>
            <w:tcW w:w="3940"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OTC Plain </w:t>
            </w:r>
            <w:proofErr w:type="spellStart"/>
            <w:r w:rsidRPr="00970467">
              <w:rPr>
                <w:rFonts w:ascii="Arial Narrow" w:hAnsi="Arial Narrow" w:cs="Arial Narrow"/>
                <w:bCs/>
                <w:color w:val="0000FF"/>
                <w:sz w:val="20"/>
                <w:szCs w:val="20"/>
              </w:rPr>
              <w:t>vanilla</w:t>
            </w:r>
            <w:proofErr w:type="spellEnd"/>
            <w:r w:rsidRPr="00970467">
              <w:rPr>
                <w:rFonts w:ascii="Arial Narrow" w:hAnsi="Arial Narrow" w:cs="Arial Narrow"/>
                <w:bCs/>
                <w:color w:val="0000FF"/>
                <w:sz w:val="20"/>
                <w:szCs w:val="20"/>
              </w:rPr>
              <w:t xml:space="preserve"> options</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970467">
              <w:rPr>
                <w:rFonts w:ascii="Arial Narrow" w:hAnsi="Arial Narrow" w:cs="Arial Narrow"/>
                <w:bCs/>
                <w:color w:val="0000FF"/>
                <w:sz w:val="20"/>
                <w:szCs w:val="20"/>
              </w:rPr>
              <w:t xml:space="preserve">               20</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
        </w:tc>
        <w:tc>
          <w:tcPr>
            <w:tcW w:w="3940" w:type="dxa"/>
          </w:tcPr>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Narrow"/>
                <w:bCs/>
                <w:color w:val="0000FF"/>
                <w:sz w:val="20"/>
                <w:szCs w:val="20"/>
                <w:lang w:val="en-US"/>
              </w:rPr>
              <w:t>OTC IRS, CDS and similar</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464710">
              <w:rPr>
                <w:rFonts w:ascii="Arial Narrow" w:hAnsi="Arial Narrow" w:cs="Arial Narrow"/>
                <w:bCs/>
                <w:color w:val="0000FF"/>
                <w:sz w:val="20"/>
                <w:szCs w:val="20"/>
                <w:lang w:val="en-US"/>
              </w:rPr>
              <w:t xml:space="preserve">                 </w:t>
            </w:r>
            <w:r w:rsidRPr="00970467">
              <w:rPr>
                <w:rFonts w:ascii="Arial Narrow" w:hAnsi="Arial Narrow" w:cs="Arial Narrow"/>
                <w:bCs/>
                <w:color w:val="0000FF"/>
                <w:sz w:val="20"/>
                <w:szCs w:val="20"/>
              </w:rPr>
              <w:t>1</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r w:rsidR="00464710" w:rsidRPr="00970467" w:rsidTr="004A06E5">
        <w:tc>
          <w:tcPr>
            <w:tcW w:w="2405" w:type="dxa"/>
          </w:tcPr>
          <w:p w:rsidR="00464710" w:rsidRPr="00970467" w:rsidRDefault="00464710" w:rsidP="004A06E5">
            <w:pPr>
              <w:pStyle w:val="Default"/>
              <w:rPr>
                <w:rFonts w:ascii="Arial Narrow" w:hAnsi="Arial Narrow" w:cs="Arial Narrow"/>
                <w:bCs/>
                <w:color w:val="0000FF"/>
                <w:sz w:val="20"/>
                <w:szCs w:val="20"/>
              </w:rPr>
            </w:pPr>
          </w:p>
        </w:tc>
        <w:tc>
          <w:tcPr>
            <w:tcW w:w="3940" w:type="dxa"/>
          </w:tcPr>
          <w:p w:rsidR="00464710" w:rsidRPr="00464710" w:rsidRDefault="00464710" w:rsidP="004A06E5">
            <w:pPr>
              <w:pStyle w:val="Default"/>
              <w:rPr>
                <w:rFonts w:ascii="Arial Narrow" w:hAnsi="Arial Narrow" w:cs="Arial Narrow"/>
                <w:bCs/>
                <w:color w:val="0000FF"/>
                <w:sz w:val="20"/>
                <w:szCs w:val="20"/>
                <w:lang w:val="en-US"/>
              </w:rPr>
            </w:pPr>
            <w:r w:rsidRPr="00464710">
              <w:rPr>
                <w:rFonts w:ascii="Arial Narrow" w:hAnsi="Arial Narrow" w:cs="Arial Narrow"/>
                <w:bCs/>
                <w:color w:val="0000FF"/>
                <w:sz w:val="20"/>
                <w:szCs w:val="20"/>
                <w:lang w:val="en-US"/>
              </w:rPr>
              <w:t>OTC Swaps and similar instruments (different from IRS, CDS and similar)</w:t>
            </w:r>
          </w:p>
        </w:tc>
        <w:tc>
          <w:tcPr>
            <w:tcW w:w="1276" w:type="dxa"/>
          </w:tcPr>
          <w:p w:rsidR="00464710" w:rsidRPr="00970467" w:rsidRDefault="00464710" w:rsidP="004A06E5">
            <w:pPr>
              <w:pStyle w:val="Default"/>
              <w:rPr>
                <w:rFonts w:ascii="Arial Narrow" w:hAnsi="Arial Narrow" w:cs="Arial Narrow"/>
                <w:bCs/>
                <w:color w:val="0000FF"/>
                <w:sz w:val="20"/>
                <w:szCs w:val="20"/>
              </w:rPr>
            </w:pPr>
            <w:r w:rsidRPr="00464710">
              <w:rPr>
                <w:rFonts w:ascii="Arial Narrow" w:hAnsi="Arial Narrow" w:cs="Arial Narrow"/>
                <w:bCs/>
                <w:color w:val="0000FF"/>
                <w:sz w:val="20"/>
                <w:szCs w:val="20"/>
                <w:lang w:val="en-US"/>
              </w:rPr>
              <w:t xml:space="preserve">               </w:t>
            </w:r>
            <w:r w:rsidRPr="00970467">
              <w:rPr>
                <w:rFonts w:ascii="Arial Narrow" w:hAnsi="Arial Narrow" w:cs="Arial Narrow"/>
                <w:bCs/>
                <w:color w:val="0000FF"/>
                <w:sz w:val="20"/>
                <w:szCs w:val="20"/>
              </w:rPr>
              <w:t>20</w:t>
            </w:r>
          </w:p>
        </w:tc>
        <w:tc>
          <w:tcPr>
            <w:tcW w:w="1138" w:type="dxa"/>
          </w:tcPr>
          <w:p w:rsidR="00464710" w:rsidRPr="00970467" w:rsidRDefault="00464710" w:rsidP="004A06E5">
            <w:pPr>
              <w:pStyle w:val="Default"/>
              <w:rPr>
                <w:rFonts w:ascii="Arial Narrow" w:hAnsi="Arial Narrow" w:cs="Arial Narrow"/>
                <w:b/>
                <w:bCs/>
                <w:color w:val="0000FF"/>
                <w:sz w:val="20"/>
                <w:szCs w:val="20"/>
              </w:rPr>
            </w:pPr>
          </w:p>
        </w:tc>
      </w:tr>
    </w:tbl>
    <w:p w:rsidR="00464710" w:rsidRPr="00970467" w:rsidRDefault="00464710" w:rsidP="00464710">
      <w:pPr>
        <w:pStyle w:val="Default"/>
        <w:rPr>
          <w:rFonts w:ascii="Arial Narrow" w:hAnsi="Arial Narrow" w:cs="Arial Narrow"/>
          <w:b/>
          <w:bCs/>
          <w:color w:val="0000FF"/>
        </w:rPr>
      </w:pPr>
    </w:p>
    <w:p w:rsidR="003E4B00" w:rsidRPr="00464710" w:rsidRDefault="00464710" w:rsidP="00464710">
      <w:pPr>
        <w:pStyle w:val="Default"/>
        <w:jc w:val="both"/>
        <w:rPr>
          <w:sz w:val="20"/>
          <w:szCs w:val="20"/>
          <w:lang w:val="en-US"/>
        </w:rPr>
      </w:pPr>
      <w:r w:rsidRPr="00464710">
        <w:rPr>
          <w:rFonts w:ascii="Arial Narrow" w:hAnsi="Arial Narrow" w:cs="Arial Narrow"/>
          <w:color w:val="0000FF"/>
          <w:sz w:val="20"/>
          <w:szCs w:val="20"/>
          <w:lang w:val="en-US"/>
        </w:rPr>
        <w:t xml:space="preserve">These adaptations would also help to mark out the relevance of the table for existing products as compared to new PRIIIPs: whereas newly launched PRIIPs would need to apply the entire table in order to compute their transaction costs, funds with a relevant trading history would only rely on the assumptions for the implicit cost elements. Explicit costs comprising in particular broker fees, depositary fees, taxes and potential fees charged by </w:t>
      </w:r>
      <w:proofErr w:type="spellStart"/>
      <w:r w:rsidRPr="00464710">
        <w:rPr>
          <w:rFonts w:ascii="Arial Narrow" w:hAnsi="Arial Narrow" w:cs="Arial Narrow"/>
          <w:color w:val="0000FF"/>
          <w:sz w:val="20"/>
          <w:szCs w:val="20"/>
          <w:lang w:val="en-US"/>
        </w:rPr>
        <w:t>specialised</w:t>
      </w:r>
      <w:proofErr w:type="spellEnd"/>
      <w:r w:rsidRPr="00464710">
        <w:rPr>
          <w:rFonts w:ascii="Arial Narrow" w:hAnsi="Arial Narrow" w:cs="Arial Narrow"/>
          <w:color w:val="0000FF"/>
          <w:sz w:val="20"/>
          <w:szCs w:val="20"/>
          <w:lang w:val="en-US"/>
        </w:rPr>
        <w:t xml:space="preserve"> custodians in case of equity transactions would be disclosed on the basis of actual transaction data according to § 6 (j) of Annex II.</w:t>
      </w:r>
    </w:p>
    <w:permEnd w:id="17"/>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Pr="003E4B00" w:rsidRDefault="00070528" w:rsidP="003E4B00">
      <w:pPr>
        <w:rPr>
          <w:lang w:val="fr-FR"/>
        </w:rPr>
      </w:pPr>
      <w:permStart w:id="18" w:edGrp="everyone"/>
      <w:r w:rsidRPr="00070528">
        <w:rPr>
          <w:rFonts w:ascii="Arial Narrow" w:hAnsi="Arial Narrow" w:cs="Arial Narrow"/>
          <w:color w:val="0000FF"/>
          <w:lang w:val="en-US"/>
        </w:rPr>
        <w:t>In order to allow comparisons between products, all amounts should be per annum. All detailed cost information of the financial instrument has to be included in the table on the presentation of costs (please also refer to M</w:t>
      </w:r>
      <w:r w:rsidRPr="00070528">
        <w:rPr>
          <w:rFonts w:ascii="Arial Narrow" w:hAnsi="Arial Narrow" w:cs="Arial Narrow"/>
          <w:color w:val="0000FF"/>
          <w:lang w:val="en-US"/>
        </w:rPr>
        <w:t>i</w:t>
      </w:r>
      <w:r w:rsidRPr="00070528">
        <w:rPr>
          <w:rFonts w:ascii="Arial Narrow" w:hAnsi="Arial Narrow" w:cs="Arial Narrow"/>
          <w:color w:val="0000FF"/>
          <w:lang w:val="en-US"/>
        </w:rPr>
        <w:t>FID2</w:t>
      </w:r>
      <w:proofErr w:type="gramStart"/>
      <w:r w:rsidRPr="00070528">
        <w:rPr>
          <w:rFonts w:ascii="Arial Narrow" w:hAnsi="Arial Narrow" w:cs="Arial Narrow"/>
          <w:color w:val="0000FF"/>
          <w:lang w:val="en-US"/>
        </w:rPr>
        <w:t>)</w:t>
      </w:r>
      <w:permEnd w:id="18"/>
      <w:r w:rsidR="003E4B00" w:rsidRPr="00580880">
        <w:rPr>
          <w:lang w:val="fr-FR"/>
        </w:rPr>
        <w:t>&lt;</w:t>
      </w:r>
      <w:proofErr w:type="gramEnd"/>
      <w:r w:rsidR="003E4B00" w:rsidRPr="00580880">
        <w:rPr>
          <w:lang w:val="fr-FR"/>
        </w:rPr>
        <w:t>ESMA_QUESTION_</w:t>
      </w:r>
      <w:r w:rsidR="003E4B00">
        <w:rPr>
          <w:lang w:val="fr-FR"/>
        </w:rPr>
        <w:t>PRIIPS_18</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C560D8" w:rsidP="003E4B00">
      <w:permStart w:id="19" w:edGrp="everyone"/>
      <w:r w:rsidRPr="00E0218A">
        <w:rPr>
          <w:rFonts w:ascii="Arial Narrow" w:hAnsi="Arial Narrow" w:cs="Arial Narrow"/>
          <w:color w:val="0000FF"/>
        </w:rPr>
        <w:t>We agree with the ESAs that if the insurance undertaking is not able to establish the fair value of a biometric risk premium based on sound estimations of future benefit payments, it should be obliged to include the full biometric risk premium in the cost calcul</w:t>
      </w:r>
      <w:r w:rsidRPr="00E0218A">
        <w:rPr>
          <w:rFonts w:ascii="Arial Narrow" w:hAnsi="Arial Narrow" w:cs="Arial Narrow"/>
          <w:color w:val="0000FF"/>
        </w:rPr>
        <w:t>a</w:t>
      </w:r>
      <w:r w:rsidRPr="00E0218A">
        <w:rPr>
          <w:rFonts w:ascii="Arial Narrow" w:hAnsi="Arial Narrow" w:cs="Arial Narrow"/>
          <w:color w:val="0000FF"/>
        </w:rPr>
        <w:t>tions. As regards principles of establishing the fair value, we think that profit sharing mechanisms must not be taken into account as a cost mitigating factor. Expected profit sharing shall already be accounted for in the presentation of performance scenarios which shall be calculated net of costs. A further deduction for the purpose of cost calculations would result in an unjustified double counting of estimated shared profits for insurance-based PRIIPs and thus would privilege them over other investment products</w:t>
      </w:r>
    </w:p>
    <w:permEnd w:id="19"/>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lastRenderedPageBreak/>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6C6E73" w:rsidRPr="006C6E73" w:rsidRDefault="006C6E73" w:rsidP="006C6E73">
      <w:pPr>
        <w:pStyle w:val="Default"/>
        <w:jc w:val="both"/>
        <w:rPr>
          <w:rFonts w:ascii="Arial Narrow" w:hAnsi="Arial Narrow" w:cs="Arial Narrow"/>
          <w:color w:val="0000FF"/>
          <w:sz w:val="20"/>
          <w:szCs w:val="20"/>
          <w:lang w:val="en-US"/>
        </w:rPr>
      </w:pPr>
      <w:permStart w:id="20" w:edGrp="everyone"/>
      <w:r w:rsidRPr="006C6E73">
        <w:rPr>
          <w:rFonts w:ascii="Arial Narrow" w:hAnsi="Arial Narrow" w:cs="Arial Narrow"/>
          <w:color w:val="0000FF"/>
          <w:sz w:val="20"/>
          <w:szCs w:val="20"/>
          <w:lang w:val="en-US"/>
        </w:rPr>
        <w:t>It would be useful for investors to obtain coherent information about all factors mitigating the anticipated return in one place. Therefore, we support the idea to present the fair value of the biometric risk premium in the first table below the RIY figures in order to depict that in insurance-based investments, there are also other elements than costs that will impact the overall perfo</w:t>
      </w:r>
      <w:r w:rsidRPr="006C6E73">
        <w:rPr>
          <w:rFonts w:ascii="Arial Narrow" w:hAnsi="Arial Narrow" w:cs="Arial Narrow"/>
          <w:color w:val="0000FF"/>
          <w:sz w:val="20"/>
          <w:szCs w:val="20"/>
          <w:lang w:val="en-US"/>
        </w:rPr>
        <w:t>r</w:t>
      </w:r>
      <w:r w:rsidRPr="006C6E73">
        <w:rPr>
          <w:rFonts w:ascii="Arial Narrow" w:hAnsi="Arial Narrow" w:cs="Arial Narrow"/>
          <w:color w:val="0000FF"/>
          <w:sz w:val="20"/>
          <w:szCs w:val="20"/>
          <w:lang w:val="en-US"/>
        </w:rPr>
        <w:t>mance of the investment.</w:t>
      </w:r>
    </w:p>
    <w:permEnd w:id="20"/>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Pr="003E4B00" w:rsidRDefault="00FA7645" w:rsidP="00491E49">
      <w:pPr>
        <w:rPr>
          <w:lang w:val="fr-FR"/>
        </w:rPr>
      </w:pPr>
      <w:permStart w:id="21" w:edGrp="everyone"/>
      <w:r w:rsidRPr="00FA7645">
        <w:rPr>
          <w:rFonts w:ascii="Arial Narrow" w:hAnsi="Arial Narrow" w:cs="Arial Narrow"/>
          <w:color w:val="0000FF"/>
          <w:szCs w:val="20"/>
        </w:rPr>
        <w:t xml:space="preserve">Please refer to MiFID2 rules. There is no need to find a specific PRIIPs solution because the ex-ante cost disclosure of MiFID2 is more relevant due to the fact that it includes further cost components (e.g. costs of financial service). In addition, Level 1 does not require a further detailed cost disclosure and we would not </w:t>
      </w:r>
      <w:proofErr w:type="spellStart"/>
      <w:r w:rsidRPr="00FA7645">
        <w:rPr>
          <w:rFonts w:ascii="Arial Narrow" w:hAnsi="Arial Narrow" w:cs="Arial Narrow"/>
          <w:color w:val="0000FF"/>
          <w:szCs w:val="20"/>
        </w:rPr>
        <w:t>favor</w:t>
      </w:r>
      <w:proofErr w:type="spellEnd"/>
      <w:r w:rsidRPr="00FA7645">
        <w:rPr>
          <w:rFonts w:ascii="Arial Narrow" w:hAnsi="Arial Narrow" w:cs="Arial Narrow"/>
          <w:color w:val="0000FF"/>
          <w:szCs w:val="20"/>
        </w:rPr>
        <w:t xml:space="preserve"> a second table as we doubt that that it will be possible to include on 3 pages four different tables with additional information</w:t>
      </w:r>
      <w:proofErr w:type="gramStart"/>
      <w:r w:rsidRPr="00E0218A">
        <w:rPr>
          <w:rFonts w:ascii="Arial Narrow" w:hAnsi="Arial Narrow" w:cs="Arial Narrow"/>
          <w:color w:val="0000FF"/>
          <w:sz w:val="24"/>
        </w:rPr>
        <w:t>.</w:t>
      </w:r>
      <w:permEnd w:id="21"/>
      <w:r w:rsidR="00491E49" w:rsidRPr="00580880">
        <w:rPr>
          <w:lang w:val="fr-FR"/>
        </w:rPr>
        <w:t>&lt;</w:t>
      </w:r>
      <w:proofErr w:type="gramEnd"/>
      <w:r w:rsidR="00491E49" w:rsidRPr="00580880">
        <w:rPr>
          <w:lang w:val="fr-FR"/>
        </w:rPr>
        <w:t>ESMA_QUESTION_</w:t>
      </w:r>
      <w:r w:rsidR="00491E49">
        <w:rPr>
          <w:lang w:val="fr-FR"/>
        </w:rPr>
        <w:t>PRIIPS_21</w:t>
      </w:r>
      <w:r w:rsidR="00491E49"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Pr="00C21501" w:rsidRDefault="00C21501" w:rsidP="00C21501">
      <w:pPr>
        <w:pStyle w:val="Default"/>
        <w:jc w:val="both"/>
        <w:rPr>
          <w:lang w:val="en-US"/>
        </w:rPr>
      </w:pPr>
      <w:permStart w:id="22" w:edGrp="everyone"/>
      <w:r w:rsidRPr="00C21501">
        <w:rPr>
          <w:rFonts w:ascii="Arial Narrow" w:hAnsi="Arial Narrow" w:cs="Arial Narrow"/>
          <w:color w:val="0000FF"/>
          <w:sz w:val="20"/>
          <w:szCs w:val="20"/>
          <w:lang w:val="en-US"/>
        </w:rPr>
        <w:t xml:space="preserve">As per the previous answer, we recommend using </w:t>
      </w:r>
      <w:proofErr w:type="spellStart"/>
      <w:r w:rsidRPr="00C21501">
        <w:rPr>
          <w:rFonts w:ascii="Arial Narrow" w:hAnsi="Arial Narrow" w:cs="Arial Narrow"/>
          <w:color w:val="0000FF"/>
          <w:sz w:val="20"/>
          <w:szCs w:val="20"/>
          <w:lang w:val="en-US"/>
        </w:rPr>
        <w:t>MiFID</w:t>
      </w:r>
      <w:proofErr w:type="spellEnd"/>
      <w:r w:rsidRPr="00C21501">
        <w:rPr>
          <w:rFonts w:ascii="Arial Narrow" w:hAnsi="Arial Narrow" w:cs="Arial Narrow"/>
          <w:color w:val="0000FF"/>
          <w:sz w:val="20"/>
          <w:szCs w:val="20"/>
          <w:lang w:val="en-US"/>
        </w:rPr>
        <w:t xml:space="preserve"> 2 as the model and not to desi</w:t>
      </w:r>
      <w:r>
        <w:rPr>
          <w:rFonts w:ascii="Arial Narrow" w:hAnsi="Arial Narrow" w:cs="Arial Narrow"/>
          <w:color w:val="0000FF"/>
          <w:sz w:val="20"/>
          <w:szCs w:val="20"/>
          <w:lang w:val="en-US"/>
        </w:rPr>
        <w:t>g</w:t>
      </w:r>
      <w:r w:rsidRPr="00C21501">
        <w:rPr>
          <w:rFonts w:ascii="Arial Narrow" w:hAnsi="Arial Narrow" w:cs="Arial Narrow"/>
          <w:color w:val="0000FF"/>
          <w:sz w:val="20"/>
          <w:szCs w:val="20"/>
          <w:lang w:val="en-US"/>
        </w:rPr>
        <w:t>n a peculiar PRIIPs solution.</w:t>
      </w:r>
      <w:r>
        <w:rPr>
          <w:rFonts w:ascii="Arial Narrow" w:hAnsi="Arial Narrow" w:cs="Arial Narrow"/>
          <w:color w:val="0000FF"/>
          <w:sz w:val="20"/>
          <w:szCs w:val="20"/>
          <w:lang w:val="en-US"/>
        </w:rPr>
        <w:t xml:space="preserve"> </w:t>
      </w:r>
      <w:r w:rsidRPr="00C21501">
        <w:rPr>
          <w:rFonts w:ascii="Arial Narrow" w:hAnsi="Arial Narrow" w:cs="Arial Narrow"/>
          <w:color w:val="0000FF"/>
          <w:sz w:val="20"/>
          <w:szCs w:val="20"/>
          <w:lang w:val="en-US"/>
        </w:rPr>
        <w:t>The example of a graphical breakdown presentation offered on page 14 of the consultation paper adds little in terms of client centricity compared to a table and seems not to be in line with the results of the consumer testing undertaken with regard to drafting a KID format.</w:t>
      </w:r>
    </w:p>
    <w:permEnd w:id="22"/>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783A43" w:rsidRPr="00783A43" w:rsidRDefault="00783A43" w:rsidP="00783A43">
      <w:pPr>
        <w:pStyle w:val="Default"/>
        <w:jc w:val="both"/>
        <w:rPr>
          <w:rFonts w:ascii="Arial Narrow" w:hAnsi="Arial Narrow" w:cs="Arial Narrow"/>
          <w:bCs/>
          <w:color w:val="0000FF"/>
          <w:sz w:val="20"/>
          <w:szCs w:val="20"/>
          <w:lang w:val="en-US"/>
        </w:rPr>
      </w:pPr>
      <w:permStart w:id="23" w:edGrp="everyone"/>
      <w:r w:rsidRPr="00783A43">
        <w:rPr>
          <w:rFonts w:ascii="Arial Narrow" w:hAnsi="Arial Narrow" w:cs="Arial Narrow"/>
          <w:bCs/>
          <w:color w:val="0000FF"/>
          <w:sz w:val="20"/>
          <w:szCs w:val="20"/>
          <w:lang w:val="en-US"/>
        </w:rPr>
        <w:t>Including further information in the KID will add further complexity. There is also the risk that by highlighting the "moderate" scenario, investors may be induced to think that this represents a promise of that return. This would be a highly undesirable outcome for both investors and regulators. No outcome should be flagged by the document as the outcome which an investor should rely on unless that return is formally committed to by the PRIIP manufacturer.</w:t>
      </w:r>
    </w:p>
    <w:p w:rsidR="00783A43" w:rsidRDefault="00783A43" w:rsidP="00491E49">
      <w:pPr>
        <w:rPr>
          <w:rFonts w:ascii="Arial Narrow" w:hAnsi="Arial Narrow" w:cs="Arial Narrow"/>
          <w:color w:val="0000FF"/>
          <w:szCs w:val="20"/>
          <w:lang w:val="en-US"/>
        </w:rPr>
      </w:pPr>
      <w:r w:rsidRPr="00783A43">
        <w:rPr>
          <w:rFonts w:ascii="Arial Narrow" w:hAnsi="Arial Narrow" w:cs="Arial Narrow"/>
          <w:bCs/>
          <w:color w:val="0000FF"/>
          <w:szCs w:val="20"/>
          <w:lang w:val="en-US"/>
        </w:rPr>
        <w:t>Should this additional information nevertheless be included in the KID we recommend that the</w:t>
      </w:r>
      <w:r w:rsidRPr="00783A43">
        <w:rPr>
          <w:rFonts w:ascii="Arial Narrow" w:hAnsi="Arial Narrow" w:cs="Arial Narrow"/>
          <w:color w:val="0000FF"/>
          <w:szCs w:val="20"/>
          <w:lang w:val="en-US"/>
        </w:rPr>
        <w:t xml:space="preserve"> example shows percentages per annum.</w:t>
      </w:r>
    </w:p>
    <w:permEnd w:id="23"/>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783A43" w:rsidRPr="00783A43" w:rsidRDefault="00783A43" w:rsidP="00783A43">
      <w:pPr>
        <w:pStyle w:val="Default"/>
        <w:rPr>
          <w:rFonts w:ascii="Arial Narrow" w:hAnsi="Arial Narrow" w:cs="Arial Narrow"/>
          <w:color w:val="0000FF"/>
          <w:sz w:val="20"/>
          <w:szCs w:val="20"/>
          <w:lang w:val="en-US"/>
        </w:rPr>
      </w:pPr>
      <w:permStart w:id="24" w:edGrp="everyone"/>
      <w:r w:rsidRPr="00783A43">
        <w:rPr>
          <w:rFonts w:ascii="Arial Narrow" w:hAnsi="Arial Narrow" w:cs="Arial Narrow"/>
          <w:color w:val="0000FF"/>
          <w:sz w:val="20"/>
          <w:szCs w:val="20"/>
          <w:lang w:val="en-US"/>
        </w:rPr>
        <w:t>Yes, to reduce the volume of information, the first and the second table of Annex VII should be combined in one table. As e</w:t>
      </w:r>
      <w:r w:rsidRPr="00783A43">
        <w:rPr>
          <w:rFonts w:ascii="Arial Narrow" w:hAnsi="Arial Narrow" w:cs="Arial Narrow"/>
          <w:color w:val="0000FF"/>
          <w:sz w:val="20"/>
          <w:szCs w:val="20"/>
          <w:lang w:val="en-US"/>
        </w:rPr>
        <w:t>x</w:t>
      </w:r>
      <w:r w:rsidRPr="00783A43">
        <w:rPr>
          <w:rFonts w:ascii="Arial Narrow" w:hAnsi="Arial Narrow" w:cs="Arial Narrow"/>
          <w:color w:val="0000FF"/>
          <w:sz w:val="20"/>
          <w:szCs w:val="20"/>
          <w:lang w:val="en-US"/>
        </w:rPr>
        <w:t>plained in Q2</w:t>
      </w:r>
      <w:r>
        <w:rPr>
          <w:rFonts w:ascii="Arial Narrow" w:hAnsi="Arial Narrow" w:cs="Arial Narrow"/>
          <w:color w:val="0000FF"/>
          <w:sz w:val="20"/>
          <w:szCs w:val="20"/>
          <w:lang w:val="en-US"/>
        </w:rPr>
        <w:t>2</w:t>
      </w:r>
      <w:r w:rsidRPr="00783A43">
        <w:rPr>
          <w:rFonts w:ascii="Arial Narrow" w:hAnsi="Arial Narrow" w:cs="Arial Narrow"/>
          <w:color w:val="0000FF"/>
          <w:sz w:val="20"/>
          <w:szCs w:val="20"/>
          <w:lang w:val="en-US"/>
        </w:rPr>
        <w:t>, we do not see the benefit of an additional graphic breakdown.</w:t>
      </w:r>
    </w:p>
    <w:permEnd w:id="24"/>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783A43" w:rsidRPr="00783A43" w:rsidRDefault="00783A43" w:rsidP="00783A43">
      <w:pPr>
        <w:pStyle w:val="Default"/>
        <w:jc w:val="both"/>
        <w:rPr>
          <w:rFonts w:ascii="Arial Narrow" w:hAnsi="Arial Narrow" w:cs="Arial Narrow"/>
          <w:bCs/>
          <w:color w:val="0000FF"/>
          <w:sz w:val="20"/>
          <w:szCs w:val="20"/>
          <w:lang w:val="en-US"/>
        </w:rPr>
      </w:pPr>
      <w:permStart w:id="25" w:edGrp="everyone"/>
      <w:r w:rsidRPr="00783A43">
        <w:rPr>
          <w:rFonts w:ascii="Arial Narrow" w:hAnsi="Arial Narrow" w:cs="Arial Narrow"/>
          <w:bCs/>
          <w:color w:val="0000FF"/>
          <w:sz w:val="20"/>
          <w:szCs w:val="20"/>
          <w:lang w:val="en-US"/>
        </w:rPr>
        <w:t>Our understanding is that the RIY would be computed as an annualized Total Cost, defined broadly as the total cost divided by the tenor of the product. This would ensure numbers in the cost table add up and comparability with UCITs funds.</w:t>
      </w:r>
    </w:p>
    <w:p w:rsidR="00783A43" w:rsidRPr="00783A43" w:rsidRDefault="00783A43" w:rsidP="00783A43">
      <w:pPr>
        <w:pStyle w:val="Default"/>
        <w:jc w:val="both"/>
        <w:rPr>
          <w:rFonts w:ascii="Arial Narrow" w:hAnsi="Arial Narrow" w:cs="Arial Narrow"/>
          <w:b/>
          <w:bCs/>
          <w:color w:val="0000FF"/>
          <w:sz w:val="20"/>
          <w:szCs w:val="20"/>
          <w:lang w:val="en-US"/>
        </w:rPr>
      </w:pPr>
      <w:r w:rsidRPr="00783A43">
        <w:rPr>
          <w:rFonts w:ascii="Arial Narrow" w:hAnsi="Arial Narrow" w:cs="Arial Narrow"/>
          <w:bCs/>
          <w:color w:val="0000FF"/>
          <w:sz w:val="20"/>
          <w:szCs w:val="20"/>
          <w:lang w:val="en-US"/>
        </w:rPr>
        <w:t>The calculation of the RIY (see § 66 and 68 of the consultation paper) should be reworded and the ESAs should provide practical examples for structured products</w:t>
      </w:r>
      <w:r w:rsidRPr="00783A43">
        <w:rPr>
          <w:rFonts w:ascii="Arial Narrow" w:hAnsi="Arial Narrow" w:cs="Arial Narrow"/>
          <w:b/>
          <w:bCs/>
          <w:color w:val="0000FF"/>
          <w:sz w:val="20"/>
          <w:szCs w:val="20"/>
          <w:lang w:val="en-US"/>
        </w:rPr>
        <w:t>.</w:t>
      </w:r>
    </w:p>
    <w:permEnd w:id="2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FC6F00" w:rsidRPr="00FC6F00" w:rsidRDefault="00FC6F00" w:rsidP="00FC6F00">
      <w:pPr>
        <w:pStyle w:val="Default"/>
        <w:jc w:val="both"/>
        <w:rPr>
          <w:rFonts w:ascii="Arial Narrow" w:hAnsi="Arial Narrow" w:cs="Arial Narrow"/>
          <w:color w:val="0000FF"/>
          <w:sz w:val="20"/>
          <w:szCs w:val="20"/>
          <w:lang w:val="en-US"/>
        </w:rPr>
      </w:pPr>
      <w:permStart w:id="26" w:edGrp="everyone"/>
      <w:r w:rsidRPr="00FC6F00">
        <w:rPr>
          <w:rFonts w:ascii="Arial Narrow" w:hAnsi="Arial Narrow" w:cs="Arial Narrow"/>
          <w:color w:val="0000FF"/>
          <w:sz w:val="20"/>
          <w:szCs w:val="20"/>
          <w:lang w:val="en-US"/>
        </w:rPr>
        <w:t>The breakdown should include all cost information on the financial instrument which may be relevant to comply with MiFID2.</w:t>
      </w:r>
      <w:r w:rsidRPr="00FC6F00">
        <w:rPr>
          <w:rFonts w:ascii="Arial Narrow" w:hAnsi="Arial Narrow" w:cs="Arial Narrow"/>
          <w:color w:val="808080"/>
          <w:sz w:val="20"/>
          <w:szCs w:val="20"/>
          <w:lang w:val="en-US"/>
        </w:rPr>
        <w:t xml:space="preserve"> </w:t>
      </w:r>
      <w:r w:rsidRPr="00FC6F00">
        <w:rPr>
          <w:rFonts w:ascii="Arial Narrow" w:hAnsi="Arial Narrow" w:cs="Arial Narrow"/>
          <w:color w:val="0000FF"/>
          <w:sz w:val="20"/>
          <w:szCs w:val="20"/>
          <w:lang w:val="en-US"/>
        </w:rPr>
        <w:t>If the approach is not aligned with the cost reporting approach under MiFID2 this would confuse retail clients of the costs of a PRIIP.</w:t>
      </w:r>
    </w:p>
    <w:permEnd w:id="26"/>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950E63" w:rsidRPr="00950E63" w:rsidRDefault="00950E63" w:rsidP="00950E63">
      <w:pPr>
        <w:pStyle w:val="Default"/>
        <w:jc w:val="both"/>
        <w:rPr>
          <w:rFonts w:ascii="Arial Narrow" w:hAnsi="Arial Narrow" w:cs="Arial Narrow"/>
          <w:color w:val="0000FF"/>
          <w:sz w:val="20"/>
          <w:szCs w:val="20"/>
          <w:lang w:val="en-US"/>
        </w:rPr>
      </w:pPr>
      <w:permStart w:id="27" w:edGrp="everyone"/>
      <w:r w:rsidRPr="00950E63">
        <w:rPr>
          <w:rFonts w:ascii="Arial Narrow" w:hAnsi="Arial Narrow" w:cs="Arial Narrow"/>
          <w:color w:val="0000FF"/>
          <w:sz w:val="20"/>
          <w:szCs w:val="20"/>
          <w:lang w:val="en-US"/>
        </w:rPr>
        <w:t>The breakdown should include all cost information on the financial instrument which may be relevant to comply with MiFID2.</w:t>
      </w:r>
    </w:p>
    <w:permEnd w:id="2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lastRenderedPageBreak/>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0C7CD5" w:rsidRPr="000C7CD5" w:rsidRDefault="000C7CD5" w:rsidP="000C7CD5">
      <w:pPr>
        <w:pStyle w:val="Default"/>
        <w:jc w:val="both"/>
        <w:rPr>
          <w:rFonts w:ascii="Arial Narrow" w:hAnsi="Arial Narrow" w:cs="Arial Narrow"/>
          <w:b/>
          <w:bCs/>
          <w:color w:val="0000FF"/>
          <w:sz w:val="20"/>
          <w:szCs w:val="20"/>
          <w:lang w:val="en-US"/>
        </w:rPr>
      </w:pPr>
      <w:permStart w:id="28" w:edGrp="everyone"/>
      <w:r w:rsidRPr="000C7CD5">
        <w:rPr>
          <w:rFonts w:ascii="Arial Narrow" w:hAnsi="Arial Narrow" w:cs="Arial Narrow"/>
          <w:color w:val="0000FF"/>
          <w:sz w:val="20"/>
          <w:szCs w:val="20"/>
          <w:lang w:val="en-US"/>
        </w:rPr>
        <w:t>In principle, providers of retail investment funds benefit from the temporary exemption under Article 32 and thus are not formally covered by the PRIIPs Regulation for the time being. However, we expect the PRIIPs Regulation and the proposed implementing measures to have from the outset significant impact on the product information for investment funds. Such impact must be anticipated in particular in the following circumstances:</w:t>
      </w:r>
    </w:p>
    <w:p w:rsidR="000C7CD5" w:rsidRPr="000C7CD5" w:rsidRDefault="000C7CD5" w:rsidP="000C7CD5">
      <w:pPr>
        <w:pStyle w:val="Default"/>
        <w:jc w:val="both"/>
        <w:rPr>
          <w:rFonts w:ascii="Arial Narrow" w:hAnsi="Arial Narrow" w:cs="Arial Narrow"/>
          <w:color w:val="0000FF"/>
          <w:sz w:val="20"/>
          <w:szCs w:val="20"/>
          <w:lang w:val="en-US"/>
        </w:rPr>
      </w:pPr>
      <w:r w:rsidRPr="000C7CD5">
        <w:rPr>
          <w:rFonts w:ascii="Arial Narrow" w:hAnsi="Arial Narrow" w:cs="Arial Narrow"/>
          <w:i/>
          <w:iCs/>
          <w:color w:val="0000FF"/>
          <w:sz w:val="20"/>
          <w:szCs w:val="20"/>
          <w:lang w:val="en-US"/>
        </w:rPr>
        <w:t xml:space="preserve"> </w:t>
      </w:r>
    </w:p>
    <w:p w:rsidR="000C7CD5" w:rsidRPr="000C7CD5" w:rsidRDefault="000C7CD5" w:rsidP="000C7CD5">
      <w:pPr>
        <w:autoSpaceDE w:val="0"/>
        <w:autoSpaceDN w:val="0"/>
        <w:adjustRightInd w:val="0"/>
        <w:jc w:val="both"/>
        <w:rPr>
          <w:rFonts w:ascii="Arial Narrow" w:hAnsi="Arial Narrow" w:cs="Arial Narrow"/>
          <w:color w:val="0000FF"/>
          <w:szCs w:val="20"/>
        </w:rPr>
      </w:pPr>
      <w:r w:rsidRPr="000C7CD5">
        <w:rPr>
          <w:rFonts w:ascii="Arial Narrow" w:hAnsi="Arial Narrow" w:cs="Arial Narrow"/>
          <w:b/>
          <w:color w:val="0000FF"/>
          <w:szCs w:val="20"/>
          <w:u w:val="single"/>
        </w:rPr>
        <w:t>Funds offered as investment elements of unit-linked insurance products</w:t>
      </w:r>
      <w:r w:rsidRPr="000C7CD5">
        <w:rPr>
          <w:rFonts w:ascii="Arial Narrow" w:hAnsi="Arial Narrow" w:cs="Arial Narrow"/>
          <w:color w:val="0000FF"/>
          <w:szCs w:val="20"/>
        </w:rPr>
        <w:t>: As correctly outlined by the ESAs in the prelim</w:t>
      </w:r>
      <w:r w:rsidRPr="000C7CD5">
        <w:rPr>
          <w:rFonts w:ascii="Arial Narrow" w:hAnsi="Arial Narrow" w:cs="Arial Narrow"/>
          <w:color w:val="0000FF"/>
          <w:szCs w:val="20"/>
        </w:rPr>
        <w:t>i</w:t>
      </w:r>
      <w:r w:rsidRPr="000C7CD5">
        <w:rPr>
          <w:rFonts w:ascii="Arial Narrow" w:hAnsi="Arial Narrow" w:cs="Arial Narrow"/>
          <w:color w:val="0000FF"/>
          <w:szCs w:val="20"/>
        </w:rPr>
        <w:t xml:space="preserve">nary impact assessment, the options for dealing with investor information on </w:t>
      </w:r>
      <w:r w:rsidRPr="000C7CD5">
        <w:rPr>
          <w:rFonts w:ascii="Arial Narrow" w:hAnsi="Arial Narrow" w:cs="Arial Narrow"/>
          <w:b/>
          <w:bCs/>
          <w:color w:val="0000FF"/>
          <w:szCs w:val="20"/>
        </w:rPr>
        <w:t xml:space="preserve">“multi option PRIIPs” (MOPs) </w:t>
      </w:r>
      <w:r w:rsidRPr="000C7CD5">
        <w:rPr>
          <w:rFonts w:ascii="Arial Narrow" w:hAnsi="Arial Narrow" w:cs="Arial Narrow"/>
          <w:color w:val="0000FF"/>
          <w:szCs w:val="20"/>
        </w:rPr>
        <w:t>in Article 12(1) of the draft RTS would both trigger the necessity to supply the insurance undertaking issuing the unit-linked insurance with new inform</w:t>
      </w:r>
      <w:r w:rsidRPr="000C7CD5">
        <w:rPr>
          <w:rFonts w:ascii="Arial Narrow" w:hAnsi="Arial Narrow" w:cs="Arial Narrow"/>
          <w:color w:val="0000FF"/>
          <w:szCs w:val="20"/>
        </w:rPr>
        <w:t>a</w:t>
      </w:r>
      <w:r w:rsidRPr="000C7CD5">
        <w:rPr>
          <w:rFonts w:ascii="Arial Narrow" w:hAnsi="Arial Narrow" w:cs="Arial Narrow"/>
          <w:color w:val="0000FF"/>
          <w:szCs w:val="20"/>
        </w:rPr>
        <w:t xml:space="preserve">tion elements on the fund investments. This is because both options seek to ensure that information on each investment option in a MOP shall comply 1with the PRIIPs requirements especially in terms of the summary risk indicator, performance scenarios and presentation of costs (Art 13 and 15 (2) of draft RTS). </w:t>
      </w:r>
    </w:p>
    <w:p w:rsidR="000C7CD5" w:rsidRPr="000C7CD5" w:rsidRDefault="000C7CD5" w:rsidP="000C7CD5">
      <w:pPr>
        <w:autoSpaceDE w:val="0"/>
        <w:autoSpaceDN w:val="0"/>
        <w:adjustRightInd w:val="0"/>
        <w:jc w:val="both"/>
        <w:rPr>
          <w:rFonts w:ascii="Arial Narrow" w:hAnsi="Arial Narrow" w:cs="Arial Narrow"/>
          <w:color w:val="0000FF"/>
          <w:szCs w:val="20"/>
        </w:rPr>
      </w:pPr>
    </w:p>
    <w:p w:rsidR="000C7CD5" w:rsidRPr="000C7CD5" w:rsidRDefault="000C7CD5" w:rsidP="000C7CD5">
      <w:pPr>
        <w:autoSpaceDE w:val="0"/>
        <w:autoSpaceDN w:val="0"/>
        <w:adjustRightInd w:val="0"/>
        <w:jc w:val="both"/>
        <w:rPr>
          <w:rFonts w:ascii="Arial Narrow" w:hAnsi="Arial Narrow" w:cs="Arial Narrow"/>
          <w:color w:val="0000FF"/>
          <w:szCs w:val="20"/>
        </w:rPr>
      </w:pPr>
      <w:r w:rsidRPr="000C7CD5">
        <w:rPr>
          <w:rFonts w:ascii="Arial Narrow" w:hAnsi="Arial Narrow" w:cs="Arial Narrow"/>
          <w:color w:val="0000FF"/>
          <w:szCs w:val="20"/>
        </w:rPr>
        <w:t xml:space="preserve">Since the insurance undertaking offering the unit-linked insurance contract will not be capable of producing such information on each underlying fund, it will refer to the fund provider for assistance and request delivery of the relevant information elements for creating a MOPs KID. In the end, the decision whether or not to satisfy such requests will depend to a significant extent on the competitive pressure and the importance of insurance-based distribution for the business model of a fund provider. We anticipate that most fund providers will strive to ensure delivery of the relevant information to the insurance undertakings which will have the practical consequence of undermining the temporary exemption under Article 32. </w:t>
      </w:r>
    </w:p>
    <w:p w:rsidR="000C7CD5" w:rsidRPr="000C7CD5" w:rsidRDefault="000C7CD5" w:rsidP="000C7CD5">
      <w:pPr>
        <w:autoSpaceDE w:val="0"/>
        <w:autoSpaceDN w:val="0"/>
        <w:adjustRightInd w:val="0"/>
        <w:jc w:val="both"/>
        <w:rPr>
          <w:rFonts w:ascii="Arial Narrow" w:hAnsi="Arial Narrow" w:cs="Arial Narrow"/>
          <w:color w:val="0000FF"/>
          <w:szCs w:val="20"/>
        </w:rPr>
      </w:pPr>
    </w:p>
    <w:p w:rsidR="000C7CD5" w:rsidRPr="000C7CD5" w:rsidRDefault="000C7CD5" w:rsidP="000C7CD5">
      <w:pPr>
        <w:autoSpaceDE w:val="0"/>
        <w:autoSpaceDN w:val="0"/>
        <w:adjustRightInd w:val="0"/>
        <w:jc w:val="both"/>
        <w:rPr>
          <w:rFonts w:ascii="Arial Narrow" w:hAnsi="Arial Narrow" w:cs="Arial Narrow"/>
          <w:color w:val="0000FF"/>
          <w:szCs w:val="20"/>
        </w:rPr>
      </w:pPr>
      <w:r w:rsidRPr="000C7CD5">
        <w:rPr>
          <w:rFonts w:ascii="Arial Narrow" w:hAnsi="Arial Narrow" w:cs="Arial Narrow"/>
          <w:color w:val="0000FF"/>
          <w:szCs w:val="20"/>
        </w:rPr>
        <w:t xml:space="preserve">It is questionable whether such outcome was envisaged by the EU legislators or even is covered by the Level 1 text. Article 6(3) of the PRIIPs Regulation stipulates that in case of MOPs </w:t>
      </w:r>
      <w:r w:rsidRPr="000C7CD5">
        <w:rPr>
          <w:rFonts w:ascii="Arial Narrow" w:hAnsi="Arial Narrow" w:cs="Arial Narrow"/>
          <w:i/>
          <w:color w:val="0000FF"/>
          <w:szCs w:val="20"/>
        </w:rPr>
        <w:t>“the key information document shall provide at least a generic descri</w:t>
      </w:r>
      <w:r w:rsidRPr="000C7CD5">
        <w:rPr>
          <w:rFonts w:ascii="Arial Narrow" w:hAnsi="Arial Narrow" w:cs="Arial Narrow"/>
          <w:i/>
          <w:color w:val="0000FF"/>
          <w:szCs w:val="20"/>
        </w:rPr>
        <w:t>p</w:t>
      </w:r>
      <w:r w:rsidRPr="000C7CD5">
        <w:rPr>
          <w:rFonts w:ascii="Arial Narrow" w:hAnsi="Arial Narrow" w:cs="Arial Narrow"/>
          <w:i/>
          <w:color w:val="0000FF"/>
          <w:szCs w:val="20"/>
        </w:rPr>
        <w:t xml:space="preserve">tion of the underlying investment options </w:t>
      </w:r>
      <w:r w:rsidRPr="000C7CD5">
        <w:rPr>
          <w:rFonts w:ascii="Arial Narrow" w:hAnsi="Arial Narrow" w:cs="Arial Narrow"/>
          <w:i/>
          <w:color w:val="0000FF"/>
          <w:szCs w:val="20"/>
          <w:u w:val="single"/>
        </w:rPr>
        <w:t>and state where and how more detailed pre-contractual information documentation relating to the investment products backing the underlying investment options can be found.</w:t>
      </w:r>
      <w:r w:rsidRPr="000C7CD5">
        <w:rPr>
          <w:rFonts w:ascii="Arial Narrow" w:hAnsi="Arial Narrow" w:cs="Arial Narrow"/>
          <w:i/>
          <w:color w:val="0000FF"/>
          <w:szCs w:val="20"/>
        </w:rPr>
        <w:t>”</w:t>
      </w:r>
      <w:r w:rsidRPr="000C7CD5">
        <w:rPr>
          <w:rFonts w:ascii="Arial Narrow" w:hAnsi="Arial Narrow" w:cs="Arial Narrow"/>
          <w:color w:val="0000FF"/>
          <w:szCs w:val="20"/>
        </w:rPr>
        <w:t xml:space="preserve"> In our view, this wording does not imply provision of a PRIIPs KID on each underlying investment option. On the contrary, when combined with Article 32 it should be read as allowing the provision of the UCITS KIID as pre-contractual information on any UCITS or AIF benefitting from the exemption under Article 32. </w:t>
      </w:r>
    </w:p>
    <w:p w:rsidR="000C7CD5" w:rsidRPr="000C7CD5" w:rsidRDefault="000C7CD5" w:rsidP="000C7CD5">
      <w:pPr>
        <w:autoSpaceDE w:val="0"/>
        <w:autoSpaceDN w:val="0"/>
        <w:adjustRightInd w:val="0"/>
        <w:jc w:val="both"/>
        <w:rPr>
          <w:rFonts w:ascii="Arial Narrow" w:hAnsi="Arial Narrow" w:cs="Arial Narrow"/>
          <w:b/>
          <w:bCs/>
          <w:color w:val="0000FF"/>
          <w:szCs w:val="20"/>
        </w:rPr>
      </w:pPr>
    </w:p>
    <w:p w:rsidR="000C7CD5" w:rsidRPr="000C7CD5" w:rsidRDefault="000C7CD5" w:rsidP="000C7CD5">
      <w:pPr>
        <w:autoSpaceDE w:val="0"/>
        <w:autoSpaceDN w:val="0"/>
        <w:adjustRightInd w:val="0"/>
        <w:jc w:val="both"/>
        <w:rPr>
          <w:rFonts w:ascii="Arial Narrow" w:hAnsi="Arial Narrow" w:cs="Arial Narrow"/>
          <w:color w:val="0000FF"/>
          <w:szCs w:val="20"/>
        </w:rPr>
      </w:pPr>
      <w:r w:rsidRPr="000C7CD5">
        <w:rPr>
          <w:rFonts w:ascii="Arial Narrow" w:hAnsi="Arial Narrow" w:cs="Arial Narrow"/>
          <w:bCs/>
          <w:color w:val="0000FF"/>
          <w:szCs w:val="20"/>
        </w:rPr>
        <w:t>Against this background, the ESAs should reconsider whether the approach proposed under Article 12(1) of the draft RTS can be justified having regard to the wording of Article 6(3) of the PRIIPs Regulation and the EU legislator’s deliberate choice to spare investment funds providing a UCITS-like KIID from the duty to implement new information standards by end 2016. As t</w:t>
      </w:r>
      <w:r w:rsidRPr="000C7CD5">
        <w:rPr>
          <w:rFonts w:ascii="Arial Narrow" w:hAnsi="Arial Narrow" w:cs="Arial Narrow"/>
          <w:color w:val="0000FF"/>
          <w:szCs w:val="20"/>
        </w:rPr>
        <w:t xml:space="preserve">he EU provisions on KIID under the UCITS Directive will remain effective alongside the PRIIPs Regulation this means that UCITS would effectively need to deliver two separate sets of product information to the market which might considerably differ in some relevant details, i.e. as regards the presentation of risks and costs for a fund. </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b/>
          <w:color w:val="0000FF"/>
          <w:szCs w:val="20"/>
          <w:u w:val="single"/>
        </w:rPr>
        <w:lastRenderedPageBreak/>
        <w:t xml:space="preserve">Closed-ended funds traded on secondary markets: </w:t>
      </w:r>
      <w:r w:rsidRPr="000C7CD5">
        <w:rPr>
          <w:rFonts w:ascii="Arial Narrow" w:eastAsiaTheme="minorHAnsi" w:hAnsi="Arial Narrow" w:cs="Helv"/>
          <w:color w:val="0000FF"/>
          <w:szCs w:val="20"/>
        </w:rPr>
        <w:t>With respect to closed-ended funds traded on secondary markets, we disagree with ESA’s impact assessment in relation to producing pre-contractual disclosures for PRIIPs traded on exchanges (see p. 124 Consultation Paper). In Germany (and some other member states), there is a significant number of closed-ended funds – some of which have been initiated back in the 1970s – which were not required  to produce any pre-contractual disclosures for any transaction on the secondary market. Closed-ended funds are generally being offered to investors by manufacturers during a specific period at the beginning of the respective fund’s lifetime. After expiry of the subscription period, the funds may continue being traded on secondary markets which usually happens at the initiative of the (retail) investors themselves without any discl</w:t>
      </w:r>
      <w:r w:rsidRPr="000C7CD5">
        <w:rPr>
          <w:rFonts w:ascii="Arial Narrow" w:eastAsiaTheme="minorHAnsi" w:hAnsi="Arial Narrow" w:cs="Helv"/>
          <w:color w:val="0000FF"/>
          <w:szCs w:val="20"/>
        </w:rPr>
        <w:t>o</w:t>
      </w:r>
      <w:r w:rsidRPr="000C7CD5">
        <w:rPr>
          <w:rFonts w:ascii="Arial Narrow" w:eastAsiaTheme="minorHAnsi" w:hAnsi="Arial Narrow" w:cs="Helv"/>
          <w:color w:val="0000FF"/>
          <w:szCs w:val="20"/>
        </w:rPr>
        <w:t>sure requirements, and no further sales by the PRIIPs manufacturer take place. It would be an unjustified burden for PRIIPs manufacturer being obliged to produce KIDs for PRIIPs without having the possibility to influence the trading of such PRIIPs.</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 xml:space="preserve"> </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 xml:space="preserve">The ESA’s should thus clarify that Art. 5 and Recital 12 of the PRIIPs Regulation shall be read in such way that the PRIIPs manufacturer is not required to produce a PRIIPs KID if it was not subject to the obligation to produce such PRIIPs KID upon the beginning of the subscription period in relation to the respective fund. The wording of Recital 12 of the Regulation - which refers to obligations which </w:t>
      </w:r>
      <w:r w:rsidRPr="000C7CD5">
        <w:rPr>
          <w:rFonts w:ascii="Arial Narrow" w:eastAsiaTheme="minorHAnsi" w:hAnsi="Arial Narrow" w:cs="Helv"/>
          <w:color w:val="0000FF"/>
          <w:szCs w:val="20"/>
          <w:u w:val="single"/>
        </w:rPr>
        <w:t xml:space="preserve">should continue </w:t>
      </w:r>
      <w:r w:rsidRPr="000C7CD5">
        <w:rPr>
          <w:rFonts w:ascii="Arial Narrow" w:eastAsiaTheme="minorHAnsi" w:hAnsi="Arial Narrow" w:cs="Helv"/>
          <w:color w:val="0000FF"/>
          <w:szCs w:val="20"/>
        </w:rPr>
        <w:t xml:space="preserve">to apply for as long as the PRIIP is traded on a secondary market – should in this respect be read in conjunction with Article 5 of the Regulation. Hence, the obligation to produce a PRIIPs KID should </w:t>
      </w:r>
      <w:r w:rsidRPr="001B1E1F">
        <w:rPr>
          <w:rFonts w:ascii="Arial Narrow" w:eastAsiaTheme="minorHAnsi" w:hAnsi="Arial Narrow" w:cs="Helv"/>
          <w:color w:val="0000FF"/>
          <w:szCs w:val="20"/>
          <w:u w:val="single"/>
        </w:rPr>
        <w:t xml:space="preserve">only </w:t>
      </w:r>
      <w:r w:rsidRPr="000C7CD5">
        <w:rPr>
          <w:rFonts w:ascii="Arial Narrow" w:eastAsiaTheme="minorHAnsi" w:hAnsi="Arial Narrow" w:cs="Helv"/>
          <w:color w:val="0000FF"/>
          <w:szCs w:val="20"/>
          <w:u w:val="single"/>
        </w:rPr>
        <w:t>continue</w:t>
      </w:r>
      <w:r w:rsidRPr="000C7CD5">
        <w:rPr>
          <w:rFonts w:ascii="Arial Narrow" w:eastAsiaTheme="minorHAnsi" w:hAnsi="Arial Narrow" w:cs="Helv"/>
          <w:color w:val="0000FF"/>
          <w:szCs w:val="20"/>
        </w:rPr>
        <w:t xml:space="preserve"> to apply in case the PRIIPs manufacturer was originally subject to such obligation when making available the respective PRIIPs.</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 xml:space="preserve"> </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 xml:space="preserve">The obligation to produce a PRIIPs KID should not apply if the trading on a secondary market takes place without the PRIIPs manufacturer itself making available the PRIIPs to retail investors. In particular,  the PRIIPs manufacturer should not be obliged to produce a PRIIPs KID for a product which may be made available to retails clients at the initiative of existing (retail) investors who want to sell their interest in existing closed end funds. </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 xml:space="preserve"> </w:t>
      </w:r>
    </w:p>
    <w:p w:rsidR="000C7CD5" w:rsidRPr="000C7CD5" w:rsidRDefault="000C7CD5" w:rsidP="000C7CD5">
      <w:pPr>
        <w:autoSpaceDE w:val="0"/>
        <w:autoSpaceDN w:val="0"/>
        <w:adjustRightInd w:val="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In order to provide legal certainty in this regard, we suggest supplementing the wording of Recital 20 to Draft RTS as follow:</w:t>
      </w:r>
    </w:p>
    <w:p w:rsidR="000C7CD5" w:rsidRPr="000C7CD5" w:rsidRDefault="000C7CD5" w:rsidP="000C7CD5">
      <w:pPr>
        <w:autoSpaceDE w:val="0"/>
        <w:autoSpaceDN w:val="0"/>
        <w:adjustRightInd w:val="0"/>
        <w:ind w:left="720"/>
        <w:jc w:val="both"/>
        <w:rPr>
          <w:rFonts w:ascii="Arial Narrow" w:eastAsiaTheme="minorHAnsi" w:hAnsi="Arial Narrow" w:cs="Helv"/>
          <w:color w:val="0000FF"/>
          <w:szCs w:val="20"/>
        </w:rPr>
      </w:pPr>
      <w:r w:rsidRPr="000C7CD5">
        <w:rPr>
          <w:rFonts w:ascii="Arial Narrow" w:eastAsiaTheme="minorHAnsi" w:hAnsi="Arial Narrow" w:cs="Helv"/>
          <w:color w:val="0000FF"/>
          <w:szCs w:val="20"/>
        </w:rPr>
        <w:t xml:space="preserve"> “</w:t>
      </w:r>
      <w:r w:rsidRPr="000C7CD5">
        <w:rPr>
          <w:rFonts w:ascii="Arial Narrow" w:eastAsiaTheme="minorHAnsi" w:hAnsi="Arial Narrow" w:cs="Helv"/>
          <w:i/>
          <w:iCs/>
          <w:color w:val="0000FF"/>
          <w:szCs w:val="20"/>
        </w:rPr>
        <w:t>20. Where a PRIIP is not currently available for retail investors, the continued review and revision of the key inform</w:t>
      </w:r>
      <w:r w:rsidRPr="000C7CD5">
        <w:rPr>
          <w:rFonts w:ascii="Arial Narrow" w:eastAsiaTheme="minorHAnsi" w:hAnsi="Arial Narrow" w:cs="Helv"/>
          <w:i/>
          <w:iCs/>
          <w:color w:val="0000FF"/>
          <w:szCs w:val="20"/>
        </w:rPr>
        <w:t>a</w:t>
      </w:r>
      <w:r w:rsidRPr="000C7CD5">
        <w:rPr>
          <w:rFonts w:ascii="Arial Narrow" w:eastAsiaTheme="minorHAnsi" w:hAnsi="Arial Narrow" w:cs="Helv"/>
          <w:i/>
          <w:iCs/>
          <w:color w:val="0000FF"/>
          <w:szCs w:val="20"/>
        </w:rPr>
        <w:t xml:space="preserve">tion document for that PRIIP would be disproportionate, however a review and revision of the key information document should be undertaken if such a PRIIP is </w:t>
      </w:r>
      <w:r w:rsidRPr="000C7CD5">
        <w:rPr>
          <w:rFonts w:ascii="Arial Narrow" w:eastAsiaTheme="minorHAnsi" w:hAnsi="Arial Narrow" w:cs="Helv"/>
          <w:i/>
          <w:iCs/>
          <w:strike/>
          <w:color w:val="0000FF"/>
          <w:szCs w:val="20"/>
        </w:rPr>
        <w:t>to become</w:t>
      </w:r>
      <w:r w:rsidRPr="000C7CD5">
        <w:rPr>
          <w:rFonts w:ascii="Arial Narrow" w:eastAsiaTheme="minorHAnsi" w:hAnsi="Arial Narrow" w:cs="Helv"/>
          <w:i/>
          <w:iCs/>
          <w:color w:val="0000FF"/>
          <w:szCs w:val="20"/>
        </w:rPr>
        <w:t xml:space="preserve"> </w:t>
      </w:r>
      <w:r w:rsidRPr="000C7CD5">
        <w:rPr>
          <w:rFonts w:ascii="Arial Narrow" w:eastAsiaTheme="minorHAnsi" w:hAnsi="Arial Narrow" w:cs="Helv"/>
          <w:b/>
          <w:bCs/>
          <w:i/>
          <w:iCs/>
          <w:color w:val="0000FF"/>
          <w:szCs w:val="20"/>
        </w:rPr>
        <w:t>made</w:t>
      </w:r>
      <w:r w:rsidRPr="000C7CD5">
        <w:rPr>
          <w:rFonts w:ascii="Arial Narrow" w:eastAsiaTheme="minorHAnsi" w:hAnsi="Arial Narrow" w:cs="Helv"/>
          <w:i/>
          <w:iCs/>
          <w:color w:val="0000FF"/>
          <w:szCs w:val="20"/>
        </w:rPr>
        <w:t xml:space="preserve"> available to retail investors again by the </w:t>
      </w:r>
      <w:r w:rsidRPr="000C7CD5">
        <w:rPr>
          <w:rFonts w:ascii="Arial Narrow" w:eastAsiaTheme="minorHAnsi" w:hAnsi="Arial Narrow" w:cs="Helv"/>
          <w:b/>
          <w:bCs/>
          <w:i/>
          <w:iCs/>
          <w:color w:val="0000FF"/>
          <w:szCs w:val="20"/>
        </w:rPr>
        <w:t>PRIIPs manufa</w:t>
      </w:r>
      <w:r w:rsidRPr="000C7CD5">
        <w:rPr>
          <w:rFonts w:ascii="Arial Narrow" w:eastAsiaTheme="minorHAnsi" w:hAnsi="Arial Narrow" w:cs="Helv"/>
          <w:b/>
          <w:bCs/>
          <w:i/>
          <w:iCs/>
          <w:color w:val="0000FF"/>
          <w:szCs w:val="20"/>
        </w:rPr>
        <w:t>c</w:t>
      </w:r>
      <w:r w:rsidRPr="000C7CD5">
        <w:rPr>
          <w:rFonts w:ascii="Arial Narrow" w:eastAsiaTheme="minorHAnsi" w:hAnsi="Arial Narrow" w:cs="Helv"/>
          <w:b/>
          <w:bCs/>
          <w:i/>
          <w:iCs/>
          <w:color w:val="0000FF"/>
          <w:szCs w:val="20"/>
        </w:rPr>
        <w:t>turer</w:t>
      </w:r>
      <w:r w:rsidRPr="000C7CD5">
        <w:rPr>
          <w:rFonts w:ascii="Arial Narrow" w:eastAsiaTheme="minorHAnsi" w:hAnsi="Arial Narrow" w:cs="Helv"/>
          <w:i/>
          <w:iCs/>
          <w:color w:val="0000FF"/>
          <w:szCs w:val="20"/>
        </w:rPr>
        <w:t xml:space="preserve">. </w:t>
      </w:r>
      <w:r w:rsidRPr="000C7CD5">
        <w:rPr>
          <w:rFonts w:ascii="Arial Narrow" w:eastAsiaTheme="minorHAnsi" w:hAnsi="Arial Narrow" w:cs="Helv"/>
          <w:b/>
          <w:bCs/>
          <w:i/>
          <w:iCs/>
          <w:color w:val="0000FF"/>
          <w:szCs w:val="20"/>
        </w:rPr>
        <w:t>Provided that the PRIIPs manufacturer originally had the obligation to draw up a key information doc</w:t>
      </w:r>
      <w:r w:rsidRPr="000C7CD5">
        <w:rPr>
          <w:rFonts w:ascii="Arial Narrow" w:eastAsiaTheme="minorHAnsi" w:hAnsi="Arial Narrow" w:cs="Helv"/>
          <w:b/>
          <w:bCs/>
          <w:i/>
          <w:iCs/>
          <w:color w:val="0000FF"/>
          <w:szCs w:val="20"/>
        </w:rPr>
        <w:t>u</w:t>
      </w:r>
      <w:r w:rsidRPr="000C7CD5">
        <w:rPr>
          <w:rFonts w:ascii="Arial Narrow" w:eastAsiaTheme="minorHAnsi" w:hAnsi="Arial Narrow" w:cs="Helv"/>
          <w:b/>
          <w:bCs/>
          <w:i/>
          <w:iCs/>
          <w:color w:val="0000FF"/>
          <w:szCs w:val="20"/>
        </w:rPr>
        <w:t>ment pursuant to Article 5 PRIIPs Regulation</w:t>
      </w:r>
      <w:r w:rsidRPr="000C7CD5">
        <w:rPr>
          <w:rFonts w:ascii="Arial Narrow" w:eastAsiaTheme="minorHAnsi" w:hAnsi="Arial Narrow" w:cs="Helv"/>
          <w:i/>
          <w:iCs/>
          <w:color w:val="0000FF"/>
          <w:szCs w:val="20"/>
        </w:rPr>
        <w:t xml:space="preserve"> </w:t>
      </w:r>
      <w:proofErr w:type="spellStart"/>
      <w:r w:rsidRPr="000C7CD5">
        <w:rPr>
          <w:rFonts w:ascii="Arial Narrow" w:eastAsiaTheme="minorHAnsi" w:hAnsi="Arial Narrow" w:cs="Helv"/>
          <w:b/>
          <w:bCs/>
          <w:i/>
          <w:iCs/>
          <w:strike/>
          <w:color w:val="0000FF"/>
          <w:szCs w:val="20"/>
        </w:rPr>
        <w:t>T</w:t>
      </w:r>
      <w:r w:rsidRPr="000C7CD5">
        <w:rPr>
          <w:rFonts w:ascii="Arial Narrow" w:eastAsiaTheme="minorHAnsi" w:hAnsi="Arial Narrow" w:cs="Helv"/>
          <w:i/>
          <w:iCs/>
          <w:color w:val="0000FF"/>
          <w:szCs w:val="20"/>
        </w:rPr>
        <w:t>the</w:t>
      </w:r>
      <w:proofErr w:type="spellEnd"/>
      <w:r w:rsidRPr="000C7CD5">
        <w:rPr>
          <w:rFonts w:ascii="Arial Narrow" w:eastAsiaTheme="minorHAnsi" w:hAnsi="Arial Narrow" w:cs="Helv"/>
          <w:i/>
          <w:iCs/>
          <w:color w:val="0000FF"/>
          <w:szCs w:val="20"/>
        </w:rPr>
        <w:t xml:space="preserve"> trading on a secondary market </w:t>
      </w:r>
      <w:r w:rsidRPr="000C7CD5">
        <w:rPr>
          <w:rFonts w:ascii="Arial Narrow" w:eastAsiaTheme="minorHAnsi" w:hAnsi="Arial Narrow" w:cs="Helv"/>
          <w:b/>
          <w:bCs/>
          <w:i/>
          <w:iCs/>
          <w:color w:val="0000FF"/>
          <w:szCs w:val="20"/>
        </w:rPr>
        <w:t xml:space="preserve">taking place upon approval of the PRIIPs manufacturer </w:t>
      </w:r>
      <w:r w:rsidRPr="000C7CD5">
        <w:rPr>
          <w:rFonts w:ascii="Arial Narrow" w:eastAsiaTheme="minorHAnsi" w:hAnsi="Arial Narrow" w:cs="Helv"/>
          <w:i/>
          <w:iCs/>
          <w:color w:val="0000FF"/>
          <w:szCs w:val="20"/>
        </w:rPr>
        <w:t>however would not exempt the PRIIP manufacturer from the obligation to continue to review and revise the key information document for that PRIIP.</w:t>
      </w:r>
      <w:r w:rsidRPr="000C7CD5">
        <w:rPr>
          <w:rFonts w:ascii="Arial Narrow" w:eastAsiaTheme="minorHAnsi" w:hAnsi="Arial Narrow" w:cs="Helv"/>
          <w:color w:val="0000FF"/>
          <w:szCs w:val="20"/>
        </w:rPr>
        <w:t>"</w:t>
      </w:r>
    </w:p>
    <w:p w:rsidR="000C7CD5" w:rsidRPr="000C7CD5" w:rsidRDefault="000C7CD5" w:rsidP="000C7CD5">
      <w:pPr>
        <w:autoSpaceDE w:val="0"/>
        <w:autoSpaceDN w:val="0"/>
        <w:adjustRightInd w:val="0"/>
        <w:jc w:val="both"/>
        <w:rPr>
          <w:rFonts w:ascii="Arial Narrow" w:hAnsi="Arial Narrow" w:cs="Arial Narrow"/>
          <w:color w:val="0000FF"/>
          <w:szCs w:val="20"/>
        </w:rPr>
      </w:pPr>
    </w:p>
    <w:p w:rsidR="000C7CD5" w:rsidRPr="000C7CD5" w:rsidRDefault="000C7CD5" w:rsidP="000C7CD5">
      <w:pPr>
        <w:autoSpaceDE w:val="0"/>
        <w:autoSpaceDN w:val="0"/>
        <w:adjustRightInd w:val="0"/>
        <w:jc w:val="both"/>
        <w:rPr>
          <w:rFonts w:ascii="Arial Narrow" w:hAnsi="Arial Narrow" w:cs="Arial Narrow"/>
          <w:color w:val="0000FF"/>
          <w:szCs w:val="20"/>
        </w:rPr>
      </w:pPr>
      <w:r w:rsidRPr="000C7CD5">
        <w:rPr>
          <w:rFonts w:ascii="Arial Narrow" w:hAnsi="Arial Narrow" w:cs="Arial Narrow"/>
          <w:b/>
          <w:bCs/>
          <w:color w:val="0000FF"/>
          <w:szCs w:val="20"/>
          <w:u w:val="single"/>
        </w:rPr>
        <w:t>Disclosure of product costs</w:t>
      </w:r>
      <w:r w:rsidRPr="000C7CD5">
        <w:rPr>
          <w:rFonts w:ascii="Arial Narrow" w:hAnsi="Arial Narrow" w:cs="Arial Narrow"/>
          <w:b/>
          <w:color w:val="0000FF"/>
          <w:szCs w:val="20"/>
          <w:u w:val="single"/>
        </w:rPr>
        <w:t xml:space="preserve"> according to</w:t>
      </w:r>
      <w:r w:rsidRPr="000C7CD5">
        <w:rPr>
          <w:rFonts w:ascii="Arial Narrow" w:hAnsi="Arial Narrow" w:cs="Arial Narrow"/>
          <w:color w:val="0000FF"/>
          <w:szCs w:val="20"/>
          <w:u w:val="single"/>
        </w:rPr>
        <w:t xml:space="preserve"> </w:t>
      </w:r>
      <w:r w:rsidRPr="000C7CD5">
        <w:rPr>
          <w:rFonts w:ascii="Arial Narrow" w:hAnsi="Arial Narrow" w:cs="Arial Narrow"/>
          <w:b/>
          <w:bCs/>
          <w:color w:val="0000FF"/>
          <w:szCs w:val="20"/>
          <w:u w:val="single"/>
        </w:rPr>
        <w:t>MiFID2</w:t>
      </w:r>
      <w:r w:rsidRPr="000C7CD5">
        <w:rPr>
          <w:rFonts w:ascii="Arial Narrow" w:hAnsi="Arial Narrow" w:cs="Arial Narrow"/>
          <w:color w:val="0000FF"/>
          <w:szCs w:val="20"/>
        </w:rPr>
        <w:t>: The provisions of cost transparency under MiFID2 match to a large extent with the envisaged standards under the PRIIPs Regulation. In particular, the draft Level 2 texts implementing MiFID2 explicitly require information on transaction costs for all products, including investment funds, for which distribution or other investment services are provided. Since the EU fund regimes currently do not encompass standards on calculation and disclosure of transa</w:t>
      </w:r>
      <w:r w:rsidRPr="000C7CD5">
        <w:rPr>
          <w:rFonts w:ascii="Arial Narrow" w:hAnsi="Arial Narrow" w:cs="Arial Narrow"/>
          <w:color w:val="0000FF"/>
          <w:szCs w:val="20"/>
        </w:rPr>
        <w:t>c</w:t>
      </w:r>
      <w:r w:rsidRPr="000C7CD5">
        <w:rPr>
          <w:rFonts w:ascii="Arial Narrow" w:hAnsi="Arial Narrow" w:cs="Arial Narrow"/>
          <w:color w:val="0000FF"/>
          <w:szCs w:val="20"/>
        </w:rPr>
        <w:t xml:space="preserve">tion costs, it is likely that the market (and regulators) will expect fund providers to calculate transaction costs in line with the implementing measures for the PRIIPs KID. Consequently, fund management companies have great interest in ensuring that the methodology for computing transaction costs for the purpose of PRIIPs KID disclosure is correct from the start and does not entail unreasonable costs or efforts. Due to the cost information requirements under MiFID2, UCITS and other retail funds formally benefitting from the temporary exemption under Article 32, will be probably allowed no grace period when it comes to calculation of transaction costs. </w:t>
      </w:r>
    </w:p>
    <w:p w:rsidR="000C7CD5" w:rsidRPr="000C7CD5" w:rsidRDefault="000C7CD5" w:rsidP="000C7CD5">
      <w:pPr>
        <w:autoSpaceDE w:val="0"/>
        <w:autoSpaceDN w:val="0"/>
        <w:adjustRightInd w:val="0"/>
        <w:jc w:val="both"/>
        <w:rPr>
          <w:rFonts w:ascii="Arial Narrow" w:hAnsi="Arial Narrow" w:cs="Arial Narrow"/>
          <w:color w:val="0000FF"/>
          <w:szCs w:val="20"/>
        </w:rPr>
      </w:pPr>
    </w:p>
    <w:p w:rsidR="000C7CD5" w:rsidRPr="000C7CD5" w:rsidRDefault="000C7CD5" w:rsidP="000C7CD5">
      <w:pPr>
        <w:autoSpaceDE w:val="0"/>
        <w:autoSpaceDN w:val="0"/>
        <w:adjustRightInd w:val="0"/>
        <w:jc w:val="both"/>
        <w:rPr>
          <w:rFonts w:ascii="Arial Narrow" w:hAnsi="Arial Narrow" w:cs="Arial Narrow"/>
          <w:color w:val="0000FF"/>
          <w:szCs w:val="20"/>
        </w:rPr>
      </w:pPr>
      <w:r w:rsidRPr="000C7CD5">
        <w:rPr>
          <w:rFonts w:ascii="Arial Narrow" w:hAnsi="Arial Narrow" w:cs="Arial Narrow"/>
          <w:color w:val="0000FF"/>
          <w:szCs w:val="20"/>
        </w:rPr>
        <w:t>Overall, we expect that the impact of the Level 2 measures on the fund industry in terms of both financial resources and oper</w:t>
      </w:r>
      <w:r w:rsidRPr="000C7CD5">
        <w:rPr>
          <w:rFonts w:ascii="Arial Narrow" w:hAnsi="Arial Narrow" w:cs="Arial Narrow"/>
          <w:color w:val="0000FF"/>
          <w:szCs w:val="20"/>
        </w:rPr>
        <w:t>a</w:t>
      </w:r>
      <w:r w:rsidRPr="000C7CD5">
        <w:rPr>
          <w:rFonts w:ascii="Arial Narrow" w:hAnsi="Arial Narrow" w:cs="Arial Narrow"/>
          <w:color w:val="0000FF"/>
          <w:szCs w:val="20"/>
        </w:rPr>
        <w:t xml:space="preserve">tional efforts will be much higher than expected by the EU legislator. Should the requirements for MOPs remain unchanged, then many fund management companies will be effectively compelled to set up internal projects in order to provide their business partners from the insurance sector with PRIIPs-compliant SRI, performance scenarios and cost figures. Such elements should in principle be delivered well ahead of the entry into force of the PRIIPs Regulation in order to enable insurance companies to produce PRIIPs KIDs on unit-linked insurance products on time. </w:t>
      </w:r>
    </w:p>
    <w:p w:rsidR="00491E49" w:rsidRPr="00491E49" w:rsidRDefault="000C7CD5" w:rsidP="00491E49">
      <w:pPr>
        <w:rPr>
          <w:lang w:val="fr-FR"/>
        </w:rPr>
      </w:pPr>
      <w:r w:rsidRPr="000C7CD5">
        <w:rPr>
          <w:rFonts w:ascii="Arial Narrow" w:hAnsi="Arial Narrow" w:cs="Arial Narrow"/>
          <w:color w:val="0000FF"/>
          <w:szCs w:val="20"/>
        </w:rPr>
        <w:t xml:space="preserve">Since the specific standards for MOPs were not discernible before publication of the draft RTS in November 2015, most fund providers have not yet assigned specific budgets and set up no business projects for PRIIPs implementation. If needed to be made up in the short term, such projects would probably entail disproportionately high costs. </w:t>
      </w:r>
      <w:r w:rsidRPr="000C7CD5">
        <w:rPr>
          <w:rFonts w:ascii="Arial Narrow" w:hAnsi="Arial Narrow" w:cs="Arial Narrow"/>
          <w:bCs/>
          <w:color w:val="0000FF"/>
          <w:szCs w:val="20"/>
        </w:rPr>
        <w:t xml:space="preserve">In any case, it is utterly inappropriate to assume that of all things fund providers shall be ready for the PRIIPs regime going live well ahead of its formal implementation date even though they manage the only sort of PRIIPs for which a temporary exemption from scope applies. </w:t>
      </w:r>
      <w:permEnd w:id="28"/>
      <w:r w:rsidR="00491E49" w:rsidRPr="00580880">
        <w:rPr>
          <w:lang w:val="fr-FR"/>
        </w:rPr>
        <w:t>&lt;E</w:t>
      </w:r>
      <w:r w:rsidR="00491E49" w:rsidRPr="00580880">
        <w:rPr>
          <w:lang w:val="fr-FR"/>
        </w:rPr>
        <w:t>S</w:t>
      </w:r>
      <w:r w:rsidR="00491E49" w:rsidRPr="00580880">
        <w:rPr>
          <w:lang w:val="fr-FR"/>
        </w:rPr>
        <w:t>MA_QUESTION_</w:t>
      </w:r>
      <w:r w:rsidR="00491E49">
        <w:rPr>
          <w:lang w:val="fr-FR"/>
        </w:rPr>
        <w:t>PRIIPS_28</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1F" w:rsidRDefault="001B1E1F">
      <w:r>
        <w:separator/>
      </w:r>
    </w:p>
    <w:p w:rsidR="001B1E1F" w:rsidRDefault="001B1E1F"/>
  </w:endnote>
  <w:endnote w:type="continuationSeparator" w:id="0">
    <w:p w:rsidR="001B1E1F" w:rsidRDefault="001B1E1F">
      <w:r>
        <w:continuationSeparator/>
      </w:r>
    </w:p>
    <w:p w:rsidR="001B1E1F" w:rsidRDefault="001B1E1F"/>
  </w:endnote>
  <w:endnote w:type="continuationNotice" w:id="1">
    <w:p w:rsidR="001B1E1F" w:rsidRDefault="001B1E1F"/>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1B1E1F" w:rsidRPr="00616B9B" w:rsidTr="00315E96">
      <w:trPr>
        <w:trHeight w:val="284"/>
      </w:trPr>
      <w:tc>
        <w:tcPr>
          <w:tcW w:w="8460" w:type="dxa"/>
        </w:tcPr>
        <w:p w:rsidR="001B1E1F" w:rsidRPr="00315E96" w:rsidRDefault="001B1E1F" w:rsidP="00315E96">
          <w:pPr>
            <w:pStyle w:val="00Footer"/>
            <w:rPr>
              <w:lang w:val="fr-FR"/>
            </w:rPr>
          </w:pPr>
        </w:p>
      </w:tc>
      <w:tc>
        <w:tcPr>
          <w:tcW w:w="952" w:type="dxa"/>
        </w:tcPr>
        <w:p w:rsidR="001B1E1F" w:rsidRPr="00616B9B" w:rsidRDefault="001B1E1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029E8">
            <w:rPr>
              <w:rFonts w:cs="Arial"/>
              <w:noProof/>
              <w:sz w:val="22"/>
              <w:szCs w:val="22"/>
            </w:rPr>
            <w:t>5</w:t>
          </w:r>
          <w:r w:rsidRPr="00616B9B">
            <w:rPr>
              <w:rFonts w:cs="Arial"/>
              <w:noProof/>
              <w:sz w:val="22"/>
              <w:szCs w:val="22"/>
            </w:rPr>
            <w:fldChar w:fldCharType="end"/>
          </w:r>
        </w:p>
      </w:tc>
    </w:tr>
  </w:tbl>
  <w:p w:rsidR="001B1E1F" w:rsidRDefault="001B1E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1F" w:rsidRDefault="001B1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1F" w:rsidRDefault="001B1E1F">
      <w:r>
        <w:separator/>
      </w:r>
    </w:p>
    <w:p w:rsidR="001B1E1F" w:rsidRDefault="001B1E1F"/>
  </w:footnote>
  <w:footnote w:type="continuationSeparator" w:id="0">
    <w:p w:rsidR="001B1E1F" w:rsidRDefault="001B1E1F">
      <w:r>
        <w:continuationSeparator/>
      </w:r>
    </w:p>
    <w:p w:rsidR="001B1E1F" w:rsidRDefault="001B1E1F"/>
  </w:footnote>
  <w:footnote w:type="continuationNotice" w:id="1">
    <w:p w:rsidR="001B1E1F" w:rsidRDefault="001B1E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1F" w:rsidRDefault="001B1E1F">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Pr="00FA61B7">
      <w:rPr>
        <w:noProof/>
        <w:lang w:eastAsia="en-GB"/>
      </w:rPr>
      <w:pict>
        <v:line id="Line 16" o:spid="_x0000_s614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1F" w:rsidRDefault="001B1E1F"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1F" w:rsidRDefault="001B1E1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1B1E1F" w:rsidRPr="002F4496" w:rsidTr="000C06C9">
      <w:trPr>
        <w:trHeight w:val="284"/>
      </w:trPr>
      <w:tc>
        <w:tcPr>
          <w:tcW w:w="8460" w:type="dxa"/>
        </w:tcPr>
        <w:p w:rsidR="001B1E1F" w:rsidRPr="000C3B6D" w:rsidRDefault="001B1E1F" w:rsidP="000C06C9">
          <w:pPr>
            <w:pStyle w:val="00Footer"/>
            <w:rPr>
              <w:lang w:val="fr-FR"/>
            </w:rPr>
          </w:pPr>
        </w:p>
      </w:tc>
      <w:tc>
        <w:tcPr>
          <w:tcW w:w="952" w:type="dxa"/>
        </w:tcPr>
        <w:p w:rsidR="001B1E1F" w:rsidRPr="00146B34" w:rsidRDefault="001B1E1F" w:rsidP="000C06C9">
          <w:pPr>
            <w:pStyle w:val="00aPagenumber"/>
            <w:rPr>
              <w:lang w:val="fr-FR"/>
            </w:rPr>
          </w:pPr>
        </w:p>
      </w:tc>
    </w:tr>
  </w:tbl>
  <w:p w:rsidR="001B1E1F" w:rsidRPr="00DB46C3" w:rsidRDefault="001B1E1F">
    <w:pPr>
      <w:rPr>
        <w:lang w:val="fr-FR"/>
      </w:rPr>
    </w:pPr>
  </w:p>
  <w:p w:rsidR="001B1E1F" w:rsidRPr="002F4496" w:rsidRDefault="001B1E1F">
    <w:pPr>
      <w:pStyle w:val="Header"/>
      <w:rPr>
        <w:lang w:val="fr-FR"/>
      </w:rPr>
    </w:pPr>
  </w:p>
  <w:p w:rsidR="001B1E1F" w:rsidRPr="002F4496" w:rsidRDefault="001B1E1F" w:rsidP="000C06C9">
    <w:pPr>
      <w:pStyle w:val="Header"/>
      <w:tabs>
        <w:tab w:val="clear" w:pos="4536"/>
        <w:tab w:val="clear" w:pos="9072"/>
        <w:tab w:val="left" w:pos="8227"/>
      </w:tabs>
      <w:rPr>
        <w:lang w:val="fr-FR"/>
      </w:rPr>
    </w:pPr>
  </w:p>
  <w:p w:rsidR="001B1E1F" w:rsidRPr="002F4496" w:rsidRDefault="001B1E1F" w:rsidP="000C06C9">
    <w:pPr>
      <w:pStyle w:val="Header"/>
      <w:tabs>
        <w:tab w:val="clear" w:pos="4536"/>
        <w:tab w:val="clear" w:pos="9072"/>
        <w:tab w:val="left" w:pos="8227"/>
      </w:tabs>
      <w:rPr>
        <w:lang w:val="fr-FR"/>
      </w:rPr>
    </w:pPr>
  </w:p>
  <w:p w:rsidR="001B1E1F" w:rsidRPr="002F4496" w:rsidRDefault="001B1E1F">
    <w:pPr>
      <w:pStyle w:val="Header"/>
      <w:rPr>
        <w:lang w:val="fr-FR"/>
      </w:rPr>
    </w:pPr>
  </w:p>
  <w:p w:rsidR="001B1E1F" w:rsidRPr="002F4496" w:rsidRDefault="001B1E1F">
    <w:pPr>
      <w:pStyle w:val="Header"/>
      <w:rPr>
        <w:lang w:val="fr-FR"/>
      </w:rPr>
    </w:pPr>
  </w:p>
  <w:p w:rsidR="001B1E1F" w:rsidRPr="002F4496" w:rsidRDefault="001B1E1F">
    <w:pPr>
      <w:pStyle w:val="Header"/>
      <w:rPr>
        <w:lang w:val="fr-FR"/>
      </w:rPr>
    </w:pPr>
  </w:p>
  <w:p w:rsidR="001B1E1F" w:rsidRPr="002F4496" w:rsidRDefault="001B1E1F">
    <w:pPr>
      <w:pStyle w:val="Header"/>
      <w:rPr>
        <w:lang w:val="fr-FR"/>
      </w:rPr>
    </w:pPr>
  </w:p>
  <w:p w:rsidR="001B1E1F" w:rsidRPr="002F4496" w:rsidRDefault="001B1E1F">
    <w:pPr>
      <w:pStyle w:val="Header"/>
      <w:rPr>
        <w:highlight w:val="yellow"/>
        <w:lang w:val="fr-FR"/>
      </w:rPr>
    </w:pPr>
  </w:p>
  <w:p w:rsidR="001B1E1F" w:rsidRDefault="001B1E1F">
    <w:pPr>
      <w:pStyle w:val="Header"/>
    </w:pPr>
    <w:r w:rsidRPr="00FA61B7">
      <w:rPr>
        <w:noProof/>
        <w:lang w:eastAsia="en-GB"/>
      </w:rPr>
      <w:pict>
        <v:line id="Straight Connector 138" o:spid="_x0000_s6145"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094C4C"/>
    <w:multiLevelType w:val="hybridMultilevel"/>
    <w:tmpl w:val="7FF6A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3"/>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3"/>
  </w:num>
  <w:num w:numId="51">
    <w:abstractNumId w:val="22"/>
  </w:num>
  <w:num w:numId="52">
    <w:abstractNumId w:val="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F01"/>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7">
      <o:colormru v:ext="edit" colors="#2d4491,#283583"/>
    </o:shapedefaults>
    <o:shapelayout v:ext="edit">
      <o:idmap v:ext="edit" data="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156"/>
    <w:rsid w:val="00054DE6"/>
    <w:rsid w:val="00055A14"/>
    <w:rsid w:val="000569D7"/>
    <w:rsid w:val="000576D7"/>
    <w:rsid w:val="00060F72"/>
    <w:rsid w:val="00062592"/>
    <w:rsid w:val="000636A1"/>
    <w:rsid w:val="000649D9"/>
    <w:rsid w:val="000652BE"/>
    <w:rsid w:val="00066479"/>
    <w:rsid w:val="0006723C"/>
    <w:rsid w:val="00070376"/>
    <w:rsid w:val="00070528"/>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B07"/>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C7CD5"/>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29E8"/>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57DC"/>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1E1F"/>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9C0"/>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1AC"/>
    <w:rsid w:val="00264077"/>
    <w:rsid w:val="00266B9A"/>
    <w:rsid w:val="00270E54"/>
    <w:rsid w:val="00273681"/>
    <w:rsid w:val="00274822"/>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619"/>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95A"/>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5ADB"/>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710"/>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3FA6"/>
    <w:rsid w:val="00494737"/>
    <w:rsid w:val="00494D5C"/>
    <w:rsid w:val="00495A6A"/>
    <w:rsid w:val="004964F6"/>
    <w:rsid w:val="00496821"/>
    <w:rsid w:val="00497750"/>
    <w:rsid w:val="00497B44"/>
    <w:rsid w:val="004A00E5"/>
    <w:rsid w:val="004A01A7"/>
    <w:rsid w:val="004A06E5"/>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AF5"/>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2F7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E4C"/>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E73"/>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3A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C7408"/>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E63"/>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958C2"/>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3E2F"/>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E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501"/>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0D8"/>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47C"/>
    <w:rsid w:val="00D32871"/>
    <w:rsid w:val="00D33881"/>
    <w:rsid w:val="00D34282"/>
    <w:rsid w:val="00D366B1"/>
    <w:rsid w:val="00D37AE0"/>
    <w:rsid w:val="00D416A8"/>
    <w:rsid w:val="00D4217D"/>
    <w:rsid w:val="00D4257C"/>
    <w:rsid w:val="00D425AC"/>
    <w:rsid w:val="00D42823"/>
    <w:rsid w:val="00D42D5E"/>
    <w:rsid w:val="00D43913"/>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646"/>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FA0"/>
    <w:rsid w:val="00DD61F5"/>
    <w:rsid w:val="00DE64A6"/>
    <w:rsid w:val="00DE66EB"/>
    <w:rsid w:val="00DE7035"/>
    <w:rsid w:val="00DF12E3"/>
    <w:rsid w:val="00DF3968"/>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C0C"/>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1B7"/>
    <w:rsid w:val="00FA7206"/>
    <w:rsid w:val="00FA7645"/>
    <w:rsid w:val="00FA7EFB"/>
    <w:rsid w:val="00FB0816"/>
    <w:rsid w:val="00FB08C2"/>
    <w:rsid w:val="00FB3DD1"/>
    <w:rsid w:val="00FB51FD"/>
    <w:rsid w:val="00FB5667"/>
    <w:rsid w:val="00FB7A97"/>
    <w:rsid w:val="00FB7CFD"/>
    <w:rsid w:val="00FC1B9B"/>
    <w:rsid w:val="00FC318D"/>
    <w:rsid w:val="00FC36CF"/>
    <w:rsid w:val="00FC40BC"/>
    <w:rsid w:val="00FC41FC"/>
    <w:rsid w:val="00FC4F6E"/>
    <w:rsid w:val="00FC506C"/>
    <w:rsid w:val="00FC578C"/>
    <w:rsid w:val="00FC5A37"/>
    <w:rsid w:val="00FC6F00"/>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List first level,List Paragraph Main"/>
    <w:basedOn w:val="Normal"/>
    <w:link w:val="ListParagraphChar"/>
    <w:uiPriority w:val="99"/>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List first level Char,List Paragraph Main Char"/>
    <w:link w:val="ListParagraph"/>
    <w:uiPriority w:val="99"/>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ncrei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6A71-A65D-4821-BD64-A1D2485EFE31}">
  <ds:schemaRefs>
    <ds:schemaRef ds:uri="http://schemas.openxmlformats.org/officeDocument/2006/bibliography"/>
  </ds:schemaRefs>
</ds:datastoreItem>
</file>

<file path=customXml/itemProps2.xml><?xml version="1.0" encoding="utf-8"?>
<ds:datastoreItem xmlns:ds="http://schemas.openxmlformats.org/officeDocument/2006/customXml" ds:itemID="{63CCD88C-954B-4CA1-9F9F-2698580A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10507</Words>
  <Characters>56715</Characters>
  <Application>Microsoft Office Word</Application>
  <DocSecurity>8</DocSecurity>
  <Lines>1050</Lines>
  <Paragraphs>400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66822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Anette Hauff</cp:lastModifiedBy>
  <cp:revision>35</cp:revision>
  <cp:lastPrinted>2016-01-29T18:28:00Z</cp:lastPrinted>
  <dcterms:created xsi:type="dcterms:W3CDTF">2016-01-29T16:49:00Z</dcterms:created>
  <dcterms:modified xsi:type="dcterms:W3CDTF">2016-01-29T18:29:00Z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c82160fc-ef80-4163-a17a-10e343397f1d</vt:lpwstr>
  </property>
</Properties>
</file>