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berschrift1"/>
        <w:numPr>
          <w:ilvl w:val="0"/>
          <w:numId w:val="0"/>
        </w:numPr>
        <w:ind w:left="431" w:hanging="431"/>
      </w:pPr>
      <w:r>
        <w:t>Introduction</w:t>
      </w:r>
    </w:p>
    <w:p w:rsidR="00C33ACE" w:rsidRPr="00C33ACE" w:rsidRDefault="00C33ACE" w:rsidP="00C33ACE"/>
    <w:p w:rsidR="00D34282" w:rsidRDefault="00D34282" w:rsidP="00D34282">
      <w:pPr>
        <w:rPr>
          <w:rStyle w:val="IntensiveHervorhebung"/>
        </w:rPr>
      </w:pPr>
      <w:r w:rsidRPr="001D47A5">
        <w:rPr>
          <w:rStyle w:val="IntensiveHervorhebung"/>
        </w:rPr>
        <w:t>Please make your introductory comments below, if any:</w:t>
      </w:r>
    </w:p>
    <w:p w:rsidR="002E2BC1" w:rsidRPr="001D47A5" w:rsidRDefault="002E2BC1" w:rsidP="00D34282">
      <w:pPr>
        <w:rPr>
          <w:rStyle w:val="IntensiveHervorhebung"/>
        </w:rPr>
      </w:pPr>
    </w:p>
    <w:p w:rsidR="00D34282" w:rsidRPr="00C25863" w:rsidRDefault="00D34282" w:rsidP="00D34282">
      <w:r w:rsidRPr="00C25863">
        <w:t>&lt;</w:t>
      </w:r>
      <w:r>
        <w:t>ESMA_COMMENT</w:t>
      </w:r>
      <w:r w:rsidRPr="00C25863">
        <w:t>_</w:t>
      </w:r>
      <w:r w:rsidR="000E35CB">
        <w:rPr>
          <w:rFonts w:cs="Arial"/>
        </w:rPr>
        <w:t>PRIIPS</w:t>
      </w:r>
      <w:r w:rsidRPr="00C25863">
        <w:t>_1&gt;</w:t>
      </w:r>
    </w:p>
    <w:p w:rsidR="00BC4FF4" w:rsidRPr="00401A6D" w:rsidRDefault="00BC4FF4" w:rsidP="00907ED4">
      <w:pPr>
        <w:spacing w:after="120"/>
        <w:rPr>
          <w:rFonts w:ascii="Verdana" w:hAnsi="Verdana"/>
        </w:rPr>
      </w:pPr>
      <w:permStart w:id="1822055762" w:edGrp="everyone"/>
      <w:r w:rsidRPr="00401A6D">
        <w:rPr>
          <w:rFonts w:ascii="Verdana" w:hAnsi="Verdana"/>
        </w:rPr>
        <w:t>The Deutsche Aktuarvereinigung (DAV) is the German association of actuaries and in this capacity appreciates the opportunity to comment on the Joint Consultation Paper on PRIIP</w:t>
      </w:r>
      <w:r>
        <w:rPr>
          <w:rFonts w:ascii="Verdana" w:hAnsi="Verdana"/>
        </w:rPr>
        <w:t>s</w:t>
      </w:r>
      <w:r w:rsidRPr="00401A6D">
        <w:rPr>
          <w:rFonts w:ascii="Verdana" w:hAnsi="Verdana"/>
        </w:rPr>
        <w:t xml:space="preserve"> Key Information Documents – Draft Regulatory Standards.</w:t>
      </w:r>
    </w:p>
    <w:p w:rsidR="00BC4FF4" w:rsidRPr="00401A6D" w:rsidRDefault="00BC4FF4" w:rsidP="00907ED4">
      <w:pPr>
        <w:spacing w:after="120"/>
        <w:rPr>
          <w:rFonts w:ascii="Verdana" w:hAnsi="Verdana"/>
        </w:rPr>
      </w:pPr>
      <w:r w:rsidRPr="00401A6D">
        <w:rPr>
          <w:rFonts w:ascii="Verdana" w:hAnsi="Verdana"/>
        </w:rPr>
        <w:t>Generally, we wish to point out the we fully support the objective to provide consumers with clear and transparent information on the key characteristics of a product, thus enabling the customer to compare various PRIIPs and make an informed choice according his interests, risk profile and goals. This initiative will further strengthen consumer protection in the financial services industry.</w:t>
      </w:r>
    </w:p>
    <w:p w:rsidR="00BC4FF4" w:rsidRPr="00401A6D" w:rsidRDefault="00BC4FF4" w:rsidP="00907ED4">
      <w:pPr>
        <w:spacing w:after="120"/>
        <w:rPr>
          <w:rFonts w:ascii="Verdana" w:hAnsi="Verdana"/>
        </w:rPr>
      </w:pPr>
      <w:r w:rsidRPr="00401A6D">
        <w:rPr>
          <w:rFonts w:ascii="Verdana" w:hAnsi="Verdana"/>
        </w:rPr>
        <w:t xml:space="preserve">As many actuaries are advising or working in insurance companies our subsequent comments will concentrate on material issues addressed in the Consultation Paper affecting life-insurance products. </w:t>
      </w:r>
    </w:p>
    <w:p w:rsidR="00BC4FF4" w:rsidRPr="00401A6D" w:rsidRDefault="00BC4FF4" w:rsidP="00907ED4">
      <w:pPr>
        <w:spacing w:after="120"/>
        <w:rPr>
          <w:rFonts w:ascii="Verdana" w:hAnsi="Verdana"/>
        </w:rPr>
      </w:pPr>
      <w:r w:rsidRPr="00401A6D">
        <w:rPr>
          <w:rFonts w:ascii="Verdana" w:hAnsi="Verdana"/>
        </w:rPr>
        <w:t>In brief, our main recommendations are:</w:t>
      </w:r>
    </w:p>
    <w:p w:rsidR="00BC4FF4" w:rsidRDefault="00BC4FF4" w:rsidP="00BC4FF4">
      <w:pPr>
        <w:pStyle w:val="Listenabsatz"/>
        <w:numPr>
          <w:ilvl w:val="0"/>
          <w:numId w:val="39"/>
        </w:numPr>
        <w:spacing w:after="120"/>
        <w:ind w:left="714" w:hanging="357"/>
        <w:contextualSpacing w:val="0"/>
        <w:rPr>
          <w:rFonts w:ascii="Verdana" w:hAnsi="Verdana"/>
        </w:rPr>
      </w:pPr>
      <w:r w:rsidRPr="00D24875">
        <w:rPr>
          <w:rFonts w:ascii="Verdana" w:hAnsi="Verdana"/>
          <w:u w:val="single"/>
        </w:rPr>
        <w:t>Risk:</w:t>
      </w:r>
    </w:p>
    <w:p w:rsidR="00BC4FF4" w:rsidRPr="009507B2" w:rsidRDefault="00BC4FF4" w:rsidP="00BC4FF4">
      <w:pPr>
        <w:pStyle w:val="Listenabsatz"/>
        <w:numPr>
          <w:ilvl w:val="1"/>
          <w:numId w:val="39"/>
        </w:numPr>
        <w:spacing w:after="120"/>
        <w:contextualSpacing w:val="0"/>
        <w:rPr>
          <w:rFonts w:ascii="Verdana" w:hAnsi="Verdana"/>
        </w:rPr>
      </w:pPr>
      <w:r>
        <w:rPr>
          <w:rFonts w:ascii="Verdana" w:hAnsi="Verdana"/>
          <w:iCs/>
        </w:rPr>
        <w:t>As the main objective of the PRIIPs Regulation is to ensure comparability for all products we propose not to choose different risk indicators for different categories of PRIIPs.</w:t>
      </w:r>
    </w:p>
    <w:p w:rsidR="00BC4FF4" w:rsidRPr="009507B2" w:rsidRDefault="00BC4FF4" w:rsidP="00BC4FF4">
      <w:pPr>
        <w:pStyle w:val="Listenabsatz"/>
        <w:numPr>
          <w:ilvl w:val="1"/>
          <w:numId w:val="39"/>
        </w:numPr>
        <w:spacing w:after="120"/>
        <w:contextualSpacing w:val="0"/>
        <w:rPr>
          <w:rFonts w:ascii="Verdana" w:hAnsi="Verdana"/>
        </w:rPr>
      </w:pPr>
      <w:r w:rsidRPr="009507B2">
        <w:rPr>
          <w:rFonts w:ascii="Verdana" w:hAnsi="Verdana"/>
          <w:iCs/>
        </w:rPr>
        <w:t xml:space="preserve">For DAV it is key that all guarantee schemes are taken into account in the credit risk assessment as risk mitigation factors. </w:t>
      </w:r>
    </w:p>
    <w:p w:rsidR="00BC4FF4" w:rsidRDefault="00BC4FF4" w:rsidP="00BC4FF4">
      <w:pPr>
        <w:pStyle w:val="Listenabsatz"/>
        <w:numPr>
          <w:ilvl w:val="1"/>
          <w:numId w:val="39"/>
        </w:numPr>
        <w:spacing w:after="120"/>
        <w:contextualSpacing w:val="0"/>
        <w:rPr>
          <w:rFonts w:ascii="Verdana" w:hAnsi="Verdana"/>
        </w:rPr>
      </w:pPr>
      <w:r w:rsidRPr="00D24875">
        <w:rPr>
          <w:rFonts w:ascii="Verdana" w:hAnsi="Verdana"/>
        </w:rPr>
        <w:t xml:space="preserve">As regards </w:t>
      </w:r>
      <w:r>
        <w:rPr>
          <w:rFonts w:ascii="Verdana" w:hAnsi="Verdana"/>
        </w:rPr>
        <w:t xml:space="preserve">the </w:t>
      </w:r>
      <w:r w:rsidRPr="00C67370">
        <w:rPr>
          <w:rFonts w:ascii="Verdana" w:hAnsi="Verdana"/>
        </w:rPr>
        <w:t>methodology</w:t>
      </w:r>
      <w:r>
        <w:rPr>
          <w:rFonts w:ascii="Verdana" w:hAnsi="Verdana"/>
        </w:rPr>
        <w:t xml:space="preserve"> to compute the </w:t>
      </w:r>
      <w:proofErr w:type="spellStart"/>
      <w:r>
        <w:rPr>
          <w:rFonts w:ascii="Verdana" w:hAnsi="Verdana"/>
        </w:rPr>
        <w:t>VaR</w:t>
      </w:r>
      <w:proofErr w:type="spellEnd"/>
      <w:r>
        <w:rPr>
          <w:rFonts w:ascii="Verdana" w:hAnsi="Verdana"/>
        </w:rPr>
        <w:t xml:space="preserve"> equivalent v</w:t>
      </w:r>
      <w:r w:rsidRPr="00C67370">
        <w:rPr>
          <w:rFonts w:ascii="Verdana" w:hAnsi="Verdana"/>
        </w:rPr>
        <w:t xml:space="preserve">olatility </w:t>
      </w:r>
      <w:r w:rsidRPr="00D24875">
        <w:rPr>
          <w:rFonts w:ascii="Verdana" w:hAnsi="Verdana"/>
        </w:rPr>
        <w:t xml:space="preserve">we recommend a forward-looking </w:t>
      </w:r>
      <w:r>
        <w:rPr>
          <w:rFonts w:ascii="Verdana" w:hAnsi="Verdana"/>
        </w:rPr>
        <w:t>simulation</w:t>
      </w:r>
      <w:r w:rsidRPr="00D24875">
        <w:rPr>
          <w:rFonts w:ascii="Verdana" w:hAnsi="Verdana"/>
        </w:rPr>
        <w:t xml:space="preserve"> approach.</w:t>
      </w:r>
    </w:p>
    <w:p w:rsidR="00BC4FF4" w:rsidRPr="00D24875" w:rsidRDefault="00BC4FF4" w:rsidP="00BC4FF4">
      <w:pPr>
        <w:pStyle w:val="Listenabsatz"/>
        <w:numPr>
          <w:ilvl w:val="1"/>
          <w:numId w:val="39"/>
        </w:numPr>
        <w:spacing w:after="120"/>
        <w:contextualSpacing w:val="0"/>
        <w:rPr>
          <w:rFonts w:ascii="Verdana" w:hAnsi="Verdana"/>
        </w:rPr>
      </w:pPr>
      <w:r>
        <w:rPr>
          <w:rFonts w:ascii="Verdana" w:hAnsi="Verdana" w:cs="Arial"/>
          <w:iCs/>
          <w:color w:val="000000"/>
        </w:rPr>
        <w:t>A</w:t>
      </w:r>
      <w:r w:rsidRPr="00CD0EB8">
        <w:rPr>
          <w:rFonts w:ascii="Verdana" w:hAnsi="Verdana" w:cs="Arial"/>
          <w:iCs/>
          <w:color w:val="000000"/>
        </w:rPr>
        <w:t xml:space="preserve"> change </w:t>
      </w:r>
      <w:r>
        <w:rPr>
          <w:rFonts w:ascii="Verdana" w:hAnsi="Verdana" w:cs="Arial"/>
          <w:iCs/>
          <w:color w:val="000000"/>
        </w:rPr>
        <w:t xml:space="preserve">of </w:t>
      </w:r>
      <w:r w:rsidRPr="00CD0EB8">
        <w:rPr>
          <w:rFonts w:ascii="Verdana" w:hAnsi="Verdana" w:cs="Arial"/>
          <w:iCs/>
          <w:color w:val="000000"/>
        </w:rPr>
        <w:t>the risk measure</w:t>
      </w:r>
      <w:r>
        <w:rPr>
          <w:rFonts w:ascii="Verdana" w:hAnsi="Verdana" w:cs="Arial"/>
          <w:iCs/>
          <w:color w:val="000000"/>
        </w:rPr>
        <w:t xml:space="preserve"> would be appropriate</w:t>
      </w:r>
      <w:r w:rsidRPr="00CD0EB8">
        <w:rPr>
          <w:rFonts w:ascii="Verdana" w:hAnsi="Verdana" w:cs="Arial"/>
          <w:iCs/>
          <w:color w:val="000000"/>
        </w:rPr>
        <w:t xml:space="preserve">, such that not only </w:t>
      </w:r>
      <w:r>
        <w:rPr>
          <w:rFonts w:ascii="Verdana" w:hAnsi="Verdana" w:cs="Arial"/>
          <w:iCs/>
          <w:color w:val="000000"/>
        </w:rPr>
        <w:t>a</w:t>
      </w:r>
      <w:r w:rsidRPr="00CD0EB8">
        <w:rPr>
          <w:rFonts w:ascii="Verdana" w:hAnsi="Verdana" w:cs="Arial"/>
          <w:iCs/>
          <w:color w:val="000000"/>
        </w:rPr>
        <w:t xml:space="preserve"> point estimate of the</w:t>
      </w:r>
      <w:r>
        <w:rPr>
          <w:rFonts w:ascii="Verdana" w:hAnsi="Verdana" w:cs="Arial"/>
          <w:iCs/>
          <w:color w:val="000000"/>
        </w:rPr>
        <w:t xml:space="preserve"> loss distribution is considered</w:t>
      </w:r>
      <w:r w:rsidRPr="00CD0EB8">
        <w:rPr>
          <w:rFonts w:ascii="Verdana" w:hAnsi="Verdana" w:cs="Arial"/>
          <w:iCs/>
          <w:color w:val="000000"/>
        </w:rPr>
        <w:t xml:space="preserve">, but also the extent of risk that is to be expected when some critical threshold is breached. </w:t>
      </w:r>
    </w:p>
    <w:p w:rsidR="00BC4FF4" w:rsidRDefault="00BC4FF4" w:rsidP="00BC4FF4">
      <w:pPr>
        <w:pStyle w:val="Listenabsatz"/>
        <w:numPr>
          <w:ilvl w:val="0"/>
          <w:numId w:val="39"/>
        </w:numPr>
        <w:spacing w:after="120"/>
        <w:ind w:left="714" w:hanging="357"/>
        <w:contextualSpacing w:val="0"/>
        <w:rPr>
          <w:rFonts w:ascii="Verdana" w:hAnsi="Verdana"/>
        </w:rPr>
      </w:pPr>
      <w:r w:rsidRPr="00D24875">
        <w:rPr>
          <w:rFonts w:ascii="Verdana" w:hAnsi="Verdana"/>
          <w:u w:val="single"/>
        </w:rPr>
        <w:t>Costs:</w:t>
      </w:r>
    </w:p>
    <w:p w:rsidR="00BC4FF4" w:rsidRDefault="00BC4FF4" w:rsidP="00BC4FF4">
      <w:pPr>
        <w:pStyle w:val="Listenabsatz"/>
        <w:numPr>
          <w:ilvl w:val="1"/>
          <w:numId w:val="39"/>
        </w:numPr>
        <w:spacing w:after="120"/>
        <w:contextualSpacing w:val="0"/>
        <w:rPr>
          <w:rFonts w:ascii="Verdana" w:hAnsi="Verdana"/>
        </w:rPr>
      </w:pPr>
      <w:r>
        <w:rPr>
          <w:rFonts w:ascii="Verdana" w:hAnsi="Verdana"/>
        </w:rPr>
        <w:t xml:space="preserve">We welcome the decision to apply </w:t>
      </w:r>
      <w:r w:rsidRPr="00D24875">
        <w:rPr>
          <w:rFonts w:ascii="Verdana" w:hAnsi="Verdana"/>
        </w:rPr>
        <w:t>a Reduction-in-Yield (RIY) approach when determining the cost indicator of a product.</w:t>
      </w:r>
    </w:p>
    <w:p w:rsidR="00BC4FF4" w:rsidRPr="009507B2" w:rsidRDefault="00BC4FF4" w:rsidP="00BC4FF4">
      <w:pPr>
        <w:pStyle w:val="Listenabsatz"/>
        <w:numPr>
          <w:ilvl w:val="1"/>
          <w:numId w:val="39"/>
        </w:numPr>
        <w:spacing w:after="120"/>
        <w:contextualSpacing w:val="0"/>
        <w:rPr>
          <w:rFonts w:ascii="Verdana" w:hAnsi="Verdana"/>
        </w:rPr>
      </w:pPr>
      <w:r w:rsidRPr="009507B2">
        <w:rPr>
          <w:rFonts w:ascii="Verdana" w:hAnsi="Verdana"/>
        </w:rPr>
        <w:t>The biometric risk premium should be included in the section “What is this product?</w:t>
      </w:r>
      <w:proofErr w:type="gramStart"/>
      <w:r w:rsidRPr="009507B2">
        <w:rPr>
          <w:rFonts w:ascii="Verdana" w:hAnsi="Verdana"/>
        </w:rPr>
        <w:t>”.</w:t>
      </w:r>
      <w:proofErr w:type="gramEnd"/>
      <w:r w:rsidRPr="009507B2">
        <w:rPr>
          <w:rFonts w:ascii="Verdana" w:hAnsi="Verdana"/>
        </w:rPr>
        <w:t xml:space="preserve"> We wel</w:t>
      </w:r>
      <w:r>
        <w:rPr>
          <w:rFonts w:ascii="Verdana" w:hAnsi="Verdana"/>
        </w:rPr>
        <w:t>come that the ESAs do not see the biometric risk premium</w:t>
      </w:r>
      <w:r w:rsidRPr="009507B2">
        <w:rPr>
          <w:rFonts w:ascii="Verdana" w:hAnsi="Verdana"/>
        </w:rPr>
        <w:t xml:space="preserve"> as a cost.</w:t>
      </w:r>
    </w:p>
    <w:p w:rsidR="00BC4FF4" w:rsidRDefault="00BC4FF4" w:rsidP="00BC4FF4">
      <w:pPr>
        <w:pStyle w:val="Listenabsatz"/>
        <w:numPr>
          <w:ilvl w:val="1"/>
          <w:numId w:val="39"/>
        </w:numPr>
        <w:spacing w:after="120"/>
        <w:contextualSpacing w:val="0"/>
        <w:rPr>
          <w:rFonts w:ascii="Verdana" w:hAnsi="Verdana"/>
        </w:rPr>
      </w:pPr>
      <w:r>
        <w:rPr>
          <w:rFonts w:ascii="Verdana" w:hAnsi="Verdana"/>
        </w:rPr>
        <w:t xml:space="preserve">To ensure both, </w:t>
      </w:r>
      <w:r w:rsidRPr="00401A6D">
        <w:rPr>
          <w:rFonts w:ascii="Verdana" w:hAnsi="Verdana"/>
        </w:rPr>
        <w:t xml:space="preserve">the comparability of products and </w:t>
      </w:r>
      <w:r>
        <w:rPr>
          <w:rFonts w:ascii="Verdana" w:hAnsi="Verdana"/>
        </w:rPr>
        <w:t xml:space="preserve">a </w:t>
      </w:r>
      <w:r w:rsidRPr="00401A6D">
        <w:rPr>
          <w:rFonts w:ascii="Verdana" w:hAnsi="Verdana"/>
        </w:rPr>
        <w:t>level playing field of manufacturers</w:t>
      </w:r>
      <w:r>
        <w:rPr>
          <w:rFonts w:ascii="Verdana" w:hAnsi="Verdana"/>
        </w:rPr>
        <w:t>,</w:t>
      </w:r>
      <w:r w:rsidRPr="00401A6D">
        <w:rPr>
          <w:rFonts w:ascii="Verdana" w:hAnsi="Verdana"/>
        </w:rPr>
        <w:t xml:space="preserve"> </w:t>
      </w:r>
      <w:r>
        <w:rPr>
          <w:rFonts w:ascii="Verdana" w:hAnsi="Verdana"/>
        </w:rPr>
        <w:t xml:space="preserve">only </w:t>
      </w:r>
      <w:r w:rsidRPr="00401A6D">
        <w:rPr>
          <w:rFonts w:ascii="Verdana" w:hAnsi="Verdana"/>
        </w:rPr>
        <w:t xml:space="preserve">annualised costs </w:t>
      </w:r>
      <w:r>
        <w:rPr>
          <w:rFonts w:ascii="Verdana" w:hAnsi="Verdana"/>
        </w:rPr>
        <w:t xml:space="preserve">in monetary terms </w:t>
      </w:r>
      <w:r w:rsidRPr="00401A6D">
        <w:rPr>
          <w:rFonts w:ascii="Verdana" w:hAnsi="Verdana"/>
        </w:rPr>
        <w:t>should be presented together with the Reduction in Yield indicator.</w:t>
      </w:r>
    </w:p>
    <w:p w:rsidR="00BC4FF4" w:rsidRDefault="00BC4FF4" w:rsidP="00BC4FF4">
      <w:pPr>
        <w:pStyle w:val="Listenabsatz"/>
        <w:numPr>
          <w:ilvl w:val="1"/>
          <w:numId w:val="39"/>
        </w:numPr>
        <w:spacing w:after="120"/>
        <w:contextualSpacing w:val="0"/>
        <w:rPr>
          <w:rFonts w:ascii="Verdana" w:hAnsi="Verdana"/>
        </w:rPr>
      </w:pPr>
      <w:r>
        <w:rPr>
          <w:rFonts w:ascii="Verdana" w:hAnsi="Verdana"/>
        </w:rPr>
        <w:t xml:space="preserve">We urge the ESAs to reduce the complexity of information on costs and to aim at simplification and </w:t>
      </w:r>
      <w:proofErr w:type="spellStart"/>
      <w:r>
        <w:rPr>
          <w:rFonts w:ascii="Verdana" w:hAnsi="Verdana"/>
        </w:rPr>
        <w:t>understandability</w:t>
      </w:r>
      <w:proofErr w:type="spellEnd"/>
      <w:r>
        <w:rPr>
          <w:rFonts w:ascii="Verdana" w:hAnsi="Verdana"/>
        </w:rPr>
        <w:t>.</w:t>
      </w:r>
    </w:p>
    <w:p w:rsidR="00BC4FF4" w:rsidRPr="00AD17E0" w:rsidRDefault="00BC4FF4" w:rsidP="00AD17E0">
      <w:pPr>
        <w:pStyle w:val="Listenabsatz"/>
        <w:numPr>
          <w:ilvl w:val="0"/>
          <w:numId w:val="39"/>
        </w:numPr>
        <w:rPr>
          <w:rFonts w:ascii="Verdana" w:hAnsi="Verdana"/>
        </w:rPr>
      </w:pPr>
      <w:r w:rsidRPr="00AD17E0">
        <w:rPr>
          <w:rFonts w:ascii="Verdana" w:hAnsi="Verdana"/>
          <w:u w:val="single"/>
        </w:rPr>
        <w:t>Time Frame</w:t>
      </w:r>
      <w:proofErr w:type="gramStart"/>
      <w:r w:rsidRPr="00AD17E0">
        <w:rPr>
          <w:rFonts w:ascii="Verdana" w:hAnsi="Verdana"/>
          <w:u w:val="single"/>
        </w:rPr>
        <w:t>:</w:t>
      </w:r>
      <w:proofErr w:type="gramEnd"/>
      <w:r w:rsidRPr="00AD17E0">
        <w:rPr>
          <w:rFonts w:ascii="Verdana" w:hAnsi="Verdana"/>
        </w:rPr>
        <w:br/>
        <w:t>The German actuaries are very concerned about the extremely short period provided to implement the KID for PRIIPs. A one-year extension of the PRIIPs implementation deadline in order to allow the industry to effectively implement the KID is recommended.</w:t>
      </w:r>
    </w:p>
    <w:permEnd w:id="1822055762"/>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BC4FF4" w:rsidRDefault="00BC4FF4" w:rsidP="00907ED4">
      <w:pPr>
        <w:spacing w:after="120"/>
        <w:rPr>
          <w:rFonts w:ascii="Verdana" w:hAnsi="Verdana" w:cs="Arial"/>
          <w:iCs/>
          <w:color w:val="000000"/>
        </w:rPr>
      </w:pPr>
      <w:permStart w:id="1879972994" w:edGrp="everyone"/>
      <w:r w:rsidRPr="00465EE0">
        <w:rPr>
          <w:rFonts w:ascii="Verdana" w:hAnsi="Verdana" w:cs="Arial"/>
          <w:iCs/>
          <w:color w:val="000000"/>
        </w:rPr>
        <w:t xml:space="preserve">With regard to the comprehension alert </w:t>
      </w:r>
      <w:r>
        <w:rPr>
          <w:rFonts w:ascii="Verdana" w:hAnsi="Verdana" w:cs="Arial"/>
          <w:iCs/>
          <w:color w:val="000000"/>
        </w:rPr>
        <w:t>of the PRIIPs Regulation</w:t>
      </w:r>
      <w:r w:rsidRPr="00465EE0">
        <w:rPr>
          <w:rFonts w:ascii="Verdana" w:hAnsi="Verdana" w:cs="Arial"/>
          <w:iCs/>
          <w:color w:val="000000"/>
        </w:rPr>
        <w:t>, recital 18 of the PRIIP</w:t>
      </w:r>
      <w:r>
        <w:rPr>
          <w:rFonts w:ascii="Verdana" w:hAnsi="Verdana" w:cs="Arial"/>
          <w:iCs/>
          <w:color w:val="000000"/>
        </w:rPr>
        <w:t>s</w:t>
      </w:r>
      <w:r w:rsidRPr="00465EE0">
        <w:rPr>
          <w:rFonts w:ascii="Verdana" w:hAnsi="Verdana" w:cs="Arial"/>
          <w:iCs/>
          <w:color w:val="000000"/>
        </w:rPr>
        <w:t xml:space="preserve"> Regulation includes criteria to be used for assessing whether to include the alert or not. </w:t>
      </w:r>
      <w:r>
        <w:rPr>
          <w:rFonts w:ascii="Verdana" w:hAnsi="Verdana" w:cs="Arial"/>
          <w:iCs/>
          <w:color w:val="000000"/>
        </w:rPr>
        <w:t>As the Consultation Paper itself points out t</w:t>
      </w:r>
      <w:r w:rsidRPr="00465EE0">
        <w:rPr>
          <w:rFonts w:ascii="Verdana" w:hAnsi="Verdana" w:cs="Arial"/>
          <w:iCs/>
          <w:color w:val="000000"/>
        </w:rPr>
        <w:t>he ESAs are not mandated to provide R</w:t>
      </w:r>
      <w:r>
        <w:rPr>
          <w:rFonts w:ascii="Verdana" w:hAnsi="Verdana" w:cs="Arial"/>
          <w:iCs/>
          <w:color w:val="000000"/>
        </w:rPr>
        <w:t xml:space="preserve">egulatory Technical Standards (RTS) </w:t>
      </w:r>
      <w:r w:rsidRPr="00465EE0">
        <w:rPr>
          <w:rFonts w:ascii="Verdana" w:hAnsi="Verdana" w:cs="Arial"/>
          <w:iCs/>
          <w:color w:val="000000"/>
        </w:rPr>
        <w:t xml:space="preserve">on this specific topic. </w:t>
      </w:r>
    </w:p>
    <w:p w:rsidR="00750796" w:rsidRDefault="00BC4FF4" w:rsidP="00750796">
      <w:r>
        <w:rPr>
          <w:rFonts w:ascii="Verdana" w:hAnsi="Verdana" w:cs="Arial"/>
          <w:iCs/>
          <w:color w:val="000000"/>
        </w:rPr>
        <w:t>As there is a large variety of PRIIPs at the national level the criteria need not be further specified by the ESAs but clarifying them, if necessary, should rather be left to competent national authorities</w:t>
      </w:r>
      <w:proofErr w:type="gramStart"/>
      <w:r>
        <w:rPr>
          <w:rFonts w:ascii="Verdana" w:hAnsi="Verdana" w:cs="Arial"/>
          <w:iCs/>
          <w:color w:val="000000"/>
        </w:rPr>
        <w:t>.</w:t>
      </w:r>
      <w:permEnd w:id="1879972994"/>
      <w:r w:rsidR="00750796">
        <w:t>&lt;</w:t>
      </w:r>
      <w:proofErr w:type="gramEnd"/>
      <w:r w:rsidR="00750796">
        <w:t>ESMA_QUESTION_</w:t>
      </w:r>
      <w:r w:rsidR="003E4B00">
        <w:t>PRIIPS</w:t>
      </w:r>
      <w:r w:rsidR="00750796">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BC4FF4" w:rsidRDefault="00BC4FF4" w:rsidP="00907ED4">
      <w:pPr>
        <w:pStyle w:val="Default"/>
        <w:spacing w:after="120"/>
        <w:rPr>
          <w:rFonts w:ascii="Verdana" w:hAnsi="Verdana"/>
          <w:iCs/>
          <w:sz w:val="22"/>
          <w:szCs w:val="22"/>
          <w:lang w:val="en-GB"/>
        </w:rPr>
      </w:pPr>
      <w:permStart w:id="1535577320" w:edGrp="everyone"/>
      <w:r w:rsidRPr="006D297E">
        <w:rPr>
          <w:rFonts w:ascii="Verdana" w:hAnsi="Verdana"/>
          <w:iCs/>
          <w:sz w:val="22"/>
          <w:szCs w:val="22"/>
          <w:lang w:val="en-GB"/>
        </w:rPr>
        <w:t xml:space="preserve">The calculation and presentation of figures both in the Risk and Reward and the Costs sections of the KID entails the use of standardised example investment amounts. As DAV we do not believe that this is of use for the client: </w:t>
      </w:r>
      <w:r w:rsidRPr="00401A6D">
        <w:rPr>
          <w:rFonts w:ascii="Verdana" w:hAnsi="Verdana"/>
          <w:iCs/>
          <w:sz w:val="22"/>
          <w:szCs w:val="22"/>
          <w:lang w:val="en-GB"/>
        </w:rPr>
        <w:t xml:space="preserve">If the client invests significantly less/more </w:t>
      </w:r>
      <w:r>
        <w:rPr>
          <w:rFonts w:ascii="Verdana" w:hAnsi="Verdana"/>
          <w:iCs/>
          <w:sz w:val="22"/>
          <w:szCs w:val="22"/>
          <w:lang w:val="en-GB"/>
        </w:rPr>
        <w:t xml:space="preserve">than the prescribed amount </w:t>
      </w:r>
      <w:r w:rsidRPr="00401A6D">
        <w:rPr>
          <w:rFonts w:ascii="Verdana" w:hAnsi="Verdana"/>
          <w:iCs/>
          <w:sz w:val="22"/>
          <w:szCs w:val="22"/>
          <w:lang w:val="en-GB"/>
        </w:rPr>
        <w:t xml:space="preserve">the impact of the underlying fee-structure might be significantly different - thus such </w:t>
      </w:r>
      <w:r>
        <w:rPr>
          <w:rFonts w:ascii="Verdana" w:hAnsi="Verdana"/>
          <w:iCs/>
          <w:sz w:val="22"/>
          <w:szCs w:val="22"/>
          <w:lang w:val="en-GB"/>
        </w:rPr>
        <w:t xml:space="preserve">a </w:t>
      </w:r>
      <w:r w:rsidRPr="00401A6D">
        <w:rPr>
          <w:rFonts w:ascii="Verdana" w:hAnsi="Verdana"/>
          <w:iCs/>
          <w:sz w:val="22"/>
          <w:szCs w:val="22"/>
          <w:lang w:val="en-GB"/>
        </w:rPr>
        <w:t>presentation might be rather misleading. The impact could be even higher in case there is a “fee consideration” in order to cover potential mortality premiums</w:t>
      </w:r>
      <w:r>
        <w:rPr>
          <w:rFonts w:ascii="Verdana" w:hAnsi="Verdana"/>
          <w:iCs/>
          <w:sz w:val="22"/>
          <w:szCs w:val="22"/>
          <w:lang w:val="en-GB"/>
        </w:rPr>
        <w:t>. With today’s technical possibilities it is no problem to calculate and present figures for the Risk and Reward assessment based on the client’s preferred investment amount instead.</w:t>
      </w:r>
    </w:p>
    <w:p w:rsidR="00BC4FF4" w:rsidRDefault="00BC4FF4" w:rsidP="00907ED4">
      <w:pPr>
        <w:pStyle w:val="Default"/>
        <w:spacing w:after="120"/>
        <w:rPr>
          <w:rFonts w:ascii="Verdana" w:hAnsi="Verdana"/>
          <w:iCs/>
          <w:sz w:val="22"/>
          <w:szCs w:val="22"/>
          <w:lang w:val="en-GB"/>
        </w:rPr>
      </w:pPr>
      <w:r>
        <w:rPr>
          <w:rFonts w:ascii="Verdana" w:hAnsi="Verdana"/>
          <w:iCs/>
          <w:sz w:val="22"/>
          <w:szCs w:val="22"/>
          <w:lang w:val="en-GB"/>
        </w:rPr>
        <w:t>Moreover, the duration of the product will have a high impact on the performance of the product. For insurance-based investment products a duration of 30 years and longer is no exception; therefore a duration of ten years as proposed will not provide the client with realistic expectations.</w:t>
      </w:r>
    </w:p>
    <w:p w:rsidR="00750796" w:rsidRPr="00580880" w:rsidRDefault="00BC4FF4" w:rsidP="00750796">
      <w:pPr>
        <w:rPr>
          <w:lang w:val="fr-FR"/>
        </w:rPr>
      </w:pPr>
      <w:r>
        <w:rPr>
          <w:rFonts w:ascii="Verdana" w:hAnsi="Verdana"/>
          <w:iCs/>
          <w:sz w:val="22"/>
          <w:szCs w:val="22"/>
        </w:rPr>
        <w:t>I</w:t>
      </w:r>
      <w:r w:rsidRPr="00401A6D">
        <w:rPr>
          <w:rFonts w:ascii="Verdana" w:hAnsi="Verdana"/>
          <w:iCs/>
          <w:sz w:val="22"/>
          <w:szCs w:val="22"/>
        </w:rPr>
        <w:t xml:space="preserve">n any case, at least </w:t>
      </w:r>
      <w:r>
        <w:rPr>
          <w:rFonts w:ascii="Verdana" w:hAnsi="Verdana"/>
          <w:iCs/>
          <w:sz w:val="22"/>
          <w:szCs w:val="22"/>
        </w:rPr>
        <w:t>realistic</w:t>
      </w:r>
      <w:r w:rsidRPr="00401A6D">
        <w:rPr>
          <w:rFonts w:ascii="Verdana" w:hAnsi="Verdana"/>
          <w:iCs/>
          <w:sz w:val="22"/>
          <w:szCs w:val="22"/>
        </w:rPr>
        <w:t xml:space="preserve"> amount</w:t>
      </w:r>
      <w:r>
        <w:rPr>
          <w:rFonts w:ascii="Verdana" w:hAnsi="Verdana"/>
          <w:iCs/>
          <w:sz w:val="22"/>
          <w:szCs w:val="22"/>
        </w:rPr>
        <w:t>s</w:t>
      </w:r>
      <w:r w:rsidRPr="00401A6D">
        <w:rPr>
          <w:rFonts w:ascii="Verdana" w:hAnsi="Verdana"/>
          <w:iCs/>
          <w:sz w:val="22"/>
          <w:szCs w:val="22"/>
        </w:rPr>
        <w:t xml:space="preserve"> of </w:t>
      </w:r>
      <w:r>
        <w:rPr>
          <w:rFonts w:ascii="Verdana" w:hAnsi="Verdana"/>
          <w:iCs/>
          <w:sz w:val="22"/>
          <w:szCs w:val="22"/>
        </w:rPr>
        <w:t xml:space="preserve">both single and </w:t>
      </w:r>
      <w:r w:rsidRPr="00401A6D">
        <w:rPr>
          <w:rFonts w:ascii="Verdana" w:hAnsi="Verdana"/>
          <w:iCs/>
          <w:sz w:val="22"/>
          <w:szCs w:val="22"/>
        </w:rPr>
        <w:t xml:space="preserve">regular premiums should be considered – especially to demonstrate </w:t>
      </w:r>
      <w:r>
        <w:rPr>
          <w:rFonts w:ascii="Verdana" w:hAnsi="Verdana"/>
          <w:iCs/>
          <w:sz w:val="22"/>
          <w:szCs w:val="22"/>
        </w:rPr>
        <w:t xml:space="preserve">the </w:t>
      </w:r>
      <w:r w:rsidRPr="00401A6D">
        <w:rPr>
          <w:rFonts w:ascii="Verdana" w:hAnsi="Verdana"/>
          <w:iCs/>
          <w:sz w:val="22"/>
          <w:szCs w:val="22"/>
        </w:rPr>
        <w:t>impact of the fee structure (fixed as well as relative)</w:t>
      </w:r>
      <w:r>
        <w:rPr>
          <w:rFonts w:ascii="Verdana" w:hAnsi="Verdana"/>
          <w:iCs/>
          <w:sz w:val="22"/>
          <w:szCs w:val="22"/>
        </w:rPr>
        <w:t>. For insurance-based products monthly regular premiums of 100 € (i.e. 1.200 € a year) might be a reasonable choice; for single premiums perhaps 20.000 €</w:t>
      </w:r>
      <w:proofErr w:type="gramStart"/>
      <w:r>
        <w:rPr>
          <w:rFonts w:ascii="Verdana" w:hAnsi="Verdana"/>
          <w:iCs/>
          <w:sz w:val="22"/>
          <w:szCs w:val="22"/>
        </w:rPr>
        <w:t>.</w:t>
      </w:r>
      <w:permEnd w:id="1535577320"/>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BC4FF4" w:rsidRPr="00045ED0" w:rsidRDefault="00BC4FF4" w:rsidP="00907ED4">
      <w:pPr>
        <w:pStyle w:val="Default"/>
        <w:spacing w:after="120"/>
        <w:rPr>
          <w:rFonts w:ascii="Verdana" w:hAnsi="Verdana"/>
          <w:iCs/>
          <w:sz w:val="22"/>
          <w:szCs w:val="22"/>
          <w:lang w:val="en-GB"/>
        </w:rPr>
      </w:pPr>
      <w:permStart w:id="1002840467" w:edGrp="everyone"/>
      <w:r w:rsidRPr="00045ED0">
        <w:rPr>
          <w:rFonts w:ascii="Verdana" w:hAnsi="Verdana"/>
          <w:iCs/>
          <w:sz w:val="22"/>
          <w:szCs w:val="22"/>
          <w:lang w:val="en-GB"/>
        </w:rPr>
        <w:t>The Cornish-Fisher expansion builds on a transformation of a nor</w:t>
      </w:r>
      <w:r>
        <w:rPr>
          <w:rFonts w:ascii="Verdana" w:hAnsi="Verdana"/>
          <w:iCs/>
          <w:sz w:val="22"/>
          <w:szCs w:val="22"/>
          <w:lang w:val="en-GB"/>
        </w:rPr>
        <w:t xml:space="preserve">mal distributed random variable. </w:t>
      </w:r>
      <w:r w:rsidRPr="00045ED0">
        <w:rPr>
          <w:rFonts w:ascii="Verdana" w:hAnsi="Verdana"/>
          <w:iCs/>
          <w:sz w:val="22"/>
          <w:szCs w:val="22"/>
          <w:lang w:val="en-GB"/>
        </w:rPr>
        <w:t xml:space="preserve">Hence, if the approach is used to derive the </w:t>
      </w:r>
      <w:proofErr w:type="spellStart"/>
      <w:r>
        <w:rPr>
          <w:rFonts w:ascii="Verdana" w:hAnsi="Verdana"/>
          <w:iCs/>
          <w:sz w:val="22"/>
          <w:szCs w:val="22"/>
          <w:lang w:val="en-GB"/>
        </w:rPr>
        <w:t>VaR</w:t>
      </w:r>
      <w:proofErr w:type="spellEnd"/>
      <w:r w:rsidRPr="00045ED0">
        <w:rPr>
          <w:rFonts w:ascii="Verdana" w:hAnsi="Verdana"/>
          <w:iCs/>
          <w:sz w:val="22"/>
          <w:szCs w:val="22"/>
          <w:lang w:val="en-GB"/>
        </w:rPr>
        <w:t xml:space="preserve"> of some random variable </w:t>
      </w:r>
      <w:r w:rsidRPr="00045ED0">
        <w:rPr>
          <w:rFonts w:ascii="Cambria Math" w:hAnsi="Cambria Math" w:cs="Cambria Math"/>
          <w:iCs/>
          <w:sz w:val="22"/>
          <w:szCs w:val="22"/>
          <w:lang w:val="en-GB"/>
        </w:rPr>
        <w:t>𝑋</w:t>
      </w:r>
      <w:r w:rsidRPr="00045ED0">
        <w:rPr>
          <w:rFonts w:ascii="Verdana" w:hAnsi="Verdana"/>
          <w:iCs/>
          <w:sz w:val="22"/>
          <w:szCs w:val="22"/>
          <w:lang w:val="en-GB"/>
        </w:rPr>
        <w:t xml:space="preserve"> – </w:t>
      </w:r>
      <w:r w:rsidRPr="00045ED0">
        <w:rPr>
          <w:rFonts w:ascii="Cambria Math" w:hAnsi="Cambria Math" w:cs="Cambria Math"/>
          <w:iCs/>
          <w:sz w:val="22"/>
          <w:szCs w:val="22"/>
          <w:lang w:val="en-GB"/>
        </w:rPr>
        <w:t>𝑋</w:t>
      </w:r>
      <w:r w:rsidRPr="00045ED0">
        <w:rPr>
          <w:rFonts w:ascii="Verdana" w:hAnsi="Verdana"/>
          <w:iCs/>
          <w:sz w:val="22"/>
          <w:szCs w:val="22"/>
          <w:lang w:val="en-GB"/>
        </w:rPr>
        <w:t xml:space="preserve"> e.g. corresponds to log-returns in our exercise – the approach is the better (worse) the more (less) the “true” probability distribution of </w:t>
      </w:r>
      <w:r w:rsidRPr="00045ED0">
        <w:rPr>
          <w:rFonts w:ascii="Cambria Math" w:hAnsi="Cambria Math" w:cs="Cambria Math"/>
          <w:iCs/>
          <w:sz w:val="22"/>
          <w:szCs w:val="22"/>
          <w:lang w:val="en-GB"/>
        </w:rPr>
        <w:t>𝑋</w:t>
      </w:r>
      <w:r w:rsidRPr="00045ED0">
        <w:rPr>
          <w:rFonts w:ascii="Verdana" w:hAnsi="Verdana"/>
          <w:iCs/>
          <w:sz w:val="22"/>
          <w:szCs w:val="22"/>
          <w:lang w:val="en-GB"/>
        </w:rPr>
        <w:t xml:space="preserve"> exhibits similarity to this transformed normal distribution. If the true underlying probability distribution of </w:t>
      </w:r>
      <w:r w:rsidRPr="00045ED0">
        <w:rPr>
          <w:rFonts w:ascii="Cambria Math" w:hAnsi="Cambria Math" w:cs="Cambria Math"/>
          <w:iCs/>
          <w:sz w:val="22"/>
          <w:szCs w:val="22"/>
          <w:lang w:val="en-GB"/>
        </w:rPr>
        <w:t>𝑋</w:t>
      </w:r>
      <w:r w:rsidRPr="00045ED0">
        <w:rPr>
          <w:rFonts w:ascii="Verdana" w:hAnsi="Verdana"/>
          <w:iCs/>
          <w:sz w:val="22"/>
          <w:szCs w:val="22"/>
          <w:lang w:val="en-GB"/>
        </w:rPr>
        <w:t xml:space="preserve"> is far from being (a transformed) normal – e.g. when a guarantee product is considered – this approach will yield a (potentially very) different result as compared to sampling different returns by means of Monte-Carlo simulation (e.g. applying a bootstrap).</w:t>
      </w:r>
    </w:p>
    <w:p w:rsidR="00BC4FF4" w:rsidRDefault="00BC4FF4" w:rsidP="00907ED4">
      <w:pPr>
        <w:autoSpaceDE w:val="0"/>
        <w:autoSpaceDN w:val="0"/>
        <w:adjustRightInd w:val="0"/>
        <w:rPr>
          <w:rFonts w:ascii="Verdana" w:hAnsi="Verdana" w:cs="Arial"/>
          <w:iCs/>
          <w:color w:val="000000"/>
        </w:rPr>
      </w:pPr>
      <w:r w:rsidRPr="00045ED0">
        <w:rPr>
          <w:rFonts w:ascii="Verdana" w:hAnsi="Verdana" w:cs="Arial"/>
          <w:iCs/>
          <w:color w:val="000000"/>
        </w:rPr>
        <w:t>Following the current proposal, the Cornish-Fisher expansion shall be used for PRIIPS of so-called “Category II”. This category includ</w:t>
      </w:r>
      <w:r>
        <w:rPr>
          <w:rFonts w:ascii="Verdana" w:hAnsi="Verdana" w:cs="Arial"/>
          <w:iCs/>
          <w:color w:val="000000"/>
        </w:rPr>
        <w:t>es for example UCITS-funds (</w:t>
      </w:r>
      <w:r w:rsidRPr="00045ED0">
        <w:rPr>
          <w:rFonts w:ascii="Verdana" w:hAnsi="Verdana" w:cs="Arial"/>
          <w:iCs/>
          <w:color w:val="000000"/>
        </w:rPr>
        <w:t>Annex II, Part I, Paragraph 10). In contrast, the bootstrap approach shall be applied for products of “Category III” which includes “any guaranteed product not falling in Category I or Category IV</w:t>
      </w:r>
      <w:r>
        <w:rPr>
          <w:rFonts w:ascii="Verdana" w:hAnsi="Verdana" w:cs="Arial"/>
          <w:iCs/>
          <w:color w:val="000000"/>
        </w:rPr>
        <w:t>” (</w:t>
      </w:r>
      <w:r w:rsidRPr="00045ED0">
        <w:rPr>
          <w:rFonts w:ascii="Verdana" w:hAnsi="Verdana" w:cs="Arial"/>
          <w:iCs/>
          <w:color w:val="000000"/>
        </w:rPr>
        <w:t xml:space="preserve">Annex II, Part I, Paragraph 15). </w:t>
      </w:r>
    </w:p>
    <w:p w:rsidR="00BC4FF4" w:rsidRPr="00045ED0" w:rsidRDefault="00BC4FF4" w:rsidP="00907ED4">
      <w:pPr>
        <w:autoSpaceDE w:val="0"/>
        <w:autoSpaceDN w:val="0"/>
        <w:adjustRightInd w:val="0"/>
        <w:rPr>
          <w:rFonts w:ascii="Verdana" w:hAnsi="Verdana" w:cs="Arial"/>
          <w:iCs/>
          <w:color w:val="000000"/>
        </w:rPr>
      </w:pPr>
    </w:p>
    <w:p w:rsidR="00BC4FF4" w:rsidRPr="00045ED0" w:rsidRDefault="00BC4FF4" w:rsidP="00907ED4">
      <w:pPr>
        <w:autoSpaceDE w:val="0"/>
        <w:autoSpaceDN w:val="0"/>
        <w:adjustRightInd w:val="0"/>
        <w:rPr>
          <w:rFonts w:ascii="Verdana" w:hAnsi="Verdana" w:cs="Arial"/>
          <w:iCs/>
          <w:color w:val="000000"/>
        </w:rPr>
      </w:pPr>
      <w:r w:rsidRPr="00045ED0">
        <w:rPr>
          <w:rFonts w:ascii="Verdana" w:hAnsi="Verdana" w:cs="Arial"/>
          <w:iCs/>
          <w:color w:val="000000"/>
        </w:rPr>
        <w:t xml:space="preserve">Now, consider the following hypothetical example </w:t>
      </w:r>
    </w:p>
    <w:p w:rsidR="00BC4FF4" w:rsidRPr="00045ED0" w:rsidRDefault="00BC4FF4" w:rsidP="00907ED4">
      <w:pPr>
        <w:autoSpaceDE w:val="0"/>
        <w:autoSpaceDN w:val="0"/>
        <w:adjustRightInd w:val="0"/>
        <w:rPr>
          <w:rFonts w:ascii="Verdana" w:hAnsi="Verdana" w:cs="Arial"/>
          <w:iCs/>
          <w:color w:val="000000"/>
        </w:rPr>
      </w:pPr>
    </w:p>
    <w:p w:rsidR="00BC4FF4" w:rsidRPr="00B657EB" w:rsidRDefault="00BC4FF4" w:rsidP="00BC4FF4">
      <w:pPr>
        <w:pStyle w:val="Listenabsatz"/>
        <w:numPr>
          <w:ilvl w:val="0"/>
          <w:numId w:val="40"/>
        </w:numPr>
        <w:autoSpaceDE w:val="0"/>
        <w:autoSpaceDN w:val="0"/>
        <w:adjustRightInd w:val="0"/>
        <w:ind w:left="709" w:hanging="349"/>
        <w:rPr>
          <w:rFonts w:ascii="Verdana" w:hAnsi="Verdana" w:cs="Arial"/>
          <w:iCs/>
          <w:color w:val="000000"/>
        </w:rPr>
      </w:pPr>
      <w:r w:rsidRPr="00B657EB">
        <w:rPr>
          <w:rFonts w:ascii="Verdana" w:hAnsi="Verdana" w:cs="Arial"/>
          <w:iCs/>
          <w:color w:val="000000"/>
        </w:rPr>
        <w:t xml:space="preserve">Investment I: </w:t>
      </w:r>
    </w:p>
    <w:p w:rsidR="00BC4FF4" w:rsidRPr="00045ED0" w:rsidRDefault="00BC4FF4" w:rsidP="00907ED4">
      <w:pPr>
        <w:autoSpaceDE w:val="0"/>
        <w:autoSpaceDN w:val="0"/>
        <w:adjustRightInd w:val="0"/>
        <w:rPr>
          <w:rFonts w:ascii="Verdana" w:hAnsi="Verdana" w:cs="Arial"/>
          <w:iCs/>
          <w:color w:val="000000"/>
        </w:rPr>
      </w:pPr>
    </w:p>
    <w:p w:rsidR="00BC4FF4" w:rsidRPr="00B657EB" w:rsidRDefault="00BC4FF4" w:rsidP="00907ED4">
      <w:pPr>
        <w:autoSpaceDE w:val="0"/>
        <w:autoSpaceDN w:val="0"/>
        <w:adjustRightInd w:val="0"/>
        <w:ind w:firstLine="708"/>
        <w:rPr>
          <w:rFonts w:ascii="Verdana" w:hAnsi="Verdana" w:cs="Arial"/>
          <w:iCs/>
          <w:color w:val="000000"/>
        </w:rPr>
      </w:pPr>
      <w:r w:rsidRPr="00B657EB">
        <w:rPr>
          <w:rFonts w:ascii="Verdana" w:hAnsi="Verdana" w:cs="Arial"/>
          <w:iCs/>
          <w:color w:val="000000"/>
        </w:rPr>
        <w:t>Di</w:t>
      </w:r>
      <w:r>
        <w:rPr>
          <w:rFonts w:ascii="Verdana" w:hAnsi="Verdana" w:cs="Arial"/>
          <w:iCs/>
          <w:color w:val="000000"/>
        </w:rPr>
        <w:t>rect investment in an i</w:t>
      </w:r>
      <w:r w:rsidRPr="00B657EB">
        <w:rPr>
          <w:rFonts w:ascii="Verdana" w:hAnsi="Verdana" w:cs="Arial"/>
          <w:iCs/>
          <w:color w:val="000000"/>
        </w:rPr>
        <w:t xml:space="preserve">nvestment vehicle qualifying for Category II </w:t>
      </w:r>
    </w:p>
    <w:p w:rsidR="00BC4FF4" w:rsidRPr="00045ED0" w:rsidRDefault="00BC4FF4" w:rsidP="00907ED4">
      <w:pPr>
        <w:autoSpaceDE w:val="0"/>
        <w:autoSpaceDN w:val="0"/>
        <w:adjustRightInd w:val="0"/>
        <w:ind w:firstLine="708"/>
        <w:rPr>
          <w:rFonts w:ascii="Verdana" w:hAnsi="Verdana" w:cs="Arial"/>
          <w:iCs/>
          <w:color w:val="000000"/>
        </w:rPr>
      </w:pPr>
      <w:r>
        <w:rPr>
          <w:rFonts w:ascii="Verdana" w:hAnsi="Verdana" w:cs="Arial"/>
          <w:iCs/>
          <w:color w:val="000000"/>
        </w:rPr>
        <w:t xml:space="preserve">Then: </w:t>
      </w:r>
      <w:r w:rsidRPr="00045ED0">
        <w:rPr>
          <w:rFonts w:ascii="Verdana" w:hAnsi="Verdana" w:cs="Arial"/>
          <w:iCs/>
          <w:color w:val="000000"/>
        </w:rPr>
        <w:t xml:space="preserve">Cornish-Fisher has to be applied </w:t>
      </w:r>
    </w:p>
    <w:p w:rsidR="00BC4FF4" w:rsidRPr="00045ED0" w:rsidRDefault="00BC4FF4" w:rsidP="00907ED4">
      <w:pPr>
        <w:autoSpaceDE w:val="0"/>
        <w:autoSpaceDN w:val="0"/>
        <w:adjustRightInd w:val="0"/>
        <w:rPr>
          <w:rFonts w:ascii="Verdana" w:hAnsi="Verdana" w:cs="Arial"/>
          <w:iCs/>
          <w:color w:val="000000"/>
        </w:rPr>
      </w:pPr>
    </w:p>
    <w:p w:rsidR="00BC4FF4" w:rsidRPr="00B657EB" w:rsidRDefault="00BC4FF4" w:rsidP="00BC4FF4">
      <w:pPr>
        <w:pStyle w:val="Listenabsatz"/>
        <w:numPr>
          <w:ilvl w:val="0"/>
          <w:numId w:val="40"/>
        </w:numPr>
        <w:autoSpaceDE w:val="0"/>
        <w:autoSpaceDN w:val="0"/>
        <w:adjustRightInd w:val="0"/>
        <w:ind w:left="709" w:hanging="349"/>
        <w:rPr>
          <w:rFonts w:ascii="Verdana" w:hAnsi="Verdana" w:cs="Arial"/>
          <w:iCs/>
          <w:color w:val="000000"/>
        </w:rPr>
      </w:pPr>
      <w:r w:rsidRPr="00B657EB">
        <w:rPr>
          <w:rFonts w:ascii="Verdana" w:hAnsi="Verdana" w:cs="Arial"/>
          <w:iCs/>
          <w:color w:val="000000"/>
        </w:rPr>
        <w:t xml:space="preserve">Investment II: </w:t>
      </w:r>
    </w:p>
    <w:p w:rsidR="00BC4FF4" w:rsidRPr="00045ED0" w:rsidRDefault="00BC4FF4" w:rsidP="00907ED4">
      <w:pPr>
        <w:autoSpaceDE w:val="0"/>
        <w:autoSpaceDN w:val="0"/>
        <w:adjustRightInd w:val="0"/>
        <w:rPr>
          <w:rFonts w:ascii="Verdana" w:hAnsi="Verdana" w:cs="Arial"/>
          <w:iCs/>
          <w:color w:val="000000"/>
        </w:rPr>
      </w:pPr>
    </w:p>
    <w:p w:rsidR="00BC4FF4" w:rsidRPr="00045ED0" w:rsidRDefault="00BC4FF4" w:rsidP="00907ED4">
      <w:pPr>
        <w:autoSpaceDE w:val="0"/>
        <w:autoSpaceDN w:val="0"/>
        <w:adjustRightInd w:val="0"/>
        <w:ind w:firstLine="708"/>
        <w:rPr>
          <w:rFonts w:ascii="Verdana" w:hAnsi="Verdana" w:cs="Arial"/>
          <w:iCs/>
          <w:color w:val="000000"/>
        </w:rPr>
      </w:pPr>
      <w:r w:rsidRPr="00045ED0">
        <w:rPr>
          <w:rFonts w:ascii="Verdana" w:hAnsi="Verdana" w:cs="Arial"/>
          <w:iCs/>
          <w:color w:val="000000"/>
        </w:rPr>
        <w:t xml:space="preserve">Direct investment in </w:t>
      </w:r>
      <w:r>
        <w:rPr>
          <w:rFonts w:ascii="Verdana" w:hAnsi="Verdana" w:cs="Arial"/>
          <w:iCs/>
          <w:color w:val="000000"/>
        </w:rPr>
        <w:t>I</w:t>
      </w:r>
      <w:r w:rsidRPr="00045ED0">
        <w:rPr>
          <w:rFonts w:ascii="Verdana" w:hAnsi="Verdana" w:cs="Arial"/>
          <w:iCs/>
          <w:color w:val="000000"/>
        </w:rPr>
        <w:t>nvestment I wit</w:t>
      </w:r>
      <w:r>
        <w:rPr>
          <w:rFonts w:ascii="Verdana" w:hAnsi="Verdana" w:cs="Arial"/>
          <w:iCs/>
          <w:color w:val="000000"/>
        </w:rPr>
        <w:t>h an additional (far out of the</w:t>
      </w:r>
      <w:r>
        <w:rPr>
          <w:rFonts w:ascii="Verdana" w:hAnsi="Verdana" w:cs="Arial"/>
          <w:iCs/>
          <w:color w:val="000000"/>
        </w:rPr>
        <w:br/>
        <w:t xml:space="preserve">  </w:t>
      </w:r>
      <w:r>
        <w:rPr>
          <w:rFonts w:ascii="Verdana" w:hAnsi="Verdana" w:cs="Arial"/>
          <w:iCs/>
          <w:color w:val="000000"/>
        </w:rPr>
        <w:tab/>
      </w:r>
      <w:r w:rsidRPr="00045ED0">
        <w:rPr>
          <w:rFonts w:ascii="Verdana" w:hAnsi="Verdana" w:cs="Arial"/>
          <w:iCs/>
          <w:color w:val="000000"/>
        </w:rPr>
        <w:t xml:space="preserve">money) guarantee of e.g. 50%, hence qualifying for Category III </w:t>
      </w:r>
    </w:p>
    <w:p w:rsidR="00BC4FF4" w:rsidRPr="00045ED0" w:rsidRDefault="00BC4FF4" w:rsidP="00907ED4">
      <w:pPr>
        <w:autoSpaceDE w:val="0"/>
        <w:autoSpaceDN w:val="0"/>
        <w:adjustRightInd w:val="0"/>
        <w:ind w:firstLine="708"/>
        <w:rPr>
          <w:rFonts w:ascii="Verdana" w:hAnsi="Verdana" w:cs="Arial"/>
          <w:iCs/>
          <w:color w:val="000000"/>
        </w:rPr>
      </w:pPr>
      <w:r>
        <w:rPr>
          <w:rFonts w:ascii="Verdana" w:hAnsi="Verdana" w:cs="Arial"/>
          <w:iCs/>
          <w:color w:val="000000"/>
        </w:rPr>
        <w:t xml:space="preserve">Then: </w:t>
      </w:r>
      <w:r w:rsidRPr="00045ED0">
        <w:rPr>
          <w:rFonts w:ascii="Verdana" w:hAnsi="Verdana" w:cs="Arial"/>
          <w:iCs/>
          <w:color w:val="000000"/>
        </w:rPr>
        <w:t xml:space="preserve">Bootstrap has to be applied. </w:t>
      </w:r>
    </w:p>
    <w:p w:rsidR="00BC4FF4" w:rsidRPr="00045ED0" w:rsidRDefault="00BC4FF4" w:rsidP="00907ED4">
      <w:pPr>
        <w:autoSpaceDE w:val="0"/>
        <w:autoSpaceDN w:val="0"/>
        <w:adjustRightInd w:val="0"/>
        <w:rPr>
          <w:rFonts w:ascii="Verdana" w:hAnsi="Verdana" w:cs="Arial"/>
          <w:iCs/>
          <w:color w:val="000000"/>
        </w:rPr>
      </w:pPr>
    </w:p>
    <w:p w:rsidR="00BC4FF4" w:rsidRDefault="00BC4FF4" w:rsidP="00907ED4">
      <w:pPr>
        <w:pStyle w:val="Default"/>
        <w:spacing w:after="120"/>
        <w:rPr>
          <w:rFonts w:ascii="Verdana" w:hAnsi="Verdana"/>
          <w:iCs/>
          <w:sz w:val="22"/>
          <w:szCs w:val="22"/>
          <w:lang w:val="en-GB"/>
        </w:rPr>
      </w:pPr>
      <w:r w:rsidRPr="00045ED0">
        <w:rPr>
          <w:rFonts w:ascii="Verdana" w:hAnsi="Verdana"/>
          <w:iCs/>
          <w:sz w:val="22"/>
          <w:szCs w:val="22"/>
          <w:lang w:val="en-GB"/>
        </w:rPr>
        <w:t>Although, both investment products might exhibit the very same risk exposure, they will be treated differently.</w:t>
      </w:r>
      <w:r>
        <w:rPr>
          <w:rFonts w:ascii="Verdana" w:hAnsi="Verdana"/>
          <w:iCs/>
          <w:sz w:val="22"/>
          <w:szCs w:val="22"/>
          <w:lang w:val="en-GB"/>
        </w:rPr>
        <w:t xml:space="preserve"> </w:t>
      </w:r>
      <w:r w:rsidRPr="00045ED0">
        <w:rPr>
          <w:rFonts w:ascii="Verdana" w:hAnsi="Verdana"/>
          <w:iCs/>
          <w:sz w:val="22"/>
          <w:szCs w:val="22"/>
          <w:lang w:val="en-GB"/>
        </w:rPr>
        <w:t xml:space="preserve">Therefore, </w:t>
      </w:r>
      <w:r>
        <w:rPr>
          <w:rFonts w:ascii="Verdana" w:hAnsi="Verdana"/>
          <w:iCs/>
          <w:sz w:val="22"/>
          <w:szCs w:val="22"/>
          <w:lang w:val="en-GB"/>
        </w:rPr>
        <w:t xml:space="preserve">the DAV strongly recommends to apply the same methodology to calculate </w:t>
      </w:r>
      <w:proofErr w:type="spellStart"/>
      <w:r>
        <w:rPr>
          <w:rFonts w:ascii="Verdana" w:hAnsi="Verdana"/>
          <w:iCs/>
          <w:sz w:val="22"/>
          <w:szCs w:val="22"/>
          <w:lang w:val="en-GB"/>
        </w:rPr>
        <w:t>VaR</w:t>
      </w:r>
      <w:proofErr w:type="spellEnd"/>
      <w:r>
        <w:rPr>
          <w:rFonts w:ascii="Verdana" w:hAnsi="Verdana"/>
          <w:iCs/>
          <w:sz w:val="22"/>
          <w:szCs w:val="22"/>
          <w:lang w:val="en-GB"/>
        </w:rPr>
        <w:t xml:space="preserve"> for all</w:t>
      </w:r>
      <w:r w:rsidRPr="00045ED0">
        <w:rPr>
          <w:rFonts w:ascii="Verdana" w:hAnsi="Verdana"/>
          <w:iCs/>
          <w:sz w:val="22"/>
          <w:szCs w:val="22"/>
          <w:lang w:val="en-GB"/>
        </w:rPr>
        <w:t xml:space="preserve"> PRIIPs considered. </w:t>
      </w:r>
    </w:p>
    <w:p w:rsidR="00750796" w:rsidRDefault="00BC4FF4" w:rsidP="00750796">
      <w:pPr>
        <w:rPr>
          <w:lang w:val="fr-FR"/>
        </w:rPr>
      </w:pPr>
      <w:r>
        <w:rPr>
          <w:rFonts w:ascii="Verdana" w:hAnsi="Verdana"/>
          <w:iCs/>
          <w:sz w:val="22"/>
          <w:szCs w:val="22"/>
        </w:rPr>
        <w:t>In our view</w:t>
      </w:r>
      <w:r w:rsidRPr="00045ED0">
        <w:rPr>
          <w:rFonts w:ascii="Verdana" w:hAnsi="Verdana"/>
          <w:iCs/>
          <w:sz w:val="22"/>
          <w:szCs w:val="22"/>
        </w:rPr>
        <w:t xml:space="preserve"> </w:t>
      </w:r>
      <w:r>
        <w:rPr>
          <w:rFonts w:ascii="Verdana" w:hAnsi="Verdana"/>
          <w:iCs/>
          <w:sz w:val="22"/>
          <w:szCs w:val="22"/>
        </w:rPr>
        <w:t xml:space="preserve">a simulation approach like Bootstrap would probably be more appropriate than applying the Cornish-Fisher method; still we recommend </w:t>
      </w:r>
      <w:r w:rsidRPr="00B657EB">
        <w:rPr>
          <w:rFonts w:ascii="Verdana" w:hAnsi="Verdana"/>
          <w:iCs/>
          <w:sz w:val="22"/>
          <w:szCs w:val="22"/>
        </w:rPr>
        <w:t xml:space="preserve">a forward-looking </w:t>
      </w:r>
      <w:r>
        <w:rPr>
          <w:rFonts w:ascii="Verdana" w:hAnsi="Verdana"/>
          <w:iCs/>
          <w:sz w:val="22"/>
          <w:szCs w:val="22"/>
        </w:rPr>
        <w:t>simulation</w:t>
      </w:r>
      <w:r w:rsidRPr="00B657EB">
        <w:rPr>
          <w:rFonts w:ascii="Verdana" w:hAnsi="Verdana"/>
          <w:iCs/>
          <w:sz w:val="22"/>
          <w:szCs w:val="22"/>
        </w:rPr>
        <w:t xml:space="preserve"> approach</w:t>
      </w:r>
      <w:r>
        <w:rPr>
          <w:rFonts w:ascii="Verdana" w:hAnsi="Verdana"/>
          <w:iCs/>
          <w:sz w:val="22"/>
          <w:szCs w:val="22"/>
        </w:rPr>
        <w:t xml:space="preserve"> instead</w:t>
      </w:r>
      <w:proofErr w:type="gramStart"/>
      <w:r w:rsidRPr="00B657EB">
        <w:rPr>
          <w:rFonts w:ascii="Verdana" w:hAnsi="Verdana"/>
          <w:iCs/>
          <w:sz w:val="22"/>
          <w:szCs w:val="22"/>
        </w:rPr>
        <w:t>.</w:t>
      </w:r>
      <w:permEnd w:id="1002840467"/>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BC4FF4" w:rsidRDefault="00BC4FF4" w:rsidP="00907ED4">
      <w:pPr>
        <w:autoSpaceDE w:val="0"/>
        <w:autoSpaceDN w:val="0"/>
        <w:adjustRightInd w:val="0"/>
        <w:spacing w:after="120"/>
        <w:rPr>
          <w:rFonts w:ascii="Verdana" w:hAnsi="Verdana" w:cs="Arial"/>
          <w:iCs/>
          <w:color w:val="000000"/>
        </w:rPr>
      </w:pPr>
      <w:permStart w:id="1369266090" w:edGrp="everyone"/>
      <w:r w:rsidRPr="00B657EB">
        <w:rPr>
          <w:rFonts w:ascii="Verdana" w:hAnsi="Verdana" w:cs="Arial"/>
          <w:iCs/>
          <w:color w:val="000000"/>
        </w:rPr>
        <w:t xml:space="preserve">The current approach of deriving the MRM relies on mapping some calculated </w:t>
      </w:r>
      <w:proofErr w:type="spellStart"/>
      <w:r>
        <w:rPr>
          <w:rFonts w:ascii="Verdana" w:hAnsi="Verdana" w:cs="Arial"/>
          <w:iCs/>
          <w:color w:val="000000"/>
        </w:rPr>
        <w:t>VaR</w:t>
      </w:r>
      <w:proofErr w:type="spellEnd"/>
      <w:r w:rsidRPr="00B657EB">
        <w:rPr>
          <w:rFonts w:ascii="Verdana" w:hAnsi="Verdana" w:cs="Arial"/>
          <w:iCs/>
          <w:color w:val="000000"/>
        </w:rPr>
        <w:t xml:space="preserve"> to an annual volatility. After the annual volatility has been derived the corresponding MRM is set by definition. Currently, the </w:t>
      </w:r>
      <w:proofErr w:type="spellStart"/>
      <w:r>
        <w:rPr>
          <w:rFonts w:ascii="Verdana" w:hAnsi="Verdana" w:cs="Arial"/>
          <w:iCs/>
          <w:color w:val="000000"/>
        </w:rPr>
        <w:t>VaR</w:t>
      </w:r>
      <w:proofErr w:type="spellEnd"/>
      <w:r w:rsidRPr="00B657EB">
        <w:rPr>
          <w:rFonts w:ascii="Verdana" w:hAnsi="Verdana" w:cs="Arial"/>
          <w:iCs/>
          <w:color w:val="000000"/>
        </w:rPr>
        <w:t xml:space="preserve"> is derived at a confidence level of 2.5%. </w:t>
      </w:r>
    </w:p>
    <w:p w:rsidR="00BC4FF4" w:rsidRDefault="00BC4FF4" w:rsidP="00907ED4">
      <w:pPr>
        <w:pStyle w:val="Default"/>
        <w:spacing w:after="120"/>
        <w:rPr>
          <w:rFonts w:ascii="Verdana" w:hAnsi="Verdana"/>
          <w:iCs/>
          <w:sz w:val="22"/>
          <w:szCs w:val="22"/>
          <w:lang w:val="en-GB"/>
        </w:rPr>
      </w:pPr>
      <w:proofErr w:type="spellStart"/>
      <w:r>
        <w:rPr>
          <w:rFonts w:ascii="Verdana" w:hAnsi="Verdana"/>
          <w:iCs/>
          <w:sz w:val="22"/>
          <w:szCs w:val="22"/>
          <w:lang w:val="en-GB"/>
        </w:rPr>
        <w:t>VaR</w:t>
      </w:r>
      <w:proofErr w:type="spellEnd"/>
      <w:r w:rsidRPr="00CD0EB8">
        <w:rPr>
          <w:rFonts w:ascii="Verdana" w:hAnsi="Verdana"/>
          <w:iCs/>
          <w:sz w:val="22"/>
          <w:szCs w:val="22"/>
          <w:lang w:val="en-GB"/>
        </w:rPr>
        <w:t xml:space="preserve"> is essentially a quantile of some probability (loss) distribution </w:t>
      </w:r>
      <w:r w:rsidRPr="00CD0EB8">
        <w:rPr>
          <w:rFonts w:ascii="Cambria Math" w:hAnsi="Cambria Math" w:cs="Cambria Math"/>
          <w:iCs/>
          <w:sz w:val="22"/>
          <w:szCs w:val="22"/>
          <w:lang w:val="en-GB"/>
        </w:rPr>
        <w:t>𝑋</w:t>
      </w:r>
      <w:r w:rsidRPr="00CD0EB8">
        <w:rPr>
          <w:rFonts w:ascii="Verdana" w:hAnsi="Verdana"/>
          <w:iCs/>
          <w:sz w:val="22"/>
          <w:szCs w:val="22"/>
          <w:lang w:val="en-GB"/>
        </w:rPr>
        <w:t xml:space="preserve">, i.e. </w:t>
      </w:r>
      <w:r w:rsidRPr="00CD0EB8">
        <w:rPr>
          <w:rFonts w:ascii="Cambria Math" w:hAnsi="Cambria Math" w:cs="Cambria Math"/>
          <w:iCs/>
          <w:sz w:val="22"/>
          <w:szCs w:val="22"/>
          <w:lang w:val="en-GB"/>
        </w:rPr>
        <w:t>𝑉</w:t>
      </w:r>
      <w:r w:rsidRPr="00CD0EB8">
        <w:rPr>
          <w:rFonts w:ascii="Cambria Math" w:hAnsi="Cambria Math" w:cs="Cambria Math"/>
          <w:iCs/>
          <w:sz w:val="22"/>
          <w:szCs w:val="22"/>
          <w:lang w:val="en-GB"/>
        </w:rPr>
        <w:t/>
      </w:r>
      <w:proofErr w:type="gramStart"/>
      <w:r w:rsidRPr="00CD0EB8">
        <w:rPr>
          <w:rFonts w:ascii="Cambria Math" w:hAnsi="Cambria Math" w:cs="Cambria Math"/>
          <w:iCs/>
          <w:sz w:val="22"/>
          <w:szCs w:val="22"/>
          <w:lang w:val="en-GB"/>
        </w:rPr>
        <w:t/>
      </w:r>
      <w:r w:rsidRPr="00CD0EB8">
        <w:rPr>
          <w:rFonts w:ascii="Verdana" w:hAnsi="Verdana"/>
          <w:iCs/>
          <w:sz w:val="22"/>
          <w:szCs w:val="22"/>
          <w:lang w:val="en-GB"/>
        </w:rPr>
        <w:t>(</w:t>
      </w:r>
      <w:proofErr w:type="gramEnd"/>
      <w:r w:rsidRPr="00CD0EB8">
        <w:rPr>
          <w:rFonts w:ascii="Cambria Math" w:hAnsi="Cambria Math" w:cs="Cambria Math"/>
          <w:iCs/>
          <w:sz w:val="22"/>
          <w:szCs w:val="22"/>
          <w:lang w:val="en-GB"/>
        </w:rPr>
        <w:t>𝑋</w:t>
      </w:r>
      <w:r w:rsidRPr="00CD0EB8">
        <w:rPr>
          <w:rFonts w:ascii="Verdana" w:hAnsi="Verdana"/>
          <w:iCs/>
          <w:sz w:val="22"/>
          <w:szCs w:val="22"/>
          <w:lang w:val="en-GB"/>
        </w:rPr>
        <w:t>)</w:t>
      </w:r>
      <w:r w:rsidRPr="00CD0EB8">
        <w:rPr>
          <w:rFonts w:ascii="Cambria Math" w:hAnsi="Cambria Math" w:cs="Cambria Math"/>
          <w:iCs/>
          <w:sz w:val="22"/>
          <w:szCs w:val="22"/>
          <w:lang w:val="en-GB"/>
        </w:rPr>
        <w:t>𝛼</w:t>
      </w:r>
      <w:r w:rsidRPr="00CD0EB8">
        <w:rPr>
          <w:rFonts w:ascii="Verdana" w:hAnsi="Verdana"/>
          <w:iCs/>
          <w:sz w:val="22"/>
          <w:szCs w:val="22"/>
          <w:lang w:val="en-GB"/>
        </w:rPr>
        <w:t xml:space="preserve"> is defined such that </w:t>
      </w:r>
      <w:r w:rsidRPr="00CD0EB8">
        <w:rPr>
          <w:rFonts w:ascii="Cambria Math" w:hAnsi="Cambria Math" w:cs="Cambria Math"/>
          <w:iCs/>
          <w:sz w:val="22"/>
          <w:szCs w:val="22"/>
          <w:lang w:val="en-GB"/>
        </w:rPr>
        <w:t>ℙ</w:t>
      </w:r>
      <w:r w:rsidRPr="00CD0EB8">
        <w:rPr>
          <w:rFonts w:ascii="Verdana" w:hAnsi="Verdana"/>
          <w:iCs/>
          <w:sz w:val="22"/>
          <w:szCs w:val="22"/>
          <w:lang w:val="en-GB"/>
        </w:rPr>
        <w:t>(</w:t>
      </w:r>
      <w:r w:rsidRPr="00CD0EB8">
        <w:rPr>
          <w:rFonts w:ascii="Cambria Math" w:hAnsi="Cambria Math" w:cs="Cambria Math"/>
          <w:iCs/>
          <w:sz w:val="22"/>
          <w:szCs w:val="22"/>
          <w:lang w:val="en-GB"/>
        </w:rPr>
        <w:t>𝑋</w:t>
      </w:r>
      <w:r w:rsidRPr="00CD0EB8">
        <w:rPr>
          <w:rFonts w:ascii="Verdana" w:hAnsi="Verdana"/>
          <w:iCs/>
          <w:sz w:val="22"/>
          <w:szCs w:val="22"/>
          <w:lang w:val="en-GB"/>
        </w:rPr>
        <w:t>≤</w:t>
      </w:r>
      <w:r w:rsidRPr="00CD0EB8">
        <w:rPr>
          <w:rFonts w:ascii="Cambria Math" w:hAnsi="Cambria Math" w:cs="Cambria Math"/>
          <w:iCs/>
          <w:sz w:val="22"/>
          <w:szCs w:val="22"/>
          <w:lang w:val="en-GB"/>
        </w:rPr>
        <w:t>𝑉𝑎𝑅</w:t>
      </w:r>
      <w:r w:rsidRPr="00CD0EB8">
        <w:rPr>
          <w:rFonts w:ascii="Verdana" w:hAnsi="Verdana"/>
          <w:iCs/>
          <w:sz w:val="22"/>
          <w:szCs w:val="22"/>
          <w:lang w:val="en-GB"/>
        </w:rPr>
        <w:t>(</w:t>
      </w:r>
      <w:r w:rsidRPr="00CD0EB8">
        <w:rPr>
          <w:rFonts w:ascii="Cambria Math" w:hAnsi="Cambria Math" w:cs="Cambria Math"/>
          <w:iCs/>
          <w:sz w:val="22"/>
          <w:szCs w:val="22"/>
          <w:lang w:val="en-GB"/>
        </w:rPr>
        <w:t>𝑋</w:t>
      </w:r>
      <w:r w:rsidRPr="00CD0EB8">
        <w:rPr>
          <w:rFonts w:ascii="Verdana" w:hAnsi="Verdana"/>
          <w:iCs/>
          <w:sz w:val="22"/>
          <w:szCs w:val="22"/>
          <w:lang w:val="en-GB"/>
        </w:rPr>
        <w:t>)</w:t>
      </w:r>
      <w:r w:rsidRPr="00CD0EB8">
        <w:rPr>
          <w:rFonts w:ascii="Cambria Math" w:hAnsi="Cambria Math" w:cs="Cambria Math"/>
          <w:iCs/>
          <w:sz w:val="22"/>
          <w:szCs w:val="22"/>
          <w:lang w:val="en-GB"/>
        </w:rPr>
        <w:t>𝛼</w:t>
      </w:r>
      <w:r w:rsidRPr="00CD0EB8">
        <w:rPr>
          <w:rFonts w:ascii="Verdana" w:hAnsi="Verdana"/>
          <w:iCs/>
          <w:sz w:val="22"/>
          <w:szCs w:val="22"/>
          <w:lang w:val="en-GB"/>
        </w:rPr>
        <w:t>)=</w:t>
      </w:r>
      <w:r w:rsidRPr="00CD0EB8">
        <w:rPr>
          <w:rFonts w:ascii="Cambria Math" w:hAnsi="Cambria Math" w:cs="Cambria Math"/>
          <w:iCs/>
          <w:sz w:val="22"/>
          <w:szCs w:val="22"/>
          <w:lang w:val="en-GB"/>
        </w:rPr>
        <w:t>𝛼</w:t>
      </w:r>
      <w:r w:rsidRPr="00CD0EB8">
        <w:rPr>
          <w:rFonts w:ascii="Verdana" w:hAnsi="Verdana"/>
          <w:iCs/>
          <w:sz w:val="22"/>
          <w:szCs w:val="22"/>
          <w:lang w:val="en-GB"/>
        </w:rPr>
        <w:t xml:space="preserve"> holds. Hence, it only tells us some point-estimate of the loss distribution and not which amount of loss might actually happen when some critical threshold has been breached. This criticism of </w:t>
      </w:r>
      <w:proofErr w:type="spellStart"/>
      <w:r w:rsidRPr="00CD0EB8">
        <w:rPr>
          <w:rFonts w:ascii="Verdana" w:hAnsi="Verdana"/>
          <w:iCs/>
          <w:sz w:val="22"/>
          <w:szCs w:val="22"/>
          <w:lang w:val="en-GB"/>
        </w:rPr>
        <w:t>VaR</w:t>
      </w:r>
      <w:proofErr w:type="spellEnd"/>
      <w:r w:rsidRPr="00CD0EB8">
        <w:rPr>
          <w:rFonts w:ascii="Verdana" w:hAnsi="Verdana"/>
          <w:iCs/>
          <w:sz w:val="22"/>
          <w:szCs w:val="22"/>
          <w:lang w:val="en-GB"/>
        </w:rPr>
        <w:t xml:space="preserve"> in correspondence with </w:t>
      </w:r>
      <w:r>
        <w:rPr>
          <w:rFonts w:ascii="Verdana" w:hAnsi="Verdana"/>
          <w:iCs/>
          <w:sz w:val="22"/>
          <w:szCs w:val="22"/>
          <w:lang w:val="en-GB"/>
        </w:rPr>
        <w:t xml:space="preserve">Basel II </w:t>
      </w:r>
      <w:r w:rsidRPr="00CD0EB8">
        <w:rPr>
          <w:rFonts w:ascii="Verdana" w:hAnsi="Verdana"/>
          <w:iCs/>
          <w:sz w:val="22"/>
          <w:szCs w:val="22"/>
          <w:lang w:val="en-GB"/>
        </w:rPr>
        <w:t>regulation has already been raised by academics</w:t>
      </w:r>
      <w:r>
        <w:rPr>
          <w:rStyle w:val="Funotenzeichen"/>
          <w:sz w:val="23"/>
          <w:szCs w:val="23"/>
          <w:lang w:val="en-US"/>
        </w:rPr>
        <w:footnoteReference w:id="2"/>
      </w:r>
      <w:r>
        <w:rPr>
          <w:rFonts w:ascii="Verdana" w:hAnsi="Verdana"/>
          <w:iCs/>
          <w:sz w:val="22"/>
          <w:szCs w:val="22"/>
          <w:lang w:val="en-GB"/>
        </w:rPr>
        <w:t>.</w:t>
      </w:r>
    </w:p>
    <w:p w:rsidR="00BC4FF4" w:rsidRPr="00CD0EB8" w:rsidRDefault="00BC4FF4" w:rsidP="00907ED4">
      <w:pPr>
        <w:autoSpaceDE w:val="0"/>
        <w:autoSpaceDN w:val="0"/>
        <w:adjustRightInd w:val="0"/>
        <w:spacing w:after="120"/>
        <w:rPr>
          <w:rFonts w:ascii="Verdana" w:hAnsi="Verdana" w:cs="Arial"/>
          <w:iCs/>
          <w:color w:val="000000"/>
        </w:rPr>
      </w:pPr>
      <w:r w:rsidRPr="00CD0EB8">
        <w:rPr>
          <w:rFonts w:ascii="Verdana" w:hAnsi="Verdana" w:cs="Arial"/>
          <w:iCs/>
          <w:color w:val="000000"/>
        </w:rPr>
        <w:t>Therefore, the actual confidence level chosen to derive the Value at Risk is very delicate: Increasing it too far (say e.g. 10%) does potentially not tell anything about risk, since with the 10%-quantile, one might not be positioned in the tail of the considered distribution. Decreasing it too far (say e.g. 0.1%) does potentially not tell anything about the risk tha</w:t>
      </w:r>
      <w:r>
        <w:rPr>
          <w:rFonts w:ascii="Verdana" w:hAnsi="Verdana" w:cs="Arial"/>
          <w:iCs/>
          <w:color w:val="000000"/>
        </w:rPr>
        <w:t>t “is to be expected” because a</w:t>
      </w:r>
      <w:r w:rsidRPr="00CD0EB8">
        <w:rPr>
          <w:rFonts w:ascii="Verdana" w:hAnsi="Verdana" w:cs="Arial"/>
          <w:iCs/>
          <w:color w:val="000000"/>
        </w:rPr>
        <w:t xml:space="preserve"> 0.1%-quantile might correspond to a (very) rare and extreme event. Therefore, </w:t>
      </w:r>
      <w:r>
        <w:rPr>
          <w:rFonts w:ascii="Verdana" w:hAnsi="Verdana" w:cs="Arial"/>
          <w:iCs/>
          <w:color w:val="000000"/>
        </w:rPr>
        <w:t>the question whether</w:t>
      </w:r>
      <w:r w:rsidRPr="00CD0EB8">
        <w:rPr>
          <w:rFonts w:ascii="Verdana" w:hAnsi="Verdana" w:cs="Arial"/>
          <w:iCs/>
          <w:color w:val="000000"/>
        </w:rPr>
        <w:t xml:space="preserve"> the currently proposed level of 2.5% is actually too far out or too far in the tail cannot be answered in general for each and every PRIIP. </w:t>
      </w:r>
      <w:r>
        <w:rPr>
          <w:rFonts w:ascii="Verdana" w:hAnsi="Verdana" w:cs="Arial"/>
          <w:iCs/>
          <w:color w:val="000000"/>
        </w:rPr>
        <w:t>In our view</w:t>
      </w:r>
      <w:r w:rsidRPr="00CD0EB8">
        <w:rPr>
          <w:rFonts w:ascii="Verdana" w:hAnsi="Verdana" w:cs="Arial"/>
          <w:iCs/>
          <w:color w:val="000000"/>
        </w:rPr>
        <w:t xml:space="preserve">, no clear indication of which quantile should be preferred over another is easily provided. </w:t>
      </w:r>
    </w:p>
    <w:p w:rsidR="00BC4FF4" w:rsidRPr="00CD0EB8" w:rsidRDefault="00BC4FF4" w:rsidP="00907ED4">
      <w:pPr>
        <w:autoSpaceDE w:val="0"/>
        <w:autoSpaceDN w:val="0"/>
        <w:adjustRightInd w:val="0"/>
        <w:spacing w:after="120"/>
        <w:rPr>
          <w:rFonts w:ascii="Verdana" w:hAnsi="Verdana" w:cs="Arial"/>
          <w:iCs/>
          <w:color w:val="000000"/>
        </w:rPr>
      </w:pPr>
      <w:r w:rsidRPr="00CD0EB8">
        <w:rPr>
          <w:rFonts w:ascii="Verdana" w:hAnsi="Verdana" w:cs="Arial"/>
          <w:iCs/>
          <w:color w:val="000000"/>
        </w:rPr>
        <w:t xml:space="preserve">Finally, following </w:t>
      </w:r>
      <w:proofErr w:type="spellStart"/>
      <w:r w:rsidRPr="00CD0EB8">
        <w:rPr>
          <w:rFonts w:ascii="Verdana" w:hAnsi="Verdana" w:cs="Arial"/>
          <w:iCs/>
          <w:color w:val="000000"/>
        </w:rPr>
        <w:t>Daníelsson</w:t>
      </w:r>
      <w:proofErr w:type="spellEnd"/>
      <w:r w:rsidRPr="00CD0EB8">
        <w:rPr>
          <w:rFonts w:ascii="Verdana" w:hAnsi="Verdana" w:cs="Arial"/>
          <w:iCs/>
          <w:color w:val="000000"/>
        </w:rPr>
        <w:t xml:space="preserve"> et al. (2001) one might be able to construct PRIIPS that reduce the </w:t>
      </w:r>
      <w:r w:rsidRPr="00CD0EB8">
        <w:rPr>
          <w:rFonts w:ascii="Cambria Math" w:hAnsi="Cambria Math" w:cs="Cambria Math"/>
          <w:iCs/>
          <w:color w:val="000000"/>
        </w:rPr>
        <w:t>𝑉</w:t>
      </w:r>
      <w:r w:rsidRPr="00CD0EB8">
        <w:rPr>
          <w:rFonts w:ascii="Cambria Math" w:hAnsi="Cambria Math" w:cs="Cambria Math"/>
          <w:iCs/>
          <w:color w:val="000000"/>
        </w:rPr>
        <w:t/>
      </w:r>
      <w:proofErr w:type="gramStart"/>
      <w:r w:rsidRPr="00CD0EB8">
        <w:rPr>
          <w:rFonts w:ascii="Cambria Math" w:hAnsi="Cambria Math" w:cs="Cambria Math"/>
          <w:iCs/>
          <w:color w:val="000000"/>
        </w:rPr>
        <w:t/>
      </w:r>
      <w:r w:rsidRPr="00CD0EB8">
        <w:rPr>
          <w:rFonts w:ascii="Verdana" w:hAnsi="Verdana" w:cs="Arial"/>
          <w:iCs/>
          <w:color w:val="000000"/>
        </w:rPr>
        <w:t>(</w:t>
      </w:r>
      <w:proofErr w:type="gramEnd"/>
      <w:r w:rsidRPr="00CD0EB8">
        <w:rPr>
          <w:rFonts w:ascii="Cambria Math" w:hAnsi="Cambria Math" w:cs="Cambria Math"/>
          <w:iCs/>
          <w:color w:val="000000"/>
        </w:rPr>
        <w:t>𝑋</w:t>
      </w:r>
      <w:r w:rsidRPr="00CD0EB8">
        <w:rPr>
          <w:rFonts w:ascii="Verdana" w:hAnsi="Verdana" w:cs="Arial"/>
          <w:iCs/>
          <w:color w:val="000000"/>
        </w:rPr>
        <w:t>)</w:t>
      </w:r>
      <w:r w:rsidRPr="00CD0EB8">
        <w:rPr>
          <w:rFonts w:ascii="Cambria Math" w:hAnsi="Cambria Math" w:cs="Cambria Math"/>
          <w:iCs/>
          <w:color w:val="000000"/>
        </w:rPr>
        <w:t>𝛼</w:t>
      </w:r>
      <w:r w:rsidRPr="00CD0EB8">
        <w:rPr>
          <w:rFonts w:ascii="Verdana" w:hAnsi="Verdana" w:cs="Arial"/>
          <w:iCs/>
          <w:color w:val="000000"/>
        </w:rPr>
        <w:t xml:space="preserve"> at the expense of shifting further risk into the tail below the </w:t>
      </w:r>
      <w:r w:rsidRPr="00CD0EB8">
        <w:rPr>
          <w:rFonts w:ascii="Cambria Math" w:hAnsi="Cambria Math" w:cs="Cambria Math"/>
          <w:iCs/>
          <w:color w:val="000000"/>
        </w:rPr>
        <w:t>𝑉𝑎𝑅</w:t>
      </w:r>
      <w:r w:rsidRPr="00CD0EB8">
        <w:rPr>
          <w:rFonts w:ascii="Verdana" w:hAnsi="Verdana" w:cs="Arial"/>
          <w:iCs/>
          <w:color w:val="000000"/>
        </w:rPr>
        <w:t>(</w:t>
      </w:r>
      <w:r w:rsidRPr="00CD0EB8">
        <w:rPr>
          <w:rFonts w:ascii="Cambria Math" w:hAnsi="Cambria Math" w:cs="Cambria Math"/>
          <w:iCs/>
          <w:color w:val="000000"/>
        </w:rPr>
        <w:t>𝑋</w:t>
      </w:r>
      <w:r w:rsidRPr="00CD0EB8">
        <w:rPr>
          <w:rFonts w:ascii="Verdana" w:hAnsi="Verdana" w:cs="Arial"/>
          <w:iCs/>
          <w:color w:val="000000"/>
        </w:rPr>
        <w:t>)</w:t>
      </w:r>
      <w:r w:rsidRPr="00CD0EB8">
        <w:rPr>
          <w:rFonts w:ascii="Cambria Math" w:hAnsi="Cambria Math" w:cs="Cambria Math"/>
          <w:iCs/>
          <w:color w:val="000000"/>
        </w:rPr>
        <w:t>𝛼</w:t>
      </w:r>
      <w:r w:rsidRPr="00CD0EB8">
        <w:rPr>
          <w:rFonts w:ascii="Verdana" w:hAnsi="Verdana" w:cs="Arial"/>
          <w:iCs/>
          <w:color w:val="000000"/>
        </w:rPr>
        <w:t xml:space="preserve">. Hence, leaving the PRIIP with a lower MRM, but having more risk in the tail which should not be intended by the regulation. </w:t>
      </w:r>
    </w:p>
    <w:p w:rsidR="00750796" w:rsidRDefault="00BC4FF4" w:rsidP="00750796">
      <w:r>
        <w:rPr>
          <w:rFonts w:ascii="Verdana" w:hAnsi="Verdana" w:cs="Arial"/>
          <w:iCs/>
          <w:color w:val="000000"/>
        </w:rPr>
        <w:t>In summary, a</w:t>
      </w:r>
      <w:r w:rsidRPr="00CD0EB8">
        <w:rPr>
          <w:rFonts w:ascii="Verdana" w:hAnsi="Verdana" w:cs="Arial"/>
          <w:iCs/>
          <w:color w:val="000000"/>
        </w:rPr>
        <w:t xml:space="preserve"> change </w:t>
      </w:r>
      <w:r>
        <w:rPr>
          <w:rFonts w:ascii="Verdana" w:hAnsi="Verdana" w:cs="Arial"/>
          <w:iCs/>
          <w:color w:val="000000"/>
        </w:rPr>
        <w:t xml:space="preserve">of </w:t>
      </w:r>
      <w:r w:rsidRPr="00CD0EB8">
        <w:rPr>
          <w:rFonts w:ascii="Verdana" w:hAnsi="Verdana" w:cs="Arial"/>
          <w:iCs/>
          <w:color w:val="000000"/>
        </w:rPr>
        <w:t>the risk measure</w:t>
      </w:r>
      <w:r>
        <w:rPr>
          <w:rFonts w:ascii="Verdana" w:hAnsi="Verdana" w:cs="Arial"/>
          <w:iCs/>
          <w:color w:val="000000"/>
        </w:rPr>
        <w:t xml:space="preserve"> would be appropriate</w:t>
      </w:r>
      <w:r w:rsidRPr="00CD0EB8">
        <w:rPr>
          <w:rFonts w:ascii="Verdana" w:hAnsi="Verdana" w:cs="Arial"/>
          <w:iCs/>
          <w:color w:val="000000"/>
        </w:rPr>
        <w:t xml:space="preserve">, such that not only </w:t>
      </w:r>
      <w:r>
        <w:rPr>
          <w:rFonts w:ascii="Verdana" w:hAnsi="Verdana" w:cs="Arial"/>
          <w:iCs/>
          <w:color w:val="000000"/>
        </w:rPr>
        <w:t>a</w:t>
      </w:r>
      <w:r w:rsidRPr="00CD0EB8">
        <w:rPr>
          <w:rFonts w:ascii="Verdana" w:hAnsi="Verdana" w:cs="Arial"/>
          <w:iCs/>
          <w:color w:val="000000"/>
        </w:rPr>
        <w:t xml:space="preserve"> point estimate of the</w:t>
      </w:r>
      <w:r>
        <w:rPr>
          <w:rFonts w:ascii="Verdana" w:hAnsi="Verdana" w:cs="Arial"/>
          <w:iCs/>
          <w:color w:val="000000"/>
        </w:rPr>
        <w:t xml:space="preserve"> loss distribution is considered</w:t>
      </w:r>
      <w:r w:rsidRPr="00CD0EB8">
        <w:rPr>
          <w:rFonts w:ascii="Verdana" w:hAnsi="Verdana" w:cs="Arial"/>
          <w:iCs/>
          <w:color w:val="000000"/>
        </w:rPr>
        <w:t xml:space="preserve">, but also the extent of risk that is to be expected when some critical threshold is breached. </w:t>
      </w:r>
      <w:r>
        <w:rPr>
          <w:rFonts w:ascii="Verdana" w:hAnsi="Verdana" w:cs="Arial"/>
          <w:iCs/>
          <w:color w:val="000000"/>
        </w:rPr>
        <w:t>This appears to be of far more importance than</w:t>
      </w:r>
      <w:r w:rsidRPr="00CD0EB8">
        <w:rPr>
          <w:rFonts w:ascii="Verdana" w:hAnsi="Verdana" w:cs="Arial"/>
          <w:iCs/>
          <w:color w:val="000000"/>
        </w:rPr>
        <w:t xml:space="preserve"> the actual choice of confidence level. </w:t>
      </w:r>
      <w:r>
        <w:rPr>
          <w:rFonts w:ascii="Verdana" w:hAnsi="Verdana" w:cs="Arial"/>
          <w:iCs/>
          <w:color w:val="000000"/>
        </w:rPr>
        <w:t>A possible risk measure would be the Conditional Tail V</w:t>
      </w:r>
      <w:r w:rsidRPr="00CD0EB8">
        <w:rPr>
          <w:rFonts w:ascii="Verdana" w:hAnsi="Verdana" w:cs="Arial"/>
          <w:iCs/>
          <w:color w:val="000000"/>
        </w:rPr>
        <w:t xml:space="preserve">alue at Risk, i.e. </w:t>
      </w:r>
      <w:r w:rsidRPr="00CD0EB8">
        <w:rPr>
          <w:rFonts w:ascii="Cambria Math" w:hAnsi="Cambria Math" w:cs="Cambria Math"/>
          <w:iCs/>
          <w:color w:val="000000"/>
        </w:rPr>
        <w:t>𝐶𝑉</w:t>
      </w:r>
      <w:r w:rsidRPr="00CD0EB8">
        <w:rPr>
          <w:rFonts w:ascii="Cambria Math" w:hAnsi="Cambria Math" w:cs="Cambria Math"/>
          <w:iCs/>
          <w:color w:val="000000"/>
        </w:rPr>
        <w:t/>
      </w:r>
      <w:proofErr w:type="gramStart"/>
      <w:r w:rsidRPr="00CD0EB8">
        <w:rPr>
          <w:rFonts w:ascii="Cambria Math" w:hAnsi="Cambria Math" w:cs="Cambria Math"/>
          <w:iCs/>
          <w:color w:val="000000"/>
        </w:rPr>
        <w:t/>
      </w:r>
      <w:r w:rsidRPr="00CD0EB8">
        <w:rPr>
          <w:rFonts w:ascii="Verdana" w:hAnsi="Verdana" w:cs="Arial"/>
          <w:iCs/>
          <w:color w:val="000000"/>
        </w:rPr>
        <w:t>(</w:t>
      </w:r>
      <w:proofErr w:type="gramEnd"/>
      <w:r w:rsidRPr="00CD0EB8">
        <w:rPr>
          <w:rFonts w:ascii="Cambria Math" w:hAnsi="Cambria Math" w:cs="Cambria Math"/>
          <w:iCs/>
          <w:color w:val="000000"/>
        </w:rPr>
        <w:t>𝑋</w:t>
      </w:r>
      <w:r w:rsidRPr="00CD0EB8">
        <w:rPr>
          <w:rFonts w:ascii="Verdana" w:hAnsi="Verdana" w:cs="Arial"/>
          <w:iCs/>
          <w:color w:val="000000"/>
        </w:rPr>
        <w:t>)</w:t>
      </w:r>
      <w:r w:rsidRPr="00CD0EB8">
        <w:rPr>
          <w:rFonts w:ascii="Cambria Math" w:hAnsi="Cambria Math" w:cs="Cambria Math"/>
          <w:iCs/>
          <w:color w:val="000000"/>
        </w:rPr>
        <w:t>𝛼</w:t>
      </w:r>
      <w:r w:rsidRPr="00CD0EB8">
        <w:rPr>
          <w:rFonts w:ascii="Verdana" w:hAnsi="Verdana" w:cs="Arial"/>
          <w:iCs/>
          <w:color w:val="000000"/>
        </w:rPr>
        <w:t>=</w:t>
      </w:r>
      <w:r w:rsidRPr="00CD0EB8">
        <w:rPr>
          <w:rFonts w:ascii="Cambria Math" w:hAnsi="Cambria Math" w:cs="Cambria Math"/>
          <w:iCs/>
          <w:color w:val="000000"/>
        </w:rPr>
        <w:t>𝔼ℙ</w:t>
      </w:r>
      <w:r w:rsidRPr="00CD0EB8">
        <w:rPr>
          <w:rFonts w:ascii="Verdana" w:hAnsi="Verdana" w:cs="Arial"/>
          <w:iCs/>
          <w:color w:val="000000"/>
        </w:rPr>
        <w:t>[</w:t>
      </w:r>
      <w:r w:rsidRPr="00CD0EB8">
        <w:rPr>
          <w:rFonts w:ascii="Cambria Math" w:hAnsi="Cambria Math" w:cs="Cambria Math"/>
          <w:iCs/>
          <w:color w:val="000000"/>
        </w:rPr>
        <w:t>𝑋</w:t>
      </w:r>
      <w:r w:rsidRPr="00CD0EB8">
        <w:rPr>
          <w:rFonts w:ascii="Verdana" w:hAnsi="Verdana" w:cs="Arial"/>
          <w:iCs/>
          <w:color w:val="000000"/>
        </w:rPr>
        <w:t>|</w:t>
      </w:r>
      <w:r w:rsidRPr="00CD0EB8">
        <w:rPr>
          <w:rFonts w:ascii="Cambria Math" w:hAnsi="Cambria Math" w:cs="Cambria Math"/>
          <w:iCs/>
          <w:color w:val="000000"/>
        </w:rPr>
        <w:t>𝑋</w:t>
      </w:r>
      <w:r w:rsidRPr="00CD0EB8">
        <w:rPr>
          <w:rFonts w:ascii="Verdana" w:hAnsi="Verdana" w:cs="Arial"/>
          <w:iCs/>
          <w:color w:val="000000"/>
        </w:rPr>
        <w:t>≤</w:t>
      </w:r>
      <w:r w:rsidRPr="00CD0EB8">
        <w:rPr>
          <w:rFonts w:ascii="Cambria Math" w:hAnsi="Cambria Math" w:cs="Cambria Math"/>
          <w:iCs/>
          <w:color w:val="000000"/>
        </w:rPr>
        <w:t>𝑉𝑎𝑅</w:t>
      </w:r>
      <w:r w:rsidRPr="00CD0EB8">
        <w:rPr>
          <w:rFonts w:ascii="Verdana" w:hAnsi="Verdana" w:cs="Arial"/>
          <w:iCs/>
          <w:color w:val="000000"/>
        </w:rPr>
        <w:t>(</w:t>
      </w:r>
      <w:r w:rsidRPr="00CD0EB8">
        <w:rPr>
          <w:rFonts w:ascii="Cambria Math" w:hAnsi="Cambria Math" w:cs="Cambria Math"/>
          <w:iCs/>
          <w:color w:val="000000"/>
        </w:rPr>
        <w:t>𝑋</w:t>
      </w:r>
      <w:r w:rsidRPr="00CD0EB8">
        <w:rPr>
          <w:rFonts w:ascii="Verdana" w:hAnsi="Verdana" w:cs="Arial"/>
          <w:iCs/>
          <w:color w:val="000000"/>
        </w:rPr>
        <w:t>)</w:t>
      </w:r>
      <w:r w:rsidRPr="00CD0EB8">
        <w:rPr>
          <w:rFonts w:ascii="Cambria Math" w:hAnsi="Cambria Math" w:cs="Cambria Math"/>
          <w:iCs/>
          <w:color w:val="000000"/>
        </w:rPr>
        <w:t>𝛼</w:t>
      </w:r>
      <w:r w:rsidRPr="00CD0EB8">
        <w:rPr>
          <w:rFonts w:ascii="Verdana" w:hAnsi="Verdana" w:cs="Arial"/>
          <w:iCs/>
          <w:color w:val="000000"/>
        </w:rPr>
        <w:t>].</w:t>
      </w:r>
      <w:permEnd w:id="1369266090"/>
      <w:r w:rsidR="00750796">
        <w:t>&lt;ESMA_QUESTION_</w:t>
      </w:r>
      <w:r w:rsidR="003E4B00">
        <w:t>PRIIPS</w:t>
      </w:r>
      <w:r w:rsidR="00750796">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BC4FF4" w:rsidRDefault="00BC4FF4" w:rsidP="00907ED4">
      <w:pPr>
        <w:pStyle w:val="Default"/>
        <w:spacing w:after="120"/>
        <w:rPr>
          <w:rFonts w:ascii="Verdana" w:hAnsi="Verdana"/>
          <w:iCs/>
          <w:sz w:val="22"/>
          <w:szCs w:val="22"/>
          <w:lang w:val="en-GB"/>
        </w:rPr>
      </w:pPr>
      <w:permStart w:id="843590219" w:edGrp="everyone"/>
      <w:r>
        <w:rPr>
          <w:rFonts w:ascii="Verdana" w:hAnsi="Verdana"/>
          <w:iCs/>
          <w:sz w:val="22"/>
          <w:szCs w:val="22"/>
          <w:lang w:val="en-GB"/>
        </w:rPr>
        <w:t>For DAV it is key that</w:t>
      </w:r>
      <w:r w:rsidRPr="00401A6D">
        <w:rPr>
          <w:rFonts w:ascii="Verdana" w:hAnsi="Verdana"/>
          <w:iCs/>
          <w:sz w:val="22"/>
          <w:szCs w:val="22"/>
          <w:lang w:val="en-GB"/>
        </w:rPr>
        <w:t xml:space="preserve"> </w:t>
      </w:r>
      <w:r>
        <w:rPr>
          <w:rFonts w:ascii="Verdana" w:hAnsi="Verdana"/>
          <w:iCs/>
          <w:sz w:val="22"/>
          <w:szCs w:val="22"/>
          <w:lang w:val="en-GB"/>
        </w:rPr>
        <w:t>all</w:t>
      </w:r>
      <w:r w:rsidRPr="00401A6D">
        <w:rPr>
          <w:rFonts w:ascii="Verdana" w:hAnsi="Verdana"/>
          <w:iCs/>
          <w:sz w:val="22"/>
          <w:szCs w:val="22"/>
          <w:lang w:val="en-GB"/>
        </w:rPr>
        <w:t xml:space="preserve"> guarantee schemes </w:t>
      </w:r>
      <w:r>
        <w:rPr>
          <w:rFonts w:ascii="Verdana" w:hAnsi="Verdana"/>
          <w:iCs/>
          <w:sz w:val="22"/>
          <w:szCs w:val="22"/>
          <w:lang w:val="en-GB"/>
        </w:rPr>
        <w:t xml:space="preserve">are taken into account in the credit risk assessment as risk mitigation factors. </w:t>
      </w:r>
      <w:r w:rsidRPr="00257D54">
        <w:rPr>
          <w:rFonts w:ascii="Verdana" w:hAnsi="Verdana"/>
          <w:iCs/>
          <w:sz w:val="22"/>
          <w:szCs w:val="22"/>
          <w:lang w:val="en-GB"/>
        </w:rPr>
        <w:t xml:space="preserve"> </w:t>
      </w:r>
    </w:p>
    <w:p w:rsidR="00BC4FF4" w:rsidRDefault="00BC4FF4" w:rsidP="00907ED4">
      <w:pPr>
        <w:pStyle w:val="Default"/>
        <w:spacing w:after="120"/>
        <w:rPr>
          <w:rFonts w:ascii="Verdana" w:hAnsi="Verdana"/>
          <w:iCs/>
          <w:sz w:val="22"/>
          <w:szCs w:val="22"/>
          <w:lang w:val="en-GB"/>
        </w:rPr>
      </w:pPr>
      <w:r>
        <w:rPr>
          <w:rFonts w:ascii="Verdana" w:hAnsi="Verdana"/>
          <w:iCs/>
          <w:sz w:val="22"/>
          <w:szCs w:val="22"/>
          <w:lang w:val="en-GB"/>
        </w:rPr>
        <w:t xml:space="preserve">For life insurance products in Germany there are three levels of “guarantees” which ensure consumer protection: </w:t>
      </w:r>
    </w:p>
    <w:p w:rsidR="00BC4FF4" w:rsidRPr="00842512" w:rsidRDefault="00BC4FF4" w:rsidP="00BC4FF4">
      <w:pPr>
        <w:pStyle w:val="Default"/>
        <w:numPr>
          <w:ilvl w:val="0"/>
          <w:numId w:val="41"/>
        </w:numPr>
        <w:spacing w:after="120"/>
        <w:rPr>
          <w:rFonts w:ascii="Verdana" w:hAnsi="Verdana"/>
          <w:iCs/>
          <w:sz w:val="22"/>
          <w:szCs w:val="22"/>
          <w:lang w:val="en-GB"/>
        </w:rPr>
      </w:pPr>
      <w:r>
        <w:rPr>
          <w:rFonts w:ascii="Verdana" w:hAnsi="Verdana"/>
          <w:iCs/>
          <w:sz w:val="22"/>
          <w:szCs w:val="22"/>
          <w:lang w:val="en-GB"/>
        </w:rPr>
        <w:t>P</w:t>
      </w:r>
      <w:r w:rsidRPr="00842512">
        <w:rPr>
          <w:rFonts w:ascii="Verdana" w:hAnsi="Verdana"/>
          <w:iCs/>
          <w:sz w:val="22"/>
          <w:szCs w:val="22"/>
          <w:lang w:val="en-GB"/>
        </w:rPr>
        <w:t>roduct level: Premiums in life insurance are calculated on the basis of reasonable actuarial assumptions and sufficient to enable the insurance undertaking to meet all its liabilities, and in particular, to establish adequate premium reserves for the individual contracts.</w:t>
      </w:r>
    </w:p>
    <w:p w:rsidR="00BC4FF4" w:rsidRPr="00842512" w:rsidRDefault="00BC4FF4" w:rsidP="00BC4FF4">
      <w:pPr>
        <w:pStyle w:val="Default"/>
        <w:numPr>
          <w:ilvl w:val="0"/>
          <w:numId w:val="41"/>
        </w:numPr>
        <w:spacing w:after="120"/>
        <w:rPr>
          <w:rFonts w:ascii="Verdana" w:hAnsi="Verdana"/>
          <w:iCs/>
          <w:sz w:val="22"/>
          <w:szCs w:val="22"/>
          <w:lang w:val="en-GB"/>
        </w:rPr>
      </w:pPr>
      <w:r w:rsidRPr="00842512">
        <w:rPr>
          <w:rFonts w:ascii="Verdana" w:hAnsi="Verdana"/>
          <w:iCs/>
          <w:sz w:val="22"/>
          <w:szCs w:val="22"/>
          <w:lang w:val="en-GB"/>
        </w:rPr>
        <w:t>Enterprise level: Solvency II sets the solvency capital requirements each enterprise has to fulfil according to its individual risk portfolio.</w:t>
      </w:r>
      <w:r>
        <w:rPr>
          <w:rFonts w:ascii="Verdana" w:hAnsi="Verdana"/>
          <w:iCs/>
          <w:sz w:val="22"/>
          <w:szCs w:val="22"/>
          <w:lang w:val="en-GB"/>
        </w:rPr>
        <w:t xml:space="preserve"> The </w:t>
      </w:r>
      <w:r w:rsidRPr="00CF051E">
        <w:rPr>
          <w:rFonts w:ascii="Verdana" w:hAnsi="Verdana"/>
          <w:iCs/>
          <w:sz w:val="22"/>
          <w:szCs w:val="22"/>
          <w:lang w:val="en-GB"/>
        </w:rPr>
        <w:t>insurance claims take precedence over other claims against the insurance undertaking (Solvency II, Article 275(1)(a))</w:t>
      </w:r>
    </w:p>
    <w:p w:rsidR="00BC4FF4" w:rsidRDefault="00BC4FF4" w:rsidP="00BC4FF4">
      <w:pPr>
        <w:pStyle w:val="Default"/>
        <w:numPr>
          <w:ilvl w:val="0"/>
          <w:numId w:val="41"/>
        </w:numPr>
        <w:spacing w:after="120"/>
        <w:rPr>
          <w:rFonts w:ascii="Verdana" w:hAnsi="Verdana"/>
          <w:iCs/>
          <w:sz w:val="22"/>
          <w:szCs w:val="22"/>
          <w:lang w:val="en-GB"/>
        </w:rPr>
      </w:pPr>
      <w:r>
        <w:rPr>
          <w:rFonts w:ascii="Verdana" w:hAnsi="Verdana"/>
          <w:iCs/>
          <w:sz w:val="22"/>
          <w:szCs w:val="22"/>
          <w:lang w:val="en-GB"/>
        </w:rPr>
        <w:t>I</w:t>
      </w:r>
      <w:r w:rsidRPr="00842512">
        <w:rPr>
          <w:rFonts w:ascii="Verdana" w:hAnsi="Verdana"/>
          <w:iCs/>
          <w:sz w:val="22"/>
          <w:szCs w:val="22"/>
          <w:lang w:val="en-GB"/>
        </w:rPr>
        <w:t xml:space="preserve">nsurance industry level: </w:t>
      </w:r>
      <w:r>
        <w:rPr>
          <w:rFonts w:ascii="Verdana" w:hAnsi="Verdana"/>
          <w:iCs/>
          <w:sz w:val="22"/>
          <w:szCs w:val="22"/>
          <w:lang w:val="en-GB"/>
        </w:rPr>
        <w:t>Furthermore, in Germany an i</w:t>
      </w:r>
      <w:r w:rsidRPr="00CF051E">
        <w:rPr>
          <w:rFonts w:ascii="Verdana" w:hAnsi="Verdana"/>
          <w:iCs/>
          <w:sz w:val="22"/>
          <w:szCs w:val="22"/>
          <w:lang w:val="en-GB"/>
        </w:rPr>
        <w:t>nsurance guarantee scheme</w:t>
      </w:r>
      <w:r>
        <w:rPr>
          <w:rFonts w:ascii="Verdana" w:hAnsi="Verdana"/>
          <w:iCs/>
          <w:sz w:val="22"/>
          <w:szCs w:val="22"/>
          <w:lang w:val="en-GB"/>
        </w:rPr>
        <w:t xml:space="preserve"> called “</w:t>
      </w:r>
      <w:proofErr w:type="spellStart"/>
      <w:r>
        <w:rPr>
          <w:rFonts w:ascii="Verdana" w:hAnsi="Verdana"/>
          <w:iCs/>
          <w:sz w:val="22"/>
          <w:szCs w:val="22"/>
          <w:lang w:val="en-GB"/>
        </w:rPr>
        <w:t>Protektor</w:t>
      </w:r>
      <w:proofErr w:type="spellEnd"/>
      <w:r>
        <w:rPr>
          <w:rFonts w:ascii="Verdana" w:hAnsi="Verdana"/>
          <w:iCs/>
          <w:sz w:val="22"/>
          <w:szCs w:val="22"/>
          <w:lang w:val="en-GB"/>
        </w:rPr>
        <w:t xml:space="preserve">” ensures that consumers are compensated for possible losses should levels 1 and 2 fail. </w:t>
      </w:r>
    </w:p>
    <w:p w:rsidR="00BC4FF4" w:rsidRDefault="00BC4FF4" w:rsidP="00907ED4">
      <w:pPr>
        <w:pStyle w:val="Default"/>
        <w:spacing w:after="120"/>
        <w:rPr>
          <w:rFonts w:ascii="Verdana" w:hAnsi="Verdana"/>
          <w:iCs/>
          <w:sz w:val="22"/>
          <w:szCs w:val="22"/>
          <w:lang w:val="en-GB"/>
        </w:rPr>
      </w:pPr>
      <w:r>
        <w:rPr>
          <w:rFonts w:ascii="Verdana" w:hAnsi="Verdana"/>
          <w:iCs/>
          <w:sz w:val="22"/>
          <w:szCs w:val="22"/>
          <w:lang w:val="en-GB"/>
        </w:rPr>
        <w:t>So, if a PRIIPs manufacturer is secured by a protection scheme which</w:t>
      </w:r>
      <w:r w:rsidRPr="00842512">
        <w:rPr>
          <w:rFonts w:ascii="Verdana" w:hAnsi="Verdana"/>
          <w:iCs/>
          <w:sz w:val="22"/>
          <w:szCs w:val="22"/>
          <w:lang w:val="en-GB"/>
        </w:rPr>
        <w:t xml:space="preserve"> covers the possible loss of a client in case of default </w:t>
      </w:r>
      <w:r>
        <w:rPr>
          <w:rFonts w:ascii="Verdana" w:hAnsi="Verdana"/>
          <w:iCs/>
          <w:sz w:val="22"/>
          <w:szCs w:val="22"/>
          <w:lang w:val="en-GB"/>
        </w:rPr>
        <w:t>this should lead to a classification of the PRIIP as CR1.</w:t>
      </w:r>
    </w:p>
    <w:p w:rsidR="00750796" w:rsidRPr="00580880" w:rsidRDefault="00BC4FF4" w:rsidP="00750796">
      <w:pPr>
        <w:rPr>
          <w:lang w:val="fr-FR"/>
        </w:rPr>
      </w:pPr>
      <w:r>
        <w:rPr>
          <w:rFonts w:ascii="Verdana" w:hAnsi="Verdana"/>
          <w:iCs/>
          <w:sz w:val="22"/>
          <w:szCs w:val="22"/>
        </w:rPr>
        <w:t>Moreover, the client should be informed not only about the</w:t>
      </w:r>
      <w:r w:rsidRPr="00401A6D">
        <w:rPr>
          <w:rFonts w:ascii="Verdana" w:hAnsi="Verdana"/>
          <w:iCs/>
          <w:sz w:val="22"/>
          <w:szCs w:val="22"/>
        </w:rPr>
        <w:t xml:space="preserve"> guarantee but</w:t>
      </w:r>
      <w:r>
        <w:rPr>
          <w:rFonts w:ascii="Verdana" w:hAnsi="Verdana"/>
          <w:iCs/>
          <w:sz w:val="22"/>
          <w:szCs w:val="22"/>
        </w:rPr>
        <w:t xml:space="preserve"> also and in particular about</w:t>
      </w:r>
      <w:r w:rsidRPr="00401A6D">
        <w:rPr>
          <w:rFonts w:ascii="Verdana" w:hAnsi="Verdana"/>
          <w:iCs/>
          <w:sz w:val="22"/>
          <w:szCs w:val="22"/>
        </w:rPr>
        <w:t xml:space="preserve"> </w:t>
      </w:r>
      <w:r>
        <w:rPr>
          <w:rFonts w:ascii="Verdana" w:hAnsi="Verdana"/>
          <w:iCs/>
          <w:sz w:val="22"/>
          <w:szCs w:val="22"/>
        </w:rPr>
        <w:t>the various protections schemes</w:t>
      </w:r>
      <w:proofErr w:type="gramStart"/>
      <w:r>
        <w:rPr>
          <w:rFonts w:ascii="Verdana" w:hAnsi="Verdana"/>
          <w:iCs/>
          <w:sz w:val="22"/>
          <w:szCs w:val="22"/>
        </w:rPr>
        <w:t>.</w:t>
      </w:r>
      <w:permEnd w:id="843590219"/>
      <w:r w:rsidR="00750796" w:rsidRPr="00580880">
        <w:rPr>
          <w:lang w:val="fr-FR"/>
        </w:rPr>
        <w:t>&lt;</w:t>
      </w:r>
      <w:proofErr w:type="gramEnd"/>
      <w:r w:rsidR="00750796" w:rsidRPr="00580880">
        <w:rPr>
          <w:lang w:val="fr-FR"/>
        </w:rPr>
        <w:t>ESMA_QUESTION_</w:t>
      </w:r>
      <w:r w:rsidR="003E4B00">
        <w:rPr>
          <w:lang w:val="fr-FR"/>
        </w:rPr>
        <w:t>PRIIPS</w:t>
      </w:r>
      <w:r w:rsidR="00750796"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31204934" w:edGrp="everyone"/>
      <w:r>
        <w:t>TYPE YOUR TEXT HERE</w:t>
      </w:r>
    </w:p>
    <w:permEnd w:id="31204934"/>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BC4FF4" w:rsidRDefault="00BC4FF4" w:rsidP="00907ED4">
      <w:pPr>
        <w:pStyle w:val="Default"/>
        <w:spacing w:after="120"/>
        <w:rPr>
          <w:rFonts w:ascii="Verdana" w:hAnsi="Verdana"/>
          <w:iCs/>
          <w:sz w:val="22"/>
          <w:szCs w:val="22"/>
          <w:lang w:val="en-GB"/>
        </w:rPr>
      </w:pPr>
      <w:permStart w:id="1628703970" w:edGrp="everyone"/>
      <w:r>
        <w:rPr>
          <w:rFonts w:ascii="Verdana" w:hAnsi="Verdana"/>
          <w:iCs/>
          <w:sz w:val="22"/>
          <w:szCs w:val="22"/>
          <w:lang w:val="en-GB"/>
        </w:rPr>
        <w:t>For DAV it is key that</w:t>
      </w:r>
      <w:r w:rsidRPr="00401A6D">
        <w:rPr>
          <w:rFonts w:ascii="Verdana" w:hAnsi="Verdana"/>
          <w:iCs/>
          <w:sz w:val="22"/>
          <w:szCs w:val="22"/>
          <w:lang w:val="en-GB"/>
        </w:rPr>
        <w:t xml:space="preserve"> </w:t>
      </w:r>
      <w:r>
        <w:rPr>
          <w:rFonts w:ascii="Verdana" w:hAnsi="Verdana"/>
          <w:iCs/>
          <w:sz w:val="22"/>
          <w:szCs w:val="22"/>
          <w:lang w:val="en-GB"/>
        </w:rPr>
        <w:t>all</w:t>
      </w:r>
      <w:r w:rsidRPr="00401A6D">
        <w:rPr>
          <w:rFonts w:ascii="Verdana" w:hAnsi="Verdana"/>
          <w:iCs/>
          <w:sz w:val="22"/>
          <w:szCs w:val="22"/>
          <w:lang w:val="en-GB"/>
        </w:rPr>
        <w:t xml:space="preserve"> guarantee schemes </w:t>
      </w:r>
      <w:r>
        <w:rPr>
          <w:rFonts w:ascii="Verdana" w:hAnsi="Verdana"/>
          <w:iCs/>
          <w:sz w:val="22"/>
          <w:szCs w:val="22"/>
          <w:lang w:val="en-GB"/>
        </w:rPr>
        <w:t xml:space="preserve">are taken into account in the credit risk assessment as risk mitigation factors. </w:t>
      </w:r>
      <w:r w:rsidRPr="00257D54">
        <w:rPr>
          <w:rFonts w:ascii="Verdana" w:hAnsi="Verdana"/>
          <w:iCs/>
          <w:sz w:val="22"/>
          <w:szCs w:val="22"/>
          <w:lang w:val="en-GB"/>
        </w:rPr>
        <w:t xml:space="preserve"> </w:t>
      </w:r>
    </w:p>
    <w:p w:rsidR="00BC4FF4" w:rsidRDefault="00BC4FF4" w:rsidP="00907ED4">
      <w:pPr>
        <w:pStyle w:val="Default"/>
        <w:spacing w:after="120"/>
        <w:rPr>
          <w:rFonts w:ascii="Verdana" w:hAnsi="Verdana"/>
          <w:iCs/>
          <w:sz w:val="22"/>
          <w:szCs w:val="22"/>
          <w:lang w:val="en-GB"/>
        </w:rPr>
      </w:pPr>
      <w:r>
        <w:rPr>
          <w:rFonts w:ascii="Verdana" w:hAnsi="Verdana"/>
          <w:iCs/>
          <w:sz w:val="22"/>
          <w:szCs w:val="22"/>
          <w:lang w:val="en-GB"/>
        </w:rPr>
        <w:t xml:space="preserve">For life insurance products in Germany there are three levels of “guarantees” which ensure consumer protection: </w:t>
      </w:r>
    </w:p>
    <w:p w:rsidR="00BC4FF4" w:rsidRPr="00842512" w:rsidRDefault="00BC4FF4" w:rsidP="00BC4FF4">
      <w:pPr>
        <w:pStyle w:val="Default"/>
        <w:numPr>
          <w:ilvl w:val="0"/>
          <w:numId w:val="42"/>
        </w:numPr>
        <w:spacing w:after="120"/>
        <w:rPr>
          <w:rFonts w:ascii="Verdana" w:hAnsi="Verdana"/>
          <w:iCs/>
          <w:sz w:val="22"/>
          <w:szCs w:val="22"/>
          <w:lang w:val="en-GB"/>
        </w:rPr>
      </w:pPr>
      <w:r>
        <w:rPr>
          <w:rFonts w:ascii="Verdana" w:hAnsi="Verdana"/>
          <w:iCs/>
          <w:sz w:val="22"/>
          <w:szCs w:val="22"/>
          <w:lang w:val="en-GB"/>
        </w:rPr>
        <w:t>P</w:t>
      </w:r>
      <w:r w:rsidRPr="00842512">
        <w:rPr>
          <w:rFonts w:ascii="Verdana" w:hAnsi="Verdana"/>
          <w:iCs/>
          <w:sz w:val="22"/>
          <w:szCs w:val="22"/>
          <w:lang w:val="en-GB"/>
        </w:rPr>
        <w:t>roduct level: Premiums in life insurance are calculated on the basis of reasonable actuarial assumptions and sufficient to enable the insurance undertaking to meet all its liabilities, and in particular, to establish adequate premium reserves for the individual contracts.</w:t>
      </w:r>
    </w:p>
    <w:p w:rsidR="00BC4FF4" w:rsidRPr="00842512" w:rsidRDefault="00BC4FF4" w:rsidP="00BC4FF4">
      <w:pPr>
        <w:pStyle w:val="Default"/>
        <w:numPr>
          <w:ilvl w:val="0"/>
          <w:numId w:val="42"/>
        </w:numPr>
        <w:spacing w:after="120"/>
        <w:rPr>
          <w:rFonts w:ascii="Verdana" w:hAnsi="Verdana"/>
          <w:iCs/>
          <w:sz w:val="22"/>
          <w:szCs w:val="22"/>
          <w:lang w:val="en-GB"/>
        </w:rPr>
      </w:pPr>
      <w:r w:rsidRPr="00842512">
        <w:rPr>
          <w:rFonts w:ascii="Verdana" w:hAnsi="Verdana"/>
          <w:iCs/>
          <w:sz w:val="22"/>
          <w:szCs w:val="22"/>
          <w:lang w:val="en-GB"/>
        </w:rPr>
        <w:t>Enterprise level: Solvency II sets the solvency capital requirements each enterprise has to fulfil according to its individual risk portfolio.</w:t>
      </w:r>
      <w:r w:rsidRPr="00582ED9">
        <w:rPr>
          <w:rFonts w:ascii="Verdana" w:hAnsi="Verdana"/>
          <w:iCs/>
          <w:sz w:val="22"/>
          <w:szCs w:val="22"/>
          <w:lang w:val="en-GB"/>
        </w:rPr>
        <w:t xml:space="preserve"> </w:t>
      </w:r>
      <w:r>
        <w:rPr>
          <w:rFonts w:ascii="Verdana" w:hAnsi="Verdana"/>
          <w:iCs/>
          <w:sz w:val="22"/>
          <w:szCs w:val="22"/>
          <w:lang w:val="en-GB"/>
        </w:rPr>
        <w:t xml:space="preserve">The </w:t>
      </w:r>
      <w:r w:rsidRPr="00CF051E">
        <w:rPr>
          <w:rFonts w:ascii="Verdana" w:hAnsi="Verdana"/>
          <w:iCs/>
          <w:sz w:val="22"/>
          <w:szCs w:val="22"/>
          <w:lang w:val="en-GB"/>
        </w:rPr>
        <w:t>insurance claims take precedence over other claims against the insurance undertaking (Solvency II, Article 275(1</w:t>
      </w:r>
      <w:proofErr w:type="gramStart"/>
      <w:r>
        <w:rPr>
          <w:rFonts w:ascii="Verdana" w:hAnsi="Verdana"/>
          <w:iCs/>
          <w:sz w:val="22"/>
          <w:szCs w:val="22"/>
          <w:lang w:val="en-GB"/>
        </w:rPr>
        <w:t>)</w:t>
      </w:r>
      <w:r w:rsidRPr="00CF051E">
        <w:rPr>
          <w:rFonts w:ascii="Verdana" w:hAnsi="Verdana"/>
          <w:iCs/>
          <w:sz w:val="22"/>
          <w:szCs w:val="22"/>
          <w:lang w:val="en-GB"/>
        </w:rPr>
        <w:t>(</w:t>
      </w:r>
      <w:proofErr w:type="gramEnd"/>
      <w:r w:rsidRPr="00CF051E">
        <w:rPr>
          <w:rFonts w:ascii="Verdana" w:hAnsi="Verdana"/>
          <w:iCs/>
          <w:sz w:val="22"/>
          <w:szCs w:val="22"/>
          <w:lang w:val="en-GB"/>
        </w:rPr>
        <w:t>a))</w:t>
      </w:r>
      <w:r>
        <w:rPr>
          <w:rFonts w:ascii="Verdana" w:hAnsi="Verdana"/>
          <w:iCs/>
          <w:sz w:val="22"/>
          <w:szCs w:val="22"/>
          <w:lang w:val="en-GB"/>
        </w:rPr>
        <w:t>.</w:t>
      </w:r>
    </w:p>
    <w:p w:rsidR="00BC4FF4" w:rsidRDefault="00BC4FF4" w:rsidP="00BC4FF4">
      <w:pPr>
        <w:pStyle w:val="Default"/>
        <w:numPr>
          <w:ilvl w:val="0"/>
          <w:numId w:val="42"/>
        </w:numPr>
        <w:spacing w:after="120"/>
        <w:rPr>
          <w:rFonts w:ascii="Verdana" w:hAnsi="Verdana"/>
          <w:iCs/>
          <w:sz w:val="22"/>
          <w:szCs w:val="22"/>
          <w:lang w:val="en-GB"/>
        </w:rPr>
      </w:pPr>
      <w:r>
        <w:rPr>
          <w:rFonts w:ascii="Verdana" w:hAnsi="Verdana"/>
          <w:iCs/>
          <w:sz w:val="22"/>
          <w:szCs w:val="22"/>
          <w:lang w:val="en-GB"/>
        </w:rPr>
        <w:t>I</w:t>
      </w:r>
      <w:r w:rsidRPr="00842512">
        <w:rPr>
          <w:rFonts w:ascii="Verdana" w:hAnsi="Verdana"/>
          <w:iCs/>
          <w:sz w:val="22"/>
          <w:szCs w:val="22"/>
          <w:lang w:val="en-GB"/>
        </w:rPr>
        <w:t xml:space="preserve">nsurance industry level: </w:t>
      </w:r>
      <w:r>
        <w:rPr>
          <w:rFonts w:ascii="Verdana" w:hAnsi="Verdana"/>
          <w:iCs/>
          <w:sz w:val="22"/>
          <w:szCs w:val="22"/>
          <w:lang w:val="en-GB"/>
        </w:rPr>
        <w:t>Furthermore, in Germany an i</w:t>
      </w:r>
      <w:r w:rsidRPr="00CF051E">
        <w:rPr>
          <w:rFonts w:ascii="Verdana" w:hAnsi="Verdana"/>
          <w:iCs/>
          <w:sz w:val="22"/>
          <w:szCs w:val="22"/>
          <w:lang w:val="en-GB"/>
        </w:rPr>
        <w:t>nsurance guarantee scheme</w:t>
      </w:r>
      <w:r>
        <w:rPr>
          <w:rFonts w:ascii="Verdana" w:hAnsi="Verdana"/>
          <w:iCs/>
          <w:sz w:val="22"/>
          <w:szCs w:val="22"/>
          <w:lang w:val="en-GB"/>
        </w:rPr>
        <w:t xml:space="preserve"> called “</w:t>
      </w:r>
      <w:proofErr w:type="spellStart"/>
      <w:r>
        <w:rPr>
          <w:rFonts w:ascii="Verdana" w:hAnsi="Verdana"/>
          <w:iCs/>
          <w:sz w:val="22"/>
          <w:szCs w:val="22"/>
          <w:lang w:val="en-GB"/>
        </w:rPr>
        <w:t>Protektor</w:t>
      </w:r>
      <w:proofErr w:type="spellEnd"/>
      <w:r>
        <w:rPr>
          <w:rFonts w:ascii="Verdana" w:hAnsi="Verdana"/>
          <w:iCs/>
          <w:sz w:val="22"/>
          <w:szCs w:val="22"/>
          <w:lang w:val="en-GB"/>
        </w:rPr>
        <w:t xml:space="preserve">” ensures that consumers are compensated for possible losses should levels 1 and 2 fail. </w:t>
      </w:r>
    </w:p>
    <w:p w:rsidR="00BC4FF4" w:rsidRDefault="00BC4FF4" w:rsidP="00907ED4">
      <w:pPr>
        <w:pStyle w:val="Default"/>
        <w:spacing w:after="120"/>
        <w:rPr>
          <w:rFonts w:ascii="Verdana" w:hAnsi="Verdana"/>
          <w:iCs/>
          <w:sz w:val="22"/>
          <w:szCs w:val="22"/>
          <w:lang w:val="en-GB"/>
        </w:rPr>
      </w:pPr>
      <w:r>
        <w:rPr>
          <w:rFonts w:ascii="Verdana" w:hAnsi="Verdana"/>
          <w:iCs/>
          <w:sz w:val="22"/>
          <w:szCs w:val="22"/>
          <w:lang w:val="en-GB"/>
        </w:rPr>
        <w:t>So, if a PRIIPs manufacturer is secured by a protection scheme which</w:t>
      </w:r>
      <w:r w:rsidRPr="00842512">
        <w:rPr>
          <w:rFonts w:ascii="Verdana" w:hAnsi="Verdana"/>
          <w:iCs/>
          <w:sz w:val="22"/>
          <w:szCs w:val="22"/>
          <w:lang w:val="en-GB"/>
        </w:rPr>
        <w:t xml:space="preserve"> covers the possible loss of a client in case of default </w:t>
      </w:r>
      <w:r>
        <w:rPr>
          <w:rFonts w:ascii="Verdana" w:hAnsi="Verdana"/>
          <w:iCs/>
          <w:sz w:val="22"/>
          <w:szCs w:val="22"/>
          <w:lang w:val="en-GB"/>
        </w:rPr>
        <w:t>this should lead to a classification of the PRIIP as CR1.</w:t>
      </w:r>
    </w:p>
    <w:p w:rsidR="003E4B00" w:rsidRPr="00580880" w:rsidRDefault="00BC4FF4" w:rsidP="003E4B00">
      <w:pPr>
        <w:rPr>
          <w:lang w:val="fr-FR"/>
        </w:rPr>
      </w:pPr>
      <w:r>
        <w:rPr>
          <w:rFonts w:ascii="Verdana" w:hAnsi="Verdana" w:cs="Calibri"/>
          <w:iCs/>
        </w:rPr>
        <w:t>In our view, it is most</w:t>
      </w:r>
      <w:r w:rsidRPr="00045AC2">
        <w:rPr>
          <w:rFonts w:ascii="Verdana" w:hAnsi="Verdana" w:cs="Calibri"/>
          <w:iCs/>
        </w:rPr>
        <w:t xml:space="preserve"> important that the specific features of insurance-based investment products are </w:t>
      </w:r>
      <w:r>
        <w:rPr>
          <w:rFonts w:ascii="Verdana" w:hAnsi="Verdana" w:cs="Calibri"/>
          <w:iCs/>
        </w:rPr>
        <w:t xml:space="preserve">appropriately </w:t>
      </w:r>
      <w:r w:rsidRPr="00045AC2">
        <w:rPr>
          <w:rFonts w:ascii="Verdana" w:hAnsi="Verdana" w:cs="Calibri"/>
          <w:iCs/>
        </w:rPr>
        <w:t>taken into account to ensure that consumers receive adequate information about the products they purchase</w:t>
      </w:r>
      <w:proofErr w:type="gramStart"/>
      <w:r w:rsidRPr="00045AC2">
        <w:rPr>
          <w:rFonts w:ascii="Verdana" w:hAnsi="Verdana" w:cs="Calibri"/>
          <w:iCs/>
        </w:rPr>
        <w:t>.</w:t>
      </w:r>
      <w:permEnd w:id="1628703970"/>
      <w:r w:rsidR="003E4B00" w:rsidRPr="00580880">
        <w:rPr>
          <w:lang w:val="fr-FR"/>
        </w:rPr>
        <w:t>&lt;</w:t>
      </w:r>
      <w:proofErr w:type="gramEnd"/>
      <w:r w:rsidR="003E4B00" w:rsidRPr="00580880">
        <w:rPr>
          <w:lang w:val="fr-FR"/>
        </w:rPr>
        <w:t>ESMA_QUESTION_</w:t>
      </w:r>
      <w:r w:rsidR="003E4B00">
        <w:rPr>
          <w:lang w:val="fr-FR"/>
        </w:rPr>
        <w:t>PRIIPS_7</w:t>
      </w:r>
      <w:r w:rsidR="003E4B00"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BC4FF4" w:rsidRDefault="00BC4FF4" w:rsidP="00907ED4">
      <w:pPr>
        <w:autoSpaceDE w:val="0"/>
        <w:autoSpaceDN w:val="0"/>
        <w:adjustRightInd w:val="0"/>
        <w:spacing w:after="120"/>
        <w:rPr>
          <w:rFonts w:ascii="Verdana" w:hAnsi="Verdana" w:cs="Calibri"/>
          <w:color w:val="000000"/>
        </w:rPr>
      </w:pPr>
      <w:permStart w:id="954204644" w:edGrp="everyone"/>
      <w:r>
        <w:rPr>
          <w:rFonts w:ascii="Verdana" w:hAnsi="Verdana" w:cs="Calibri"/>
          <w:color w:val="000000"/>
        </w:rPr>
        <w:t>From our perspective it is key that the consumer is provided with transparent, easy to understand and reliable results which enable him to compare different PRIIPs and make an informed choice. The methodology from which the scales of the classes is derived here does not lead to results fulfilling these requirements.</w:t>
      </w:r>
    </w:p>
    <w:p w:rsidR="003E4B00" w:rsidRPr="00580880" w:rsidRDefault="00BC4FF4" w:rsidP="003E4B00">
      <w:pPr>
        <w:rPr>
          <w:lang w:val="fr-FR"/>
        </w:rPr>
      </w:pPr>
      <w:r>
        <w:rPr>
          <w:rFonts w:ascii="Verdana" w:hAnsi="Verdana" w:cs="Calibri"/>
          <w:color w:val="000000"/>
        </w:rPr>
        <w:t xml:space="preserve">Instead, </w:t>
      </w:r>
      <w:r>
        <w:rPr>
          <w:rFonts w:ascii="Verdana" w:hAnsi="Verdana"/>
          <w:iCs/>
        </w:rPr>
        <w:t xml:space="preserve">we strongly recommend </w:t>
      </w:r>
      <w:r w:rsidRPr="00B657EB">
        <w:rPr>
          <w:rFonts w:ascii="Verdana" w:hAnsi="Verdana"/>
          <w:iCs/>
        </w:rPr>
        <w:t xml:space="preserve">a forward-looking </w:t>
      </w:r>
      <w:r>
        <w:rPr>
          <w:rFonts w:ascii="Verdana" w:hAnsi="Verdana"/>
          <w:iCs/>
        </w:rPr>
        <w:t>simulation</w:t>
      </w:r>
      <w:r w:rsidRPr="00B657EB">
        <w:rPr>
          <w:rFonts w:ascii="Verdana" w:hAnsi="Verdana"/>
          <w:iCs/>
        </w:rPr>
        <w:t xml:space="preserve"> approach</w:t>
      </w:r>
      <w:proofErr w:type="gramStart"/>
      <w:r>
        <w:rPr>
          <w:rFonts w:ascii="Verdana" w:hAnsi="Verdana"/>
          <w:iCs/>
        </w:rPr>
        <w:t>.</w:t>
      </w:r>
      <w:permEnd w:id="954204644"/>
      <w:r w:rsidR="003E4B00" w:rsidRPr="00580880">
        <w:rPr>
          <w:lang w:val="fr-FR"/>
        </w:rPr>
        <w:t>&lt;</w:t>
      </w:r>
      <w:proofErr w:type="gramEnd"/>
      <w:r w:rsidR="003E4B00" w:rsidRPr="00580880">
        <w:rPr>
          <w:lang w:val="fr-FR"/>
        </w:rPr>
        <w:t>ESMA_QUESTION_</w:t>
      </w:r>
      <w:r w:rsidR="003E4B00">
        <w:rPr>
          <w:lang w:val="fr-FR"/>
        </w:rPr>
        <w:t>PRIIPS_8</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BC4FF4" w:rsidRPr="00401A6D" w:rsidRDefault="00BC4FF4" w:rsidP="00907ED4">
      <w:pPr>
        <w:pStyle w:val="Default"/>
        <w:spacing w:after="120"/>
        <w:rPr>
          <w:rFonts w:ascii="Verdana" w:hAnsi="Verdana"/>
          <w:iCs/>
          <w:sz w:val="22"/>
          <w:szCs w:val="22"/>
          <w:lang w:val="en-GB"/>
        </w:rPr>
      </w:pPr>
      <w:permStart w:id="493170734" w:edGrp="everyone"/>
      <w:r>
        <w:rPr>
          <w:rFonts w:ascii="Verdana" w:hAnsi="Verdana"/>
          <w:iCs/>
          <w:sz w:val="22"/>
          <w:szCs w:val="22"/>
          <w:lang w:val="en-GB"/>
        </w:rPr>
        <w:t>As the main objective of the PRIIPs Regulation is to ensure comparability for all products we propose not to choose different indicators for different categories of PRIIPs.</w:t>
      </w:r>
    </w:p>
    <w:p w:rsidR="003E4B00" w:rsidRPr="00580880" w:rsidRDefault="00BC4FF4" w:rsidP="003E4B00">
      <w:pPr>
        <w:rPr>
          <w:lang w:val="fr-FR"/>
        </w:rPr>
      </w:pPr>
      <w:r>
        <w:rPr>
          <w:rFonts w:ascii="Verdana" w:hAnsi="Verdana"/>
          <w:iCs/>
          <w:sz w:val="22"/>
          <w:szCs w:val="22"/>
        </w:rPr>
        <w:t xml:space="preserve">The 5 year period </w:t>
      </w:r>
      <w:r w:rsidRPr="00401A6D">
        <w:rPr>
          <w:rFonts w:ascii="Verdana" w:hAnsi="Verdana"/>
          <w:iCs/>
          <w:sz w:val="22"/>
          <w:szCs w:val="22"/>
        </w:rPr>
        <w:t>s</w:t>
      </w:r>
      <w:r>
        <w:rPr>
          <w:rFonts w:ascii="Verdana" w:hAnsi="Verdana"/>
          <w:iCs/>
          <w:sz w:val="22"/>
          <w:szCs w:val="22"/>
        </w:rPr>
        <w:t>eems</w:t>
      </w:r>
      <w:r w:rsidRPr="00401A6D">
        <w:rPr>
          <w:rFonts w:ascii="Verdana" w:hAnsi="Verdana"/>
          <w:iCs/>
          <w:sz w:val="22"/>
          <w:szCs w:val="22"/>
        </w:rPr>
        <w:t xml:space="preserve"> rather irrelevant for German PRIIPs – the only reason to look at the 5 year period </w:t>
      </w:r>
      <w:r>
        <w:rPr>
          <w:rFonts w:ascii="Verdana" w:hAnsi="Verdana"/>
          <w:iCs/>
          <w:sz w:val="22"/>
          <w:szCs w:val="22"/>
        </w:rPr>
        <w:t xml:space="preserve">in the context of life insurance could </w:t>
      </w:r>
      <w:r w:rsidRPr="00401A6D">
        <w:rPr>
          <w:rFonts w:ascii="Verdana" w:hAnsi="Verdana"/>
          <w:iCs/>
          <w:sz w:val="22"/>
          <w:szCs w:val="22"/>
        </w:rPr>
        <w:t xml:space="preserve">be to show an indication towards the 5 year term with respect to surrender values within the </w:t>
      </w:r>
      <w:r>
        <w:rPr>
          <w:rFonts w:ascii="Verdana" w:hAnsi="Verdana"/>
          <w:iCs/>
          <w:sz w:val="22"/>
          <w:szCs w:val="22"/>
        </w:rPr>
        <w:t>Insurance Contract Act (</w:t>
      </w:r>
      <w:proofErr w:type="spellStart"/>
      <w:r>
        <w:rPr>
          <w:rFonts w:ascii="Verdana" w:hAnsi="Verdana"/>
          <w:iCs/>
          <w:sz w:val="22"/>
          <w:szCs w:val="22"/>
        </w:rPr>
        <w:t>Versicherungsvertragsgesetz</w:t>
      </w:r>
      <w:proofErr w:type="spellEnd"/>
      <w:r>
        <w:rPr>
          <w:rFonts w:ascii="Verdana" w:hAnsi="Verdana"/>
          <w:iCs/>
          <w:sz w:val="22"/>
          <w:szCs w:val="22"/>
        </w:rPr>
        <w:t>, VVG).</w:t>
      </w:r>
      <w:permEnd w:id="493170734"/>
      <w:r w:rsidR="003E4B00" w:rsidRPr="00580880">
        <w:rPr>
          <w:lang w:val="fr-FR"/>
        </w:rPr>
        <w:t>&lt;ESMA_QUESTION_</w:t>
      </w:r>
      <w:r w:rsidR="003E4B00">
        <w:rPr>
          <w:lang w:val="fr-FR"/>
        </w:rPr>
        <w:t>PRIIPS_9</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BC4FF4" w:rsidRDefault="00BC4FF4" w:rsidP="00907ED4">
      <w:pPr>
        <w:pStyle w:val="Default"/>
        <w:spacing w:after="120"/>
        <w:rPr>
          <w:rFonts w:ascii="Verdana" w:hAnsi="Verdana"/>
          <w:iCs/>
          <w:sz w:val="22"/>
          <w:szCs w:val="22"/>
          <w:lang w:val="en-GB"/>
        </w:rPr>
      </w:pPr>
      <w:permStart w:id="1121737451" w:edGrp="everyone"/>
      <w:r>
        <w:rPr>
          <w:rFonts w:ascii="Verdana" w:hAnsi="Verdana"/>
          <w:iCs/>
          <w:sz w:val="22"/>
          <w:szCs w:val="22"/>
          <w:lang w:val="en-GB"/>
        </w:rPr>
        <w:t>For DAV it is key that</w:t>
      </w:r>
      <w:r w:rsidRPr="00401A6D">
        <w:rPr>
          <w:rFonts w:ascii="Verdana" w:hAnsi="Verdana"/>
          <w:iCs/>
          <w:sz w:val="22"/>
          <w:szCs w:val="22"/>
          <w:lang w:val="en-GB"/>
        </w:rPr>
        <w:t xml:space="preserve"> </w:t>
      </w:r>
      <w:r>
        <w:rPr>
          <w:rFonts w:ascii="Verdana" w:hAnsi="Verdana"/>
          <w:iCs/>
          <w:sz w:val="22"/>
          <w:szCs w:val="22"/>
          <w:lang w:val="en-GB"/>
        </w:rPr>
        <w:t>all</w:t>
      </w:r>
      <w:r w:rsidRPr="00401A6D">
        <w:rPr>
          <w:rFonts w:ascii="Verdana" w:hAnsi="Verdana"/>
          <w:iCs/>
          <w:sz w:val="22"/>
          <w:szCs w:val="22"/>
          <w:lang w:val="en-GB"/>
        </w:rPr>
        <w:t xml:space="preserve"> guarantee schemes </w:t>
      </w:r>
      <w:r>
        <w:rPr>
          <w:rFonts w:ascii="Verdana" w:hAnsi="Verdana"/>
          <w:iCs/>
          <w:sz w:val="22"/>
          <w:szCs w:val="22"/>
          <w:lang w:val="en-GB"/>
        </w:rPr>
        <w:t xml:space="preserve">are taken into account in the credit risk assessment as risk mitigation factors. </w:t>
      </w:r>
      <w:r w:rsidRPr="00257D54">
        <w:rPr>
          <w:rFonts w:ascii="Verdana" w:hAnsi="Verdana"/>
          <w:iCs/>
          <w:sz w:val="22"/>
          <w:szCs w:val="22"/>
          <w:lang w:val="en-GB"/>
        </w:rPr>
        <w:t xml:space="preserve"> </w:t>
      </w:r>
    </w:p>
    <w:p w:rsidR="00BC4FF4" w:rsidRDefault="00BC4FF4" w:rsidP="00907ED4">
      <w:pPr>
        <w:pStyle w:val="Default"/>
        <w:spacing w:after="120"/>
        <w:rPr>
          <w:rFonts w:ascii="Verdana" w:hAnsi="Verdana"/>
          <w:iCs/>
          <w:sz w:val="22"/>
          <w:szCs w:val="22"/>
          <w:lang w:val="en-GB"/>
        </w:rPr>
      </w:pPr>
      <w:r>
        <w:rPr>
          <w:rFonts w:ascii="Verdana" w:hAnsi="Verdana"/>
          <w:iCs/>
          <w:sz w:val="22"/>
          <w:szCs w:val="22"/>
          <w:lang w:val="en-GB"/>
        </w:rPr>
        <w:t xml:space="preserve">For life insurance products in Germany there are three levels of “guarantees” which ensure consumer protection: </w:t>
      </w:r>
    </w:p>
    <w:p w:rsidR="00BC4FF4" w:rsidRPr="00842512" w:rsidRDefault="00BC4FF4" w:rsidP="00BC4FF4">
      <w:pPr>
        <w:pStyle w:val="Default"/>
        <w:numPr>
          <w:ilvl w:val="0"/>
          <w:numId w:val="43"/>
        </w:numPr>
        <w:spacing w:after="120"/>
        <w:rPr>
          <w:rFonts w:ascii="Verdana" w:hAnsi="Verdana"/>
          <w:iCs/>
          <w:sz w:val="22"/>
          <w:szCs w:val="22"/>
          <w:lang w:val="en-GB"/>
        </w:rPr>
      </w:pPr>
      <w:r>
        <w:rPr>
          <w:rFonts w:ascii="Verdana" w:hAnsi="Verdana"/>
          <w:iCs/>
          <w:sz w:val="22"/>
          <w:szCs w:val="22"/>
          <w:lang w:val="en-GB"/>
        </w:rPr>
        <w:t>P</w:t>
      </w:r>
      <w:r w:rsidRPr="00842512">
        <w:rPr>
          <w:rFonts w:ascii="Verdana" w:hAnsi="Verdana"/>
          <w:iCs/>
          <w:sz w:val="22"/>
          <w:szCs w:val="22"/>
          <w:lang w:val="en-GB"/>
        </w:rPr>
        <w:t>roduct level: Premiums in life insurance are calculated on the basis of reasonable actuarial assumptions and sufficient to enable the insurance undertaking to meet all its liabilities, and in particular, to establish adequate premium reserves for the individual contracts.</w:t>
      </w:r>
    </w:p>
    <w:p w:rsidR="00BC4FF4" w:rsidRPr="00842512" w:rsidRDefault="00BC4FF4" w:rsidP="00BC4FF4">
      <w:pPr>
        <w:pStyle w:val="Default"/>
        <w:numPr>
          <w:ilvl w:val="0"/>
          <w:numId w:val="43"/>
        </w:numPr>
        <w:spacing w:after="120"/>
        <w:rPr>
          <w:rFonts w:ascii="Verdana" w:hAnsi="Verdana"/>
          <w:iCs/>
          <w:sz w:val="22"/>
          <w:szCs w:val="22"/>
          <w:lang w:val="en-GB"/>
        </w:rPr>
      </w:pPr>
      <w:r w:rsidRPr="00842512">
        <w:rPr>
          <w:rFonts w:ascii="Verdana" w:hAnsi="Verdana"/>
          <w:iCs/>
          <w:sz w:val="22"/>
          <w:szCs w:val="22"/>
          <w:lang w:val="en-GB"/>
        </w:rPr>
        <w:t>Enterprise level: Solvency II sets the solvency capital requirements each enterprise has to fulfil according to its individual risk portfolio.</w:t>
      </w:r>
      <w:r>
        <w:rPr>
          <w:rFonts w:ascii="Verdana" w:hAnsi="Verdana"/>
          <w:iCs/>
          <w:sz w:val="22"/>
          <w:szCs w:val="22"/>
          <w:lang w:val="en-GB"/>
        </w:rPr>
        <w:t xml:space="preserve"> The </w:t>
      </w:r>
      <w:r w:rsidRPr="00CF051E">
        <w:rPr>
          <w:rFonts w:ascii="Verdana" w:hAnsi="Verdana"/>
          <w:iCs/>
          <w:sz w:val="22"/>
          <w:szCs w:val="22"/>
          <w:lang w:val="en-GB"/>
        </w:rPr>
        <w:t>insurance claims take precedence over other claims against the insurance undertaking (Solvency II, Article 275(1</w:t>
      </w:r>
      <w:proofErr w:type="gramStart"/>
      <w:r w:rsidRPr="00CF051E">
        <w:rPr>
          <w:rFonts w:ascii="Verdana" w:hAnsi="Verdana"/>
          <w:iCs/>
          <w:sz w:val="22"/>
          <w:szCs w:val="22"/>
          <w:lang w:val="en-GB"/>
        </w:rPr>
        <w:t>)(</w:t>
      </w:r>
      <w:proofErr w:type="gramEnd"/>
      <w:r w:rsidRPr="00CF051E">
        <w:rPr>
          <w:rFonts w:ascii="Verdana" w:hAnsi="Verdana"/>
          <w:iCs/>
          <w:sz w:val="22"/>
          <w:szCs w:val="22"/>
          <w:lang w:val="en-GB"/>
        </w:rPr>
        <w:t>a))</w:t>
      </w:r>
      <w:r>
        <w:rPr>
          <w:rFonts w:ascii="Verdana" w:hAnsi="Verdana"/>
          <w:iCs/>
          <w:sz w:val="22"/>
          <w:szCs w:val="22"/>
          <w:lang w:val="en-GB"/>
        </w:rPr>
        <w:t>.</w:t>
      </w:r>
    </w:p>
    <w:p w:rsidR="00BC4FF4" w:rsidRDefault="00BC4FF4" w:rsidP="00BC4FF4">
      <w:pPr>
        <w:pStyle w:val="Default"/>
        <w:numPr>
          <w:ilvl w:val="0"/>
          <w:numId w:val="43"/>
        </w:numPr>
        <w:spacing w:after="120"/>
        <w:rPr>
          <w:rFonts w:ascii="Verdana" w:hAnsi="Verdana"/>
          <w:iCs/>
          <w:sz w:val="22"/>
          <w:szCs w:val="22"/>
          <w:lang w:val="en-GB"/>
        </w:rPr>
      </w:pPr>
      <w:r>
        <w:rPr>
          <w:rFonts w:ascii="Verdana" w:hAnsi="Verdana"/>
          <w:iCs/>
          <w:sz w:val="22"/>
          <w:szCs w:val="22"/>
          <w:lang w:val="en-GB"/>
        </w:rPr>
        <w:t>I</w:t>
      </w:r>
      <w:r w:rsidRPr="00842512">
        <w:rPr>
          <w:rFonts w:ascii="Verdana" w:hAnsi="Verdana"/>
          <w:iCs/>
          <w:sz w:val="22"/>
          <w:szCs w:val="22"/>
          <w:lang w:val="en-GB"/>
        </w:rPr>
        <w:t xml:space="preserve">nsurance industry level: </w:t>
      </w:r>
      <w:r>
        <w:rPr>
          <w:rFonts w:ascii="Verdana" w:hAnsi="Verdana"/>
          <w:iCs/>
          <w:sz w:val="22"/>
          <w:szCs w:val="22"/>
          <w:lang w:val="en-GB"/>
        </w:rPr>
        <w:t>Furthermore, in Germany an i</w:t>
      </w:r>
      <w:r w:rsidRPr="00CF051E">
        <w:rPr>
          <w:rFonts w:ascii="Verdana" w:hAnsi="Verdana"/>
          <w:iCs/>
          <w:sz w:val="22"/>
          <w:szCs w:val="22"/>
          <w:lang w:val="en-GB"/>
        </w:rPr>
        <w:t>nsurance guarantee scheme</w:t>
      </w:r>
      <w:r w:rsidDel="00582ED9">
        <w:rPr>
          <w:rFonts w:ascii="Verdana" w:hAnsi="Verdana"/>
          <w:iCs/>
          <w:sz w:val="22"/>
          <w:szCs w:val="22"/>
          <w:lang w:val="en-GB"/>
        </w:rPr>
        <w:t xml:space="preserve"> </w:t>
      </w:r>
      <w:r>
        <w:rPr>
          <w:rFonts w:ascii="Verdana" w:hAnsi="Verdana"/>
          <w:iCs/>
          <w:sz w:val="22"/>
          <w:szCs w:val="22"/>
          <w:lang w:val="en-GB"/>
        </w:rPr>
        <w:t>called “</w:t>
      </w:r>
      <w:proofErr w:type="spellStart"/>
      <w:r>
        <w:rPr>
          <w:rFonts w:ascii="Verdana" w:hAnsi="Verdana"/>
          <w:iCs/>
          <w:sz w:val="22"/>
          <w:szCs w:val="22"/>
          <w:lang w:val="en-GB"/>
        </w:rPr>
        <w:t>Protektor</w:t>
      </w:r>
      <w:proofErr w:type="spellEnd"/>
      <w:r>
        <w:rPr>
          <w:rFonts w:ascii="Verdana" w:hAnsi="Verdana"/>
          <w:iCs/>
          <w:sz w:val="22"/>
          <w:szCs w:val="22"/>
          <w:lang w:val="en-GB"/>
        </w:rPr>
        <w:t xml:space="preserve">” ensures that consumers are compensated for possible losses should levels 1 and 2 fail. </w:t>
      </w:r>
    </w:p>
    <w:p w:rsidR="003E4B00" w:rsidRPr="00580880" w:rsidRDefault="00BC4FF4" w:rsidP="003E4B00">
      <w:pPr>
        <w:rPr>
          <w:lang w:val="fr-FR"/>
        </w:rPr>
      </w:pPr>
      <w:r>
        <w:rPr>
          <w:rFonts w:ascii="Verdana" w:hAnsi="Verdana"/>
          <w:iCs/>
          <w:sz w:val="22"/>
          <w:szCs w:val="22"/>
        </w:rPr>
        <w:t>So, if the PRIIPs manufacturer is secured by a protection scheme which</w:t>
      </w:r>
      <w:r w:rsidRPr="00842512">
        <w:rPr>
          <w:rFonts w:ascii="Verdana" w:hAnsi="Verdana"/>
          <w:iCs/>
          <w:sz w:val="22"/>
          <w:szCs w:val="22"/>
        </w:rPr>
        <w:t xml:space="preserve"> covers the possible loss of a client in case of default </w:t>
      </w:r>
      <w:r>
        <w:rPr>
          <w:rFonts w:ascii="Verdana" w:hAnsi="Verdana"/>
          <w:iCs/>
          <w:sz w:val="22"/>
          <w:szCs w:val="22"/>
        </w:rPr>
        <w:t>this should lead to a classification of the PRIIP as CR1.</w:t>
      </w:r>
      <w:permEnd w:id="1121737451"/>
      <w:r w:rsidR="003E4B00" w:rsidRPr="00580880">
        <w:rPr>
          <w:lang w:val="fr-FR"/>
        </w:rPr>
        <w:t>&lt;ESMA_QUESTION_</w:t>
      </w:r>
      <w:r w:rsidR="003E4B00">
        <w:rPr>
          <w:lang w:val="fr-FR"/>
        </w:rPr>
        <w:t>PRIIPS_10</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1426073190" w:edGrp="everyone"/>
      <w:r>
        <w:t>TYPE YOUR TEXT HERE</w:t>
      </w:r>
    </w:p>
    <w:permEnd w:id="1426073190"/>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BC4FF4" w:rsidRPr="00401A6D" w:rsidRDefault="00BC4FF4" w:rsidP="00907ED4">
      <w:pPr>
        <w:pStyle w:val="Default"/>
        <w:spacing w:after="120"/>
        <w:rPr>
          <w:rFonts w:ascii="Verdana" w:hAnsi="Verdana"/>
          <w:iCs/>
          <w:sz w:val="22"/>
          <w:szCs w:val="22"/>
          <w:lang w:val="en-GB"/>
        </w:rPr>
      </w:pPr>
      <w:permStart w:id="839917343" w:edGrp="everyone"/>
      <w:r w:rsidRPr="00401A6D">
        <w:rPr>
          <w:rFonts w:ascii="Verdana" w:hAnsi="Verdana"/>
          <w:iCs/>
          <w:sz w:val="22"/>
          <w:szCs w:val="22"/>
          <w:lang w:val="en-GB"/>
        </w:rPr>
        <w:t>Yes, of</w:t>
      </w:r>
      <w:r>
        <w:rPr>
          <w:rFonts w:ascii="Verdana" w:hAnsi="Verdana"/>
          <w:iCs/>
          <w:sz w:val="22"/>
          <w:szCs w:val="22"/>
          <w:lang w:val="en-GB"/>
        </w:rPr>
        <w:t xml:space="preserve"> course the risk indicator should</w:t>
      </w:r>
      <w:r w:rsidRPr="00401A6D">
        <w:rPr>
          <w:rFonts w:ascii="Verdana" w:hAnsi="Verdana"/>
          <w:iCs/>
          <w:sz w:val="22"/>
          <w:szCs w:val="22"/>
          <w:lang w:val="en-GB"/>
        </w:rPr>
        <w:t xml:space="preserve"> consider a potential currency risk</w:t>
      </w:r>
      <w:r>
        <w:rPr>
          <w:rFonts w:ascii="Verdana" w:hAnsi="Verdana"/>
          <w:iCs/>
          <w:sz w:val="22"/>
          <w:szCs w:val="22"/>
          <w:lang w:val="en-GB"/>
        </w:rPr>
        <w:t xml:space="preserve"> if the pay-out is in the different currency as the premiums</w:t>
      </w:r>
      <w:r w:rsidRPr="00401A6D">
        <w:rPr>
          <w:rFonts w:ascii="Verdana" w:hAnsi="Verdana"/>
          <w:iCs/>
          <w:sz w:val="22"/>
          <w:szCs w:val="22"/>
          <w:lang w:val="en-GB"/>
        </w:rPr>
        <w:t>. Several aspects drive this recommendation</w:t>
      </w:r>
    </w:p>
    <w:p w:rsidR="00BC4FF4" w:rsidRDefault="00BC4FF4" w:rsidP="003E4B00">
      <w:pPr>
        <w:rPr>
          <w:rFonts w:ascii="Verdana" w:hAnsi="Verdana"/>
          <w:iCs/>
          <w:sz w:val="22"/>
          <w:szCs w:val="22"/>
        </w:rPr>
      </w:pPr>
      <w:r>
        <w:rPr>
          <w:rFonts w:ascii="Verdana" w:hAnsi="Verdana"/>
          <w:iCs/>
          <w:sz w:val="22"/>
          <w:szCs w:val="22"/>
        </w:rPr>
        <w:t xml:space="preserve">- </w:t>
      </w:r>
      <w:bookmarkStart w:id="3" w:name="_GoBack"/>
      <w:bookmarkEnd w:id="3"/>
      <w:r w:rsidRPr="00401A6D">
        <w:rPr>
          <w:rFonts w:ascii="Verdana" w:hAnsi="Verdana"/>
          <w:iCs/>
          <w:sz w:val="22"/>
          <w:szCs w:val="22"/>
        </w:rPr>
        <w:t xml:space="preserve">Over the (long lasting) lifetime of the policy (particular volatile) exchange rates may heavily influence the performance of the PRIIP </w:t>
      </w:r>
    </w:p>
    <w:p w:rsidR="003E4B00" w:rsidRPr="00580880" w:rsidRDefault="00BC4FF4" w:rsidP="003E4B00">
      <w:pPr>
        <w:rPr>
          <w:lang w:val="fr-FR"/>
        </w:rPr>
      </w:pPr>
      <w:r>
        <w:rPr>
          <w:rFonts w:ascii="Verdana" w:hAnsi="Verdana"/>
          <w:iCs/>
          <w:sz w:val="22"/>
          <w:szCs w:val="22"/>
        </w:rPr>
        <w:t xml:space="preserve">- </w:t>
      </w:r>
      <w:r w:rsidRPr="00BC4FF4">
        <w:rPr>
          <w:rFonts w:ascii="Verdana" w:hAnsi="Verdana"/>
          <w:iCs/>
          <w:sz w:val="22"/>
          <w:szCs w:val="22"/>
        </w:rPr>
        <w:t>The underlying charging structure may be in favour/disfavour of a (volatile) exchange rate</w:t>
      </w:r>
      <w:permEnd w:id="839917343"/>
      <w:r w:rsidR="003E4B00" w:rsidRPr="00580880">
        <w:rPr>
          <w:lang w:val="fr-FR"/>
        </w:rPr>
        <w:t>&lt;ESMA_QUESTION_</w:t>
      </w:r>
      <w:r w:rsidR="003E4B00">
        <w:rPr>
          <w:lang w:val="fr-FR"/>
        </w:rPr>
        <w:t>PRIIPS_12</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BC4FF4" w:rsidRDefault="00BC4FF4" w:rsidP="00907ED4">
      <w:pPr>
        <w:spacing w:after="120"/>
        <w:rPr>
          <w:rFonts w:ascii="Verdana" w:hAnsi="Verdana"/>
        </w:rPr>
      </w:pPr>
      <w:permStart w:id="1816675261" w:edGrp="everyone"/>
      <w:r>
        <w:rPr>
          <w:rFonts w:ascii="Verdana" w:hAnsi="Verdana"/>
        </w:rPr>
        <w:t>According to the</w:t>
      </w:r>
      <w:r w:rsidRPr="00401A6D">
        <w:rPr>
          <w:rFonts w:ascii="Verdana" w:hAnsi="Verdana"/>
        </w:rPr>
        <w:t xml:space="preserve"> PRIIPs Regulation a single risk indicator (Article 8(3</w:t>
      </w:r>
      <w:proofErr w:type="gramStart"/>
      <w:r w:rsidRPr="00401A6D">
        <w:rPr>
          <w:rFonts w:ascii="Verdana" w:hAnsi="Verdana"/>
        </w:rPr>
        <w:t>)(</w:t>
      </w:r>
      <w:proofErr w:type="gramEnd"/>
      <w:r w:rsidRPr="00401A6D">
        <w:rPr>
          <w:rFonts w:ascii="Verdana" w:hAnsi="Verdana"/>
        </w:rPr>
        <w:t xml:space="preserve">d)) </w:t>
      </w:r>
      <w:r>
        <w:rPr>
          <w:rFonts w:ascii="Verdana" w:hAnsi="Verdana"/>
        </w:rPr>
        <w:t>is supposed to combine and summarise all</w:t>
      </w:r>
      <w:r w:rsidRPr="00401A6D">
        <w:rPr>
          <w:rFonts w:ascii="Verdana" w:hAnsi="Verdana"/>
        </w:rPr>
        <w:t xml:space="preserve"> relevant factors. Thus, the presentation of several risk indicators for different stages</w:t>
      </w:r>
      <w:r>
        <w:rPr>
          <w:rFonts w:ascii="Verdana" w:hAnsi="Verdana"/>
        </w:rPr>
        <w:t xml:space="preserve"> before maturity</w:t>
      </w:r>
      <w:r w:rsidRPr="00401A6D">
        <w:rPr>
          <w:rFonts w:ascii="Verdana" w:hAnsi="Verdana"/>
        </w:rPr>
        <w:t xml:space="preserve"> as suggested in option 5.2 would be contrary to the level 1 text. </w:t>
      </w:r>
    </w:p>
    <w:p w:rsidR="00BC4FF4" w:rsidRDefault="00BC4FF4" w:rsidP="00907ED4">
      <w:pPr>
        <w:spacing w:after="120"/>
        <w:rPr>
          <w:rFonts w:ascii="Verdana" w:hAnsi="Verdana"/>
        </w:rPr>
      </w:pPr>
      <w:r>
        <w:rPr>
          <w:rFonts w:ascii="Verdana" w:hAnsi="Verdana"/>
        </w:rPr>
        <w:t xml:space="preserve">In our view, </w:t>
      </w:r>
      <w:r w:rsidRPr="00401A6D">
        <w:rPr>
          <w:rFonts w:ascii="Verdana" w:hAnsi="Verdana"/>
        </w:rPr>
        <w:t>a risk indicator based on short and standardised holding period</w:t>
      </w:r>
      <w:r>
        <w:rPr>
          <w:rFonts w:ascii="Verdana" w:hAnsi="Verdana"/>
        </w:rPr>
        <w:t>s</w:t>
      </w:r>
      <w:r w:rsidRPr="00401A6D">
        <w:rPr>
          <w:rFonts w:ascii="Verdana" w:hAnsi="Verdana"/>
        </w:rPr>
        <w:t xml:space="preserve"> for all products </w:t>
      </w:r>
      <w:r>
        <w:rPr>
          <w:rFonts w:ascii="Verdana" w:hAnsi="Verdana"/>
        </w:rPr>
        <w:t>- especially</w:t>
      </w:r>
      <w:r w:rsidRPr="00401A6D">
        <w:rPr>
          <w:rFonts w:ascii="Verdana" w:hAnsi="Verdana"/>
        </w:rPr>
        <w:t xml:space="preserve"> for long-term products, such as insu</w:t>
      </w:r>
      <w:r>
        <w:rPr>
          <w:rFonts w:ascii="Verdana" w:hAnsi="Verdana"/>
        </w:rPr>
        <w:t xml:space="preserve">rance-based investment products – would rather obscure the real risk of the product. Moreover (see option 5.1), it could be confusing to the consumer if the time horizon for the risk indicator and the product as </w:t>
      </w:r>
      <w:r w:rsidRPr="00401A6D">
        <w:rPr>
          <w:rFonts w:ascii="Verdana" w:hAnsi="Verdana"/>
        </w:rPr>
        <w:t>in Article 8(3</w:t>
      </w:r>
      <w:proofErr w:type="gramStart"/>
      <w:r w:rsidRPr="00401A6D">
        <w:rPr>
          <w:rFonts w:ascii="Verdana" w:hAnsi="Verdana"/>
        </w:rPr>
        <w:t>)(</w:t>
      </w:r>
      <w:proofErr w:type="gramEnd"/>
      <w:r w:rsidRPr="00401A6D">
        <w:rPr>
          <w:rFonts w:ascii="Verdana" w:hAnsi="Verdana"/>
        </w:rPr>
        <w:t>d)</w:t>
      </w:r>
      <w:r>
        <w:rPr>
          <w:rFonts w:ascii="Verdana" w:hAnsi="Verdana"/>
        </w:rPr>
        <w:t xml:space="preserve"> is not the same.</w:t>
      </w:r>
    </w:p>
    <w:p w:rsidR="003E4B00" w:rsidRPr="00580880" w:rsidRDefault="00BC4FF4" w:rsidP="003E4B00">
      <w:pPr>
        <w:rPr>
          <w:lang w:val="fr-FR"/>
        </w:rPr>
      </w:pPr>
      <w:r>
        <w:rPr>
          <w:rFonts w:ascii="Verdana" w:hAnsi="Verdana"/>
        </w:rPr>
        <w:t>Instead, it would be better to explain the informative value of the risk indicator and its limitations. T</w:t>
      </w:r>
      <w:r w:rsidRPr="00401A6D">
        <w:rPr>
          <w:rFonts w:ascii="Verdana" w:hAnsi="Verdana"/>
        </w:rPr>
        <w:t>he PRIIP Regulation foresees an entire section of the KID for the description of what happens if consumers take out money early (Article 8(3</w:t>
      </w:r>
      <w:proofErr w:type="gramStart"/>
      <w:r w:rsidRPr="00401A6D">
        <w:rPr>
          <w:rFonts w:ascii="Verdana" w:hAnsi="Verdana"/>
        </w:rPr>
        <w:t>)(</w:t>
      </w:r>
      <w:proofErr w:type="gramEnd"/>
      <w:r w:rsidRPr="00401A6D">
        <w:rPr>
          <w:rFonts w:ascii="Verdana" w:hAnsi="Verdana"/>
        </w:rPr>
        <w:t xml:space="preserve">g)(iv)). </w:t>
      </w:r>
      <w:r>
        <w:rPr>
          <w:rFonts w:ascii="Verdana" w:hAnsi="Verdana"/>
        </w:rPr>
        <w:t xml:space="preserve">There seems to be no reason to repeat the same information in different forms in </w:t>
      </w:r>
      <w:r w:rsidRPr="00401A6D">
        <w:rPr>
          <w:rFonts w:ascii="Verdana" w:hAnsi="Verdana"/>
        </w:rPr>
        <w:t>different sections, this would only lead to confusion</w:t>
      </w:r>
      <w:proofErr w:type="gramStart"/>
      <w:r w:rsidRPr="00401A6D">
        <w:rPr>
          <w:rFonts w:ascii="Verdana" w:hAnsi="Verdana"/>
        </w:rPr>
        <w:t>.</w:t>
      </w:r>
      <w:permEnd w:id="1816675261"/>
      <w:r w:rsidR="003E4B00" w:rsidRPr="00580880">
        <w:rPr>
          <w:lang w:val="fr-FR"/>
        </w:rPr>
        <w:t>&lt;</w:t>
      </w:r>
      <w:proofErr w:type="gramEnd"/>
      <w:r w:rsidR="003E4B00" w:rsidRPr="00580880">
        <w:rPr>
          <w:lang w:val="fr-FR"/>
        </w:rPr>
        <w:t>ESMA_QUESTION_</w:t>
      </w:r>
      <w:r w:rsidR="003E4B00">
        <w:rPr>
          <w:lang w:val="fr-FR"/>
        </w:rPr>
        <w:t>PRIIPS_13</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768447334" w:edGrp="everyone"/>
      <w:r>
        <w:t>TYPE YOUR TEXT HERE</w:t>
      </w:r>
    </w:p>
    <w:permEnd w:id="1768447334"/>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BC4FF4" w:rsidRPr="00401A6D" w:rsidRDefault="00BC4FF4" w:rsidP="00BC4FF4">
      <w:pPr>
        <w:spacing w:after="120"/>
        <w:rPr>
          <w:rFonts w:ascii="Verdana" w:hAnsi="Verdana"/>
        </w:rPr>
      </w:pPr>
      <w:permStart w:id="2013074852" w:edGrp="everyone"/>
      <w:r w:rsidRPr="00401A6D">
        <w:rPr>
          <w:rFonts w:ascii="Verdana" w:hAnsi="Verdana"/>
        </w:rPr>
        <w:t>As regards performance scenarios in gene</w:t>
      </w:r>
      <w:r>
        <w:rPr>
          <w:rFonts w:ascii="Verdana" w:hAnsi="Verdana"/>
        </w:rPr>
        <w:t>ral, we regret the fact that so</w:t>
      </w:r>
      <w:r w:rsidRPr="00401A6D">
        <w:rPr>
          <w:rFonts w:ascii="Verdana" w:hAnsi="Verdana"/>
        </w:rPr>
        <w:t xml:space="preserve"> many details </w:t>
      </w:r>
      <w:r>
        <w:rPr>
          <w:rFonts w:ascii="Verdana" w:hAnsi="Verdana"/>
        </w:rPr>
        <w:t>are left</w:t>
      </w:r>
      <w:r w:rsidRPr="00401A6D">
        <w:rPr>
          <w:rFonts w:ascii="Verdana" w:hAnsi="Verdana"/>
        </w:rPr>
        <w:t xml:space="preserve"> to </w:t>
      </w:r>
      <w:r>
        <w:rPr>
          <w:rFonts w:ascii="Verdana" w:hAnsi="Verdana"/>
        </w:rPr>
        <w:t xml:space="preserve">the </w:t>
      </w:r>
      <w:r w:rsidRPr="00401A6D">
        <w:rPr>
          <w:rFonts w:ascii="Verdana" w:hAnsi="Verdana"/>
        </w:rPr>
        <w:t>manufacturers’ discretion. We recommend a prescription of the (basic) model as well as the necessary parameters by a central European authority. This will ensure comparability of results and also grant sound legal protection for the manufacturers. In case the choice of parameters is left to the judgement of the manufacturers more supervision will become necessary to make sure that these are chosen with due diligence.</w:t>
      </w:r>
    </w:p>
    <w:p w:rsidR="00BC4FF4" w:rsidRPr="00401A6D" w:rsidRDefault="00BC4FF4" w:rsidP="00BC4FF4">
      <w:pPr>
        <w:spacing w:after="120"/>
        <w:rPr>
          <w:rFonts w:ascii="Verdana" w:hAnsi="Verdana"/>
        </w:rPr>
      </w:pPr>
      <w:r w:rsidRPr="00401A6D">
        <w:rPr>
          <w:rFonts w:ascii="Verdana" w:hAnsi="Verdana"/>
        </w:rPr>
        <w:t xml:space="preserve">Furthermore, it is </w:t>
      </w:r>
      <w:r>
        <w:rPr>
          <w:rFonts w:ascii="Verdana" w:hAnsi="Verdana"/>
        </w:rPr>
        <w:t>key</w:t>
      </w:r>
      <w:r w:rsidRPr="00401A6D">
        <w:rPr>
          <w:rFonts w:ascii="Verdana" w:hAnsi="Verdana"/>
        </w:rPr>
        <w:t xml:space="preserve"> that consumers understand the </w:t>
      </w:r>
      <w:r>
        <w:rPr>
          <w:rFonts w:ascii="Verdana" w:hAnsi="Verdana"/>
        </w:rPr>
        <w:t xml:space="preserve">meaning of </w:t>
      </w:r>
      <w:r w:rsidRPr="00401A6D">
        <w:rPr>
          <w:rFonts w:ascii="Verdana" w:hAnsi="Verdana"/>
        </w:rPr>
        <w:t xml:space="preserve">intermediate values. For insurance-based investment products intermediate values are not the same as final values of a product with a shorter holding period, i.e. the value after 15 years of a product with a term of 30 years is not the same as the final value of a product with a term of 15 years. </w:t>
      </w:r>
      <w:r>
        <w:rPr>
          <w:rFonts w:ascii="Verdana" w:hAnsi="Verdana"/>
        </w:rPr>
        <w:t>T</w:t>
      </w:r>
      <w:r w:rsidRPr="00401A6D">
        <w:rPr>
          <w:rFonts w:ascii="Verdana" w:hAnsi="Verdana"/>
        </w:rPr>
        <w:t xml:space="preserve">his </w:t>
      </w:r>
      <w:r>
        <w:rPr>
          <w:rFonts w:ascii="Verdana" w:hAnsi="Verdana"/>
        </w:rPr>
        <w:t>should be</w:t>
      </w:r>
      <w:r w:rsidRPr="00401A6D">
        <w:rPr>
          <w:rFonts w:ascii="Verdana" w:hAnsi="Verdana"/>
        </w:rPr>
        <w:t xml:space="preserve"> </w:t>
      </w:r>
      <w:r>
        <w:rPr>
          <w:rFonts w:ascii="Verdana" w:hAnsi="Verdana"/>
        </w:rPr>
        <w:t xml:space="preserve">clearly </w:t>
      </w:r>
      <w:r w:rsidRPr="00401A6D">
        <w:rPr>
          <w:rFonts w:ascii="Verdana" w:hAnsi="Verdana"/>
        </w:rPr>
        <w:t>explained to the consumer in a narrative manner.</w:t>
      </w:r>
    </w:p>
    <w:p w:rsidR="00BC4FF4" w:rsidRDefault="00BC4FF4" w:rsidP="00BC4FF4">
      <w:pPr>
        <w:spacing w:after="120"/>
        <w:rPr>
          <w:rFonts w:ascii="Verdana" w:hAnsi="Verdana" w:cs="Arial"/>
        </w:rPr>
      </w:pPr>
      <w:r w:rsidRPr="00401A6D">
        <w:rPr>
          <w:rFonts w:ascii="Verdana" w:hAnsi="Verdana" w:cs="Arial"/>
        </w:rPr>
        <w:t xml:space="preserve">Finally, regarding the proposed guidelines we </w:t>
      </w:r>
      <w:r>
        <w:rPr>
          <w:rFonts w:ascii="Verdana" w:hAnsi="Verdana" w:cs="Arial"/>
        </w:rPr>
        <w:t xml:space="preserve">recommend not to apply the </w:t>
      </w:r>
      <w:r w:rsidRPr="00401A6D">
        <w:rPr>
          <w:rFonts w:ascii="Verdana" w:hAnsi="Verdana" w:cs="Arial"/>
        </w:rPr>
        <w:t>PRIIPs Regulation</w:t>
      </w:r>
      <w:r>
        <w:rPr>
          <w:rFonts w:ascii="Verdana" w:hAnsi="Verdana" w:cs="Arial"/>
        </w:rPr>
        <w:t xml:space="preserve"> before all guidelines are developed and published. Consumers must be able to trust in the information provided with the KIDs, which is not fully available until all provisions for the underlying performance scenarios are known and implemented.</w:t>
      </w:r>
    </w:p>
    <w:permEnd w:id="2013074852"/>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103430800" w:edGrp="everyone"/>
      <w:r>
        <w:t>TYPE YOUR TEXT HERE</w:t>
      </w:r>
    </w:p>
    <w:permEnd w:id="1103430800"/>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982149955" w:edGrp="everyone"/>
      <w:r>
        <w:t>TYPE YOUR TEXT HERE</w:t>
      </w:r>
    </w:p>
    <w:permEnd w:id="982149955"/>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BC4FF4" w:rsidRDefault="00BC4FF4" w:rsidP="00907ED4">
      <w:pPr>
        <w:spacing w:after="120"/>
        <w:rPr>
          <w:rFonts w:ascii="Verdana" w:hAnsi="Verdana"/>
        </w:rPr>
      </w:pPr>
      <w:permStart w:id="1240690723" w:edGrp="everyone"/>
      <w:r>
        <w:rPr>
          <w:rFonts w:ascii="Verdana" w:hAnsi="Verdana"/>
        </w:rPr>
        <w:t xml:space="preserve">To ensure both, </w:t>
      </w:r>
      <w:r w:rsidRPr="00401A6D">
        <w:rPr>
          <w:rFonts w:ascii="Verdana" w:hAnsi="Verdana"/>
        </w:rPr>
        <w:t xml:space="preserve">the comparability of products and </w:t>
      </w:r>
      <w:r>
        <w:rPr>
          <w:rFonts w:ascii="Verdana" w:hAnsi="Verdana"/>
        </w:rPr>
        <w:t xml:space="preserve">a </w:t>
      </w:r>
      <w:r w:rsidRPr="00401A6D">
        <w:rPr>
          <w:rFonts w:ascii="Verdana" w:hAnsi="Verdana"/>
        </w:rPr>
        <w:t>level playing field of manufacturers</w:t>
      </w:r>
      <w:r>
        <w:rPr>
          <w:rFonts w:ascii="Verdana" w:hAnsi="Verdana"/>
        </w:rPr>
        <w:t>,</w:t>
      </w:r>
      <w:r w:rsidRPr="00401A6D">
        <w:rPr>
          <w:rFonts w:ascii="Verdana" w:hAnsi="Verdana"/>
        </w:rPr>
        <w:t xml:space="preserve"> </w:t>
      </w:r>
      <w:r>
        <w:rPr>
          <w:rFonts w:ascii="Verdana" w:hAnsi="Verdana"/>
        </w:rPr>
        <w:t xml:space="preserve">only </w:t>
      </w:r>
      <w:r w:rsidRPr="00401A6D">
        <w:rPr>
          <w:rFonts w:ascii="Verdana" w:hAnsi="Verdana"/>
        </w:rPr>
        <w:t xml:space="preserve">annualised costs </w:t>
      </w:r>
      <w:r>
        <w:rPr>
          <w:rFonts w:ascii="Verdana" w:hAnsi="Verdana"/>
        </w:rPr>
        <w:t xml:space="preserve">in monetary terms </w:t>
      </w:r>
      <w:r w:rsidRPr="00401A6D">
        <w:rPr>
          <w:rFonts w:ascii="Verdana" w:hAnsi="Verdana"/>
        </w:rPr>
        <w:t xml:space="preserve">should be presented together with the Reduction in Yield indicator. </w:t>
      </w:r>
    </w:p>
    <w:p w:rsidR="00BC4FF4" w:rsidRPr="00401A6D" w:rsidRDefault="00BC4FF4" w:rsidP="00907ED4">
      <w:pPr>
        <w:spacing w:after="120"/>
        <w:rPr>
          <w:rFonts w:ascii="Verdana" w:hAnsi="Verdana"/>
        </w:rPr>
      </w:pPr>
      <w:r>
        <w:rPr>
          <w:rFonts w:ascii="Verdana" w:hAnsi="Verdana"/>
        </w:rPr>
        <w:t>T</w:t>
      </w:r>
      <w:r w:rsidRPr="00401A6D">
        <w:rPr>
          <w:rFonts w:ascii="Verdana" w:hAnsi="Verdana"/>
        </w:rPr>
        <w:t xml:space="preserve">he total costs for the whole investment period </w:t>
      </w:r>
      <w:r>
        <w:rPr>
          <w:rFonts w:ascii="Verdana" w:hAnsi="Verdana"/>
        </w:rPr>
        <w:t>do not provide the consumer with appropriate information as they prohibit</w:t>
      </w:r>
      <w:r w:rsidRPr="00401A6D">
        <w:rPr>
          <w:rFonts w:ascii="Verdana" w:hAnsi="Verdana"/>
        </w:rPr>
        <w:t xml:space="preserve"> an effective comparison between, for example, a product with a few months investment period and one characterised by a 30 years investment period. </w:t>
      </w:r>
      <w:r>
        <w:rPr>
          <w:rFonts w:ascii="Verdana" w:hAnsi="Verdana"/>
        </w:rPr>
        <w:t>A</w:t>
      </w:r>
      <w:r w:rsidRPr="00401A6D">
        <w:rPr>
          <w:rFonts w:ascii="Verdana" w:hAnsi="Verdana"/>
        </w:rPr>
        <w:t xml:space="preserve"> product with a longer term would automatically – even if it is cheaper – look more expensive than a product with a shorter term.</w:t>
      </w:r>
    </w:p>
    <w:p w:rsidR="003E4B00" w:rsidRPr="003E4B00" w:rsidRDefault="00BC4FF4" w:rsidP="003E4B00">
      <w:pPr>
        <w:rPr>
          <w:lang w:val="fr-FR"/>
        </w:rPr>
      </w:pPr>
      <w:r w:rsidRPr="00401A6D">
        <w:rPr>
          <w:rFonts w:ascii="Verdana" w:hAnsi="Verdana"/>
        </w:rPr>
        <w:t xml:space="preserve">As regards the method of </w:t>
      </w:r>
      <w:proofErr w:type="spellStart"/>
      <w:r w:rsidRPr="00401A6D">
        <w:rPr>
          <w:rFonts w:ascii="Verdana" w:hAnsi="Verdana"/>
        </w:rPr>
        <w:t>annualisation</w:t>
      </w:r>
      <w:proofErr w:type="spellEnd"/>
      <w:r w:rsidRPr="00401A6D">
        <w:rPr>
          <w:rFonts w:ascii="Verdana" w:hAnsi="Verdana"/>
        </w:rPr>
        <w:t>, it is important that compound interest effect is taken into account</w:t>
      </w:r>
      <w:proofErr w:type="gramStart"/>
      <w:r w:rsidRPr="00401A6D">
        <w:rPr>
          <w:rFonts w:ascii="Verdana" w:hAnsi="Verdana"/>
        </w:rPr>
        <w:t>.</w:t>
      </w:r>
      <w:permEnd w:id="1240690723"/>
      <w:r w:rsidR="003E4B00" w:rsidRPr="00580880">
        <w:rPr>
          <w:lang w:val="fr-FR"/>
        </w:rPr>
        <w:t>&lt;</w:t>
      </w:r>
      <w:proofErr w:type="gramEnd"/>
      <w:r w:rsidR="003E4B00" w:rsidRPr="00580880">
        <w:rPr>
          <w:lang w:val="fr-FR"/>
        </w:rPr>
        <w:t>ESMA_QUESTION_</w:t>
      </w:r>
      <w:r w:rsidR="003E4B00">
        <w:rPr>
          <w:lang w:val="fr-FR"/>
        </w:rPr>
        <w:t>PRIIPS_18</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BC4FF4" w:rsidRPr="00401A6D" w:rsidRDefault="00BC4FF4" w:rsidP="00907ED4">
      <w:pPr>
        <w:spacing w:after="120"/>
        <w:rPr>
          <w:rFonts w:ascii="Verdana" w:hAnsi="Verdana"/>
        </w:rPr>
      </w:pPr>
      <w:permStart w:id="1492788882" w:edGrp="everyone"/>
      <w:r w:rsidRPr="00401A6D">
        <w:rPr>
          <w:rFonts w:ascii="Verdana" w:hAnsi="Verdana"/>
        </w:rPr>
        <w:t xml:space="preserve">The DAV welcomes that the ESAs acknowledge that the aggregation of the investment costs and the full biometric risk premium would be inappropriate. </w:t>
      </w:r>
    </w:p>
    <w:p w:rsidR="00BC4FF4" w:rsidRPr="00401A6D" w:rsidRDefault="00BC4FF4" w:rsidP="00907ED4">
      <w:pPr>
        <w:spacing w:after="120"/>
        <w:rPr>
          <w:rFonts w:ascii="Verdana" w:hAnsi="Verdana"/>
        </w:rPr>
      </w:pPr>
      <w:r w:rsidRPr="00401A6D">
        <w:rPr>
          <w:rFonts w:ascii="Verdana" w:hAnsi="Verdana"/>
        </w:rPr>
        <w:t>From an actuarial viewpoint we would first like to emphasi</w:t>
      </w:r>
      <w:r>
        <w:rPr>
          <w:rFonts w:ascii="Verdana" w:hAnsi="Verdana"/>
        </w:rPr>
        <w:t>s</w:t>
      </w:r>
      <w:r w:rsidRPr="00401A6D">
        <w:rPr>
          <w:rFonts w:ascii="Verdana" w:hAnsi="Verdana"/>
        </w:rPr>
        <w:t>e that considering the full biometric risk premium as cost is not appropriate.</w:t>
      </w:r>
    </w:p>
    <w:p w:rsidR="00BC4FF4" w:rsidRPr="00401A6D" w:rsidRDefault="00BC4FF4" w:rsidP="00907ED4">
      <w:pPr>
        <w:spacing w:after="120"/>
        <w:rPr>
          <w:rFonts w:ascii="Verdana" w:hAnsi="Verdana"/>
        </w:rPr>
      </w:pPr>
      <w:r w:rsidRPr="00401A6D">
        <w:rPr>
          <w:rFonts w:ascii="Verdana" w:hAnsi="Verdana"/>
        </w:rPr>
        <w:t>Premiums for protection against biometric risks are not costs as policyholders receive benefit payments from insurance cover in return for these premiums.</w:t>
      </w:r>
    </w:p>
    <w:p w:rsidR="00BC4FF4" w:rsidRDefault="00BC4FF4" w:rsidP="00907ED4">
      <w:pPr>
        <w:spacing w:after="120"/>
        <w:rPr>
          <w:rFonts w:ascii="Verdana" w:hAnsi="Verdana"/>
        </w:rPr>
      </w:pPr>
      <w:r w:rsidRPr="00401A6D">
        <w:rPr>
          <w:rFonts w:ascii="Verdana" w:hAnsi="Verdana"/>
        </w:rPr>
        <w:t xml:space="preserve">Moreover, these premiums are not linked to the costs of the investment element of life insurance contracts. Therefore, it is </w:t>
      </w:r>
      <w:r>
        <w:rPr>
          <w:rFonts w:ascii="Verdana" w:hAnsi="Verdana"/>
        </w:rPr>
        <w:t>important</w:t>
      </w:r>
      <w:r w:rsidRPr="00401A6D">
        <w:rPr>
          <w:rFonts w:ascii="Verdana" w:hAnsi="Verdana"/>
        </w:rPr>
        <w:t xml:space="preserve"> to display the total price for protection against biometric risks alongside with the total price of the PRIIP in the “What is this product?” section of the PRIIPs KID.</w:t>
      </w:r>
    </w:p>
    <w:p w:rsidR="003E4B00" w:rsidRPr="003E4B00" w:rsidRDefault="00BC4FF4" w:rsidP="003E4B00">
      <w:pPr>
        <w:rPr>
          <w:lang w:val="fr-FR"/>
        </w:rPr>
      </w:pPr>
      <w:r>
        <w:rPr>
          <w:rFonts w:ascii="Verdana" w:hAnsi="Verdana"/>
        </w:rPr>
        <w:t>Separating</w:t>
      </w:r>
      <w:r w:rsidRPr="00502E00">
        <w:rPr>
          <w:rFonts w:ascii="Verdana" w:hAnsi="Verdana"/>
        </w:rPr>
        <w:t xml:space="preserve"> fair value and costs </w:t>
      </w:r>
      <w:r>
        <w:rPr>
          <w:rFonts w:ascii="Verdana" w:hAnsi="Verdana"/>
        </w:rPr>
        <w:t xml:space="preserve">as suggested by the ESAs </w:t>
      </w:r>
      <w:r w:rsidRPr="00502E00">
        <w:rPr>
          <w:rFonts w:ascii="Verdana" w:hAnsi="Verdana"/>
        </w:rPr>
        <w:t xml:space="preserve">is in our view a fall-back solution since this separation is </w:t>
      </w:r>
      <w:r>
        <w:rPr>
          <w:rFonts w:ascii="Verdana" w:hAnsi="Verdana"/>
        </w:rPr>
        <w:t>difficult to understand</w:t>
      </w:r>
      <w:r w:rsidRPr="00502E00">
        <w:rPr>
          <w:rFonts w:ascii="Verdana" w:hAnsi="Verdana"/>
        </w:rPr>
        <w:t xml:space="preserve"> for the retail investor and </w:t>
      </w:r>
      <w:r>
        <w:rPr>
          <w:rFonts w:ascii="Verdana" w:hAnsi="Verdana"/>
        </w:rPr>
        <w:t>prohibit</w:t>
      </w:r>
      <w:r w:rsidRPr="00502E00">
        <w:rPr>
          <w:rFonts w:ascii="Verdana" w:hAnsi="Verdana"/>
        </w:rPr>
        <w:t>s the comparison of investment costs</w:t>
      </w:r>
      <w:proofErr w:type="gramStart"/>
      <w:r>
        <w:rPr>
          <w:rFonts w:ascii="Verdana" w:hAnsi="Verdana"/>
        </w:rPr>
        <w:t>.</w:t>
      </w:r>
      <w:permEnd w:id="1492788882"/>
      <w:r w:rsidR="003E4B00" w:rsidRPr="00580880">
        <w:rPr>
          <w:lang w:val="fr-FR"/>
        </w:rPr>
        <w:t>&lt;</w:t>
      </w:r>
      <w:proofErr w:type="gramEnd"/>
      <w:r w:rsidR="003E4B00" w:rsidRPr="00580880">
        <w:rPr>
          <w:lang w:val="fr-FR"/>
        </w:rPr>
        <w:t>ESMA_QUESTION_</w:t>
      </w:r>
      <w:r w:rsidR="003E4B00">
        <w:rPr>
          <w:lang w:val="fr-FR"/>
        </w:rPr>
        <w:t>PRIIPS_1</w:t>
      </w:r>
      <w:r w:rsidR="00491E49">
        <w:rPr>
          <w:lang w:val="fr-FR"/>
        </w:rPr>
        <w:t>9</w:t>
      </w:r>
      <w:r w:rsidR="003E4B00"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BC4FF4" w:rsidRPr="00401A6D" w:rsidRDefault="00BC4FF4" w:rsidP="00907ED4">
      <w:pPr>
        <w:spacing w:after="120"/>
        <w:rPr>
          <w:rFonts w:ascii="Verdana" w:hAnsi="Verdana"/>
        </w:rPr>
      </w:pPr>
      <w:permStart w:id="1509306396" w:edGrp="everyone"/>
      <w:r w:rsidRPr="00401A6D">
        <w:rPr>
          <w:rFonts w:ascii="Verdana" w:hAnsi="Verdana"/>
        </w:rPr>
        <w:t xml:space="preserve">The DAV welcomes that the ESAs acknowledge that the aggregation of the investment costs and the full biometric risk premium would be inappropriate. </w:t>
      </w:r>
    </w:p>
    <w:p w:rsidR="00BC4FF4" w:rsidRPr="00401A6D" w:rsidRDefault="00BC4FF4" w:rsidP="00907ED4">
      <w:pPr>
        <w:spacing w:after="120"/>
        <w:rPr>
          <w:rFonts w:ascii="Verdana" w:hAnsi="Verdana"/>
        </w:rPr>
      </w:pPr>
      <w:r w:rsidRPr="00401A6D">
        <w:rPr>
          <w:rFonts w:ascii="Verdana" w:hAnsi="Verdana"/>
        </w:rPr>
        <w:t>From an actuarial viewpoint we would first like to emphasi</w:t>
      </w:r>
      <w:r>
        <w:rPr>
          <w:rFonts w:ascii="Verdana" w:hAnsi="Verdana"/>
        </w:rPr>
        <w:t>s</w:t>
      </w:r>
      <w:r w:rsidRPr="00401A6D">
        <w:rPr>
          <w:rFonts w:ascii="Verdana" w:hAnsi="Verdana"/>
        </w:rPr>
        <w:t>e that considering the full biometric risk premium as cost is not appropriate.</w:t>
      </w:r>
    </w:p>
    <w:p w:rsidR="00BC4FF4" w:rsidRPr="00401A6D" w:rsidRDefault="00BC4FF4" w:rsidP="00907ED4">
      <w:pPr>
        <w:spacing w:after="120"/>
        <w:rPr>
          <w:rFonts w:ascii="Verdana" w:hAnsi="Verdana"/>
        </w:rPr>
      </w:pPr>
      <w:r w:rsidRPr="00401A6D">
        <w:rPr>
          <w:rFonts w:ascii="Verdana" w:hAnsi="Verdana"/>
        </w:rPr>
        <w:t>Premiums for protection against biometric risks are not costs as policyholders receive benefit payments from insurance cover in return for these premiums.</w:t>
      </w:r>
    </w:p>
    <w:p w:rsidR="00BC4FF4" w:rsidRDefault="00BC4FF4" w:rsidP="00907ED4">
      <w:pPr>
        <w:spacing w:after="120"/>
        <w:rPr>
          <w:rFonts w:ascii="Verdana" w:hAnsi="Verdana"/>
        </w:rPr>
      </w:pPr>
      <w:r w:rsidRPr="00401A6D">
        <w:rPr>
          <w:rFonts w:ascii="Verdana" w:hAnsi="Verdana"/>
        </w:rPr>
        <w:t xml:space="preserve">Moreover, these premiums are not linked to the costs of the investment element of life insurance contracts. Therefore, it is </w:t>
      </w:r>
      <w:r>
        <w:rPr>
          <w:rFonts w:ascii="Verdana" w:hAnsi="Verdana"/>
        </w:rPr>
        <w:t>important</w:t>
      </w:r>
      <w:r w:rsidRPr="00401A6D">
        <w:rPr>
          <w:rFonts w:ascii="Verdana" w:hAnsi="Verdana"/>
        </w:rPr>
        <w:t xml:space="preserve"> to display the total price for protection against biometric risks alongside with the total price of the PRIIP in the “What is this product?” section of the PRIIPs KID.</w:t>
      </w:r>
    </w:p>
    <w:p w:rsidR="00491E49" w:rsidRPr="003E4B00" w:rsidRDefault="00BC4FF4" w:rsidP="00491E49">
      <w:pPr>
        <w:rPr>
          <w:lang w:val="fr-FR"/>
        </w:rPr>
      </w:pPr>
      <w:r>
        <w:rPr>
          <w:rFonts w:ascii="Verdana" w:hAnsi="Verdana"/>
        </w:rPr>
        <w:t>Separating</w:t>
      </w:r>
      <w:r w:rsidRPr="00502E00">
        <w:rPr>
          <w:rFonts w:ascii="Verdana" w:hAnsi="Verdana"/>
        </w:rPr>
        <w:t xml:space="preserve"> fair value and costs </w:t>
      </w:r>
      <w:r>
        <w:rPr>
          <w:rFonts w:ascii="Verdana" w:hAnsi="Verdana"/>
        </w:rPr>
        <w:t xml:space="preserve">as suggested by the ESAs </w:t>
      </w:r>
      <w:r w:rsidRPr="00502E00">
        <w:rPr>
          <w:rFonts w:ascii="Verdana" w:hAnsi="Verdana"/>
        </w:rPr>
        <w:t xml:space="preserve">is in our view a fall-back solution since this separation is </w:t>
      </w:r>
      <w:r>
        <w:rPr>
          <w:rFonts w:ascii="Verdana" w:hAnsi="Verdana"/>
        </w:rPr>
        <w:t>difficult to understand</w:t>
      </w:r>
      <w:r w:rsidRPr="00502E00">
        <w:rPr>
          <w:rFonts w:ascii="Verdana" w:hAnsi="Verdana"/>
        </w:rPr>
        <w:t xml:space="preserve"> for the retail investor and </w:t>
      </w:r>
      <w:r>
        <w:rPr>
          <w:rFonts w:ascii="Verdana" w:hAnsi="Verdana"/>
        </w:rPr>
        <w:t>prohibit</w:t>
      </w:r>
      <w:r w:rsidRPr="00502E00">
        <w:rPr>
          <w:rFonts w:ascii="Verdana" w:hAnsi="Verdana"/>
        </w:rPr>
        <w:t>s the comparison of investment costs</w:t>
      </w:r>
      <w:proofErr w:type="gramStart"/>
      <w:r>
        <w:rPr>
          <w:rFonts w:ascii="Verdana" w:hAnsi="Verdana"/>
        </w:rPr>
        <w:t>.</w:t>
      </w:r>
      <w:permEnd w:id="1509306396"/>
      <w:r w:rsidR="00491E49" w:rsidRPr="00580880">
        <w:rPr>
          <w:lang w:val="fr-FR"/>
        </w:rPr>
        <w:t>&lt;</w:t>
      </w:r>
      <w:proofErr w:type="gramEnd"/>
      <w:r w:rsidR="00491E49" w:rsidRPr="00580880">
        <w:rPr>
          <w:lang w:val="fr-FR"/>
        </w:rPr>
        <w:t>ESMA_QUESTION_</w:t>
      </w:r>
      <w:r w:rsidR="00491E49">
        <w:rPr>
          <w:lang w:val="fr-FR"/>
        </w:rPr>
        <w:t>PRIIPS_20</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BC4FF4" w:rsidRDefault="00BC4FF4" w:rsidP="00BC4FF4">
      <w:pPr>
        <w:spacing w:after="120"/>
        <w:rPr>
          <w:rFonts w:ascii="Verdana" w:hAnsi="Verdana"/>
        </w:rPr>
      </w:pPr>
      <w:permStart w:id="724205400" w:edGrp="everyone"/>
      <w:r>
        <w:rPr>
          <w:rFonts w:ascii="Verdana" w:hAnsi="Verdana"/>
        </w:rPr>
        <w:t xml:space="preserve">First, </w:t>
      </w:r>
      <w:r w:rsidRPr="00401A6D">
        <w:rPr>
          <w:rFonts w:ascii="Verdana" w:hAnsi="Verdana"/>
        </w:rPr>
        <w:t xml:space="preserve">we would like to </w:t>
      </w:r>
      <w:r>
        <w:rPr>
          <w:rFonts w:ascii="Verdana" w:hAnsi="Verdana"/>
        </w:rPr>
        <w:t>draw the attention</w:t>
      </w:r>
      <w:r w:rsidRPr="00401A6D">
        <w:rPr>
          <w:rFonts w:ascii="Verdana" w:hAnsi="Verdana"/>
        </w:rPr>
        <w:t xml:space="preserve"> to the </w:t>
      </w:r>
      <w:r>
        <w:rPr>
          <w:rFonts w:ascii="Verdana" w:hAnsi="Verdana"/>
        </w:rPr>
        <w:t>differences</w:t>
      </w:r>
      <w:r w:rsidRPr="00401A6D">
        <w:rPr>
          <w:rFonts w:ascii="Verdana" w:hAnsi="Verdana"/>
        </w:rPr>
        <w:t xml:space="preserve"> in the visual representation of the</w:t>
      </w:r>
      <w:r>
        <w:rPr>
          <w:rFonts w:ascii="Verdana" w:hAnsi="Verdana"/>
        </w:rPr>
        <w:t xml:space="preserve"> risk class and costs of PRIIPs as </w:t>
      </w:r>
      <w:r w:rsidRPr="00401A6D">
        <w:rPr>
          <w:rFonts w:ascii="Verdana" w:hAnsi="Verdana"/>
        </w:rPr>
        <w:t>suggested by the ESAs</w:t>
      </w:r>
      <w:r>
        <w:rPr>
          <w:rFonts w:ascii="Verdana" w:hAnsi="Verdana"/>
        </w:rPr>
        <w:t>:</w:t>
      </w:r>
      <w:r w:rsidRPr="00401A6D">
        <w:rPr>
          <w:rFonts w:ascii="Verdana" w:hAnsi="Verdana"/>
        </w:rPr>
        <w:t xml:space="preserve"> </w:t>
      </w:r>
      <w:r>
        <w:rPr>
          <w:rFonts w:ascii="Verdana" w:hAnsi="Verdana"/>
        </w:rPr>
        <w:t>While</w:t>
      </w:r>
      <w:r w:rsidRPr="00401A6D">
        <w:rPr>
          <w:rFonts w:ascii="Verdana" w:hAnsi="Verdana"/>
        </w:rPr>
        <w:t xml:space="preserve"> the risk indicator includes only one number corresponding to the total risk of the product and is easy to </w:t>
      </w:r>
      <w:r>
        <w:rPr>
          <w:rFonts w:ascii="Verdana" w:hAnsi="Verdana"/>
        </w:rPr>
        <w:t>understand</w:t>
      </w:r>
      <w:r w:rsidRPr="00401A6D">
        <w:rPr>
          <w:rFonts w:ascii="Verdana" w:hAnsi="Verdana"/>
        </w:rPr>
        <w:t xml:space="preserve"> for </w:t>
      </w:r>
      <w:r>
        <w:rPr>
          <w:rFonts w:ascii="Verdana" w:hAnsi="Verdana"/>
        </w:rPr>
        <w:t>consumers,</w:t>
      </w:r>
      <w:r w:rsidRPr="00401A6D">
        <w:rPr>
          <w:rFonts w:ascii="Verdana" w:hAnsi="Verdana"/>
        </w:rPr>
        <w:t xml:space="preserve"> </w:t>
      </w:r>
      <w:r>
        <w:rPr>
          <w:rFonts w:ascii="Verdana" w:hAnsi="Verdana"/>
        </w:rPr>
        <w:t xml:space="preserve">the costs are displayed in </w:t>
      </w:r>
      <w:r w:rsidRPr="00401A6D">
        <w:rPr>
          <w:rFonts w:ascii="Verdana" w:hAnsi="Verdana"/>
        </w:rPr>
        <w:t xml:space="preserve">two tables which not only exceed the requirements of level 1 text but also include 15 numbers in the first table and five numbers in the second table. </w:t>
      </w:r>
    </w:p>
    <w:p w:rsidR="00BC4FF4" w:rsidRDefault="00BC4FF4" w:rsidP="00BC4FF4">
      <w:pPr>
        <w:spacing w:after="120"/>
        <w:rPr>
          <w:rFonts w:ascii="Verdana" w:hAnsi="Verdana"/>
        </w:rPr>
      </w:pPr>
      <w:r>
        <w:rPr>
          <w:rFonts w:ascii="Verdana" w:hAnsi="Verdana"/>
        </w:rPr>
        <w:t xml:space="preserve">It is highly questionable whether the consumer understands this abundance of information and is able to detect the key information on the costs till maturity of the product. Therefore, we urge the ESAs to reduce the complexity of information on costs and to aim at simplification and </w:t>
      </w:r>
      <w:proofErr w:type="spellStart"/>
      <w:r>
        <w:rPr>
          <w:rFonts w:ascii="Verdana" w:hAnsi="Verdana"/>
        </w:rPr>
        <w:t>understandability</w:t>
      </w:r>
      <w:proofErr w:type="spellEnd"/>
      <w:r>
        <w:rPr>
          <w:rFonts w:ascii="Verdana" w:hAnsi="Verdana"/>
        </w:rPr>
        <w:t>.</w:t>
      </w:r>
    </w:p>
    <w:p w:rsidR="00BC4FF4" w:rsidRDefault="00BC4FF4" w:rsidP="00BC4FF4">
      <w:pPr>
        <w:spacing w:after="120"/>
        <w:rPr>
          <w:rFonts w:ascii="Verdana" w:hAnsi="Verdana"/>
        </w:rPr>
      </w:pPr>
      <w:r w:rsidRPr="00401A6D">
        <w:rPr>
          <w:rFonts w:ascii="Verdana" w:hAnsi="Verdana"/>
        </w:rPr>
        <w:t xml:space="preserve">Second, the </w:t>
      </w:r>
      <w:r>
        <w:rPr>
          <w:rFonts w:ascii="Verdana" w:hAnsi="Verdana"/>
        </w:rPr>
        <w:t xml:space="preserve">PRIIPs Regulation on the </w:t>
      </w:r>
      <w:r w:rsidRPr="00401A6D">
        <w:rPr>
          <w:rFonts w:ascii="Verdana" w:hAnsi="Verdana"/>
        </w:rPr>
        <w:t>structure of the KID</w:t>
      </w:r>
      <w:r>
        <w:rPr>
          <w:rFonts w:ascii="Verdana" w:hAnsi="Verdana"/>
        </w:rPr>
        <w:t xml:space="preserve"> and ESAs proposal are not in line: The Regulation clearly separates the sections </w:t>
      </w:r>
      <w:r w:rsidRPr="00401A6D">
        <w:rPr>
          <w:rFonts w:ascii="Verdana" w:hAnsi="Verdana"/>
        </w:rPr>
        <w:t>‘What is this product?’</w:t>
      </w:r>
      <w:r>
        <w:rPr>
          <w:rFonts w:ascii="Verdana" w:hAnsi="Verdana"/>
        </w:rPr>
        <w:t xml:space="preserve"> with the assumption of a regular holding period and </w:t>
      </w:r>
      <w:r w:rsidRPr="00401A6D">
        <w:rPr>
          <w:rFonts w:ascii="Verdana" w:hAnsi="Verdana"/>
        </w:rPr>
        <w:t>‘How long should I hold it and can I take money out early?</w:t>
      </w:r>
      <w:proofErr w:type="gramStart"/>
      <w:r>
        <w:rPr>
          <w:rFonts w:ascii="Verdana" w:hAnsi="Verdana"/>
        </w:rPr>
        <w:t>’.</w:t>
      </w:r>
      <w:proofErr w:type="gramEnd"/>
      <w:r>
        <w:rPr>
          <w:rFonts w:ascii="Verdana" w:hAnsi="Verdana"/>
        </w:rPr>
        <w:t xml:space="preserve"> </w:t>
      </w:r>
      <w:r w:rsidRPr="00401A6D">
        <w:rPr>
          <w:rFonts w:ascii="Verdana" w:hAnsi="Verdana"/>
        </w:rPr>
        <w:t xml:space="preserve">Therefore intermediate values of the product should be included </w:t>
      </w:r>
      <w:r>
        <w:rPr>
          <w:rFonts w:ascii="Verdana" w:hAnsi="Verdana"/>
        </w:rPr>
        <w:t xml:space="preserve">only </w:t>
      </w:r>
      <w:r w:rsidRPr="00401A6D">
        <w:rPr>
          <w:rFonts w:ascii="Verdana" w:hAnsi="Verdana"/>
        </w:rPr>
        <w:t xml:space="preserve">in the section on </w:t>
      </w:r>
      <w:r>
        <w:rPr>
          <w:rFonts w:ascii="Verdana" w:hAnsi="Verdana"/>
        </w:rPr>
        <w:t xml:space="preserve">the </w:t>
      </w:r>
      <w:r w:rsidRPr="00401A6D">
        <w:rPr>
          <w:rFonts w:ascii="Verdana" w:hAnsi="Verdana"/>
        </w:rPr>
        <w:t>surrender value of the product.</w:t>
      </w:r>
    </w:p>
    <w:p w:rsidR="00BC4FF4" w:rsidRPr="00401A6D" w:rsidRDefault="00BC4FF4" w:rsidP="00BC4FF4">
      <w:pPr>
        <w:spacing w:after="120"/>
        <w:rPr>
          <w:rFonts w:ascii="Verdana" w:hAnsi="Verdana"/>
        </w:rPr>
      </w:pPr>
      <w:r w:rsidRPr="00401A6D">
        <w:rPr>
          <w:rFonts w:ascii="Verdana" w:hAnsi="Verdana"/>
        </w:rPr>
        <w:t>To ensure con</w:t>
      </w:r>
      <w:r>
        <w:rPr>
          <w:rFonts w:ascii="Verdana" w:hAnsi="Verdana"/>
        </w:rPr>
        <w:t>sistency with the Regulation as well as</w:t>
      </w:r>
      <w:r w:rsidRPr="00401A6D">
        <w:rPr>
          <w:rFonts w:ascii="Verdana" w:hAnsi="Verdana"/>
        </w:rPr>
        <w:t xml:space="preserve"> </w:t>
      </w:r>
      <w:proofErr w:type="spellStart"/>
      <w:r w:rsidRPr="00401A6D">
        <w:rPr>
          <w:rFonts w:ascii="Verdana" w:hAnsi="Verdana"/>
        </w:rPr>
        <w:t>understandability</w:t>
      </w:r>
      <w:proofErr w:type="spellEnd"/>
      <w:r w:rsidRPr="00401A6D">
        <w:rPr>
          <w:rFonts w:ascii="Verdana" w:hAnsi="Verdana"/>
        </w:rPr>
        <w:t xml:space="preserve"> and comparability of information for consumers, </w:t>
      </w:r>
      <w:r>
        <w:rPr>
          <w:rFonts w:ascii="Verdana" w:hAnsi="Verdana"/>
        </w:rPr>
        <w:t xml:space="preserve">we recommend displaying </w:t>
      </w:r>
      <w:r w:rsidRPr="00401A6D">
        <w:rPr>
          <w:rFonts w:ascii="Verdana" w:hAnsi="Verdana"/>
        </w:rPr>
        <w:t>the following cost figures:</w:t>
      </w:r>
    </w:p>
    <w:p w:rsidR="00BC4FF4" w:rsidRPr="00401A6D" w:rsidRDefault="00BC4FF4" w:rsidP="00BC4FF4">
      <w:pPr>
        <w:numPr>
          <w:ilvl w:val="0"/>
          <w:numId w:val="44"/>
        </w:numPr>
        <w:spacing w:after="120"/>
        <w:rPr>
          <w:rFonts w:ascii="Verdana" w:hAnsi="Verdana"/>
        </w:rPr>
      </w:pPr>
      <w:r w:rsidRPr="00401A6D">
        <w:rPr>
          <w:rFonts w:ascii="Verdana" w:hAnsi="Verdana"/>
        </w:rPr>
        <w:t>RIY for the holding period of the contract, which shows the total impact of costs in percent and includes all costs: direct and indirect, one-off and recurring costs;</w:t>
      </w:r>
    </w:p>
    <w:p w:rsidR="00BC4FF4" w:rsidRPr="00401A6D" w:rsidRDefault="00BC4FF4" w:rsidP="00BC4FF4">
      <w:pPr>
        <w:numPr>
          <w:ilvl w:val="0"/>
          <w:numId w:val="44"/>
        </w:numPr>
        <w:spacing w:after="120"/>
        <w:rPr>
          <w:rFonts w:ascii="Verdana" w:hAnsi="Verdana"/>
        </w:rPr>
      </w:pPr>
      <w:r>
        <w:rPr>
          <w:rFonts w:ascii="Verdana" w:hAnsi="Verdana"/>
        </w:rPr>
        <w:t>A</w:t>
      </w:r>
      <w:r w:rsidRPr="00401A6D">
        <w:rPr>
          <w:rFonts w:ascii="Verdana" w:hAnsi="Verdana"/>
        </w:rPr>
        <w:t>nnualised total costs in monetary terms.</w:t>
      </w:r>
    </w:p>
    <w:permEnd w:id="724205400"/>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547755329" w:edGrp="everyone"/>
      <w:r>
        <w:t>TYPE YOUR TEXT HERE</w:t>
      </w:r>
    </w:p>
    <w:permEnd w:id="547755329"/>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1266559136" w:edGrp="everyone"/>
      <w:r>
        <w:t>TYPE YOUR TEXT HERE</w:t>
      </w:r>
    </w:p>
    <w:permEnd w:id="1266559136"/>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211510522" w:edGrp="everyone"/>
      <w:r>
        <w:t>TYPE YOUR TEXT HERE</w:t>
      </w:r>
    </w:p>
    <w:permEnd w:id="211510522"/>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967727124" w:edGrp="everyone"/>
      <w:r>
        <w:t>TYPE YOUR TEXT HERE</w:t>
      </w:r>
    </w:p>
    <w:permEnd w:id="967727124"/>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1480395424" w:edGrp="everyone"/>
      <w:r>
        <w:t>TYPE YOUR TEXT HERE</w:t>
      </w:r>
    </w:p>
    <w:permEnd w:id="1480395424"/>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1383032817" w:edGrp="everyone"/>
      <w:r>
        <w:t>TYPE YOUR TEXT HERE</w:t>
      </w:r>
    </w:p>
    <w:permEnd w:id="1383032817"/>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BC4FF4" w:rsidRDefault="00BC4FF4" w:rsidP="00907ED4">
      <w:pPr>
        <w:spacing w:after="120"/>
        <w:rPr>
          <w:rFonts w:ascii="Verdana" w:hAnsi="Verdana"/>
        </w:rPr>
      </w:pPr>
      <w:permStart w:id="1065041802" w:edGrp="everyone"/>
      <w:r w:rsidRPr="00401A6D">
        <w:rPr>
          <w:rFonts w:ascii="Verdana" w:hAnsi="Verdana"/>
        </w:rPr>
        <w:t>The German actuaries are very concerned about the extremely short period provided to implement the KID for PRIIPs.</w:t>
      </w:r>
      <w:r>
        <w:rPr>
          <w:rFonts w:ascii="Verdana" w:hAnsi="Verdana"/>
        </w:rPr>
        <w:t xml:space="preserve"> Comparable experience with a product information document for a German old-age provision product called “</w:t>
      </w:r>
      <w:proofErr w:type="spellStart"/>
      <w:r>
        <w:rPr>
          <w:rFonts w:ascii="Verdana" w:hAnsi="Verdana"/>
        </w:rPr>
        <w:t>Riester-Rente</w:t>
      </w:r>
      <w:proofErr w:type="spellEnd"/>
      <w:r>
        <w:rPr>
          <w:rFonts w:ascii="Verdana" w:hAnsi="Verdana"/>
        </w:rPr>
        <w:t>” offered by various manufacturers in the German finance industry and its implementation gives a sound background to point out that three</w:t>
      </w:r>
      <w:r w:rsidRPr="00401A6D">
        <w:rPr>
          <w:rFonts w:ascii="Verdana" w:hAnsi="Verdana"/>
        </w:rPr>
        <w:t xml:space="preserve"> to </w:t>
      </w:r>
      <w:r>
        <w:rPr>
          <w:rFonts w:ascii="Verdana" w:hAnsi="Verdana"/>
        </w:rPr>
        <w:t>four</w:t>
      </w:r>
      <w:r w:rsidRPr="00401A6D">
        <w:rPr>
          <w:rFonts w:ascii="Verdana" w:hAnsi="Verdana"/>
        </w:rPr>
        <w:t xml:space="preserve"> months for the industry to implement the KID</w:t>
      </w:r>
      <w:r>
        <w:rPr>
          <w:rFonts w:ascii="Verdana" w:hAnsi="Verdana"/>
        </w:rPr>
        <w:t xml:space="preserve"> </w:t>
      </w:r>
      <w:r w:rsidRPr="00401A6D">
        <w:rPr>
          <w:rFonts w:ascii="Verdana" w:hAnsi="Verdana"/>
        </w:rPr>
        <w:t>is unrealistic</w:t>
      </w:r>
      <w:r>
        <w:rPr>
          <w:rFonts w:ascii="Verdana" w:hAnsi="Verdana"/>
        </w:rPr>
        <w:t xml:space="preserve">. </w:t>
      </w:r>
      <w:r w:rsidRPr="00401A6D">
        <w:rPr>
          <w:rFonts w:ascii="Verdana" w:hAnsi="Verdana"/>
        </w:rPr>
        <w:t>Manufacturers will need more time to develop and implement methods which will result in trustworthy, meaningful, comparable, and stable information for consumers.</w:t>
      </w:r>
    </w:p>
    <w:p w:rsidR="00BC4FF4" w:rsidRPr="00401A6D" w:rsidRDefault="00BC4FF4" w:rsidP="00907ED4">
      <w:pPr>
        <w:spacing w:after="120"/>
        <w:rPr>
          <w:rFonts w:ascii="Verdana" w:hAnsi="Verdana"/>
        </w:rPr>
      </w:pPr>
      <w:r w:rsidRPr="00401A6D">
        <w:rPr>
          <w:rFonts w:ascii="Verdana" w:hAnsi="Verdana"/>
        </w:rPr>
        <w:t xml:space="preserve">The DAV, therefore, calls for a one-year extension of the PRIIPs implementation deadline in order to allow the industry to effectively implement the KID. </w:t>
      </w:r>
    </w:p>
    <w:p w:rsidR="00491E49" w:rsidRPr="00491E49" w:rsidRDefault="00BC4FF4" w:rsidP="00491E49">
      <w:pPr>
        <w:rPr>
          <w:lang w:val="fr-FR"/>
        </w:rPr>
      </w:pPr>
      <w:r w:rsidRPr="00401A6D">
        <w:rPr>
          <w:rFonts w:ascii="Verdana" w:hAnsi="Verdana"/>
        </w:rPr>
        <w:t>Furthermore, the DAV would like to highlight its key messages on the key information that are reflected throughout the paper</w:t>
      </w:r>
      <w:proofErr w:type="gramStart"/>
      <w:r w:rsidRPr="00401A6D">
        <w:rPr>
          <w:rFonts w:ascii="Verdana" w:hAnsi="Verdana"/>
        </w:rPr>
        <w:t>.</w:t>
      </w:r>
      <w:permEnd w:id="1065041802"/>
      <w:r w:rsidR="00491E49" w:rsidRPr="00580880">
        <w:rPr>
          <w:lang w:val="fr-FR"/>
        </w:rPr>
        <w:t>&lt;</w:t>
      </w:r>
      <w:proofErr w:type="gramEnd"/>
      <w:r w:rsidR="00491E49" w:rsidRPr="00580880">
        <w:rPr>
          <w:lang w:val="fr-FR"/>
        </w:rPr>
        <w:t>ESMA_QUESTION_</w:t>
      </w:r>
      <w:r w:rsidR="00491E49">
        <w:rPr>
          <w:lang w:val="fr-FR"/>
        </w:rPr>
        <w:t>PRIIPS_28</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58" w:rsidRDefault="00A77258">
      <w:r>
        <w:separator/>
      </w:r>
    </w:p>
    <w:p w:rsidR="00A77258" w:rsidRDefault="00A77258"/>
  </w:endnote>
  <w:endnote w:type="continuationSeparator" w:id="0">
    <w:p w:rsidR="00A77258" w:rsidRDefault="00A77258">
      <w:r>
        <w:continuationSeparator/>
      </w:r>
    </w:p>
    <w:p w:rsidR="00A77258" w:rsidRDefault="00A77258"/>
  </w:endnote>
  <w:endnote w:type="continuationNotice" w:id="1">
    <w:p w:rsidR="00A77258" w:rsidRDefault="00A7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D17E0">
            <w:rPr>
              <w:rFonts w:cs="Arial"/>
              <w:noProof/>
              <w:sz w:val="22"/>
              <w:szCs w:val="22"/>
            </w:rPr>
            <w:t>14</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58" w:rsidRDefault="00A77258">
      <w:r>
        <w:separator/>
      </w:r>
    </w:p>
    <w:p w:rsidR="00A77258" w:rsidRDefault="00A77258"/>
  </w:footnote>
  <w:footnote w:type="continuationSeparator" w:id="0">
    <w:p w:rsidR="00A77258" w:rsidRDefault="00A77258">
      <w:r>
        <w:continuationSeparator/>
      </w:r>
    </w:p>
    <w:p w:rsidR="00A77258" w:rsidRDefault="00A77258"/>
  </w:footnote>
  <w:footnote w:type="continuationNotice" w:id="1">
    <w:p w:rsidR="00A77258" w:rsidRDefault="00A77258"/>
  </w:footnote>
  <w:footnote w:id="2">
    <w:tbl>
      <w:tblPr>
        <w:tblW w:w="0" w:type="auto"/>
        <w:tblInd w:w="-108" w:type="dxa"/>
        <w:tblBorders>
          <w:top w:val="nil"/>
          <w:left w:val="nil"/>
          <w:bottom w:val="nil"/>
          <w:right w:val="nil"/>
        </w:tblBorders>
        <w:tblLayout w:type="fixed"/>
        <w:tblLook w:val="0000" w:firstRow="0" w:lastRow="0" w:firstColumn="0" w:lastColumn="0" w:noHBand="0" w:noVBand="0"/>
      </w:tblPr>
      <w:tblGrid>
        <w:gridCol w:w="9122"/>
      </w:tblGrid>
      <w:tr w:rsidR="00BC4FF4" w:rsidRPr="00012CE3">
        <w:trPr>
          <w:trHeight w:val="1046"/>
        </w:trPr>
        <w:tc>
          <w:tcPr>
            <w:tcW w:w="9122" w:type="dxa"/>
          </w:tcPr>
          <w:p w:rsidR="00BC4FF4" w:rsidRPr="00CD0EB8" w:rsidRDefault="00BC4FF4" w:rsidP="00CD0EB8">
            <w:pPr>
              <w:autoSpaceDE w:val="0"/>
              <w:autoSpaceDN w:val="0"/>
              <w:adjustRightInd w:val="0"/>
              <w:rPr>
                <w:rFonts w:ascii="Times New Roman" w:hAnsi="Times New Roman"/>
                <w:color w:val="000000"/>
                <w:sz w:val="23"/>
                <w:szCs w:val="23"/>
                <w:lang w:val="en-US"/>
              </w:rPr>
            </w:pPr>
            <w:r>
              <w:rPr>
                <w:rStyle w:val="Funotenzeichen"/>
              </w:rPr>
              <w:footnoteRef/>
            </w:r>
            <w:r w:rsidRPr="008E0C3C">
              <w:t xml:space="preserve"> </w:t>
            </w:r>
            <w:proofErr w:type="spellStart"/>
            <w:r w:rsidRPr="00CD0EB8">
              <w:rPr>
                <w:rFonts w:ascii="Verdana" w:hAnsi="Verdana"/>
                <w:color w:val="000000"/>
                <w:sz w:val="18"/>
                <w:szCs w:val="18"/>
                <w:lang w:val="en-US"/>
              </w:rPr>
              <w:t>Daníelsson</w:t>
            </w:r>
            <w:proofErr w:type="spellEnd"/>
            <w:r w:rsidRPr="00CD0EB8">
              <w:rPr>
                <w:rFonts w:ascii="Verdana" w:hAnsi="Verdana"/>
                <w:color w:val="000000"/>
                <w:sz w:val="18"/>
                <w:szCs w:val="18"/>
                <w:lang w:val="en-US"/>
              </w:rPr>
              <w:t xml:space="preserve">, J., </w:t>
            </w:r>
            <w:proofErr w:type="spellStart"/>
            <w:r w:rsidRPr="00CD0EB8">
              <w:rPr>
                <w:rFonts w:ascii="Verdana" w:hAnsi="Verdana"/>
                <w:color w:val="000000"/>
                <w:sz w:val="18"/>
                <w:szCs w:val="18"/>
                <w:lang w:val="en-US"/>
              </w:rPr>
              <w:t>Embrechts</w:t>
            </w:r>
            <w:proofErr w:type="spellEnd"/>
            <w:r w:rsidRPr="00CD0EB8">
              <w:rPr>
                <w:rFonts w:ascii="Verdana" w:hAnsi="Verdana"/>
                <w:color w:val="000000"/>
                <w:sz w:val="18"/>
                <w:szCs w:val="18"/>
                <w:lang w:val="en-US"/>
              </w:rPr>
              <w:t xml:space="preserve">, P., </w:t>
            </w:r>
            <w:proofErr w:type="spellStart"/>
            <w:r w:rsidRPr="00CD0EB8">
              <w:rPr>
                <w:rFonts w:ascii="Verdana" w:hAnsi="Verdana"/>
                <w:color w:val="000000"/>
                <w:sz w:val="18"/>
                <w:szCs w:val="18"/>
                <w:lang w:val="en-US"/>
              </w:rPr>
              <w:t>Goodhart</w:t>
            </w:r>
            <w:proofErr w:type="spellEnd"/>
            <w:r w:rsidRPr="00CD0EB8">
              <w:rPr>
                <w:rFonts w:ascii="Verdana" w:hAnsi="Verdana"/>
                <w:color w:val="000000"/>
                <w:sz w:val="18"/>
                <w:szCs w:val="18"/>
                <w:lang w:val="en-US"/>
              </w:rPr>
              <w:t xml:space="preserve">, C., Keating, C., </w:t>
            </w:r>
            <w:proofErr w:type="spellStart"/>
            <w:r w:rsidRPr="00CD0EB8">
              <w:rPr>
                <w:rFonts w:ascii="Verdana" w:hAnsi="Verdana"/>
                <w:color w:val="000000"/>
                <w:sz w:val="18"/>
                <w:szCs w:val="18"/>
                <w:lang w:val="en-US"/>
              </w:rPr>
              <w:t>Muennich</w:t>
            </w:r>
            <w:proofErr w:type="spellEnd"/>
            <w:r w:rsidRPr="00CD0EB8">
              <w:rPr>
                <w:rFonts w:ascii="Verdana" w:hAnsi="Verdana"/>
                <w:color w:val="000000"/>
                <w:sz w:val="18"/>
                <w:szCs w:val="18"/>
                <w:lang w:val="en-US"/>
              </w:rPr>
              <w:t xml:space="preserve">, F., Renault, O. and Shin, H. (2001). An Academic Response to Basel II. </w:t>
            </w:r>
            <w:r w:rsidRPr="00CD0EB8">
              <w:rPr>
                <w:rFonts w:ascii="Verdana" w:hAnsi="Verdana"/>
                <w:i/>
                <w:iCs/>
                <w:color w:val="000000"/>
                <w:sz w:val="18"/>
                <w:szCs w:val="18"/>
                <w:lang w:val="en-US"/>
              </w:rPr>
              <w:t xml:space="preserve">Available at </w:t>
            </w:r>
            <w:r w:rsidRPr="00CD0EB8">
              <w:rPr>
                <w:rFonts w:ascii="Verdana" w:hAnsi="Verdana"/>
                <w:i/>
                <w:iCs/>
                <w:color w:val="0000FF"/>
                <w:sz w:val="18"/>
                <w:szCs w:val="18"/>
                <w:lang w:val="en-US"/>
              </w:rPr>
              <w:t>http://www.lse.ac.uk/fmg/documents/specialPapers/2001/sp130.pdf</w:t>
            </w:r>
            <w:r w:rsidRPr="00CD0EB8">
              <w:rPr>
                <w:rFonts w:ascii="Verdana" w:hAnsi="Verdana"/>
                <w:color w:val="000000"/>
                <w:sz w:val="18"/>
                <w:szCs w:val="18"/>
                <w:lang w:val="en-US"/>
              </w:rPr>
              <w:t>.</w:t>
            </w:r>
            <w:r w:rsidRPr="00CD0EB8">
              <w:rPr>
                <w:rFonts w:ascii="Times New Roman" w:hAnsi="Times New Roman"/>
                <w:color w:val="000000"/>
                <w:sz w:val="23"/>
                <w:szCs w:val="23"/>
                <w:lang w:val="en-US"/>
              </w:rPr>
              <w:t xml:space="preserve"> </w:t>
            </w:r>
          </w:p>
        </w:tc>
      </w:tr>
    </w:tbl>
    <w:p w:rsidR="00BC4FF4" w:rsidRPr="00CD0EB8" w:rsidRDefault="00BC4FF4" w:rsidP="00BC4FF4">
      <w:pPr>
        <w:pStyle w:val="Funoten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3EC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F8B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0736B"/>
    <w:multiLevelType w:val="hybridMultilevel"/>
    <w:tmpl w:val="49CA1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2F029F"/>
    <w:multiLevelType w:val="hybridMultilevel"/>
    <w:tmpl w:val="920424AA"/>
    <w:lvl w:ilvl="0" w:tplc="DBFAC4DE">
      <w:start w:val="1"/>
      <w:numFmt w:val="low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4DB24DA"/>
    <w:multiLevelType w:val="hybridMultilevel"/>
    <w:tmpl w:val="27D8F8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1A595F"/>
    <w:multiLevelType w:val="hybridMultilevel"/>
    <w:tmpl w:val="C53AF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C554B93"/>
    <w:multiLevelType w:val="hybridMultilevel"/>
    <w:tmpl w:val="49CA1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E2C3E"/>
    <w:multiLevelType w:val="hybridMultilevel"/>
    <w:tmpl w:val="49CA1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9"/>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5"/>
  </w:num>
  <w:num w:numId="15">
    <w:abstractNumId w:val="11"/>
  </w:num>
  <w:num w:numId="16">
    <w:abstractNumId w:val="1"/>
  </w:num>
  <w:num w:numId="17">
    <w:abstractNumId w:val="16"/>
  </w:num>
  <w:num w:numId="18">
    <w:abstractNumId w:val="17"/>
  </w:num>
  <w:num w:numId="19">
    <w:abstractNumId w:val="19"/>
  </w:num>
  <w:num w:numId="20">
    <w:abstractNumId w:val="31"/>
  </w:num>
  <w:num w:numId="21">
    <w:abstractNumId w:val="42"/>
  </w:num>
  <w:num w:numId="22">
    <w:abstractNumId w:val="27"/>
  </w:num>
  <w:num w:numId="23">
    <w:abstractNumId w:val="10"/>
  </w:num>
  <w:num w:numId="24">
    <w:abstractNumId w:val="34"/>
  </w:num>
  <w:num w:numId="25">
    <w:abstractNumId w:val="33"/>
  </w:num>
  <w:num w:numId="26">
    <w:abstractNumId w:val="21"/>
  </w:num>
  <w:num w:numId="27">
    <w:abstractNumId w:val="37"/>
  </w:num>
  <w:num w:numId="28">
    <w:abstractNumId w:val="44"/>
  </w:num>
  <w:num w:numId="29">
    <w:abstractNumId w:val="8"/>
  </w:num>
  <w:num w:numId="30">
    <w:abstractNumId w:val="3"/>
  </w:num>
  <w:num w:numId="31">
    <w:abstractNumId w:val="24"/>
  </w:num>
  <w:num w:numId="32">
    <w:abstractNumId w:val="2"/>
  </w:num>
  <w:num w:numId="33">
    <w:abstractNumId w:val="6"/>
  </w:num>
  <w:num w:numId="34">
    <w:abstractNumId w:val="22"/>
  </w:num>
  <w:num w:numId="35">
    <w:abstractNumId w:val="40"/>
  </w:num>
  <w:num w:numId="36">
    <w:abstractNumId w:val="39"/>
  </w:num>
  <w:num w:numId="37">
    <w:abstractNumId w:val="14"/>
  </w:num>
  <w:num w:numId="38">
    <w:abstractNumId w:val="23"/>
  </w:num>
  <w:num w:numId="39">
    <w:abstractNumId w:val="28"/>
  </w:num>
  <w:num w:numId="40">
    <w:abstractNumId w:val="12"/>
  </w:num>
  <w:num w:numId="41">
    <w:abstractNumId w:val="7"/>
  </w:num>
  <w:num w:numId="42">
    <w:abstractNumId w:val="38"/>
  </w:num>
  <w:num w:numId="43">
    <w:abstractNumId w:val="41"/>
  </w:num>
  <w:num w:numId="4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1D"/>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24"/>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7E0"/>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4FF4"/>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5:docId w15:val="{B6AC025C-06CB-4EEA-86BB-E41A498B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enabsatz"/>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Absatz-Standardschriftar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3362-49E9-4F98-A459-72CFA216DA5D}">
  <ds:schemaRefs>
    <ds:schemaRef ds:uri="http://schemas.openxmlformats.org/officeDocument/2006/bibliography"/>
  </ds:schemaRefs>
</ds:datastoreItem>
</file>

<file path=customXml/itemProps2.xml><?xml version="1.0" encoding="utf-8"?>
<ds:datastoreItem xmlns:ds="http://schemas.openxmlformats.org/officeDocument/2006/customXml" ds:itemID="{968959FF-13E8-4EB5-8A1E-99AD49F3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5276</Words>
  <Characters>29057</Characters>
  <Application>Microsoft Office Word</Application>
  <DocSecurity>8</DocSecurity>
  <Lines>242</Lines>
  <Paragraphs>68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34265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Birgit Kaiser</cp:lastModifiedBy>
  <cp:revision>4</cp:revision>
  <cp:lastPrinted>2015-02-18T11:01:00Z</cp:lastPrinted>
  <dcterms:created xsi:type="dcterms:W3CDTF">2016-01-27T10:52:00Z</dcterms:created>
  <dcterms:modified xsi:type="dcterms:W3CDTF">2016-01-27T11:14:00Z</dcterms:modified>
</cp:coreProperties>
</file>