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E369E6" w:rsidRPr="000A7CD6" w:rsidRDefault="00E369E6" w:rsidP="004D55A7">
      <w:permStart w:id="30088270" w:edGrp="everyone"/>
      <w:r w:rsidRPr="000A7CD6">
        <w:t xml:space="preserve">BIPAR is the European Federation of Insurance and Financial Intermediaries. It groups 52 national associations in 30 countries. Through its national associations, BIPAR represents the interests of insurance agents and brokers and financial intermediaries in Europe.  </w:t>
      </w:r>
    </w:p>
    <w:p w:rsidR="00E369E6" w:rsidRPr="000A7CD6" w:rsidRDefault="00E369E6" w:rsidP="004D55A7"/>
    <w:p w:rsidR="00E369E6" w:rsidRPr="000A7CD6" w:rsidRDefault="00E369E6" w:rsidP="004D55A7">
      <w:r w:rsidRPr="000A7CD6">
        <w:t xml:space="preserve">Insurance and financial intermediaries facilitate the insurance and financial process for several hundreds of millions of customers. The variety of business models, the high level of competition and the geographical spread in the sector ensure that everyone in Europe has easy access to tailor-made insurance and financial services.  </w:t>
      </w:r>
    </w:p>
    <w:p w:rsidR="00E369E6" w:rsidRPr="000A7CD6" w:rsidRDefault="00E369E6" w:rsidP="004D55A7"/>
    <w:p w:rsidR="00E369E6" w:rsidRPr="000A7CD6" w:rsidRDefault="00E369E6" w:rsidP="004D55A7">
      <w:r w:rsidRPr="000A7CD6">
        <w:t>BIPAR welcomes the opportunity provided by the ESAs to comment on the draft regulatory technical standards with regard to presentation, content, review and provision of the key information document, including the methodologies underpinning the risk, reward and costs information.</w:t>
      </w:r>
    </w:p>
    <w:p w:rsidR="00E369E6" w:rsidRPr="000A7CD6" w:rsidRDefault="00E369E6" w:rsidP="004D55A7"/>
    <w:p w:rsidR="00E369E6" w:rsidRPr="000A7CD6" w:rsidRDefault="00717D93" w:rsidP="004D55A7">
      <w:r>
        <w:t>W</w:t>
      </w:r>
      <w:r w:rsidR="00E369E6" w:rsidRPr="000A7CD6">
        <w:t xml:space="preserve">e would like to make the following points in the introductory part of our response: </w:t>
      </w:r>
    </w:p>
    <w:p w:rsidR="00E369E6" w:rsidRPr="000A7CD6" w:rsidRDefault="00E369E6" w:rsidP="004D55A7"/>
    <w:p w:rsidR="009C15DA" w:rsidRDefault="00E369E6" w:rsidP="009C15DA">
      <w:pPr>
        <w:pStyle w:val="ListParagraph"/>
        <w:numPr>
          <w:ilvl w:val="0"/>
          <w:numId w:val="53"/>
        </w:numPr>
        <w:spacing w:after="160" w:line="259" w:lineRule="auto"/>
        <w:rPr>
          <w:i/>
        </w:rPr>
      </w:pPr>
      <w:r w:rsidRPr="000A7CD6">
        <w:t xml:space="preserve">We wonder whether art 18 of the draft RTS correctly reflects the level 1 Regulation (art 10.1) and recital 16 and 18 of the draft RTS. In article 18 of the draft RTS it is stated under point 1 that the manufacturer shall revise the KID following a review under art 16. We believe the words “if needed” are missing. The PRIIPs Regulation says in art 10. 1. </w:t>
      </w:r>
      <w:r w:rsidRPr="009C15DA">
        <w:rPr>
          <w:i/>
        </w:rPr>
        <w:t xml:space="preserve">The PRIIP manufacturer shall review the information contained in the key information document regularly </w:t>
      </w:r>
      <w:r w:rsidRPr="009C15DA">
        <w:rPr>
          <w:i/>
          <w:u w:val="single"/>
        </w:rPr>
        <w:t>and shall revise the document where the review indicates that changes need to be made.</w:t>
      </w:r>
      <w:r w:rsidRPr="009C15DA">
        <w:rPr>
          <w:i/>
        </w:rPr>
        <w:t xml:space="preserve"> The revised version shall be made available promptly.</w:t>
      </w:r>
    </w:p>
    <w:p w:rsidR="009C15DA" w:rsidRDefault="00E369E6" w:rsidP="00017F18">
      <w:pPr>
        <w:pStyle w:val="ListParagraph"/>
        <w:numPr>
          <w:ilvl w:val="0"/>
          <w:numId w:val="53"/>
        </w:numPr>
        <w:spacing w:after="160" w:line="259" w:lineRule="auto"/>
      </w:pPr>
      <w:r w:rsidRPr="000A7CD6">
        <w:t xml:space="preserve">With regard to Art 10 of the draft RTS, BIPAR believes that in order for the KID to be a standardised document, the information on how and to whom an investor can make a complaint about the person </w:t>
      </w:r>
      <w:r w:rsidRPr="00D35888">
        <w:t>advising or selling the PRIIP cannot be specific (the complaint procedure of one seller/advisor may be different from another) and is already dealt with by other regulation such as IDD or MiFID II.</w:t>
      </w:r>
      <w:r w:rsidR="009C15DA">
        <w:t xml:space="preserve"> </w:t>
      </w:r>
      <w:r w:rsidRPr="009C15DA">
        <w:rPr>
          <w:bCs/>
          <w:iCs/>
        </w:rPr>
        <w:t xml:space="preserve">In the KID it should be mentioned that if the complaint is about the content of the KID, the complaint should address the PRIIP manufacturer who drew up the KID. </w:t>
      </w:r>
      <w:r w:rsidRPr="00D35888">
        <w:t>The KID can perhaps include wording such as: “for complaints about the person advising or selling, please see his or her specific complaints policy”.</w:t>
      </w:r>
    </w:p>
    <w:p w:rsidR="00D34282" w:rsidRPr="00C25863" w:rsidRDefault="009C15DA" w:rsidP="00D34282">
      <w:r>
        <w:t>Regard</w:t>
      </w:r>
      <w:r w:rsidR="00E369E6" w:rsidRPr="00D35888">
        <w:t xml:space="preserve">ing the timing of delivery of the KID (p 31, art 20 of the </w:t>
      </w:r>
      <w:r w:rsidR="004232DD">
        <w:t>d</w:t>
      </w:r>
      <w:r w:rsidR="00E369E6" w:rsidRPr="00D35888">
        <w:t xml:space="preserve">raft RTS), we believe that “in good time” (art 13 of the level 1 Regulation) should be interpreted as “during the pre-contractual phase”. The KID constitutes pre-contractual information (art 6 of the level 1 Regulation) so it should be delivered during the pre-contractual phase. </w:t>
      </w:r>
      <w:permEnd w:id="30088270"/>
      <w:r w:rsidR="00D34282" w:rsidRPr="00C25863">
        <w:t>&lt;</w:t>
      </w:r>
      <w:r w:rsidR="00D34282">
        <w:t>ESMA_COMMENT</w:t>
      </w:r>
      <w:r w:rsidR="00D34282" w:rsidRPr="00C25863">
        <w:t>_</w:t>
      </w:r>
      <w:r w:rsidR="000E35CB" w:rsidRPr="000E35CB">
        <w:rPr>
          <w:rFonts w:cs="Arial"/>
        </w:rPr>
        <w:t xml:space="preserve"> </w:t>
      </w:r>
      <w:r w:rsidR="000E35CB">
        <w:rPr>
          <w:rFonts w:cs="Arial"/>
        </w:rPr>
        <w:t>PRIIPS</w:t>
      </w:r>
      <w:r w:rsidR="00D34282"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E369E6" w:rsidP="00750796">
      <w:permStart w:id="1765893519" w:edGrp="everyone"/>
      <w:r w:rsidRPr="00E369E6">
        <w:t xml:space="preserve">A clarification of the cases when the comprehension alert should be included in the KID could indeed be useful.  </w:t>
      </w:r>
      <w:permEnd w:id="1765893519"/>
      <w:r w:rsidR="00750796">
        <w:t>&lt;ESMA_QUESTION_</w:t>
      </w:r>
      <w:r w:rsidR="003E4B00">
        <w:t>PRIIPS</w:t>
      </w:r>
      <w:r w:rsidR="00750796">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Pr="00580880" w:rsidRDefault="00E369E6" w:rsidP="00750796">
      <w:pPr>
        <w:rPr>
          <w:lang w:val="fr-FR"/>
        </w:rPr>
      </w:pPr>
      <w:permStart w:id="83702993" w:edGrp="everyone"/>
      <w:r w:rsidRPr="00E369E6">
        <w:t>Given the large variety of product</w:t>
      </w:r>
      <w:r w:rsidR="004232DD">
        <w:t>s</w:t>
      </w:r>
      <w:r w:rsidRPr="00E369E6">
        <w:t xml:space="preserve"> that fall under the Regulation, we believe that at least in an initial stage, the setting of standardised amounts should be left to the Member States. Furthermore, this kind of national standardisation should take into account that different payment systems may be applicable which cannot be reflected in the </w:t>
      </w:r>
      <w:proofErr w:type="gramStart"/>
      <w:r w:rsidRPr="00E369E6">
        <w:t>KID.</w:t>
      </w:r>
      <w:permEnd w:id="83702993"/>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899617694" w:edGrp="everyone"/>
      <w:r>
        <w:t>TYPE YOUR TEXT HERE</w:t>
      </w:r>
    </w:p>
    <w:permEnd w:id="899617694"/>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1191790714" w:edGrp="everyone"/>
      <w:r>
        <w:t>TYPE YOUR TEXT HERE</w:t>
      </w:r>
    </w:p>
    <w:permEnd w:id="1191790714"/>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Pr="00580880" w:rsidRDefault="00D35888" w:rsidP="00750796">
      <w:pPr>
        <w:rPr>
          <w:lang w:val="fr-FR"/>
        </w:rPr>
      </w:pPr>
      <w:permStart w:id="7106313" w:edGrp="everyone"/>
      <w:r w:rsidRPr="00D35888">
        <w:t>A guarantee scheme can indeed be taken into consideration as one of the factors.</w:t>
      </w:r>
      <w:r>
        <w:t xml:space="preserve"> </w:t>
      </w:r>
      <w:r w:rsidRPr="00D35888">
        <w:t>It should be noted that th</w:t>
      </w:r>
      <w:r>
        <w:t>e functioning of the schemes is</w:t>
      </w:r>
      <w:r w:rsidRPr="00D35888">
        <w:t xml:space="preserve"> not the same everywhere at European level. </w:t>
      </w:r>
      <w:permEnd w:id="7106313"/>
      <w:r w:rsidR="00750796" w:rsidRPr="00580880">
        <w:rPr>
          <w:lang w:val="fr-FR"/>
        </w:rPr>
        <w:t>&lt;ESMA_QUESTION_</w:t>
      </w:r>
      <w:r w:rsidR="003E4B00">
        <w:rPr>
          <w:lang w:val="fr-FR"/>
        </w:rPr>
        <w:t>PRIIPS</w:t>
      </w:r>
      <w:r w:rsidR="00750796"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lastRenderedPageBreak/>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3E4B00" w:rsidP="003E4B00">
      <w:permStart w:id="882199221" w:edGrp="everyone"/>
      <w:r>
        <w:t>TYPE YOUR TEXT HERE</w:t>
      </w:r>
    </w:p>
    <w:permEnd w:id="882199221"/>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2100194190" w:edGrp="everyone"/>
      <w:r>
        <w:t>TYPE YOUR TEXT HERE</w:t>
      </w:r>
    </w:p>
    <w:permEnd w:id="2100194190"/>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Pr="00580880" w:rsidRDefault="00D35888" w:rsidP="003E4B00">
      <w:pPr>
        <w:rPr>
          <w:lang w:val="fr-FR"/>
        </w:rPr>
      </w:pPr>
      <w:permStart w:id="1094922150" w:edGrp="everyone"/>
      <w:r w:rsidRPr="00D35888">
        <w:t>Considering the different characteristics of the wide variety of products which are falling under the scope of the PRIIPs Regulation, we believe it is very difficult in any event to create a fair combined risk indicator based upon the combination of market risk and credit risk. For insurance-based investment products, the weighing should be adapted to the intrinsic characteristics of the product.</w:t>
      </w:r>
      <w:r w:rsidR="00E369E6" w:rsidRPr="00E369E6">
        <w:t xml:space="preserve"> </w:t>
      </w:r>
      <w:permEnd w:id="1094922150"/>
      <w:r w:rsidR="003E4B00" w:rsidRPr="00580880">
        <w:rPr>
          <w:lang w:val="fr-FR"/>
        </w:rPr>
        <w:t>&lt;ESMA_QUESTION_</w:t>
      </w:r>
      <w:r w:rsidR="003E4B00">
        <w:rPr>
          <w:lang w:val="fr-FR"/>
        </w:rPr>
        <w:t>PRIIPS_8</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Pr="00580880" w:rsidRDefault="00E369E6" w:rsidP="003E4B00">
      <w:pPr>
        <w:rPr>
          <w:lang w:val="fr-FR"/>
        </w:rPr>
      </w:pPr>
      <w:permStart w:id="1836939638" w:edGrp="everyone"/>
      <w:r w:rsidRPr="00E369E6">
        <w:t>Automatic allocation should a priori be permitted. However, if other characteristics of the product would indicate aspects that are contradictory to a MRM class 1 evaluation, then of course the class 1 should be reconsidered (and a reallocation should be done</w:t>
      </w:r>
      <w:proofErr w:type="gramStart"/>
      <w:r w:rsidRPr="00E369E6">
        <w:t>).</w:t>
      </w:r>
      <w:permEnd w:id="1836939638"/>
      <w:r w:rsidR="003E4B00" w:rsidRPr="00580880">
        <w:rPr>
          <w:lang w:val="fr-FR"/>
        </w:rPr>
        <w:t>&lt;</w:t>
      </w:r>
      <w:proofErr w:type="gramEnd"/>
      <w:r w:rsidR="003E4B00" w:rsidRPr="00580880">
        <w:rPr>
          <w:lang w:val="fr-FR"/>
        </w:rPr>
        <w:t>ESMA_QUESTION_</w:t>
      </w:r>
      <w:r w:rsidR="003E4B00">
        <w:rPr>
          <w:lang w:val="fr-FR"/>
        </w:rPr>
        <w:t>PRIIPS_9</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1169236411" w:edGrp="everyone"/>
      <w:r>
        <w:t>TYPE YOUR TEXT HERE</w:t>
      </w:r>
    </w:p>
    <w:permEnd w:id="1169236411"/>
    <w:p w:rsidR="003E4B00" w:rsidRPr="00580880" w:rsidRDefault="003E4B00" w:rsidP="003E4B00">
      <w:pPr>
        <w:rPr>
          <w:lang w:val="fr-FR"/>
        </w:rPr>
      </w:pPr>
      <w:r w:rsidRPr="00580880">
        <w:rPr>
          <w:lang w:val="fr-FR"/>
        </w:rPr>
        <w:lastRenderedPageBreak/>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851078045" w:edGrp="everyone"/>
      <w:r>
        <w:t>TYPE YOUR TEXT HERE</w:t>
      </w:r>
    </w:p>
    <w:permEnd w:id="851078045"/>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E369E6" w:rsidRDefault="00E369E6" w:rsidP="00E369E6">
      <w:permStart w:id="246955298" w:edGrp="everyone"/>
      <w:r>
        <w:t>The explanatory text on p 77/78 of the paper, re. Annex II, part 6, “Currency Risk Assessment” of p 45/46, states that where a PRIIP is offered in a currency which is different from the applicable currency of the country where the product is offered, this additional currency risk is not captured in the market risk assessment. “</w:t>
      </w:r>
      <w:r w:rsidRPr="004232DD">
        <w:rPr>
          <w:i/>
        </w:rPr>
        <w:t>It is important to distinguish the risk from the PRIIP from the risk from the offering</w:t>
      </w:r>
      <w:r>
        <w:t xml:space="preserve">”. A narrative should be added to warn the investor. The explanatory text continues </w:t>
      </w:r>
      <w:r w:rsidR="004232DD">
        <w:t xml:space="preserve">stating </w:t>
      </w:r>
      <w:r>
        <w:t xml:space="preserve">that the distributor will then be responsible of informing the client about this additional risk. </w:t>
      </w:r>
    </w:p>
    <w:p w:rsidR="00E369E6" w:rsidRDefault="00E369E6" w:rsidP="00E369E6"/>
    <w:p w:rsidR="003E4B00" w:rsidRPr="00580880" w:rsidRDefault="00E369E6" w:rsidP="003E4B00">
      <w:pPr>
        <w:rPr>
          <w:lang w:val="fr-FR"/>
        </w:rPr>
      </w:pPr>
      <w:r>
        <w:t xml:space="preserve">We agree with the additional warning by the manufacturer through a supplementary narrative but we do not agree with the specific reference to the distributor being </w:t>
      </w:r>
      <w:r w:rsidRPr="00AB10EA">
        <w:rPr>
          <w:u w:val="single"/>
        </w:rPr>
        <w:t>responsible</w:t>
      </w:r>
      <w:r>
        <w:t xml:space="preserve"> of informing the client of this additional risk. We do not see why there has to be a specific reference to a responsibility of information by the distributor re. this part of the KID. </w:t>
      </w:r>
      <w:permEnd w:id="246955298"/>
      <w:r w:rsidR="003E4B00" w:rsidRPr="00580880">
        <w:rPr>
          <w:lang w:val="fr-FR"/>
        </w:rPr>
        <w:t>&lt;ESMA_QUESTION_</w:t>
      </w:r>
      <w:r w:rsidR="003E4B00">
        <w:rPr>
          <w:lang w:val="fr-FR"/>
        </w:rPr>
        <w:t>PRIIPS_12</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526412140" w:edGrp="everyone"/>
      <w:r>
        <w:t>TYPE YOUR TEXT HERE</w:t>
      </w:r>
    </w:p>
    <w:permEnd w:id="526412140"/>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 xml:space="preserve">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w:t>
      </w:r>
      <w:r w:rsidRPr="00A2049D">
        <w:rPr>
          <w:rFonts w:ascii="Calibri" w:hAnsi="Calibri"/>
          <w:i/>
          <w:sz w:val="22"/>
          <w:lang w:eastAsia="en-US"/>
        </w:rPr>
        <w:lastRenderedPageBreak/>
        <w:t>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617635860" w:edGrp="everyone"/>
      <w:r>
        <w:t>TYPE YOUR TEXT HERE</w:t>
      </w:r>
    </w:p>
    <w:permEnd w:id="617635860"/>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416379671" w:edGrp="everyone"/>
      <w:r>
        <w:t>TYPE YOUR TEXT HERE</w:t>
      </w:r>
    </w:p>
    <w:permEnd w:id="416379671"/>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962283866" w:edGrp="everyone"/>
      <w:r>
        <w:t>TYPE YOUR TEXT HERE</w:t>
      </w:r>
    </w:p>
    <w:permEnd w:id="962283866"/>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673387518" w:edGrp="everyone"/>
      <w:r>
        <w:t>TYPE YOUR TEXT HERE</w:t>
      </w:r>
    </w:p>
    <w:permEnd w:id="673387518"/>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3E4B00" w:rsidRDefault="003E4B00" w:rsidP="003E4B00">
      <w:permStart w:id="2067990097" w:edGrp="everyone"/>
      <w:r>
        <w:t>TYPE YOUR TEXT HERE</w:t>
      </w:r>
    </w:p>
    <w:permEnd w:id="2067990097"/>
    <w:p w:rsidR="003E4B00" w:rsidRPr="003E4B00" w:rsidRDefault="003E4B00" w:rsidP="003E4B00">
      <w:pPr>
        <w:rPr>
          <w:lang w:val="fr-FR"/>
        </w:rPr>
      </w:pPr>
      <w:r w:rsidRPr="00580880">
        <w:rPr>
          <w:lang w:val="fr-FR"/>
        </w:rPr>
        <w:lastRenderedPageBreak/>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Pr="003E4B00" w:rsidRDefault="00E369E6" w:rsidP="003E4B00">
      <w:pPr>
        <w:rPr>
          <w:lang w:val="fr-FR"/>
        </w:rPr>
      </w:pPr>
      <w:permStart w:id="216729246" w:edGrp="everyone"/>
      <w:r w:rsidRPr="00E369E6">
        <w:t>see below, question 20</w:t>
      </w:r>
      <w:permEnd w:id="216729246"/>
      <w:r w:rsidR="003E4B00" w:rsidRPr="00580880">
        <w:rPr>
          <w:lang w:val="fr-FR"/>
        </w:rPr>
        <w:t>&lt;ESMA_QUESTION_</w:t>
      </w:r>
      <w:r w:rsidR="003E4B00">
        <w:rPr>
          <w:lang w:val="fr-FR"/>
        </w:rPr>
        <w:t>PRIIPS_1</w:t>
      </w:r>
      <w:r w:rsidR="00491E49">
        <w:rPr>
          <w:lang w:val="fr-FR"/>
        </w:rPr>
        <w:t>9</w:t>
      </w:r>
      <w:r w:rsidR="003E4B00"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E369E6" w:rsidRPr="009C15DA" w:rsidRDefault="00E369E6" w:rsidP="00717D93">
      <w:permStart w:id="609768691" w:edGrp="everyone"/>
      <w:r w:rsidRPr="000A7CD6">
        <w:t xml:space="preserve">BIPAR believes that the biometric risk premium should not figure in the cost section of the KID since the costs are not linked to the costs of the investment element and policyholders get an insurance benefit in return. Premium for insurance is not a cost related to the </w:t>
      </w:r>
      <w:r w:rsidRPr="009C15DA">
        <w:t>investment. These premiums will also always be on the basis of the individual situation of the investor. In order to ensure as good a level playing field as possible, and as much comparability as possible, we believe it is appropriate to leave the biometric risk premiums out of the cost part of the KID. The KID must allow for com</w:t>
      </w:r>
      <w:bookmarkStart w:id="3" w:name="_GoBack"/>
      <w:bookmarkEnd w:id="3"/>
      <w:r w:rsidRPr="009C15DA">
        <w:t>paring the comparable.</w:t>
      </w:r>
    </w:p>
    <w:p w:rsidR="00E369E6" w:rsidRPr="000A7CD6" w:rsidRDefault="00E369E6" w:rsidP="00717D93">
      <w:pPr>
        <w:rPr>
          <w:color w:val="000000" w:themeColor="text1"/>
        </w:rPr>
      </w:pPr>
      <w:r w:rsidRPr="009C15DA">
        <w:t>Retail investor</w:t>
      </w:r>
      <w:r w:rsidR="00AB10EA">
        <w:t>s</w:t>
      </w:r>
      <w:r w:rsidRPr="009C15DA">
        <w:t xml:space="preserve"> must obviously know what the total </w:t>
      </w:r>
      <w:r w:rsidRPr="000A7CD6">
        <w:rPr>
          <w:color w:val="000000" w:themeColor="text1"/>
        </w:rPr>
        <w:t xml:space="preserve">premium for the biometric risk insurance will be but this can also be done outside the KID. </w:t>
      </w:r>
    </w:p>
    <w:permEnd w:id="609768691"/>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1292308515" w:edGrp="everyone"/>
      <w:r>
        <w:t>TYPE YOUR TEXT HERE</w:t>
      </w:r>
    </w:p>
    <w:permEnd w:id="1292308515"/>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542136730" w:edGrp="everyone"/>
      <w:r>
        <w:t>TYPE YOUR TEXT HERE</w:t>
      </w:r>
    </w:p>
    <w:permEnd w:id="542136730"/>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408510447" w:edGrp="everyone"/>
      <w:r>
        <w:t>TYPE YOUR TEXT HERE</w:t>
      </w:r>
    </w:p>
    <w:permEnd w:id="408510447"/>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1704214390" w:edGrp="everyone"/>
      <w:r>
        <w:t>TYPE YOUR TEXT HERE</w:t>
      </w:r>
    </w:p>
    <w:permEnd w:id="1704214390"/>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758209155" w:edGrp="everyone"/>
      <w:r>
        <w:t>TYPE YOUR TEXT HERE</w:t>
      </w:r>
    </w:p>
    <w:permEnd w:id="175820915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1124544396" w:edGrp="everyone"/>
      <w:r>
        <w:t>TYPE YOUR TEXT HERE</w:t>
      </w:r>
    </w:p>
    <w:permEnd w:id="1124544396"/>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lastRenderedPageBreak/>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1774788508" w:edGrp="everyone"/>
      <w:r>
        <w:t>TYPE YOUR TEXT HERE</w:t>
      </w:r>
    </w:p>
    <w:permEnd w:id="1774788508"/>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491E49" w:rsidP="00491E49">
      <w:permStart w:id="139857059" w:edGrp="everyone"/>
      <w:r>
        <w:t>TYPE YOUR TEXT HERE</w:t>
      </w:r>
    </w:p>
    <w:permEnd w:id="139857059"/>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F18" w:rsidRDefault="00017F18">
      <w:r>
        <w:separator/>
      </w:r>
    </w:p>
    <w:p w:rsidR="00017F18" w:rsidRDefault="00017F18"/>
  </w:endnote>
  <w:endnote w:type="continuationSeparator" w:id="0">
    <w:p w:rsidR="00017F18" w:rsidRDefault="00017F18">
      <w:r>
        <w:continuationSeparator/>
      </w:r>
    </w:p>
    <w:p w:rsidR="00017F18" w:rsidRDefault="00017F18"/>
  </w:endnote>
  <w:endnote w:type="continuationNotice" w:id="1">
    <w:p w:rsidR="00017F18" w:rsidRDefault="00017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17F18" w:rsidRPr="00616B9B" w:rsidTr="00315E96">
      <w:trPr>
        <w:trHeight w:val="284"/>
      </w:trPr>
      <w:tc>
        <w:tcPr>
          <w:tcW w:w="8460" w:type="dxa"/>
        </w:tcPr>
        <w:p w:rsidR="00017F18" w:rsidRPr="00315E96" w:rsidRDefault="00017F18" w:rsidP="00315E96">
          <w:pPr>
            <w:pStyle w:val="00Footer"/>
            <w:rPr>
              <w:lang w:val="fr-FR"/>
            </w:rPr>
          </w:pPr>
        </w:p>
      </w:tc>
      <w:tc>
        <w:tcPr>
          <w:tcW w:w="952" w:type="dxa"/>
        </w:tcPr>
        <w:p w:rsidR="00017F18" w:rsidRPr="00616B9B" w:rsidRDefault="00017F1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17D93">
            <w:rPr>
              <w:rFonts w:cs="Arial"/>
              <w:noProof/>
              <w:sz w:val="22"/>
              <w:szCs w:val="22"/>
            </w:rPr>
            <w:t>12</w:t>
          </w:r>
          <w:r w:rsidRPr="00616B9B">
            <w:rPr>
              <w:rFonts w:cs="Arial"/>
              <w:noProof/>
              <w:sz w:val="22"/>
              <w:szCs w:val="22"/>
            </w:rPr>
            <w:fldChar w:fldCharType="end"/>
          </w:r>
        </w:p>
      </w:tc>
    </w:tr>
  </w:tbl>
  <w:p w:rsidR="00017F18" w:rsidRDefault="00017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18" w:rsidRDefault="00017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F18" w:rsidRDefault="00017F18">
      <w:r>
        <w:separator/>
      </w:r>
    </w:p>
    <w:p w:rsidR="00017F18" w:rsidRDefault="00017F18"/>
  </w:footnote>
  <w:footnote w:type="continuationSeparator" w:id="0">
    <w:p w:rsidR="00017F18" w:rsidRDefault="00017F18">
      <w:r>
        <w:continuationSeparator/>
      </w:r>
    </w:p>
    <w:p w:rsidR="00017F18" w:rsidRDefault="00017F18"/>
  </w:footnote>
  <w:footnote w:type="continuationNotice" w:id="1">
    <w:p w:rsidR="00017F18" w:rsidRDefault="00017F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18" w:rsidRDefault="00017F18">
    <w:pPr>
      <w:pStyle w:val="Header"/>
    </w:pPr>
    <w:r>
      <w:rPr>
        <w:noProof/>
        <w:lang w:val="fr-BE" w:eastAsia="fr-B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CC55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18" w:rsidRDefault="00017F18" w:rsidP="00013CCE">
    <w:pPr>
      <w:pStyle w:val="Header"/>
      <w:jc w:val="right"/>
    </w:pPr>
    <w:r>
      <w:rPr>
        <w:noProof/>
        <w:lang w:val="fr-BE" w:eastAsia="fr-B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18" w:rsidRDefault="00017F1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17F18" w:rsidRPr="002F4496" w:rsidTr="000C06C9">
      <w:trPr>
        <w:trHeight w:val="284"/>
      </w:trPr>
      <w:tc>
        <w:tcPr>
          <w:tcW w:w="8460" w:type="dxa"/>
        </w:tcPr>
        <w:p w:rsidR="00017F18" w:rsidRPr="000C3B6D" w:rsidRDefault="00017F18" w:rsidP="000C06C9">
          <w:pPr>
            <w:pStyle w:val="00Footer"/>
            <w:rPr>
              <w:lang w:val="fr-FR"/>
            </w:rPr>
          </w:pPr>
        </w:p>
      </w:tc>
      <w:tc>
        <w:tcPr>
          <w:tcW w:w="952" w:type="dxa"/>
        </w:tcPr>
        <w:p w:rsidR="00017F18" w:rsidRPr="00146B34" w:rsidRDefault="00017F18" w:rsidP="000C06C9">
          <w:pPr>
            <w:pStyle w:val="00aPagenumber"/>
            <w:rPr>
              <w:lang w:val="fr-FR"/>
            </w:rPr>
          </w:pPr>
        </w:p>
      </w:tc>
    </w:tr>
  </w:tbl>
  <w:p w:rsidR="00017F18" w:rsidRPr="00DB46C3" w:rsidRDefault="00017F18">
    <w:pPr>
      <w:rPr>
        <w:lang w:val="fr-FR"/>
      </w:rPr>
    </w:pPr>
  </w:p>
  <w:p w:rsidR="00017F18" w:rsidRPr="002F4496" w:rsidRDefault="00017F18">
    <w:pPr>
      <w:pStyle w:val="Header"/>
      <w:rPr>
        <w:lang w:val="fr-FR"/>
      </w:rPr>
    </w:pPr>
  </w:p>
  <w:p w:rsidR="00017F18" w:rsidRPr="002F4496" w:rsidRDefault="00017F18" w:rsidP="000C06C9">
    <w:pPr>
      <w:pStyle w:val="Header"/>
      <w:tabs>
        <w:tab w:val="clear" w:pos="4536"/>
        <w:tab w:val="clear" w:pos="9072"/>
        <w:tab w:val="left" w:pos="8227"/>
      </w:tabs>
      <w:rPr>
        <w:lang w:val="fr-FR"/>
      </w:rPr>
    </w:pPr>
  </w:p>
  <w:p w:rsidR="00017F18" w:rsidRPr="002F4496" w:rsidRDefault="00017F18" w:rsidP="000C06C9">
    <w:pPr>
      <w:pStyle w:val="Header"/>
      <w:tabs>
        <w:tab w:val="clear" w:pos="4536"/>
        <w:tab w:val="clear" w:pos="9072"/>
        <w:tab w:val="left" w:pos="8227"/>
      </w:tabs>
      <w:rPr>
        <w:lang w:val="fr-FR"/>
      </w:rPr>
    </w:pPr>
  </w:p>
  <w:p w:rsidR="00017F18" w:rsidRPr="002F4496" w:rsidRDefault="00017F18">
    <w:pPr>
      <w:pStyle w:val="Header"/>
      <w:rPr>
        <w:lang w:val="fr-FR"/>
      </w:rPr>
    </w:pPr>
  </w:p>
  <w:p w:rsidR="00017F18" w:rsidRPr="002F4496" w:rsidRDefault="00017F18">
    <w:pPr>
      <w:pStyle w:val="Header"/>
      <w:rPr>
        <w:lang w:val="fr-FR"/>
      </w:rPr>
    </w:pPr>
  </w:p>
  <w:p w:rsidR="00017F18" w:rsidRPr="002F4496" w:rsidRDefault="00017F18">
    <w:pPr>
      <w:pStyle w:val="Header"/>
      <w:rPr>
        <w:lang w:val="fr-FR"/>
      </w:rPr>
    </w:pPr>
  </w:p>
  <w:p w:rsidR="00017F18" w:rsidRPr="002F4496" w:rsidRDefault="00017F18">
    <w:pPr>
      <w:pStyle w:val="Header"/>
      <w:rPr>
        <w:lang w:val="fr-FR"/>
      </w:rPr>
    </w:pPr>
  </w:p>
  <w:p w:rsidR="00017F18" w:rsidRPr="002F4496" w:rsidRDefault="00017F18">
    <w:pPr>
      <w:pStyle w:val="Header"/>
      <w:rPr>
        <w:highlight w:val="yellow"/>
        <w:lang w:val="fr-FR"/>
      </w:rPr>
    </w:pPr>
  </w:p>
  <w:p w:rsidR="00017F18" w:rsidRDefault="00017F18">
    <w:pPr>
      <w:pStyle w:val="Header"/>
    </w:pPr>
    <w:r>
      <w:rPr>
        <w:noProof/>
        <w:lang w:val="fr-BE" w:eastAsia="fr-B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BEE3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BE" w:eastAsia="fr-B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8003A0"/>
    <w:multiLevelType w:val="hybridMultilevel"/>
    <w:tmpl w:val="8618B2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48721B2"/>
    <w:multiLevelType w:val="hybridMultilevel"/>
    <w:tmpl w:val="F3267A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0"/>
  </w:num>
  <w:num w:numId="16">
    <w:abstractNumId w:val="1"/>
  </w:num>
  <w:num w:numId="17">
    <w:abstractNumId w:val="15"/>
  </w:num>
  <w:num w:numId="18">
    <w:abstractNumId w:val="16"/>
  </w:num>
  <w:num w:numId="19">
    <w:abstractNumId w:val="18"/>
  </w:num>
  <w:num w:numId="20">
    <w:abstractNumId w:val="29"/>
  </w:num>
  <w:num w:numId="21">
    <w:abstractNumId w:val="38"/>
  </w:num>
  <w:num w:numId="22">
    <w:abstractNumId w:val="27"/>
  </w:num>
  <w:num w:numId="23">
    <w:abstractNumId w:val="9"/>
  </w:num>
  <w:num w:numId="24">
    <w:abstractNumId w:val="32"/>
  </w:num>
  <w:num w:numId="25">
    <w:abstractNumId w:val="31"/>
  </w:num>
  <w:num w:numId="26">
    <w:abstractNumId w:val="21"/>
  </w:num>
  <w:num w:numId="27">
    <w:abstractNumId w:val="35"/>
  </w:num>
  <w:num w:numId="28">
    <w:abstractNumId w:val="40"/>
  </w:num>
  <w:num w:numId="29">
    <w:abstractNumId w:val="7"/>
  </w:num>
  <w:num w:numId="30">
    <w:abstractNumId w:val="3"/>
  </w:num>
  <w:num w:numId="31">
    <w:abstractNumId w:val="24"/>
  </w:num>
  <w:num w:numId="32">
    <w:abstractNumId w:val="2"/>
  </w:num>
  <w:num w:numId="33">
    <w:abstractNumId w:val="6"/>
  </w:num>
  <w:num w:numId="34">
    <w:abstractNumId w:val="22"/>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3"/>
  </w:num>
  <w:num w:numId="51">
    <w:abstractNumId w:val="23"/>
  </w:num>
  <w:num w:numId="52">
    <w:abstractNumId w:val="20"/>
  </w:num>
  <w:num w:numId="53">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17D0"/>
    <w:rsid w:val="00013CCE"/>
    <w:rsid w:val="000140D5"/>
    <w:rsid w:val="0001410B"/>
    <w:rsid w:val="000141D6"/>
    <w:rsid w:val="00014A95"/>
    <w:rsid w:val="00015B5E"/>
    <w:rsid w:val="00015F1D"/>
    <w:rsid w:val="0001774B"/>
    <w:rsid w:val="00017F18"/>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0A1"/>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32DD"/>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5A7"/>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6C5F"/>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D93"/>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5DA"/>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0EA"/>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5888"/>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69E6"/>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00F148B3"/>
  <w15:docId w15:val="{D69B6879-8BF0-42F1-A002-91944EC7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32C2-5BFC-4F91-B775-A0D77B4AFA52}">
  <ds:schemaRefs>
    <ds:schemaRef ds:uri="http://schemas.openxmlformats.org/officeDocument/2006/bibliography"/>
  </ds:schemaRefs>
</ds:datastoreItem>
</file>

<file path=customXml/itemProps2.xml><?xml version="1.0" encoding="utf-8"?>
<ds:datastoreItem xmlns:ds="http://schemas.openxmlformats.org/officeDocument/2006/customXml" ds:itemID="{29FD5EFA-9C67-43CB-8951-E124260A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2982</Words>
  <Characters>16414</Characters>
  <Application>Microsoft Office Word</Application>
  <DocSecurity>8</DocSecurity>
  <Lines>136</Lines>
  <Paragraphs>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19358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Rebekka De Nie</cp:lastModifiedBy>
  <cp:revision>4</cp:revision>
  <cp:lastPrinted>2015-02-18T11:01:00Z</cp:lastPrinted>
  <dcterms:created xsi:type="dcterms:W3CDTF">2016-01-28T18:16:00Z</dcterms:created>
  <dcterms:modified xsi:type="dcterms:W3CDTF">2016-01-29T13:49:00Z</dcterms:modified>
</cp:coreProperties>
</file>