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bookmarkStart w:id="0" w:name="_GoBack"/>
            <w:bookmarkEnd w:id="0"/>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vnculo"/>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tulo1"/>
        <w:numPr>
          <w:ilvl w:val="0"/>
          <w:numId w:val="0"/>
        </w:numPr>
        <w:ind w:left="431" w:hanging="431"/>
      </w:pPr>
      <w:r>
        <w:t>Introduction</w:t>
      </w:r>
    </w:p>
    <w:p w:rsidR="00C33ACE" w:rsidRPr="00C33ACE" w:rsidRDefault="00C33ACE" w:rsidP="00C33ACE"/>
    <w:p w:rsidR="00D34282" w:rsidRDefault="00D34282" w:rsidP="00D34282">
      <w:pPr>
        <w:rPr>
          <w:rStyle w:val="nfasisintenso"/>
        </w:rPr>
      </w:pPr>
      <w:r w:rsidRPr="001D47A5">
        <w:rPr>
          <w:rStyle w:val="nfasisintenso"/>
        </w:rPr>
        <w:t>Please make your introductory comments below, if any:</w:t>
      </w:r>
    </w:p>
    <w:p w:rsidR="002E2BC1" w:rsidRPr="001D47A5" w:rsidRDefault="002E2BC1" w:rsidP="00D34282">
      <w:pPr>
        <w:rPr>
          <w:rStyle w:val="nfasisintenso"/>
        </w:rPr>
      </w:pPr>
    </w:p>
    <w:p w:rsidR="00D34282" w:rsidRPr="00C25863" w:rsidRDefault="00D34282" w:rsidP="00D34282">
      <w:r w:rsidRPr="00C25863">
        <w:t>&lt;</w:t>
      </w:r>
      <w:r>
        <w:t>ESMA_COMMENT</w:t>
      </w:r>
      <w:r w:rsidRPr="00C25863">
        <w:t>_</w:t>
      </w:r>
      <w:r w:rsidR="000E35CB">
        <w:rPr>
          <w:rFonts w:cs="Arial"/>
        </w:rPr>
        <w:t>PRIIPS</w:t>
      </w:r>
      <w:r w:rsidRPr="00C25863">
        <w:t>_1&gt;</w:t>
      </w:r>
    </w:p>
    <w:p w:rsidR="00095FBD" w:rsidRDefault="00546D1B" w:rsidP="00D34282">
      <w:permStart w:id="0" w:edGrp="everyone"/>
      <w:r>
        <w:t>The Current Consu</w:t>
      </w:r>
      <w:r w:rsidR="007F74EF">
        <w:t>ltation Paper and the Draft RTS have</w:t>
      </w:r>
      <w:r>
        <w:t xml:space="preserve"> been studied by the team of </w:t>
      </w:r>
      <w:r w:rsidRPr="00546D1B">
        <w:rPr>
          <w:i/>
        </w:rPr>
        <w:t>Arfima Financial Solutions</w:t>
      </w:r>
      <w:r>
        <w:t>. Besides the responses to the consultation question</w:t>
      </w:r>
      <w:r w:rsidR="007F74EF">
        <w:t xml:space="preserve">s, we would like to point out an </w:t>
      </w:r>
      <w:r w:rsidR="00241016">
        <w:t xml:space="preserve">issue </w:t>
      </w:r>
      <w:r w:rsidR="0067788D">
        <w:t>regar</w:t>
      </w:r>
      <w:r w:rsidR="0067788D">
        <w:t>d</w:t>
      </w:r>
      <w:r w:rsidR="0067788D">
        <w:t>ing</w:t>
      </w:r>
      <w:r w:rsidR="00241016">
        <w:t xml:space="preserve"> the Cornish-Fisher methodology</w:t>
      </w:r>
      <w:r w:rsidR="0067788D">
        <w:t xml:space="preserve"> exposed in Annex II, Part</w:t>
      </w:r>
      <w:r w:rsidR="00241016">
        <w:t xml:space="preserve"> 1, points 20-28. Our concerns are twofold. </w:t>
      </w:r>
    </w:p>
    <w:p w:rsidR="007F74EF" w:rsidRDefault="007F74EF" w:rsidP="00D34282"/>
    <w:p w:rsidR="00095FBD" w:rsidRDefault="00241016" w:rsidP="00D34282">
      <w:r>
        <w:t xml:space="preserve">First, </w:t>
      </w:r>
      <w:r w:rsidR="00657994">
        <w:t>in our view</w:t>
      </w:r>
      <w:r w:rsidR="00C14403">
        <w:t>,</w:t>
      </w:r>
      <w:r w:rsidR="00657994">
        <w:t xml:space="preserve"> </w:t>
      </w:r>
      <w:r>
        <w:t>the methodology itself might not be appropriate for certain products as the Cornish-Fisher</w:t>
      </w:r>
      <w:r w:rsidR="0067788D">
        <w:t xml:space="preserve"> method becomes highly inaccurate as </w:t>
      </w:r>
      <w:r w:rsidR="00657994">
        <w:t xml:space="preserve"> probability </w:t>
      </w:r>
      <w:r w:rsidR="0067788D">
        <w:t xml:space="preserve">distributions move away from the normality assumption (for example distributions with high kurtosis or </w:t>
      </w:r>
      <w:proofErr w:type="spellStart"/>
      <w:r w:rsidR="0067788D">
        <w:t>skewness</w:t>
      </w:r>
      <w:proofErr w:type="spellEnd"/>
      <w:r w:rsidR="0067788D">
        <w:t>), a feature that is not str</w:t>
      </w:r>
      <w:r w:rsidR="00453340">
        <w:t>ange at all in financial time series</w:t>
      </w:r>
      <w:r w:rsidR="0067788D">
        <w:t xml:space="preserve">. </w:t>
      </w:r>
    </w:p>
    <w:p w:rsidR="007F74EF" w:rsidRDefault="007F74EF" w:rsidP="00D34282"/>
    <w:p w:rsidR="0067788D" w:rsidRDefault="0067788D" w:rsidP="00D34282">
      <w:r>
        <w:t>Second, if the Cornish-Fisher method</w:t>
      </w:r>
      <w:r w:rsidR="00C14403">
        <w:t>ology</w:t>
      </w:r>
      <w:r>
        <w:t xml:space="preserve"> would </w:t>
      </w:r>
      <w:r w:rsidR="00F47F11">
        <w:t>finally be retained</w:t>
      </w:r>
      <w:r>
        <w:t xml:space="preserve">, </w:t>
      </w:r>
      <w:r w:rsidR="00657994">
        <w:t xml:space="preserve">unless we are mistaken, </w:t>
      </w:r>
      <w:r>
        <w:t>the descri</w:t>
      </w:r>
      <w:r>
        <w:t>p</w:t>
      </w:r>
      <w:r>
        <w:t>tion provided in the Draft RTS (Annex II, Part 1, points 20-28)</w:t>
      </w:r>
      <w:r w:rsidR="00657994">
        <w:t xml:space="preserve"> contains important misspecifications. </w:t>
      </w:r>
      <w:r w:rsidR="00C14403">
        <w:t>Fo</w:t>
      </w:r>
      <w:r w:rsidR="00C14403">
        <w:t>l</w:t>
      </w:r>
      <w:r w:rsidR="00C14403">
        <w:t xml:space="preserve">lowing that </w:t>
      </w:r>
      <w:r w:rsidR="00657994">
        <w:t>methodology</w:t>
      </w:r>
      <w:r w:rsidR="00F47F11">
        <w:t xml:space="preserve"> step by step</w:t>
      </w:r>
      <w:r w:rsidR="00657994">
        <w:t xml:space="preserve"> </w:t>
      </w:r>
      <w:r w:rsidR="00C14403">
        <w:t>would lead</w:t>
      </w:r>
      <w:r w:rsidR="00657994">
        <w:t xml:space="preserve"> to </w:t>
      </w:r>
      <w:r w:rsidR="00C14403">
        <w:t>significant</w:t>
      </w:r>
      <w:r w:rsidR="00657994">
        <w:t xml:space="preserve"> errors. </w:t>
      </w:r>
      <w:r w:rsidR="00220C66">
        <w:t>Should it be useful for the Commi</w:t>
      </w:r>
      <w:r w:rsidR="00220C66">
        <w:t>t</w:t>
      </w:r>
      <w:r w:rsidR="00220C66">
        <w:t>tee</w:t>
      </w:r>
      <w:r w:rsidR="00095FBD">
        <w:t>,</w:t>
      </w:r>
      <w:r w:rsidR="00657994">
        <w:t xml:space="preserve"> we provide </w:t>
      </w:r>
      <w:r w:rsidR="00453340">
        <w:t xml:space="preserve">a proposal for </w:t>
      </w:r>
      <w:r w:rsidR="00095FBD">
        <w:t xml:space="preserve">correction of </w:t>
      </w:r>
      <w:r w:rsidR="00D64068">
        <w:t>the mentioned methodology (see</w:t>
      </w:r>
      <w:r w:rsidR="00095FBD">
        <w:t xml:space="preserve"> attached</w:t>
      </w:r>
      <w:r w:rsidR="00D64068">
        <w:t xml:space="preserve"> document ESMA_PRIIPS_ARFIMAFINANCIALSOLUTIONS_ANNEX1</w:t>
      </w:r>
      <w:r w:rsidR="00095FBD">
        <w:t>).</w:t>
      </w:r>
    </w:p>
    <w:permEnd w:id="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4074CC" w:rsidP="00750796">
      <w:permStart w:id="1" w:edGrp="everyone"/>
      <w:r>
        <w:t>We see merit in the ESAs clarifying further the criteria set out in Recital 18 in order to avoid divergence in practice</w:t>
      </w:r>
    </w:p>
    <w:permEnd w:id="1"/>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3749C1" w:rsidP="00750796">
      <w:permStart w:id="2" w:edGrp="everyone"/>
      <w:r>
        <w:t>We agree with the assumptions used for the proposed default amounts. We do not favour an approach in which a known required investment amount is used, as it would reduce comparability.</w:t>
      </w:r>
    </w:p>
    <w:permEnd w:id="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025413" w:rsidP="00750796">
      <w:permStart w:id="3" w:edGrp="everyone"/>
      <w:r>
        <w:t>Bootstrapping methodology should be preferred against Cornish-Fisher expansion for the following re</w:t>
      </w:r>
      <w:r>
        <w:t>a</w:t>
      </w:r>
      <w:r>
        <w:t>sons:</w:t>
      </w:r>
    </w:p>
    <w:p w:rsidR="00025413" w:rsidRDefault="00E44A47" w:rsidP="00025413">
      <w:pPr>
        <w:pStyle w:val="Prrafodelista"/>
        <w:numPr>
          <w:ilvl w:val="0"/>
          <w:numId w:val="52"/>
        </w:numPr>
      </w:pPr>
      <w:r>
        <w:t>It u</w:t>
      </w:r>
      <w:r w:rsidR="00025413">
        <w:t>nifies the methodology with Category III</w:t>
      </w:r>
      <w:r>
        <w:t>.</w:t>
      </w:r>
    </w:p>
    <w:p w:rsidR="00025413" w:rsidRDefault="00025413" w:rsidP="00025413">
      <w:pPr>
        <w:pStyle w:val="Prrafodelista"/>
        <w:numPr>
          <w:ilvl w:val="0"/>
          <w:numId w:val="52"/>
        </w:numPr>
      </w:pPr>
      <w:r>
        <w:t xml:space="preserve">Cornish-Fisher expansion is both unreliable and unstable for distributions which are not close to the normal distribution, for example for big </w:t>
      </w:r>
      <w:proofErr w:type="spellStart"/>
      <w:r>
        <w:t>skewness</w:t>
      </w:r>
      <w:proofErr w:type="spellEnd"/>
      <w:r>
        <w:t xml:space="preserve"> or kurtosis</w:t>
      </w:r>
      <w:r w:rsidR="00B15183">
        <w:t>.</w:t>
      </w:r>
    </w:p>
    <w:p w:rsidR="00B15183" w:rsidRDefault="00B15183" w:rsidP="00025413">
      <w:pPr>
        <w:pStyle w:val="Prrafodelista"/>
        <w:numPr>
          <w:ilvl w:val="0"/>
          <w:numId w:val="52"/>
        </w:numPr>
      </w:pPr>
      <w:r>
        <w:t>The way the Cornish-Fisher is specified in the draft RTS includes the use of the square root sca</w:t>
      </w:r>
      <w:r>
        <w:t>l</w:t>
      </w:r>
      <w:r>
        <w:t>ing to annualize daily volatility. Square root scaling for volatility may cause large errors</w:t>
      </w:r>
      <w:r w:rsidR="00E44A47">
        <w:t xml:space="preserve"> and should be avoided if possible</w:t>
      </w:r>
      <w:r>
        <w:t>.</w:t>
      </w:r>
    </w:p>
    <w:permEnd w:id="3"/>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3749C1" w:rsidRDefault="003749C1" w:rsidP="00750796">
      <w:permStart w:id="4" w:edGrp="everyone"/>
      <w:r>
        <w:t>There are not confidence levels favoured a priori by theory. VaR confidence level should be thus chosen on the basis of best fitting other regulatory requirements across member countries.</w:t>
      </w:r>
    </w:p>
    <w:permEnd w:id="4"/>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lastRenderedPageBreak/>
        <w:t>&lt;ESMA_QUESTION_</w:t>
      </w:r>
      <w:r w:rsidR="003E4B00">
        <w:t>PRIIPS</w:t>
      </w:r>
      <w:r>
        <w:t>_5&gt;</w:t>
      </w:r>
    </w:p>
    <w:p w:rsidR="00750796" w:rsidRDefault="00D90A6C" w:rsidP="00750796">
      <w:permStart w:id="5" w:edGrp="everyone"/>
      <w:r>
        <w:t xml:space="preserve">We are of the view that it is enough to include information about any compensation or guarantee scheme in the section </w:t>
      </w:r>
      <w:r w:rsidRPr="00D90A6C">
        <w:t>‘What happens if [the name of the PRIIP manufacturer] is unable to pay out?’</w:t>
      </w:r>
    </w:p>
    <w:permEnd w:id="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A64734" w:rsidRDefault="00D151AA" w:rsidP="003E4B00">
      <w:permStart w:id="6" w:edGrp="everyone"/>
      <w:r>
        <w:t>Voluntarily increasing</w:t>
      </w:r>
      <w:r w:rsidR="00FA4A37">
        <w:t xml:space="preserve"> of the disclosed SRI could lead to loss of comparability among manufacturers, and in extreme cases would cause the SRI to be meaningless, for example if all manufacturers decided to set the SRI equal to 7 for all their products.</w:t>
      </w:r>
      <w:r w:rsidR="00A64734">
        <w:t xml:space="preserve"> The only advantage we find is that the manufacturer could li</w:t>
      </w:r>
      <w:r w:rsidR="001C4465">
        <w:t>mit the commercialization of certain</w:t>
      </w:r>
      <w:r w:rsidR="00A64734">
        <w:t xml:space="preserve"> product</w:t>
      </w:r>
      <w:r w:rsidR="001C4465">
        <w:t>s</w:t>
      </w:r>
      <w:r w:rsidR="00A64734">
        <w:t xml:space="preserve"> to certain collectives. </w:t>
      </w:r>
    </w:p>
    <w:permEnd w:id="6"/>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E44A47" w:rsidP="003E4B00">
      <w:permStart w:id="7" w:edGrp="everyone"/>
      <w:r>
        <w:t xml:space="preserve">As long as the approach to compute credit risk remains qualitative, </w:t>
      </w:r>
      <w:r w:rsidR="00B8702D">
        <w:t>it would be difficult to include a tenor adjustment in a consistent way</w:t>
      </w:r>
      <w:r>
        <w:t>.</w:t>
      </w:r>
    </w:p>
    <w:permEnd w:id="7"/>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A335E3" w:rsidP="003E4B00">
      <w:permStart w:id="8" w:edGrp="everyone"/>
      <w:r>
        <w:t>It seems that a typo or error is found aggregating Credit Risk Measure 4, since the corresponding SRI is 5 for MRM classes between 1 and 4. Also note that distinguishing CRM 1 and 2 does not make sense since they have the same aggregated SRI.</w:t>
      </w:r>
    </w:p>
    <w:permEnd w:id="8"/>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E44A47" w:rsidP="003E4B00">
      <w:permStart w:id="9" w:edGrp="everyone"/>
      <w:r>
        <w:t>If the reason for the criteria of the 5 year tenor is to account for potential losses due to inflation, our opi</w:t>
      </w:r>
      <w:r>
        <w:t>n</w:t>
      </w:r>
      <w:r>
        <w:t xml:space="preserve">ion is that this </w:t>
      </w:r>
      <w:r w:rsidR="00A03A67">
        <w:t>is</w:t>
      </w:r>
      <w:r>
        <w:t xml:space="preserve"> rather arbitrary. As </w:t>
      </w:r>
      <w:r w:rsidR="00A03A67">
        <w:t>inflation rate</w:t>
      </w:r>
      <w:r>
        <w:t xml:space="preserve"> change</w:t>
      </w:r>
      <w:r w:rsidR="00A03A67">
        <w:t>s</w:t>
      </w:r>
      <w:r>
        <w:t>,</w:t>
      </w:r>
      <w:r w:rsidR="00E8627F">
        <w:t xml:space="preserve"> a 5 year</w:t>
      </w:r>
      <w:r>
        <w:t xml:space="preserve"> tenor</w:t>
      </w:r>
      <w:r w:rsidR="00C47DB1">
        <w:t xml:space="preserve"> c</w:t>
      </w:r>
      <w:r>
        <w:t>ould become irrelevant</w:t>
      </w:r>
      <w:r w:rsidR="00C47DB1">
        <w:t>, and the criteria would need to be changed.</w:t>
      </w:r>
    </w:p>
    <w:permEnd w:id="9"/>
    <w:p w:rsidR="003E4B00" w:rsidRPr="00580880" w:rsidRDefault="003E4B00" w:rsidP="003E4B00">
      <w:pPr>
        <w:rPr>
          <w:lang w:val="fr-FR"/>
        </w:rPr>
      </w:pPr>
      <w:r w:rsidRPr="00580880">
        <w:rPr>
          <w:lang w:val="fr-FR"/>
        </w:rPr>
        <w:lastRenderedPageBreak/>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D90A6C" w:rsidP="003E4B00">
      <w:permStart w:id="10" w:edGrp="everyone"/>
      <w:r>
        <w:t>We are not aware of any further circumstances that should be included.</w:t>
      </w:r>
    </w:p>
    <w:permEnd w:id="10"/>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763B80" w:rsidP="003E4B00">
      <w:permStart w:id="11" w:edGrp="everyone"/>
      <w:r>
        <w:t>We think that the look through approach is appropriate.</w:t>
      </w:r>
    </w:p>
    <w:permEnd w:id="11"/>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Pr="00580880" w:rsidRDefault="00C47DB1" w:rsidP="003E4B00">
      <w:pPr>
        <w:rPr>
          <w:lang w:val="fr-FR"/>
        </w:rPr>
      </w:pPr>
      <w:permStart w:id="12" w:edGrp="everyone"/>
      <w:r>
        <w:t>We are of the opinion that currency risk should be integ</w:t>
      </w:r>
      <w:r w:rsidR="00A03A67">
        <w:t>rated and aggregated to the SRI.</w:t>
      </w:r>
      <w:r>
        <w:t xml:space="preserve"> </w:t>
      </w:r>
      <w:r w:rsidR="00A03A67">
        <w:t>E</w:t>
      </w:r>
      <w:r>
        <w:t xml:space="preserve">xchange rate fluctuations could derive into substantial losses if the product is denominated in foreign currency, a fact that could be hardly </w:t>
      </w:r>
      <w:r w:rsidR="000A35E3">
        <w:t>evaluable for</w:t>
      </w:r>
      <w:r>
        <w:t xml:space="preserve"> retail investors.</w:t>
      </w:r>
      <w:r w:rsidR="00A03A67">
        <w:t xml:space="preserve"> Foreign exchange rate can be integrated in VaR comp</w:t>
      </w:r>
      <w:r w:rsidR="00A03A67">
        <w:t>u</w:t>
      </w:r>
      <w:r w:rsidR="00A03A67">
        <w:t>tations in a standard way. For qualitative assessments of market risk, a rule for increasing the MRM should be specified.</w:t>
      </w:r>
      <w:r>
        <w:t xml:space="preserve"> </w:t>
      </w:r>
      <w:permEnd w:id="12"/>
      <w:r w:rsidR="003E4B00" w:rsidRPr="00580880">
        <w:rPr>
          <w:lang w:val="fr-FR"/>
        </w:rPr>
        <w:t>&lt;ESMA_QUESTION_</w:t>
      </w:r>
      <w:r w:rsidR="003E4B00">
        <w:rPr>
          <w:lang w:val="fr-FR"/>
        </w:rPr>
        <w:t>PRIIPS_12</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0A35E3" w:rsidP="003E4B00">
      <w:permStart w:id="13" w:edGrp="everyone"/>
      <w:r>
        <w:t>We believe that the Consultation Paper has addressed this issue efficiently enough within the</w:t>
      </w:r>
      <w:r w:rsidR="001C4465">
        <w:t xml:space="preserve"> global</w:t>
      </w:r>
      <w:r>
        <w:t xml:space="preserve"> spirit of the Draft Regulatory Technical Standards.</w:t>
      </w:r>
    </w:p>
    <w:permEnd w:id="13"/>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14" w:edGrp="everyone"/>
      <w:r>
        <w:t>TYPE YOUR TEXT HERE</w:t>
      </w:r>
    </w:p>
    <w:permEnd w:id="14"/>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763B80" w:rsidRDefault="00BE391D" w:rsidP="003E4B00">
      <w:permStart w:id="15" w:edGrp="everyone"/>
      <w:r>
        <w:t>We believe that a table is pr</w:t>
      </w:r>
      <w:r w:rsidR="00AE7D38">
        <w:t xml:space="preserve">eferred </w:t>
      </w:r>
      <w:r>
        <w:t>for the sake of clarity.</w:t>
      </w:r>
    </w:p>
    <w:permEnd w:id="1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6" w:edGrp="everyone"/>
      <w:r>
        <w:t>TYPE YOUR TEXT HERE</w:t>
      </w:r>
    </w:p>
    <w:permEnd w:id="16"/>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7" w:edGrp="everyone"/>
      <w:r>
        <w:t>TYPE YOUR TEXT HERE</w:t>
      </w:r>
    </w:p>
    <w:permEnd w:id="17"/>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 xml:space="preserve">Do you agree that the monetary values indicated in the first table are a sum of costs over the respective holding periods? Or should the values reflect annualized amounts? If you prefer annualized amounts, </w:t>
      </w:r>
      <w:r w:rsidRPr="00A2049D">
        <w:rPr>
          <w:rFonts w:ascii="Calibri" w:hAnsi="Calibri"/>
          <w:i/>
          <w:sz w:val="22"/>
          <w:lang w:eastAsia="en-US"/>
        </w:rPr>
        <w:lastRenderedPageBreak/>
        <w:t>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Default="00763B80" w:rsidP="003E4B00">
      <w:permStart w:id="18" w:edGrp="everyone"/>
      <w:r>
        <w:t>We believe that a sum of costs over the holding period is better understood by retail investors.</w:t>
      </w:r>
    </w:p>
    <w:permEnd w:id="1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19" w:edGrp="everyone"/>
      <w:r>
        <w:t>TYPE YOUR TEXT HERE</w:t>
      </w:r>
    </w:p>
    <w:permEnd w:id="19"/>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20" w:edGrp="everyone"/>
      <w:r>
        <w:t>TYPE YOUR TEXT HERE</w:t>
      </w:r>
    </w:p>
    <w:permEnd w:id="20"/>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D2109C" w:rsidRDefault="00763B80" w:rsidP="00D2109C">
      <w:permStart w:id="21" w:edGrp="everyone"/>
      <w:r>
        <w:t>We believe that both, monetary and percentage, figures should be presented. In addition monetary figures should be annualized as long as the table reflects the costs only for the holding period</w:t>
      </w:r>
      <w:r w:rsidR="007F316A">
        <w:t xml:space="preserve"> in order to improve comparability with the first table of costs (i</w:t>
      </w:r>
      <w:r>
        <w:t>n that case it should be clearly specified that the amounts are annualized to avoid confu</w:t>
      </w:r>
      <w:r w:rsidR="007F316A">
        <w:t>sion). The amounts should be annualized dividing by the number of years in the holding period.</w:t>
      </w:r>
      <w:r w:rsidR="00AC0D7E">
        <w:t xml:space="preserve"> </w:t>
      </w:r>
      <w:r w:rsidR="007F316A">
        <w:t>T</w:t>
      </w:r>
      <w:r w:rsidR="00AC0D7E">
        <w:t>his way the</w:t>
      </w:r>
      <w:r w:rsidR="007F316A">
        <w:t>s</w:t>
      </w:r>
      <w:r w:rsidR="00AC0D7E">
        <w:t>e</w:t>
      </w:r>
      <w:r w:rsidR="007F316A">
        <w:t xml:space="preserve"> amounts would be easily </w:t>
      </w:r>
      <w:r w:rsidR="00AC0D7E">
        <w:t>handled</w:t>
      </w:r>
      <w:r w:rsidR="007F316A">
        <w:t xml:space="preserve"> by retail investors.</w:t>
      </w:r>
      <w:r>
        <w:t xml:space="preserve"> </w:t>
      </w:r>
    </w:p>
    <w:permEnd w:id="21"/>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lastRenderedPageBreak/>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Pr="003E4B00" w:rsidRDefault="00BE391D" w:rsidP="00491E49">
      <w:pPr>
        <w:rPr>
          <w:lang w:val="fr-FR"/>
        </w:rPr>
      </w:pPr>
      <w:permStart w:id="22" w:edGrp="everyone"/>
      <w:r>
        <w:t>A table is preferred for the sake of clarity</w:t>
      </w:r>
      <w:proofErr w:type="gramStart"/>
      <w:r w:rsidR="00763B80">
        <w:t>.</w:t>
      </w:r>
      <w:r>
        <w:t>.</w:t>
      </w:r>
      <w:permEnd w:id="22"/>
      <w:proofErr w:type="gramEnd"/>
      <w:r w:rsidR="00491E49" w:rsidRPr="00580880">
        <w:rPr>
          <w:lang w:val="fr-FR"/>
        </w:rPr>
        <w:t>&lt;ESMA_QUESTION_</w:t>
      </w:r>
      <w:r w:rsidR="00491E49">
        <w:rPr>
          <w:lang w:val="fr-FR"/>
        </w:rPr>
        <w:t>PRIIPS_22</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23" w:edGrp="everyone"/>
      <w:r>
        <w:t>TYPE YOUR TEXT HERE</w:t>
      </w:r>
    </w:p>
    <w:permEnd w:id="23"/>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24" w:edGrp="everyone"/>
      <w:r>
        <w:t>TYPE YOUR TEXT HERE</w:t>
      </w:r>
    </w:p>
    <w:permEnd w:id="24"/>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25" w:edGrp="everyone"/>
      <w:r>
        <w:t>TYPE YOUR TEXT HERE</w:t>
      </w:r>
    </w:p>
    <w:permEnd w:id="2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E87084" w:rsidP="00847BB0">
      <w:permStart w:id="26" w:edGrp="everyone"/>
      <w:r>
        <w:t xml:space="preserve">As there is a second table, </w:t>
      </w:r>
      <w:r w:rsidR="00AC0D7E">
        <w:t>we believe that the simpler the better for the investor.</w:t>
      </w:r>
    </w:p>
    <w:permEnd w:id="26"/>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lastRenderedPageBreak/>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E87084" w:rsidRPr="00763B80" w:rsidRDefault="00763B80" w:rsidP="00847BB0">
      <w:pPr>
        <w:rPr>
          <w:lang w:val="en-US"/>
        </w:rPr>
      </w:pPr>
      <w:permStart w:id="27" w:edGrp="everyone"/>
      <w:r w:rsidRPr="00763B80">
        <w:rPr>
          <w:lang w:val="en-US"/>
        </w:rPr>
        <w:t>We think that RIY figures are more illustrative for investors.</w:t>
      </w:r>
    </w:p>
    <w:permEnd w:id="27"/>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5C53E8" w:rsidP="00491E49">
      <w:permStart w:id="28" w:edGrp="everyone"/>
      <w:r>
        <w:t xml:space="preserve">We have a comment regarding policy issue 7: choice of performance scenarios. As stated in previous Discussion Papers, there are three main objectives when prescribing the methodology for </w:t>
      </w:r>
      <w:r w:rsidR="00CC2A85">
        <w:t xml:space="preserve">the </w:t>
      </w:r>
      <w:r>
        <w:t>calculation of the performance scenarios:</w:t>
      </w:r>
    </w:p>
    <w:p w:rsidR="005C53E8" w:rsidRDefault="005C53E8" w:rsidP="005C53E8">
      <w:pPr>
        <w:pStyle w:val="Prrafodelista"/>
        <w:numPr>
          <w:ilvl w:val="0"/>
          <w:numId w:val="53"/>
        </w:numPr>
      </w:pPr>
      <w:r>
        <w:t>To reduce manufacturer discretion as far as possible.</w:t>
      </w:r>
    </w:p>
    <w:p w:rsidR="005C53E8" w:rsidRDefault="005C53E8" w:rsidP="005C53E8">
      <w:pPr>
        <w:pStyle w:val="Prrafodelista"/>
        <w:numPr>
          <w:ilvl w:val="0"/>
          <w:numId w:val="53"/>
        </w:numPr>
      </w:pPr>
      <w:r>
        <w:t>To increase comparability as far as possible.</w:t>
      </w:r>
    </w:p>
    <w:p w:rsidR="005C53E8" w:rsidRDefault="005C53E8" w:rsidP="005C53E8">
      <w:pPr>
        <w:pStyle w:val="Prrafodelista"/>
        <w:numPr>
          <w:ilvl w:val="0"/>
          <w:numId w:val="53"/>
        </w:numPr>
      </w:pPr>
      <w:r>
        <w:t>To present helpful information to consumers.</w:t>
      </w:r>
    </w:p>
    <w:p w:rsidR="00FC209F" w:rsidRDefault="005C53E8" w:rsidP="005C53E8">
      <w:r>
        <w:t>The following table shows how the different options (</w:t>
      </w:r>
      <w:r w:rsidR="00FC209F">
        <w:t>w</w:t>
      </w:r>
      <w:r>
        <w:t xml:space="preserve">hat if-manufacturer’ choice, what if-prescribed scenarios, </w:t>
      </w:r>
      <w:r w:rsidR="00FC209F">
        <w:t>and the</w:t>
      </w:r>
      <w:r>
        <w:t xml:space="preserve"> probabilistic approach)</w:t>
      </w:r>
      <w:r w:rsidR="00FC209F">
        <w:t xml:space="preserve"> fulfils those objectives:</w:t>
      </w:r>
    </w:p>
    <w:p w:rsidR="00FC209F" w:rsidRDefault="00FC209F" w:rsidP="005C53E8"/>
    <w:tbl>
      <w:tblPr>
        <w:tblStyle w:val="Tablaconcuadrcula"/>
        <w:tblW w:w="0" w:type="auto"/>
        <w:tblLook w:val="04A0"/>
      </w:tblPr>
      <w:tblGrid>
        <w:gridCol w:w="2407"/>
        <w:gridCol w:w="2407"/>
        <w:gridCol w:w="2407"/>
        <w:gridCol w:w="2407"/>
      </w:tblGrid>
      <w:tr w:rsidR="00FC209F" w:rsidTr="00FC209F">
        <w:tc>
          <w:tcPr>
            <w:tcW w:w="2407" w:type="dxa"/>
            <w:vAlign w:val="center"/>
          </w:tcPr>
          <w:p w:rsidR="00FC209F" w:rsidRDefault="00FC209F" w:rsidP="00FC209F">
            <w:pPr>
              <w:jc w:val="center"/>
            </w:pPr>
          </w:p>
        </w:tc>
        <w:tc>
          <w:tcPr>
            <w:tcW w:w="2407" w:type="dxa"/>
            <w:vAlign w:val="center"/>
          </w:tcPr>
          <w:p w:rsidR="00FC209F" w:rsidRDefault="00FC209F" w:rsidP="00FC209F">
            <w:pPr>
              <w:jc w:val="center"/>
            </w:pPr>
            <w:r>
              <w:t>Reduces manufacturer discretion</w:t>
            </w:r>
          </w:p>
        </w:tc>
        <w:tc>
          <w:tcPr>
            <w:tcW w:w="2407" w:type="dxa"/>
            <w:vAlign w:val="center"/>
          </w:tcPr>
          <w:p w:rsidR="00FC209F" w:rsidRDefault="00FC209F" w:rsidP="00FC209F">
            <w:pPr>
              <w:jc w:val="center"/>
            </w:pPr>
            <w:r>
              <w:t>Increases comparability</w:t>
            </w:r>
          </w:p>
        </w:tc>
        <w:tc>
          <w:tcPr>
            <w:tcW w:w="2407" w:type="dxa"/>
            <w:vAlign w:val="center"/>
          </w:tcPr>
          <w:p w:rsidR="00FC209F" w:rsidRDefault="00FC209F" w:rsidP="00FC209F">
            <w:pPr>
              <w:jc w:val="center"/>
            </w:pPr>
            <w:r>
              <w:t>Helpful information</w:t>
            </w:r>
          </w:p>
        </w:tc>
      </w:tr>
      <w:tr w:rsidR="00FC209F" w:rsidTr="00FC209F">
        <w:tc>
          <w:tcPr>
            <w:tcW w:w="2407" w:type="dxa"/>
            <w:vAlign w:val="center"/>
          </w:tcPr>
          <w:p w:rsidR="00FC209F" w:rsidRDefault="00FC209F" w:rsidP="00FC209F">
            <w:pPr>
              <w:jc w:val="center"/>
            </w:pPr>
            <w:r>
              <w:t>What if-manufacturers’ choice</w:t>
            </w:r>
          </w:p>
        </w:tc>
        <w:tc>
          <w:tcPr>
            <w:tcW w:w="2407" w:type="dxa"/>
            <w:vAlign w:val="center"/>
          </w:tcPr>
          <w:p w:rsidR="00FC209F" w:rsidRDefault="00FC209F" w:rsidP="00FC209F">
            <w:pPr>
              <w:jc w:val="center"/>
            </w:pPr>
            <w:r>
              <w:t>NO</w:t>
            </w:r>
          </w:p>
        </w:tc>
        <w:tc>
          <w:tcPr>
            <w:tcW w:w="2407" w:type="dxa"/>
            <w:vAlign w:val="center"/>
          </w:tcPr>
          <w:p w:rsidR="00FC209F" w:rsidRDefault="00FC209F" w:rsidP="00FC209F">
            <w:pPr>
              <w:jc w:val="center"/>
            </w:pPr>
            <w:r>
              <w:t>NO</w:t>
            </w:r>
          </w:p>
        </w:tc>
        <w:tc>
          <w:tcPr>
            <w:tcW w:w="2407" w:type="dxa"/>
            <w:vAlign w:val="center"/>
          </w:tcPr>
          <w:p w:rsidR="00FC209F" w:rsidRDefault="00FC209F" w:rsidP="00FC209F">
            <w:pPr>
              <w:jc w:val="center"/>
            </w:pPr>
            <w:r>
              <w:t>YES</w:t>
            </w:r>
          </w:p>
        </w:tc>
      </w:tr>
      <w:tr w:rsidR="00FC209F" w:rsidTr="00FC209F">
        <w:tc>
          <w:tcPr>
            <w:tcW w:w="2407" w:type="dxa"/>
            <w:vAlign w:val="center"/>
          </w:tcPr>
          <w:p w:rsidR="00FC209F" w:rsidRDefault="00FC209F" w:rsidP="00FC209F">
            <w:pPr>
              <w:jc w:val="center"/>
            </w:pPr>
            <w:r>
              <w:t>What if-prescribed scenarios</w:t>
            </w:r>
          </w:p>
        </w:tc>
        <w:tc>
          <w:tcPr>
            <w:tcW w:w="2407" w:type="dxa"/>
            <w:vAlign w:val="center"/>
          </w:tcPr>
          <w:p w:rsidR="00FC209F" w:rsidRDefault="00FC209F" w:rsidP="00FC209F">
            <w:pPr>
              <w:jc w:val="center"/>
            </w:pPr>
            <w:r>
              <w:t>YES</w:t>
            </w:r>
          </w:p>
        </w:tc>
        <w:tc>
          <w:tcPr>
            <w:tcW w:w="2407" w:type="dxa"/>
            <w:vAlign w:val="center"/>
          </w:tcPr>
          <w:p w:rsidR="00FC209F" w:rsidRDefault="00FC209F" w:rsidP="00FC209F">
            <w:pPr>
              <w:jc w:val="center"/>
            </w:pPr>
            <w:r>
              <w:t>YES</w:t>
            </w:r>
          </w:p>
        </w:tc>
        <w:tc>
          <w:tcPr>
            <w:tcW w:w="2407" w:type="dxa"/>
            <w:vAlign w:val="center"/>
          </w:tcPr>
          <w:p w:rsidR="00FC209F" w:rsidRDefault="00FC209F" w:rsidP="00FC209F">
            <w:pPr>
              <w:jc w:val="center"/>
            </w:pPr>
            <w:r>
              <w:t>NO</w:t>
            </w:r>
          </w:p>
        </w:tc>
      </w:tr>
      <w:tr w:rsidR="00FC209F" w:rsidTr="00FC209F">
        <w:tc>
          <w:tcPr>
            <w:tcW w:w="2407" w:type="dxa"/>
            <w:vAlign w:val="center"/>
          </w:tcPr>
          <w:p w:rsidR="00FC209F" w:rsidRDefault="00FC209F" w:rsidP="00FC209F">
            <w:pPr>
              <w:jc w:val="center"/>
            </w:pPr>
            <w:r>
              <w:t>Probabilistic approach</w:t>
            </w:r>
          </w:p>
        </w:tc>
        <w:tc>
          <w:tcPr>
            <w:tcW w:w="2407" w:type="dxa"/>
            <w:vAlign w:val="center"/>
          </w:tcPr>
          <w:p w:rsidR="00FC209F" w:rsidRDefault="00FC209F" w:rsidP="00FC209F">
            <w:pPr>
              <w:jc w:val="center"/>
            </w:pPr>
            <w:r>
              <w:t>YES</w:t>
            </w:r>
          </w:p>
        </w:tc>
        <w:tc>
          <w:tcPr>
            <w:tcW w:w="2407" w:type="dxa"/>
            <w:vAlign w:val="center"/>
          </w:tcPr>
          <w:p w:rsidR="00FC209F" w:rsidRDefault="00FC209F" w:rsidP="00FC209F">
            <w:pPr>
              <w:jc w:val="center"/>
            </w:pPr>
            <w:r>
              <w:t>YES</w:t>
            </w:r>
          </w:p>
        </w:tc>
        <w:tc>
          <w:tcPr>
            <w:tcW w:w="2407" w:type="dxa"/>
            <w:vAlign w:val="center"/>
          </w:tcPr>
          <w:p w:rsidR="00FC209F" w:rsidRDefault="009A365C" w:rsidP="00FC209F">
            <w:pPr>
              <w:jc w:val="center"/>
            </w:pPr>
            <w:r>
              <w:t>Probabilities are difficult to understand</w:t>
            </w:r>
          </w:p>
        </w:tc>
      </w:tr>
    </w:tbl>
    <w:p w:rsidR="00FC209F" w:rsidRDefault="00FC209F" w:rsidP="005C53E8"/>
    <w:p w:rsidR="00FC209F" w:rsidRDefault="00FC209F" w:rsidP="005C53E8">
      <w:r>
        <w:t>The retained option (what if-manufacturers’ choice) only complies with one objective. Moreover, it max</w:t>
      </w:r>
      <w:r>
        <w:t>i</w:t>
      </w:r>
      <w:r>
        <w:t xml:space="preserve">mizes manufacturer discretion while minimizes comparability. On the positive side, it is the cheapest option for both manufacturer and regulators. The second option (what if-prescribed scenarios) have a </w:t>
      </w:r>
      <w:r>
        <w:lastRenderedPageBreak/>
        <w:t>major drawback</w:t>
      </w:r>
      <w:r w:rsidR="00E30E6B">
        <w:t xml:space="preserve"> which is impossible to overcome</w:t>
      </w:r>
      <w:r>
        <w:t>, namely, it is impossible to prescribe meaningful scena</w:t>
      </w:r>
      <w:r>
        <w:t>r</w:t>
      </w:r>
      <w:r>
        <w:t>ios for the whole spectrum of PRIIP’s.</w:t>
      </w:r>
      <w:r w:rsidR="00E30E6B">
        <w:t xml:space="preserve"> Regarding the third option, the only drawbacks are the higher costs and the fact that investors have difficulties when dealing with probabilities.</w:t>
      </w:r>
    </w:p>
    <w:p w:rsidR="00E30E6B" w:rsidRDefault="00E30E6B" w:rsidP="005C53E8"/>
    <w:p w:rsidR="005C53E8" w:rsidRDefault="00E30E6B" w:rsidP="005C53E8">
      <w:r>
        <w:t>In view of this situation we would favour a hybrid approach, where unfavourable, moderate, and favou</w:t>
      </w:r>
      <w:r>
        <w:t>r</w:t>
      </w:r>
      <w:r>
        <w:t xml:space="preserve">able scenarios are based on the percentiles of the losses distribution (probability approach), but the </w:t>
      </w:r>
      <w:r w:rsidR="00CC2A85">
        <w:t>corr</w:t>
      </w:r>
      <w:r w:rsidR="00CC2A85">
        <w:t>e</w:t>
      </w:r>
      <w:r w:rsidR="00CC2A85">
        <w:t xml:space="preserve">sponding </w:t>
      </w:r>
      <w:r>
        <w:t xml:space="preserve">probabilities are not </w:t>
      </w:r>
      <w:r w:rsidR="00CC2A85">
        <w:t xml:space="preserve">disclosed to </w:t>
      </w:r>
      <w:r>
        <w:t>investors.</w:t>
      </w:r>
      <w:r w:rsidR="002F4264">
        <w:t xml:space="preserve"> </w:t>
      </w:r>
      <w:r>
        <w:t xml:space="preserve">We believe that this approach </w:t>
      </w:r>
      <w:r w:rsidR="00D4373B">
        <w:t>maximizes</w:t>
      </w:r>
      <w:r>
        <w:t xml:space="preserve"> the three mentioned objectives and it means no new costs for man</w:t>
      </w:r>
      <w:r>
        <w:t>u</w:t>
      </w:r>
      <w:r>
        <w:t xml:space="preserve">facturers (as the computations are carried out for the SRI). The only drawback is the cost for the supervisor. In the </w:t>
      </w:r>
      <w:r w:rsidR="00EA35A2">
        <w:t>attached document ESMA_PRIIPS_ARFIMAFINANCIALSOLUTIONS_ANNEX2</w:t>
      </w:r>
      <w:r>
        <w:t xml:space="preserve"> we provide a detailed description of this proposed approach.</w:t>
      </w:r>
    </w:p>
    <w:permEnd w:id="28"/>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39F" w:rsidRDefault="0062039F">
      <w:r>
        <w:separator/>
      </w:r>
    </w:p>
    <w:p w:rsidR="0062039F" w:rsidRDefault="0062039F"/>
  </w:endnote>
  <w:endnote w:type="continuationSeparator" w:id="0">
    <w:p w:rsidR="0062039F" w:rsidRDefault="0062039F">
      <w:r>
        <w:continuationSeparator/>
      </w:r>
    </w:p>
    <w:p w:rsidR="0062039F" w:rsidRDefault="0062039F"/>
  </w:endnote>
  <w:endnote w:type="continuationNotice" w:id="1">
    <w:p w:rsidR="0062039F" w:rsidRDefault="0062039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0105C" w:rsidRPr="00616B9B" w:rsidTr="00315E96">
      <w:trPr>
        <w:trHeight w:val="284"/>
      </w:trPr>
      <w:tc>
        <w:tcPr>
          <w:tcW w:w="8460" w:type="dxa"/>
        </w:tcPr>
        <w:p w:rsidR="0050105C" w:rsidRPr="00315E96" w:rsidRDefault="0050105C" w:rsidP="00315E96">
          <w:pPr>
            <w:pStyle w:val="00Footer"/>
            <w:rPr>
              <w:lang w:val="fr-FR"/>
            </w:rPr>
          </w:pPr>
        </w:p>
      </w:tc>
      <w:tc>
        <w:tcPr>
          <w:tcW w:w="952" w:type="dxa"/>
        </w:tcPr>
        <w:p w:rsidR="0050105C" w:rsidRPr="00616B9B" w:rsidRDefault="00A201D4" w:rsidP="002C5B2D">
          <w:pPr>
            <w:pStyle w:val="00aPagenumber"/>
            <w:rPr>
              <w:rFonts w:cs="Arial"/>
              <w:sz w:val="22"/>
              <w:szCs w:val="22"/>
            </w:rPr>
          </w:pPr>
          <w:r w:rsidRPr="00616B9B">
            <w:rPr>
              <w:rFonts w:cs="Arial"/>
              <w:sz w:val="22"/>
              <w:szCs w:val="22"/>
            </w:rPr>
            <w:fldChar w:fldCharType="begin"/>
          </w:r>
          <w:r w:rsidR="0050105C" w:rsidRPr="00616B9B">
            <w:rPr>
              <w:rFonts w:cs="Arial"/>
              <w:sz w:val="22"/>
              <w:szCs w:val="22"/>
            </w:rPr>
            <w:instrText xml:space="preserve"> PAGE </w:instrText>
          </w:r>
          <w:r w:rsidRPr="00616B9B">
            <w:rPr>
              <w:rFonts w:cs="Arial"/>
              <w:sz w:val="22"/>
              <w:szCs w:val="22"/>
            </w:rPr>
            <w:fldChar w:fldCharType="separate"/>
          </w:r>
          <w:r w:rsidR="002F4264">
            <w:rPr>
              <w:rFonts w:cs="Arial"/>
              <w:noProof/>
              <w:sz w:val="22"/>
              <w:szCs w:val="22"/>
            </w:rPr>
            <w:t>12</w:t>
          </w:r>
          <w:r w:rsidRPr="00616B9B">
            <w:rPr>
              <w:rFonts w:cs="Arial"/>
              <w:noProof/>
              <w:sz w:val="22"/>
              <w:szCs w:val="22"/>
            </w:rPr>
            <w:fldChar w:fldCharType="end"/>
          </w:r>
        </w:p>
      </w:tc>
    </w:tr>
  </w:tbl>
  <w:p w:rsidR="0050105C" w:rsidRDefault="005010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5C" w:rsidRDefault="005010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39F" w:rsidRDefault="0062039F">
      <w:r>
        <w:separator/>
      </w:r>
    </w:p>
    <w:p w:rsidR="0062039F" w:rsidRDefault="0062039F"/>
  </w:footnote>
  <w:footnote w:type="continuationSeparator" w:id="0">
    <w:p w:rsidR="0062039F" w:rsidRDefault="0062039F">
      <w:r>
        <w:continuationSeparator/>
      </w:r>
    </w:p>
    <w:p w:rsidR="0062039F" w:rsidRDefault="0062039F"/>
  </w:footnote>
  <w:footnote w:type="continuationNotice" w:id="1">
    <w:p w:rsidR="0062039F" w:rsidRDefault="006203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5C" w:rsidRDefault="0050105C">
    <w:pPr>
      <w:pStyle w:val="Encabezado"/>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A201D4" w:rsidRPr="00A201D4">
      <w:rPr>
        <w:noProof/>
        <w:lang w:eastAsia="en-GB"/>
      </w:rPr>
      <w:pict>
        <v:line id="Line 16" o:spid="_x0000_s6146"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5C" w:rsidRDefault="0050105C" w:rsidP="00013CCE">
    <w:pPr>
      <w:pStyle w:val="Encabezado"/>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5C" w:rsidRDefault="0050105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0105C" w:rsidRPr="002F4496" w:rsidTr="000C06C9">
      <w:trPr>
        <w:trHeight w:val="284"/>
      </w:trPr>
      <w:tc>
        <w:tcPr>
          <w:tcW w:w="8460" w:type="dxa"/>
        </w:tcPr>
        <w:p w:rsidR="0050105C" w:rsidRPr="000C3B6D" w:rsidRDefault="0050105C" w:rsidP="000C06C9">
          <w:pPr>
            <w:pStyle w:val="00Footer"/>
            <w:rPr>
              <w:lang w:val="fr-FR"/>
            </w:rPr>
          </w:pPr>
        </w:p>
      </w:tc>
      <w:tc>
        <w:tcPr>
          <w:tcW w:w="952" w:type="dxa"/>
        </w:tcPr>
        <w:p w:rsidR="0050105C" w:rsidRPr="00146B34" w:rsidRDefault="0050105C" w:rsidP="000C06C9">
          <w:pPr>
            <w:pStyle w:val="00aPagenumber"/>
            <w:rPr>
              <w:lang w:val="fr-FR"/>
            </w:rPr>
          </w:pPr>
        </w:p>
      </w:tc>
    </w:tr>
  </w:tbl>
  <w:p w:rsidR="0050105C" w:rsidRPr="00DB46C3" w:rsidRDefault="0050105C">
    <w:pPr>
      <w:rPr>
        <w:lang w:val="fr-FR"/>
      </w:rPr>
    </w:pPr>
  </w:p>
  <w:p w:rsidR="0050105C" w:rsidRPr="002F4496" w:rsidRDefault="0050105C">
    <w:pPr>
      <w:pStyle w:val="Encabezado"/>
      <w:rPr>
        <w:lang w:val="fr-FR"/>
      </w:rPr>
    </w:pPr>
  </w:p>
  <w:p w:rsidR="0050105C" w:rsidRPr="002F4496" w:rsidRDefault="0050105C" w:rsidP="000C06C9">
    <w:pPr>
      <w:pStyle w:val="Encabezado"/>
      <w:tabs>
        <w:tab w:val="clear" w:pos="4536"/>
        <w:tab w:val="clear" w:pos="9072"/>
        <w:tab w:val="left" w:pos="8227"/>
      </w:tabs>
      <w:rPr>
        <w:lang w:val="fr-FR"/>
      </w:rPr>
    </w:pPr>
  </w:p>
  <w:p w:rsidR="0050105C" w:rsidRPr="002F4496" w:rsidRDefault="0050105C" w:rsidP="000C06C9">
    <w:pPr>
      <w:pStyle w:val="Encabezado"/>
      <w:tabs>
        <w:tab w:val="clear" w:pos="4536"/>
        <w:tab w:val="clear" w:pos="9072"/>
        <w:tab w:val="left" w:pos="8227"/>
      </w:tabs>
      <w:rPr>
        <w:lang w:val="fr-FR"/>
      </w:rPr>
    </w:pPr>
  </w:p>
  <w:p w:rsidR="0050105C" w:rsidRPr="002F4496" w:rsidRDefault="0050105C">
    <w:pPr>
      <w:pStyle w:val="Encabezado"/>
      <w:rPr>
        <w:lang w:val="fr-FR"/>
      </w:rPr>
    </w:pPr>
  </w:p>
  <w:p w:rsidR="0050105C" w:rsidRPr="002F4496" w:rsidRDefault="0050105C">
    <w:pPr>
      <w:pStyle w:val="Encabezado"/>
      <w:rPr>
        <w:lang w:val="fr-FR"/>
      </w:rPr>
    </w:pPr>
  </w:p>
  <w:p w:rsidR="0050105C" w:rsidRPr="002F4496" w:rsidRDefault="0050105C">
    <w:pPr>
      <w:pStyle w:val="Encabezado"/>
      <w:rPr>
        <w:lang w:val="fr-FR"/>
      </w:rPr>
    </w:pPr>
  </w:p>
  <w:p w:rsidR="0050105C" w:rsidRPr="002F4496" w:rsidRDefault="0050105C">
    <w:pPr>
      <w:pStyle w:val="Encabezado"/>
      <w:rPr>
        <w:lang w:val="fr-FR"/>
      </w:rPr>
    </w:pPr>
  </w:p>
  <w:p w:rsidR="0050105C" w:rsidRPr="002F4496" w:rsidRDefault="0050105C">
    <w:pPr>
      <w:pStyle w:val="Encabezado"/>
      <w:rPr>
        <w:highlight w:val="yellow"/>
        <w:lang w:val="fr-FR"/>
      </w:rPr>
    </w:pPr>
  </w:p>
  <w:p w:rsidR="0050105C" w:rsidRDefault="00A201D4">
    <w:pPr>
      <w:pStyle w:val="Encabezado"/>
    </w:pPr>
    <w:r w:rsidRPr="00A201D4">
      <w:rPr>
        <w:noProof/>
        <w:lang w:eastAsia="en-GB"/>
      </w:rPr>
      <w:pict>
        <v:line id="Straight Connector 138" o:spid="_x0000_s6145"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50105C">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09184D"/>
    <w:multiLevelType w:val="hybridMultilevel"/>
    <w:tmpl w:val="DF3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B9833EB"/>
    <w:multiLevelType w:val="hybridMultilevel"/>
    <w:tmpl w:val="E7C2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1"/>
  </w:num>
  <w:num w:numId="16">
    <w:abstractNumId w:val="1"/>
  </w:num>
  <w:num w:numId="17">
    <w:abstractNumId w:val="16"/>
  </w:num>
  <w:num w:numId="18">
    <w:abstractNumId w:val="17"/>
  </w:num>
  <w:num w:numId="19">
    <w:abstractNumId w:val="19"/>
  </w:num>
  <w:num w:numId="20">
    <w:abstractNumId w:val="29"/>
  </w:num>
  <w:num w:numId="21">
    <w:abstractNumId w:val="38"/>
  </w:num>
  <w:num w:numId="22">
    <w:abstractNumId w:val="27"/>
  </w:num>
  <w:num w:numId="23">
    <w:abstractNumId w:val="10"/>
  </w:num>
  <w:num w:numId="24">
    <w:abstractNumId w:val="32"/>
  </w:num>
  <w:num w:numId="25">
    <w:abstractNumId w:val="31"/>
  </w:num>
  <w:num w:numId="26">
    <w:abstractNumId w:val="21"/>
  </w:num>
  <w:num w:numId="27">
    <w:abstractNumId w:val="35"/>
  </w:num>
  <w:num w:numId="28">
    <w:abstractNumId w:val="40"/>
  </w:num>
  <w:num w:numId="29">
    <w:abstractNumId w:val="8"/>
  </w:num>
  <w:num w:numId="30">
    <w:abstractNumId w:val="3"/>
  </w:num>
  <w:num w:numId="31">
    <w:abstractNumId w:val="24"/>
  </w:num>
  <w:num w:numId="32">
    <w:abstractNumId w:val="2"/>
  </w:num>
  <w:num w:numId="33">
    <w:abstractNumId w:val="7"/>
  </w:num>
  <w:num w:numId="34">
    <w:abstractNumId w:val="22"/>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14"/>
  </w:num>
  <w:num w:numId="51">
    <w:abstractNumId w:val="23"/>
  </w:num>
  <w:num w:numId="52">
    <w:abstractNumId w:val="4"/>
  </w:num>
  <w:num w:numId="53">
    <w:abstractNumId w:val="1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1"/>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6386">
      <o:colormru v:ext="edit" colors="#2d4491,#283583"/>
    </o:shapedefaults>
    <o:shapelayout v:ext="edit">
      <o:idmap v:ext="edit" data="6"/>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413"/>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145"/>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5FBD"/>
    <w:rsid w:val="00096762"/>
    <w:rsid w:val="000969C8"/>
    <w:rsid w:val="0009752D"/>
    <w:rsid w:val="00097AEE"/>
    <w:rsid w:val="000A014A"/>
    <w:rsid w:val="000A04B6"/>
    <w:rsid w:val="000A0E36"/>
    <w:rsid w:val="000A1BD2"/>
    <w:rsid w:val="000A2127"/>
    <w:rsid w:val="000A358F"/>
    <w:rsid w:val="000A35E3"/>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403"/>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465"/>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966"/>
    <w:rsid w:val="00204CBC"/>
    <w:rsid w:val="002051F1"/>
    <w:rsid w:val="002067BA"/>
    <w:rsid w:val="0021058D"/>
    <w:rsid w:val="00211E2F"/>
    <w:rsid w:val="00211E9E"/>
    <w:rsid w:val="00214FB4"/>
    <w:rsid w:val="00215940"/>
    <w:rsid w:val="00217C23"/>
    <w:rsid w:val="00220561"/>
    <w:rsid w:val="00220C66"/>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1016"/>
    <w:rsid w:val="00243AA9"/>
    <w:rsid w:val="0024426D"/>
    <w:rsid w:val="00244F1D"/>
    <w:rsid w:val="00245004"/>
    <w:rsid w:val="00245FB4"/>
    <w:rsid w:val="00250898"/>
    <w:rsid w:val="00251EA9"/>
    <w:rsid w:val="00252843"/>
    <w:rsid w:val="002543F8"/>
    <w:rsid w:val="002551A4"/>
    <w:rsid w:val="002559F3"/>
    <w:rsid w:val="00256DFE"/>
    <w:rsid w:val="002619E3"/>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2F4264"/>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49C1"/>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4CC"/>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1AEF"/>
    <w:rsid w:val="0044277A"/>
    <w:rsid w:val="004456DC"/>
    <w:rsid w:val="00447BC0"/>
    <w:rsid w:val="00447FBE"/>
    <w:rsid w:val="0045035E"/>
    <w:rsid w:val="0045175A"/>
    <w:rsid w:val="00451ED9"/>
    <w:rsid w:val="00452180"/>
    <w:rsid w:val="00453072"/>
    <w:rsid w:val="00453340"/>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05C"/>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6D1B"/>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3E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27B4"/>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8D"/>
    <w:rsid w:val="006105FB"/>
    <w:rsid w:val="00610F94"/>
    <w:rsid w:val="00611293"/>
    <w:rsid w:val="0061135E"/>
    <w:rsid w:val="0061263A"/>
    <w:rsid w:val="00612C41"/>
    <w:rsid w:val="006145DE"/>
    <w:rsid w:val="0061478E"/>
    <w:rsid w:val="00614F25"/>
    <w:rsid w:val="00616A11"/>
    <w:rsid w:val="00616B9B"/>
    <w:rsid w:val="00617520"/>
    <w:rsid w:val="0062039F"/>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994"/>
    <w:rsid w:val="00660BF0"/>
    <w:rsid w:val="0066189C"/>
    <w:rsid w:val="006630CF"/>
    <w:rsid w:val="00663EFF"/>
    <w:rsid w:val="006646DF"/>
    <w:rsid w:val="00666F74"/>
    <w:rsid w:val="00667FEA"/>
    <w:rsid w:val="006710D2"/>
    <w:rsid w:val="00671A8B"/>
    <w:rsid w:val="00671F53"/>
    <w:rsid w:val="006725A0"/>
    <w:rsid w:val="0067555E"/>
    <w:rsid w:val="006778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4B60"/>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B80"/>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4E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16A"/>
    <w:rsid w:val="007F365C"/>
    <w:rsid w:val="007F5066"/>
    <w:rsid w:val="007F621C"/>
    <w:rsid w:val="007F7155"/>
    <w:rsid w:val="007F74EF"/>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5FF8"/>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76CE8"/>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434"/>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6F68"/>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66A1"/>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62D"/>
    <w:rsid w:val="00984C15"/>
    <w:rsid w:val="00987829"/>
    <w:rsid w:val="00991276"/>
    <w:rsid w:val="009923E7"/>
    <w:rsid w:val="00992697"/>
    <w:rsid w:val="00992D4E"/>
    <w:rsid w:val="00994621"/>
    <w:rsid w:val="009947FF"/>
    <w:rsid w:val="0099544B"/>
    <w:rsid w:val="009A07A6"/>
    <w:rsid w:val="009A0D56"/>
    <w:rsid w:val="009A31B9"/>
    <w:rsid w:val="009A365C"/>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3A67"/>
    <w:rsid w:val="00A04685"/>
    <w:rsid w:val="00A04C57"/>
    <w:rsid w:val="00A06340"/>
    <w:rsid w:val="00A0684F"/>
    <w:rsid w:val="00A06867"/>
    <w:rsid w:val="00A10148"/>
    <w:rsid w:val="00A10174"/>
    <w:rsid w:val="00A113FD"/>
    <w:rsid w:val="00A11DDE"/>
    <w:rsid w:val="00A127A7"/>
    <w:rsid w:val="00A129F4"/>
    <w:rsid w:val="00A136F4"/>
    <w:rsid w:val="00A160D3"/>
    <w:rsid w:val="00A16DC9"/>
    <w:rsid w:val="00A201D4"/>
    <w:rsid w:val="00A20225"/>
    <w:rsid w:val="00A2049D"/>
    <w:rsid w:val="00A23255"/>
    <w:rsid w:val="00A24269"/>
    <w:rsid w:val="00A243E4"/>
    <w:rsid w:val="00A25ED4"/>
    <w:rsid w:val="00A26C5C"/>
    <w:rsid w:val="00A30BDE"/>
    <w:rsid w:val="00A3131C"/>
    <w:rsid w:val="00A31F14"/>
    <w:rsid w:val="00A324DC"/>
    <w:rsid w:val="00A32B5A"/>
    <w:rsid w:val="00A335E3"/>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734"/>
    <w:rsid w:val="00A65805"/>
    <w:rsid w:val="00A66BEE"/>
    <w:rsid w:val="00A671C9"/>
    <w:rsid w:val="00A67DFD"/>
    <w:rsid w:val="00A74F9F"/>
    <w:rsid w:val="00A750B3"/>
    <w:rsid w:val="00A75559"/>
    <w:rsid w:val="00A7623D"/>
    <w:rsid w:val="00A7677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0D7E"/>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7D38"/>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183"/>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2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91D"/>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403"/>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47DB1"/>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2A85"/>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1AA"/>
    <w:rsid w:val="00D152B7"/>
    <w:rsid w:val="00D16EDC"/>
    <w:rsid w:val="00D17FDE"/>
    <w:rsid w:val="00D201CB"/>
    <w:rsid w:val="00D2109C"/>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73B"/>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4068"/>
    <w:rsid w:val="00D65DB9"/>
    <w:rsid w:val="00D67101"/>
    <w:rsid w:val="00D71B45"/>
    <w:rsid w:val="00D71F8A"/>
    <w:rsid w:val="00D75603"/>
    <w:rsid w:val="00D75FEE"/>
    <w:rsid w:val="00D76933"/>
    <w:rsid w:val="00D76D88"/>
    <w:rsid w:val="00D77CC9"/>
    <w:rsid w:val="00D83D4B"/>
    <w:rsid w:val="00D871C6"/>
    <w:rsid w:val="00D90A6C"/>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2021"/>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E6B"/>
    <w:rsid w:val="00E3179E"/>
    <w:rsid w:val="00E32AC9"/>
    <w:rsid w:val="00E354DA"/>
    <w:rsid w:val="00E354F5"/>
    <w:rsid w:val="00E3687E"/>
    <w:rsid w:val="00E40974"/>
    <w:rsid w:val="00E40AAB"/>
    <w:rsid w:val="00E41205"/>
    <w:rsid w:val="00E41F32"/>
    <w:rsid w:val="00E42608"/>
    <w:rsid w:val="00E43536"/>
    <w:rsid w:val="00E43DA3"/>
    <w:rsid w:val="00E44A47"/>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627F"/>
    <w:rsid w:val="00E87084"/>
    <w:rsid w:val="00E8713B"/>
    <w:rsid w:val="00E90C61"/>
    <w:rsid w:val="00E92A82"/>
    <w:rsid w:val="00E92AA8"/>
    <w:rsid w:val="00E9344E"/>
    <w:rsid w:val="00E93E39"/>
    <w:rsid w:val="00E94391"/>
    <w:rsid w:val="00E97E2B"/>
    <w:rsid w:val="00EA08CA"/>
    <w:rsid w:val="00EA0C0C"/>
    <w:rsid w:val="00EA2AEA"/>
    <w:rsid w:val="00EA332B"/>
    <w:rsid w:val="00EA35A2"/>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6C2"/>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47F11"/>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4A37"/>
    <w:rsid w:val="00FA5535"/>
    <w:rsid w:val="00FA7206"/>
    <w:rsid w:val="00FA7EFB"/>
    <w:rsid w:val="00FB0816"/>
    <w:rsid w:val="00FB08C2"/>
    <w:rsid w:val="00FB3DD1"/>
    <w:rsid w:val="00FB51FD"/>
    <w:rsid w:val="00FB5667"/>
    <w:rsid w:val="00FB7A97"/>
    <w:rsid w:val="00FC1B9B"/>
    <w:rsid w:val="00FC209F"/>
    <w:rsid w:val="00FC274A"/>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rrafodelista"/>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Fuentedeprrafopredeter"/>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4AD55-B06D-411C-8AD1-4507DE6E0297}">
  <ds:schemaRefs>
    <ds:schemaRef ds:uri="http://schemas.openxmlformats.org/officeDocument/2006/bibliography"/>
  </ds:schemaRefs>
</ds:datastoreItem>
</file>

<file path=customXml/itemProps2.xml><?xml version="1.0" encoding="utf-8"?>
<ds:datastoreItem xmlns:ds="http://schemas.openxmlformats.org/officeDocument/2006/customXml" ds:itemID="{B9B4900D-4B96-4E8A-84F6-47DB3536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3044</Words>
  <Characters>17353</Characters>
  <Application>Microsoft Office Word</Application>
  <DocSecurity>8</DocSecurity>
  <Lines>144</Lines>
  <Paragraphs>40</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20357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ilujan</cp:lastModifiedBy>
  <cp:revision>27</cp:revision>
  <cp:lastPrinted>2015-02-18T11:01:00Z</cp:lastPrinted>
  <dcterms:created xsi:type="dcterms:W3CDTF">2015-12-14T16:11:00Z</dcterms:created>
  <dcterms:modified xsi:type="dcterms:W3CDTF">2016-01-21T11:48:00Z</dcterms:modified>
</cp:coreProperties>
</file>