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Collegamentoipertestuale"/>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Collegamentoipertestual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Titolo1"/>
        <w:numPr>
          <w:ilvl w:val="0"/>
          <w:numId w:val="0"/>
        </w:numPr>
        <w:ind w:left="431" w:hanging="431"/>
      </w:pPr>
      <w:r>
        <w:t>Introduction</w:t>
      </w:r>
    </w:p>
    <w:p w:rsidR="00C33ACE" w:rsidRPr="00C33ACE" w:rsidRDefault="00C33ACE" w:rsidP="00C33ACE"/>
    <w:p w:rsidR="00D34282" w:rsidRDefault="00D34282" w:rsidP="00D34282">
      <w:pPr>
        <w:rPr>
          <w:rStyle w:val="Enfasiintensa"/>
        </w:rPr>
      </w:pPr>
      <w:r w:rsidRPr="001D47A5">
        <w:rPr>
          <w:rStyle w:val="Enfasiintensa"/>
        </w:rPr>
        <w:t>Please make your introductory comments below, if any:</w:t>
      </w:r>
    </w:p>
    <w:p w:rsidR="002E2BC1" w:rsidRPr="001D47A5" w:rsidRDefault="002E2BC1" w:rsidP="00D34282">
      <w:pPr>
        <w:rPr>
          <w:rStyle w:val="Enfasiintensa"/>
        </w:rPr>
      </w:pPr>
    </w:p>
    <w:p w:rsidR="00D34282" w:rsidRPr="00C25863" w:rsidRDefault="00D34282" w:rsidP="00D34282">
      <w:r w:rsidRPr="00C25863">
        <w:t>&lt;</w:t>
      </w:r>
      <w:r>
        <w:t>ESMA_COMMENT</w:t>
      </w:r>
      <w:r w:rsidRPr="00C25863">
        <w:t>_</w:t>
      </w:r>
      <w:r w:rsidR="000E35CB">
        <w:rPr>
          <w:rFonts w:cs="Arial"/>
        </w:rPr>
        <w:t>PRIIPS</w:t>
      </w:r>
      <w:r w:rsidRPr="00C25863">
        <w:t>_1&gt;</w:t>
      </w:r>
    </w:p>
    <w:p w:rsidR="00D34282" w:rsidRDefault="00306390" w:rsidP="00D34282">
      <w:permStart w:id="1778271922" w:edGrp="everyone"/>
      <w:r>
        <w:t>Anasf is the national association representing over 12,000 financial advisors and tied agents in Italy.</w:t>
      </w:r>
      <w:bookmarkStart w:id="3" w:name="_GoBack"/>
      <w:bookmarkEnd w:id="3"/>
    </w:p>
    <w:permEnd w:id="1778271922"/>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2C38DB" w:rsidRDefault="002C38DB" w:rsidP="00750796">
      <w:permStart w:id="1337656268" w:edGrp="everyone"/>
      <w:r w:rsidRPr="002C38DB">
        <w:t>Yes, we agree with this proposal. We also consider that the comprehension alert (Article 8(3)(b) of the PRIIPs Regulation) is too short and vague and does not aid retail investors in understanding the product: the content of this alert should be expanded and clarified.</w:t>
      </w:r>
    </w:p>
    <w:permEnd w:id="1337656268"/>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option, unless the PRIIP has a known required investment amount and price which can be used instead?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145428" w:rsidRDefault="00145428" w:rsidP="00145428">
      <w:permStart w:id="804848887" w:edGrp="everyone"/>
      <w:r>
        <w:t>No, we do not agree with the proposed assumptions. As already explained in the previous consultation (JC DP 2015 01), in order to avoid overestimating the impact of fixed costs a higher initial investment amount – specifically, 10,000 euros – should be taken into account for all financial products (including investment funds) and single premium insurance products, in order to make easier and more harmonised the simulation. A higher default amount is necessary, especially if we consider that some investment funds require minimum investment amounts (e.g. 5,000 or 10,000 euros).</w:t>
      </w:r>
    </w:p>
    <w:p w:rsidR="00145428" w:rsidRDefault="00145428" w:rsidP="00750796">
      <w:r>
        <w:t>Only when regular premium insurance products are considered, the proposed default amount of 1,000 euros may be kept.</w:t>
      </w:r>
    </w:p>
    <w:permEnd w:id="804848887"/>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750796" w:rsidRDefault="00750796" w:rsidP="00750796">
      <w:permStart w:id="1391070870" w:edGrp="everyone"/>
      <w:r>
        <w:t>TYPE YOUR TEXT HERE</w:t>
      </w:r>
    </w:p>
    <w:permEnd w:id="1391070870"/>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Would you favour a different confidence interval to compute the VaR? If so, please explain which confidence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750796" w:rsidRDefault="00750796" w:rsidP="00750796">
      <w:permStart w:id="88478614" w:edGrp="everyone"/>
      <w:r>
        <w:t>TYPE YOUR TEXT HERE</w:t>
      </w:r>
    </w:p>
    <w:permEnd w:id="88478614"/>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750796" w:rsidRDefault="00750796" w:rsidP="00750796">
      <w:permStart w:id="2105373913" w:edGrp="everyone"/>
      <w:r>
        <w:t>TYPE YOUR TEXT HERE</w:t>
      </w:r>
    </w:p>
    <w:permEnd w:id="2105373913"/>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2C38DB" w:rsidRDefault="002C38DB" w:rsidP="003E4B00">
      <w:permStart w:id="1610835406" w:edGrp="everyone"/>
      <w:r w:rsidRPr="002C38DB">
        <w:t xml:space="preserve">Yes, manufacturers should be given the option to increase the disclosed SRI, but some conditions are needed to avoid unintended consequences: </w:t>
      </w:r>
      <w:proofErr w:type="spellStart"/>
      <w:r w:rsidRPr="002C38DB">
        <w:t>i</w:t>
      </w:r>
      <w:proofErr w:type="spellEnd"/>
      <w:r w:rsidRPr="002C38DB">
        <w:t>) the increase should be properly justified; ii) both indicators should be disclosed (i.e. the SRI resulting from the application of the official methodology and the SRI as voluntarily increased by the manufacturer)</w:t>
      </w:r>
      <w:r w:rsidR="00F47C9B">
        <w:t>.</w:t>
      </w:r>
    </w:p>
    <w:permEnd w:id="1610835406"/>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3E4B00" w:rsidRDefault="003E4B00" w:rsidP="003E4B00">
      <w:permStart w:id="199235698" w:edGrp="everyone"/>
      <w:r>
        <w:t>TYPE YOUR TEXT HERE</w:t>
      </w:r>
    </w:p>
    <w:permEnd w:id="199235698"/>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3E4B00" w:rsidRDefault="003E4B00" w:rsidP="003E4B00">
      <w:permStart w:id="485051550" w:edGrp="everyone"/>
      <w:r>
        <w:t>TYPE YOUR TEXT HERE</w:t>
      </w:r>
    </w:p>
    <w:permEnd w:id="485051550"/>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of the opinion that for PRIIPs that offer a capital protection during their whole lifespan and can be redeemed against their initial investment at any time over the life of the PRIIP a qualitatively assessment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3E4B00" w:rsidRDefault="003E4B00" w:rsidP="003E4B00">
      <w:permStart w:id="1877754273" w:edGrp="everyone"/>
      <w:r>
        <w:t>TYPE YOUR TEXT HERE</w:t>
      </w:r>
    </w:p>
    <w:permEnd w:id="1877754273"/>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aware of other circumstances in which the credit risk assessment should be assumed to be mitigated? If so, please explain why and to what degree it should be assumed to be mitigated? </w:t>
      </w:r>
    </w:p>
    <w:p w:rsidR="003E4B00" w:rsidRDefault="003E4B00" w:rsidP="003E4B00"/>
    <w:p w:rsidR="003E4B00" w:rsidRDefault="003E4B00" w:rsidP="003E4B00">
      <w:r>
        <w:t>&lt;ESMA_QUESTION_PRIIPS_10&gt;</w:t>
      </w:r>
    </w:p>
    <w:p w:rsidR="003E4B00" w:rsidRDefault="003E4B00" w:rsidP="003E4B00">
      <w:permStart w:id="249263618" w:edGrp="everyone"/>
      <w:r>
        <w:t>TYPE YOUR TEXT HERE</w:t>
      </w:r>
    </w:p>
    <w:permEnd w:id="249263618"/>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Default="003E4B00" w:rsidP="003E4B00">
      <w:permStart w:id="327556147" w:edGrp="everyone"/>
      <w:r>
        <w:t>TYPE YOUR TEXT HERE</w:t>
      </w:r>
    </w:p>
    <w:permEnd w:id="327556147"/>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3E4B00" w:rsidRDefault="002C38DB" w:rsidP="003E4B00">
      <w:permStart w:id="1437349426" w:edGrp="everyone"/>
      <w:r w:rsidRPr="002C38DB">
        <w:t>Yes, to ensure complete investor protection the risk indicator should take into account this possibility.</w:t>
      </w:r>
    </w:p>
    <w:permEnd w:id="1437349426"/>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2C38DB" w:rsidRDefault="002C38DB" w:rsidP="003E4B00">
      <w:permStart w:id="1023896764" w:edGrp="everyone"/>
      <w:r w:rsidRPr="002C38DB">
        <w:t>We do not agree with the proposed selection of the Synthetic Risk Indicator (SRI) time frame, i.e. we do not agree with the presentation of a single time frame. Conversely, we support Option 5.2., i.e. multiple time frames, in order to give investors a full picture of risk throughout the PRIIP’s life. Specifically, the SRI should be presented for several time horizons (1, 3, 5 years) implementing the same solution already established for performance scenarios.</w:t>
      </w:r>
    </w:p>
    <w:permEnd w:id="1023896764"/>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favourable scenarios, or would you propose another approach, for instance automatically setting the performance fees to zero for the unfavourable scenario? Please justify your proposal.</w:t>
      </w:r>
    </w:p>
    <w:p w:rsidR="003E4B00" w:rsidRDefault="003E4B00" w:rsidP="003E4B00"/>
    <w:p w:rsidR="003E4B00" w:rsidRDefault="003E4B00" w:rsidP="003E4B00">
      <w:r>
        <w:t>&lt;ESMA_QUESTION_PRIIPS_14&gt;</w:t>
      </w:r>
    </w:p>
    <w:p w:rsidR="00145428" w:rsidRDefault="00145428" w:rsidP="00145428">
      <w:permStart w:id="1141139260" w:edGrp="everyone"/>
      <w:r>
        <w:t>We agree to use the performance fee for the calculations in the performance section. Conversely, we do not agree to use the same benchmark return for the unfavourable and favourable scenarios: this approach is not consistent with the assumptions which shall be used to generate the scenarios (Annex IV of the proposed Regulation, par. 8-10).</w:t>
      </w:r>
    </w:p>
    <w:p w:rsidR="00145428" w:rsidRDefault="00145428" w:rsidP="00145428">
      <w:r>
        <w:t>We point out that the proposed presentation of performance scenarios (Appendix 1, letters [d], [e] and [f]) is not clear. For instance, for the favourable scenario, letter [d], the proposed presentation misses the most favourable cases. Accordingly, we propose this presentation:</w:t>
      </w:r>
    </w:p>
    <w:p w:rsidR="00145428" w:rsidRDefault="00145428" w:rsidP="00145428">
      <w:r>
        <w:t>[</w:t>
      </w:r>
      <w:r w:rsidRPr="00145428">
        <w:rPr>
          <w:i/>
        </w:rPr>
        <w:t>d] For the favourable scenario a rise in the market of […]% is shown. So if the market goes up by […]% the money you may get back will [rise equally with the market / rise more than the market / rise less than the market/ not rise any longer/ be cancelled</w:t>
      </w:r>
      <w:r>
        <w:t>].</w:t>
      </w:r>
    </w:p>
    <w:p w:rsidR="00145428" w:rsidRDefault="00145428" w:rsidP="003E4B00">
      <w:r>
        <w:t>The same goes for letters [e] and [f].</w:t>
      </w:r>
    </w:p>
    <w:permEnd w:id="1141139260"/>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3E4B00" w:rsidRDefault="00145428" w:rsidP="003E4B00">
      <w:permStart w:id="1659373920" w:edGrp="everyone"/>
      <w:r w:rsidRPr="00145428">
        <w:t>We favour the presentation of performance scenarios as graphs. The graphic option is more informative and clearer, as it shows the potential evolution of performance over time.</w:t>
      </w:r>
    </w:p>
    <w:permEnd w:id="1659373920"/>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Default="003E4B00" w:rsidP="003E4B00">
      <w:permStart w:id="1288518020" w:edGrp="everyone"/>
      <w:r>
        <w:t>TYPE YOUR TEXT HERE</w:t>
      </w:r>
    </w:p>
    <w:permEnd w:id="1288518020"/>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3E4B00" w:rsidP="003E4B00">
      <w:permStart w:id="1390547550" w:edGrp="everyone"/>
      <w:r>
        <w:t>TYPE YOUR TEXT HERE</w:t>
      </w:r>
    </w:p>
    <w:permEnd w:id="1390547550"/>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discounting effects)?</w:t>
      </w:r>
    </w:p>
    <w:p w:rsidR="003E4B00" w:rsidRDefault="003E4B00" w:rsidP="003E4B00"/>
    <w:p w:rsidR="003E4B00" w:rsidRDefault="003E4B00" w:rsidP="003E4B00">
      <w:r>
        <w:t>&lt;ESMA_QUESTION_PRIIPS_18&gt;</w:t>
      </w:r>
    </w:p>
    <w:p w:rsidR="003E4B00" w:rsidRDefault="003E4B00" w:rsidP="003E4B00">
      <w:permStart w:id="1177773671" w:edGrp="everyone"/>
      <w:r>
        <w:t>TYPE YOUR TEXT HERE</w:t>
      </w:r>
    </w:p>
    <w:permEnd w:id="1177773671"/>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Default="003E4B00" w:rsidP="003E4B00">
      <w:permStart w:id="974150296" w:edGrp="everyone"/>
      <w:r>
        <w:t>TYPE YOUR TEXT HERE</w:t>
      </w:r>
    </w:p>
    <w:permEnd w:id="974150296"/>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 xml:space="preserve">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product?” section, where the draft RTS currently disclose biometric risk premiums in total, and/or in the performance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91E49" w:rsidRDefault="00EF0092" w:rsidP="00491E49">
      <w:permStart w:id="882656368" w:edGrp="everyone"/>
      <w:r w:rsidRPr="00EF0092">
        <w:t>Yes, for insurance products we consider it useful to include the fair value in a separate line in the cost table with a brief explanation of the notion of fair value</w:t>
      </w:r>
      <w:r>
        <w:t>.</w:t>
      </w:r>
    </w:p>
    <w:permEnd w:id="882656368"/>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491E49" w:rsidRDefault="00145428" w:rsidP="00491E49">
      <w:permStart w:id="59117064" w:edGrp="everyone"/>
      <w:r w:rsidRPr="00145428">
        <w:t>As we explain in our answer to Question Q26, we do not agree with the use of monetary figures, because investors may find it difficult to understand actual costs if monetary values are shown instead of percentage figures</w:t>
      </w:r>
      <w:r>
        <w:t>.</w:t>
      </w:r>
    </w:p>
    <w:permEnd w:id="59117064"/>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91E49" w:rsidRPr="003E4B00" w:rsidRDefault="00145428" w:rsidP="00491E49">
      <w:pPr>
        <w:rPr>
          <w:lang w:val="fr-FR"/>
        </w:rPr>
      </w:pPr>
      <w:permStart w:id="2085839921" w:edGrp="everyone"/>
      <w:r w:rsidRPr="00145428">
        <w:t>Yes, we agree with the proposal, provided that percentage figures are used instead of monetary values</w:t>
      </w:r>
      <w:r>
        <w:t>.</w:t>
      </w:r>
      <w:r w:rsidRPr="00145428">
        <w:t xml:space="preserve"> </w:t>
      </w:r>
      <w:permEnd w:id="2085839921"/>
      <w:r w:rsidR="00491E49" w:rsidRPr="00580880">
        <w:rPr>
          <w:lang w:val="fr-FR"/>
        </w:rPr>
        <w:t>&lt;ESMA_QUESTION_</w:t>
      </w:r>
      <w:r w:rsidR="00491E49">
        <w:rPr>
          <w:lang w:val="fr-FR"/>
        </w:rPr>
        <w:t>PRIIPS_22</w:t>
      </w:r>
      <w:r w:rsidR="00491E49"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491E49" w:rsidRDefault="00EF0092" w:rsidP="00491E49">
      <w:permStart w:id="2140691031" w:edGrp="everyone"/>
      <w:r w:rsidRPr="00EF0092">
        <w:t>No, we do not agree with the example. Moreover, we support policy Option 2.3: performance fees should be shown separately from the total cost indicator, because the actual value of performance fees will be known only on an ex-post basis. A separate presentation of performance fees is needed to enable investors to realize that performance fees differ from all the other costs (performance fees are incidental costs which cannot be exactly known from the start)</w:t>
      </w:r>
      <w:r w:rsidR="00145428">
        <w:t>.</w:t>
      </w:r>
    </w:p>
    <w:permEnd w:id="2140691031"/>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EF0092" w:rsidRDefault="00EF0092" w:rsidP="00491E49">
      <w:permStart w:id="469912534" w:edGrp="everyone"/>
      <w:r w:rsidRPr="00EF0092">
        <w:t>Yes, we agree with the proposal to combine the two tables in one table, where costs should be shown in percentage figures, split between one-off, recurring and incidental costs and calculated as a percentage of the NAV. This presentation would be complete and easy to understand by investors</w:t>
      </w:r>
      <w:r>
        <w:t>.</w:t>
      </w:r>
    </w:p>
    <w:permEnd w:id="469912534"/>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Default="00491E49" w:rsidP="00491E49">
      <w:permStart w:id="663634512" w:edGrp="everyone"/>
      <w:r>
        <w:t>TYPE YOUR TEXT HERE</w:t>
      </w:r>
    </w:p>
    <w:permEnd w:id="663634512"/>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presentation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847BB0" w:rsidRDefault="00145428" w:rsidP="00847BB0">
      <w:permStart w:id="1256071288" w:edGrp="everyone"/>
      <w:r w:rsidRPr="00145428">
        <w:t>Yes, we agree with a detailed presentation of the different types of costs. Conversely, we do not agree with the use of monetary values and we propose to use percentage figures: otherwise there is the risk that retail investors are biased inasmuch as they perceive monetary values as fixed amounts, without realizing that the amount they will actually pay may be different from the one shown, because real costs depend on contractual terms and the amount invested.</w:t>
      </w:r>
    </w:p>
    <w:permEnd w:id="1256071288"/>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presentation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847BB0" w:rsidRDefault="00145428" w:rsidP="00847BB0">
      <w:permStart w:id="1847552549" w:edGrp="everyone"/>
      <w:r w:rsidRPr="00145428">
        <w:t>As already explained in the previous consultation (JC DP 2015 01) we believe that the RIY approach is not desirable as the calculation of the two internal rates of return would not be feasible: in light of current market features, manufacturers would find it extremely difficult to calculate meaningful rates for each product. Moreover, retail investors may find it difficult to understand the meaning of RIY figures. We propose to express costs as a percentage of the NAV, as this approach is easier to implement by manufacturers and easier to understand by retail investors (i.e. investors are more likely to be familiar with the notion of NAV)</w:t>
      </w:r>
      <w:r>
        <w:t>.</w:t>
      </w:r>
    </w:p>
    <w:permEnd w:id="1847552549"/>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EF0092" w:rsidRDefault="00EF0092" w:rsidP="00EF0092">
      <w:permStart w:id="1118008726" w:edGrp="everyone"/>
      <w:r>
        <w:t>We would like to express our view on the timing of delivery of the KID (Article 20 of the proposed Regulation, “Conditions on good time”). Considering that the active model is likely to be costly to implement, we propose to adopt the passive model, to be complemented by tools (such as mailing lists or email alerts) which enable existing retail investors to locate the new KID. The alert should give prominence to the information which has been revised.</w:t>
      </w:r>
    </w:p>
    <w:p w:rsidR="00491E49" w:rsidRDefault="00EF0092" w:rsidP="00EF0092">
      <w:r>
        <w:t>We agree with Recital 25 of the proposed Regulation, i.e. the need to consider the urgency of the situation (“for instance where it is important for a retail investor to buy a PRIIP at a given price where the price is sensitive to the timing of the transaction”). We also agree with the proposal to build on the standard set in MiFID II Recital 83: i.e. the requirement to take into account the client’s need for sufficient time to read and understand the KID before taking an investment decision, considering that a client is likely to require more time to review information given on a complex or unfamiliar product or service: with this respect, it is also important to consider the role of financial advisors in helping retail investors understand the content of the KID. It is also important to take into account that national laws and regulations may provide retail investors with withdrawal rights and require the initial suspension of the enforceability of contracts.</w:t>
      </w:r>
    </w:p>
    <w:permEnd w:id="1118008726"/>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58" w:rsidRDefault="00A77258">
      <w:r>
        <w:separator/>
      </w:r>
    </w:p>
    <w:p w:rsidR="00A77258" w:rsidRDefault="00A77258"/>
  </w:endnote>
  <w:endnote w:type="continuationSeparator" w:id="0">
    <w:p w:rsidR="00A77258" w:rsidRDefault="00A77258">
      <w:r>
        <w:continuationSeparator/>
      </w:r>
    </w:p>
    <w:p w:rsidR="00A77258" w:rsidRDefault="00A77258"/>
  </w:endnote>
  <w:endnote w:type="continuationNotice" w:id="1">
    <w:p w:rsidR="00A77258" w:rsidRDefault="00A77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06390">
            <w:rPr>
              <w:rFonts w:cs="Arial"/>
              <w:noProof/>
              <w:sz w:val="22"/>
              <w:szCs w:val="22"/>
            </w:rPr>
            <w:t>4</w:t>
          </w:r>
          <w:r w:rsidRPr="00616B9B">
            <w:rPr>
              <w:rFonts w:cs="Arial"/>
              <w:noProof/>
              <w:sz w:val="22"/>
              <w:szCs w:val="22"/>
            </w:rPr>
            <w:fldChar w:fldCharType="end"/>
          </w:r>
        </w:p>
      </w:tc>
    </w:tr>
  </w:tbl>
  <w:p w:rsidR="00811EDA" w:rsidRDefault="00811ED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58" w:rsidRDefault="00A77258">
      <w:r>
        <w:separator/>
      </w:r>
    </w:p>
    <w:p w:rsidR="00A77258" w:rsidRDefault="00A77258"/>
  </w:footnote>
  <w:footnote w:type="continuationSeparator" w:id="0">
    <w:p w:rsidR="00A77258" w:rsidRDefault="00A77258">
      <w:r>
        <w:continuationSeparator/>
      </w:r>
    </w:p>
    <w:p w:rsidR="00A77258" w:rsidRDefault="00A77258"/>
  </w:footnote>
  <w:footnote w:type="continuationNotice" w:id="1">
    <w:p w:rsidR="00A77258" w:rsidRDefault="00A772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Intestazione"/>
    </w:pPr>
    <w:r>
      <w:rPr>
        <w:noProof/>
        <w:lang w:val="it-IT" w:eastAsia="it-IT"/>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2F34B"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Intestazione"/>
      <w:jc w:val="right"/>
    </w:pPr>
    <w:r>
      <w:rPr>
        <w:noProof/>
        <w:lang w:val="it-IT" w:eastAsia="it-IT"/>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Intestazione"/>
      <w:rPr>
        <w:lang w:val="fr-FR"/>
      </w:rPr>
    </w:pPr>
  </w:p>
  <w:p w:rsidR="00811EDA" w:rsidRPr="002F4496" w:rsidRDefault="00811EDA" w:rsidP="000C06C9">
    <w:pPr>
      <w:pStyle w:val="Intestazione"/>
      <w:tabs>
        <w:tab w:val="clear" w:pos="4536"/>
        <w:tab w:val="clear" w:pos="9072"/>
        <w:tab w:val="left" w:pos="8227"/>
      </w:tabs>
      <w:rPr>
        <w:lang w:val="fr-FR"/>
      </w:rPr>
    </w:pPr>
  </w:p>
  <w:p w:rsidR="00811EDA" w:rsidRPr="002F4496" w:rsidRDefault="00811EDA" w:rsidP="000C06C9">
    <w:pPr>
      <w:pStyle w:val="Intestazione"/>
      <w:tabs>
        <w:tab w:val="clear" w:pos="4536"/>
        <w:tab w:val="clear" w:pos="9072"/>
        <w:tab w:val="left" w:pos="8227"/>
      </w:tabs>
      <w:rPr>
        <w:lang w:val="fr-FR"/>
      </w:rPr>
    </w:pPr>
  </w:p>
  <w:p w:rsidR="00811EDA" w:rsidRPr="002F4496" w:rsidRDefault="00811EDA">
    <w:pPr>
      <w:pStyle w:val="Intestazione"/>
      <w:rPr>
        <w:lang w:val="fr-FR"/>
      </w:rPr>
    </w:pPr>
  </w:p>
  <w:p w:rsidR="00811EDA" w:rsidRPr="002F4496" w:rsidRDefault="00811EDA">
    <w:pPr>
      <w:pStyle w:val="Intestazione"/>
      <w:rPr>
        <w:lang w:val="fr-FR"/>
      </w:rPr>
    </w:pPr>
  </w:p>
  <w:p w:rsidR="00811EDA" w:rsidRPr="002F4496" w:rsidRDefault="00811EDA">
    <w:pPr>
      <w:pStyle w:val="Intestazione"/>
      <w:rPr>
        <w:lang w:val="fr-FR"/>
      </w:rPr>
    </w:pPr>
  </w:p>
  <w:p w:rsidR="00811EDA" w:rsidRPr="002F4496" w:rsidRDefault="00811EDA">
    <w:pPr>
      <w:pStyle w:val="Intestazione"/>
      <w:rPr>
        <w:lang w:val="fr-FR"/>
      </w:rPr>
    </w:pPr>
  </w:p>
  <w:p w:rsidR="00811EDA" w:rsidRPr="002F4496" w:rsidRDefault="00811EDA">
    <w:pPr>
      <w:pStyle w:val="Intestazione"/>
      <w:rPr>
        <w:highlight w:val="yellow"/>
        <w:lang w:val="fr-FR"/>
      </w:rPr>
    </w:pPr>
  </w:p>
  <w:p w:rsidR="00811EDA" w:rsidRDefault="00DE66EB">
    <w:pPr>
      <w:pStyle w:val="Intestazione"/>
    </w:pPr>
    <w:r>
      <w:rPr>
        <w:noProof/>
        <w:lang w:val="it-IT" w:eastAsia="it-IT"/>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B24E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it-IT" w:eastAsia="it-IT"/>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6"/>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0"/>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5"/>
  </w:num>
  <w:num w:numId="23">
    <w:abstractNumId w:val="9"/>
  </w:num>
  <w:num w:numId="24">
    <w:abstractNumId w:val="30"/>
  </w:num>
  <w:num w:numId="25">
    <w:abstractNumId w:val="29"/>
  </w:num>
  <w:num w:numId="26">
    <w:abstractNumId w:val="19"/>
  </w:num>
  <w:num w:numId="27">
    <w:abstractNumId w:val="33"/>
  </w:num>
  <w:num w:numId="28">
    <w:abstractNumId w:val="38"/>
  </w:num>
  <w:num w:numId="29">
    <w:abstractNumId w:val="7"/>
  </w:num>
  <w:num w:numId="30">
    <w:abstractNumId w:val="3"/>
  </w:num>
  <w:num w:numId="31">
    <w:abstractNumId w:val="22"/>
  </w:num>
  <w:num w:numId="32">
    <w:abstractNumId w:val="2"/>
  </w:num>
  <w:num w:numId="33">
    <w:abstractNumId w:val="6"/>
  </w:num>
  <w:num w:numId="34">
    <w:abstractNumId w:val="20"/>
  </w:num>
  <w:num w:numId="35">
    <w:abstractNumId w:val="35"/>
  </w:num>
  <w:num w:numId="36">
    <w:abstractNumId w:val="35"/>
    <w:lvlOverride w:ilvl="0">
      <w:startOverride w:val="1"/>
    </w:lvlOverride>
  </w:num>
  <w:num w:numId="37">
    <w:abstractNumId w:val="35"/>
    <w:lvlOverride w:ilvl="0">
      <w:startOverride w:val="1"/>
    </w:lvlOverride>
  </w:num>
  <w:num w:numId="38">
    <w:abstractNumId w:val="35"/>
    <w:lvlOverride w:ilvl="0">
      <w:startOverride w:val="1"/>
    </w:lvlOverride>
  </w:num>
  <w:num w:numId="39">
    <w:abstractNumId w:val="35"/>
    <w:lvlOverride w:ilvl="0">
      <w:startOverride w:val="1"/>
    </w:lvlOverride>
  </w:num>
  <w:num w:numId="40">
    <w:abstractNumId w:val="35"/>
    <w:lvlOverride w:ilvl="0">
      <w:startOverride w:val="1"/>
    </w:lvlOverride>
  </w:num>
  <w:num w:numId="41">
    <w:abstractNumId w:val="35"/>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num>
  <w:num w:numId="50">
    <w:abstractNumId w:val="12"/>
  </w:num>
  <w:num w:numId="51">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428"/>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38DB"/>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390"/>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292A"/>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062"/>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09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47C9B"/>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5:docId w15:val="{CFD8C1D1-EE05-4FE7-A9B4-8AC44F53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Georgia" w:hAnsi="Georgia"/>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Paragrafoelenco"/>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Carpredefinitoparagrafo"/>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F3F92-FB0B-4EEE-B031-B4036C541D71}">
  <ds:schemaRefs>
    <ds:schemaRef ds:uri="http://schemas.openxmlformats.org/officeDocument/2006/bibliography"/>
  </ds:schemaRefs>
</ds:datastoreItem>
</file>

<file path=customXml/itemProps2.xml><?xml version="1.0" encoding="utf-8"?>
<ds:datastoreItem xmlns:ds="http://schemas.openxmlformats.org/officeDocument/2006/customXml" ds:itemID="{3C62B5BE-6334-45DD-97D3-FF6118DB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3053</Words>
  <Characters>17406</Characters>
  <Application>Microsoft Office Word</Application>
  <DocSecurity>8</DocSecurity>
  <Lines>145</Lines>
  <Paragraphs>40</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20419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Mattia Suardi</cp:lastModifiedBy>
  <cp:revision>7</cp:revision>
  <cp:lastPrinted>2015-02-18T11:01:00Z</cp:lastPrinted>
  <dcterms:created xsi:type="dcterms:W3CDTF">2015-11-11T10:17:00Z</dcterms:created>
  <dcterms:modified xsi:type="dcterms:W3CDTF">2016-01-28T13:48:00Z</dcterms:modified>
</cp:coreProperties>
</file>