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w:t>
        </w:r>
        <w:bookmarkStart w:id="1" w:name="_GoBack"/>
        <w:bookmarkEnd w:id="1"/>
        <w:r w:rsidRPr="00EF0769">
          <w:rPr>
            <w:rStyle w:val="Lienhypertexte"/>
            <w:rFonts w:cs="Arial"/>
          </w:rPr>
          <w:t>.europa.eu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0E35CB">
        <w:rPr>
          <w:rFonts w:cs="Arial"/>
        </w:rPr>
        <w:t>PRIIPS</w:t>
      </w:r>
      <w:r w:rsidRPr="00C25863">
        <w:t>_1&gt;</w:t>
      </w:r>
    </w:p>
    <w:p w:rsidR="00FE3E06" w:rsidRDefault="007A7FD9" w:rsidP="007A7FD9">
      <w:pPr>
        <w:autoSpaceDE w:val="0"/>
        <w:autoSpaceDN w:val="0"/>
        <w:adjustRightInd w:val="0"/>
        <w:jc w:val="both"/>
        <w:rPr>
          <w:rFonts w:ascii="Calibri" w:hAnsi="Calibri" w:cs="Calibri"/>
          <w:color w:val="000000"/>
          <w:sz w:val="22"/>
          <w:szCs w:val="22"/>
          <w:lang w:val="en-US" w:eastAsia="en-GB"/>
        </w:rPr>
      </w:pPr>
      <w:permStart w:id="412449500" w:edGrp="everyone"/>
      <w:r>
        <w:rPr>
          <w:rFonts w:cs="Arial"/>
          <w:color w:val="000000"/>
          <w:szCs w:val="20"/>
          <w:lang w:val="en-US" w:eastAsia="en-GB"/>
        </w:rPr>
        <w:t xml:space="preserve"> </w:t>
      </w:r>
    </w:p>
    <w:p w:rsidR="00FE3E06" w:rsidRDefault="00FE3E06" w:rsidP="00FE3E06">
      <w:pPr>
        <w:jc w:val="both"/>
      </w:pPr>
      <w:r>
        <w:t xml:space="preserve">Prior to answering to the specific questions of the consultation paper, </w:t>
      </w:r>
      <w:r w:rsidR="007A7FD9">
        <w:t xml:space="preserve">we </w:t>
      </w:r>
      <w:r>
        <w:t xml:space="preserve"> would like to draw the Joint Committee’s attention on the following issues:</w:t>
      </w:r>
    </w:p>
    <w:p w:rsidR="00FE3E06" w:rsidRDefault="00FE3E06" w:rsidP="00477E0B">
      <w:pPr>
        <w:rPr>
          <w:b/>
          <w:i/>
          <w:highlight w:val="green"/>
          <w:u w:val="single"/>
        </w:rPr>
      </w:pPr>
    </w:p>
    <w:p w:rsidR="00477E0B" w:rsidRDefault="00D61B98" w:rsidP="00D61B98">
      <w:pPr>
        <w:rPr>
          <w:b/>
          <w:u w:val="single"/>
        </w:rPr>
      </w:pPr>
      <w:r w:rsidRPr="00D61B98">
        <w:rPr>
          <w:b/>
          <w:u w:val="single"/>
        </w:rPr>
        <w:t xml:space="preserve">1. Implementation timing </w:t>
      </w:r>
    </w:p>
    <w:p w:rsidR="00D61B98" w:rsidRPr="00477E0B" w:rsidRDefault="00D61B98" w:rsidP="00D61B98">
      <w:pPr>
        <w:rPr>
          <w:i/>
          <w:highlight w:val="green"/>
        </w:rPr>
      </w:pPr>
    </w:p>
    <w:p w:rsidR="00477E0B" w:rsidRPr="00CC3D57" w:rsidRDefault="00477E0B" w:rsidP="005F7E88">
      <w:r w:rsidRPr="00CC3D57">
        <w:t xml:space="preserve">It is critical for manufacturers </w:t>
      </w:r>
      <w:r w:rsidR="00174A3F">
        <w:t xml:space="preserve"> and their providers </w:t>
      </w:r>
      <w:r w:rsidRPr="00CC3D57">
        <w:t>that all detailed rules are issued in their final form in sufficient time before the PRIIPs Regulation becomes applicable</w:t>
      </w:r>
      <w:r w:rsidR="00FB7C18">
        <w:t>.D</w:t>
      </w:r>
      <w:r w:rsidR="005F7E88">
        <w:t xml:space="preserve">ue to </w:t>
      </w:r>
      <w:r w:rsidR="005F7E88" w:rsidRPr="00CC3D57">
        <w:t xml:space="preserve"> the introduction of completely new concepts (e.g. arrival price for the calculation of transactions costs) </w:t>
      </w:r>
      <w:r w:rsidR="005F7E88">
        <w:t xml:space="preserve">and </w:t>
      </w:r>
      <w:r w:rsidR="005F7E88" w:rsidRPr="00CC3D57">
        <w:t>due to the very technical nature of methodologies and calculations</w:t>
      </w:r>
      <w:r w:rsidR="005F7E88">
        <w:t xml:space="preserve"> </w:t>
      </w:r>
      <w:r w:rsidR="005F7E88" w:rsidRPr="00CC3D57">
        <w:t>(e.g. on the calculation of risk</w:t>
      </w:r>
      <w:r w:rsidR="005F7E88">
        <w:t xml:space="preserve"> ) </w:t>
      </w:r>
      <w:r w:rsidR="00FB7C18">
        <w:t>, c</w:t>
      </w:r>
      <w:r w:rsidRPr="00CC3D57">
        <w:t xml:space="preserve">onsiderable IT based implementation will be required. Therefore substantially longer than 9 months will be </w:t>
      </w:r>
      <w:r w:rsidR="00FB7C18">
        <w:t>needed</w:t>
      </w:r>
      <w:r w:rsidRPr="00CC3D57">
        <w:t xml:space="preserve"> between publication of the final rules and the date the Regulation becomes applicable.</w:t>
      </w:r>
      <w:r w:rsidR="005F7E88">
        <w:t xml:space="preserve"> T</w:t>
      </w:r>
      <w:r w:rsidRPr="00CC3D57">
        <w:t>here will not be enough time for market participants to fully implement the PRIIP KID by 31 December 2016.</w:t>
      </w:r>
    </w:p>
    <w:p w:rsidR="00007020" w:rsidRPr="00CC3D57" w:rsidRDefault="00007020" w:rsidP="00477E0B">
      <w:pPr>
        <w:jc w:val="both"/>
      </w:pPr>
    </w:p>
    <w:p w:rsidR="00477E0B" w:rsidRPr="0087662D" w:rsidRDefault="00174A3F" w:rsidP="00477E0B">
      <w:pPr>
        <w:jc w:val="both"/>
        <w:rPr>
          <w:i/>
        </w:rPr>
      </w:pPr>
      <w:r>
        <w:t>Like</w:t>
      </w:r>
      <w:r w:rsidR="00477E0B" w:rsidRPr="00CC3D57">
        <w:t xml:space="preserve"> the existing UCITS KIID rules which identify technical details through Level-3 guidelines and Level-4 Q&amp;As</w:t>
      </w:r>
      <w:r>
        <w:t xml:space="preserve"> it </w:t>
      </w:r>
      <w:r w:rsidR="00477E0B" w:rsidRPr="00CC3D57">
        <w:t xml:space="preserve"> appears that further consultations on the more technical aspects are undoubtedly needed</w:t>
      </w:r>
      <w:r>
        <w:t xml:space="preserve"> .</w:t>
      </w:r>
      <w:r w:rsidR="00477E0B" w:rsidRPr="00CC3D57">
        <w:t xml:space="preserve"> These include most of the annexes, but most specifically the risk calculation (calculations for market risk and credit risk) and cost calculation methodologies (i.e. table for standardised transaction costs).</w:t>
      </w:r>
      <w:r w:rsidR="00477E0B" w:rsidRPr="0087662D">
        <w:rPr>
          <w:i/>
        </w:rPr>
        <w:t xml:space="preserve"> </w:t>
      </w:r>
    </w:p>
    <w:p w:rsidR="00477E0B" w:rsidRPr="00465D56" w:rsidRDefault="00477E0B" w:rsidP="00355019">
      <w:pPr>
        <w:rPr>
          <w:b/>
          <w:lang w:val="de-DE"/>
        </w:rPr>
      </w:pPr>
    </w:p>
    <w:p w:rsidR="00355019" w:rsidRPr="00D61B98" w:rsidRDefault="00D61B98" w:rsidP="00D61B98">
      <w:pPr>
        <w:rPr>
          <w:b/>
          <w:u w:val="single"/>
        </w:rPr>
      </w:pPr>
      <w:r>
        <w:rPr>
          <w:b/>
          <w:u w:val="single"/>
          <w:lang w:val="de-DE"/>
        </w:rPr>
        <w:t>2. S</w:t>
      </w:r>
      <w:r w:rsidR="00355019" w:rsidRPr="00D61B98">
        <w:rPr>
          <w:b/>
          <w:u w:val="single"/>
        </w:rPr>
        <w:t>cope</w:t>
      </w:r>
      <w:r w:rsidR="00FE3E06" w:rsidRPr="00D61B98">
        <w:rPr>
          <w:b/>
          <w:u w:val="single"/>
        </w:rPr>
        <w:t xml:space="preserve"> </w:t>
      </w:r>
      <w:r w:rsidR="007A7FD9" w:rsidRPr="00D61B98">
        <w:rPr>
          <w:b/>
          <w:u w:val="single"/>
        </w:rPr>
        <w:t>– derivatives that do not correspond to the definition of PRIIPS in the Regulation</w:t>
      </w:r>
    </w:p>
    <w:p w:rsidR="00B827FA" w:rsidRDefault="00B827FA" w:rsidP="00355019">
      <w:pPr>
        <w:jc w:val="both"/>
      </w:pPr>
    </w:p>
    <w:p w:rsidR="00477E0B" w:rsidRPr="00477E0B" w:rsidRDefault="00477E0B" w:rsidP="00477E0B">
      <w:pPr>
        <w:rPr>
          <w:i/>
        </w:rPr>
      </w:pPr>
    </w:p>
    <w:p w:rsidR="00477E0B" w:rsidRPr="00FE3E06" w:rsidRDefault="00477E0B" w:rsidP="00477E0B">
      <w:pPr>
        <w:autoSpaceDE w:val="0"/>
        <w:autoSpaceDN w:val="0"/>
        <w:adjustRightInd w:val="0"/>
        <w:jc w:val="both"/>
        <w:rPr>
          <w:rFonts w:cs="Arial"/>
          <w:szCs w:val="20"/>
          <w:lang w:val="en-US"/>
        </w:rPr>
      </w:pPr>
      <w:r w:rsidRPr="00FE3E06">
        <w:rPr>
          <w:rFonts w:cs="Arial"/>
          <w:szCs w:val="20"/>
          <w:lang w:val="en-US"/>
        </w:rPr>
        <w:t xml:space="preserve">According to EU Regulation no. 1286/2014 (Article 4 ) a PRIIP  “means an investment, including instruments issued by special purpose vehicles as defined in point (26) of Article 13 of Directive 2009/138/EC or </w:t>
      </w:r>
      <w:r w:rsidR="00606EFB" w:rsidRPr="00FE3E06">
        <w:rPr>
          <w:rFonts w:cs="Arial"/>
          <w:szCs w:val="20"/>
          <w:lang w:val="en-US"/>
        </w:rPr>
        <w:t>securitization</w:t>
      </w:r>
      <w:r w:rsidRPr="00FE3E06">
        <w:rPr>
          <w:rFonts w:cs="Arial"/>
          <w:szCs w:val="20"/>
          <w:lang w:val="en-US"/>
        </w:rPr>
        <w:t xml:space="preserve"> special purpose entities as defined in point (an) of Article 4(1) of the Directive 2011/61/EU of the European Parliament and of the Council ( 2 ), where, regardless of the legal form of the investment, the amount repayable to the retail investor is subject to fluctuations because of exposure to reference values or to the performance of one or more assets which are not directly purchased by the retail investor “ </w:t>
      </w:r>
    </w:p>
    <w:p w:rsidR="00477E0B" w:rsidRPr="00FE3E06" w:rsidRDefault="00477E0B" w:rsidP="00477E0B">
      <w:pPr>
        <w:tabs>
          <w:tab w:val="left" w:pos="720"/>
        </w:tabs>
        <w:rPr>
          <w:rFonts w:cs="Arial"/>
          <w:szCs w:val="20"/>
          <w:lang w:val="en-US"/>
        </w:rPr>
      </w:pPr>
    </w:p>
    <w:p w:rsidR="00477E0B" w:rsidRPr="00FE3E06" w:rsidRDefault="00477E0B" w:rsidP="00477E0B">
      <w:pPr>
        <w:tabs>
          <w:tab w:val="left" w:pos="720"/>
        </w:tabs>
        <w:jc w:val="both"/>
        <w:rPr>
          <w:rFonts w:cs="Arial"/>
          <w:szCs w:val="20"/>
          <w:lang w:val="en-US"/>
        </w:rPr>
      </w:pPr>
      <w:r w:rsidRPr="00FE3E06">
        <w:rPr>
          <w:rFonts w:cs="Arial"/>
          <w:szCs w:val="20"/>
          <w:lang w:val="en-US"/>
        </w:rPr>
        <w:t xml:space="preserve">However in Annex II, Part 1, 9(c) of the ESA’s joint consultation document it is highlighted that all derivatives as defined in MiFID II are in the scope. </w:t>
      </w:r>
    </w:p>
    <w:p w:rsidR="00477E0B" w:rsidRPr="00FE3E06" w:rsidRDefault="00477E0B" w:rsidP="00477E0B">
      <w:pPr>
        <w:tabs>
          <w:tab w:val="left" w:pos="720"/>
        </w:tabs>
        <w:rPr>
          <w:rFonts w:cs="Arial"/>
          <w:szCs w:val="20"/>
          <w:lang w:val="en-US"/>
        </w:rPr>
      </w:pPr>
    </w:p>
    <w:p w:rsidR="00FE3E06" w:rsidRDefault="00477E0B" w:rsidP="00477E0B">
      <w:pPr>
        <w:tabs>
          <w:tab w:val="left" w:pos="720"/>
        </w:tabs>
        <w:jc w:val="both"/>
        <w:rPr>
          <w:rFonts w:cs="Arial"/>
          <w:color w:val="000000"/>
          <w:szCs w:val="20"/>
          <w:lang w:val="en-US"/>
        </w:rPr>
      </w:pPr>
      <w:r w:rsidRPr="00FE3E06">
        <w:rPr>
          <w:rFonts w:cs="Arial"/>
          <w:szCs w:val="20"/>
          <w:lang w:val="en-US"/>
        </w:rPr>
        <w:t>This does not take into account that the characteristics of some derivative</w:t>
      </w:r>
      <w:r w:rsidR="00FE3E06">
        <w:rPr>
          <w:rFonts w:cs="Arial"/>
          <w:szCs w:val="20"/>
          <w:lang w:val="en-US"/>
        </w:rPr>
        <w:t xml:space="preserve">s do not correspond to those of PRIIPs as defined in the Regulation. </w:t>
      </w:r>
      <w:r w:rsidRPr="00FE3E06">
        <w:rPr>
          <w:rFonts w:cs="Arial"/>
          <w:szCs w:val="20"/>
          <w:lang w:val="en-US"/>
        </w:rPr>
        <w:t>Some d</w:t>
      </w:r>
      <w:r w:rsidRPr="00FE3E06">
        <w:rPr>
          <w:rFonts w:cs="Arial"/>
          <w:color w:val="000000"/>
          <w:szCs w:val="20"/>
          <w:lang w:val="en-US"/>
        </w:rPr>
        <w:t xml:space="preserve">erivatives represent an agreement between counterparties to exchange pre-determined cash flows and do not present any amount repayable subject to </w:t>
      </w:r>
      <w:r w:rsidR="00FE3E06" w:rsidRPr="00FE3E06">
        <w:rPr>
          <w:rFonts w:cs="Arial"/>
          <w:color w:val="000000"/>
          <w:szCs w:val="20"/>
          <w:lang w:val="en-US"/>
        </w:rPr>
        <w:t xml:space="preserve">fluctuations. </w:t>
      </w:r>
    </w:p>
    <w:p w:rsidR="00FE3E06" w:rsidRDefault="00FE3E06" w:rsidP="00477E0B">
      <w:pPr>
        <w:tabs>
          <w:tab w:val="left" w:pos="720"/>
        </w:tabs>
        <w:jc w:val="both"/>
        <w:rPr>
          <w:rFonts w:cs="Arial"/>
          <w:color w:val="000000"/>
          <w:szCs w:val="20"/>
          <w:lang w:val="en-US"/>
        </w:rPr>
      </w:pPr>
    </w:p>
    <w:p w:rsidR="00477E0B" w:rsidRPr="00FE3E06" w:rsidRDefault="00FE3E06" w:rsidP="00477E0B">
      <w:pPr>
        <w:tabs>
          <w:tab w:val="left" w:pos="720"/>
        </w:tabs>
        <w:jc w:val="both"/>
        <w:rPr>
          <w:rFonts w:cs="Arial"/>
          <w:color w:val="000000"/>
          <w:szCs w:val="20"/>
          <w:lang w:val="en-US"/>
        </w:rPr>
      </w:pPr>
      <w:r w:rsidRPr="00FE3E06">
        <w:rPr>
          <w:rFonts w:cs="Arial"/>
          <w:color w:val="000000"/>
          <w:szCs w:val="20"/>
          <w:lang w:val="en-US"/>
        </w:rPr>
        <w:t>They:</w:t>
      </w:r>
    </w:p>
    <w:p w:rsidR="00477E0B" w:rsidRPr="00FE3E06" w:rsidRDefault="00477E0B" w:rsidP="00007020">
      <w:pPr>
        <w:numPr>
          <w:ilvl w:val="0"/>
          <w:numId w:val="42"/>
        </w:numPr>
        <w:autoSpaceDE w:val="0"/>
        <w:autoSpaceDN w:val="0"/>
        <w:adjustRightInd w:val="0"/>
        <w:spacing w:after="240"/>
        <w:contextualSpacing/>
        <w:jc w:val="both"/>
        <w:rPr>
          <w:rFonts w:cs="Arial"/>
          <w:color w:val="000000"/>
          <w:szCs w:val="20"/>
          <w:lang w:val="en-US"/>
        </w:rPr>
      </w:pPr>
      <w:r w:rsidRPr="00FE3E06">
        <w:rPr>
          <w:rFonts w:cs="Arial"/>
          <w:szCs w:val="20"/>
          <w:lang w:val="en-US"/>
        </w:rPr>
        <w:t xml:space="preserve">do not </w:t>
      </w:r>
      <w:r w:rsidRPr="00FE3E06">
        <w:rPr>
          <w:rFonts w:cs="Arial"/>
          <w:color w:val="000000"/>
          <w:szCs w:val="20"/>
          <w:lang w:val="en-US"/>
        </w:rPr>
        <w:t>involve exchange of cash flows based upon a floating reference rate or benchmark</w:t>
      </w:r>
      <w:r w:rsidR="00FB7C18">
        <w:rPr>
          <w:rFonts w:cs="Arial"/>
          <w:color w:val="000000"/>
          <w:szCs w:val="20"/>
          <w:lang w:val="en-US"/>
        </w:rPr>
        <w:t>,</w:t>
      </w:r>
      <w:r w:rsidRPr="00FE3E06">
        <w:rPr>
          <w:rFonts w:cs="Arial"/>
          <w:color w:val="000000"/>
          <w:szCs w:val="20"/>
          <w:lang w:val="en-US"/>
        </w:rPr>
        <w:t xml:space="preserve"> </w:t>
      </w:r>
    </w:p>
    <w:p w:rsidR="00477E0B" w:rsidRPr="00FE3E06" w:rsidRDefault="00477E0B" w:rsidP="00007020">
      <w:pPr>
        <w:numPr>
          <w:ilvl w:val="0"/>
          <w:numId w:val="42"/>
        </w:numPr>
        <w:autoSpaceDE w:val="0"/>
        <w:autoSpaceDN w:val="0"/>
        <w:adjustRightInd w:val="0"/>
        <w:spacing w:after="240"/>
        <w:contextualSpacing/>
        <w:jc w:val="both"/>
        <w:rPr>
          <w:rFonts w:cs="Arial"/>
          <w:color w:val="000000"/>
          <w:szCs w:val="20"/>
          <w:lang w:val="en-US"/>
        </w:rPr>
      </w:pPr>
      <w:r w:rsidRPr="00FE3E06">
        <w:rPr>
          <w:rFonts w:cs="Arial"/>
          <w:color w:val="000000"/>
          <w:szCs w:val="20"/>
          <w:lang w:val="en-US"/>
        </w:rPr>
        <w:t xml:space="preserve"> are not leveraged instruments</w:t>
      </w:r>
      <w:r w:rsidR="00FB7C18">
        <w:rPr>
          <w:rFonts w:cs="Arial"/>
          <w:color w:val="000000"/>
          <w:szCs w:val="20"/>
          <w:lang w:val="en-US"/>
        </w:rPr>
        <w:t>,</w:t>
      </w:r>
    </w:p>
    <w:p w:rsidR="00477E0B" w:rsidRPr="00FE3E06" w:rsidRDefault="00477E0B" w:rsidP="00007020">
      <w:pPr>
        <w:numPr>
          <w:ilvl w:val="0"/>
          <w:numId w:val="42"/>
        </w:numPr>
        <w:autoSpaceDE w:val="0"/>
        <w:autoSpaceDN w:val="0"/>
        <w:adjustRightInd w:val="0"/>
        <w:spacing w:after="240"/>
        <w:contextualSpacing/>
        <w:jc w:val="both"/>
        <w:rPr>
          <w:rFonts w:cs="Arial"/>
          <w:color w:val="000000"/>
          <w:szCs w:val="20"/>
          <w:lang w:val="en-US"/>
        </w:rPr>
      </w:pPr>
      <w:r w:rsidRPr="00FE3E06">
        <w:rPr>
          <w:rFonts w:cs="Arial"/>
          <w:color w:val="000000"/>
          <w:szCs w:val="20"/>
          <w:lang w:val="en-US"/>
        </w:rPr>
        <w:t>do not contain optionalities</w:t>
      </w:r>
      <w:r w:rsidR="00FB7C18">
        <w:rPr>
          <w:rFonts w:cs="Arial"/>
          <w:color w:val="000000"/>
          <w:szCs w:val="20"/>
          <w:lang w:val="en-US"/>
        </w:rPr>
        <w:t>.</w:t>
      </w:r>
      <w:r w:rsidRPr="00FE3E06">
        <w:rPr>
          <w:rFonts w:cs="Arial"/>
          <w:color w:val="000000"/>
          <w:szCs w:val="20"/>
          <w:lang w:val="en-US"/>
        </w:rPr>
        <w:t xml:space="preserve"> </w:t>
      </w:r>
    </w:p>
    <w:p w:rsidR="00477E0B" w:rsidRPr="00FE3E06" w:rsidRDefault="00477E0B" w:rsidP="00477E0B">
      <w:pPr>
        <w:ind w:left="420"/>
        <w:jc w:val="both"/>
        <w:rPr>
          <w:rFonts w:cs="Arial"/>
          <w:szCs w:val="20"/>
          <w:lang w:val="en-US"/>
        </w:rPr>
      </w:pPr>
    </w:p>
    <w:p w:rsidR="00477E0B" w:rsidRPr="00FE3E06" w:rsidRDefault="00477E0B" w:rsidP="00477E0B">
      <w:pPr>
        <w:autoSpaceDE w:val="0"/>
        <w:autoSpaceDN w:val="0"/>
        <w:adjustRightInd w:val="0"/>
        <w:spacing w:after="240"/>
        <w:jc w:val="both"/>
        <w:rPr>
          <w:rFonts w:cs="Arial"/>
          <w:color w:val="000000"/>
          <w:szCs w:val="20"/>
          <w:lang w:val="en-US"/>
        </w:rPr>
      </w:pPr>
      <w:r w:rsidRPr="00FE3E06">
        <w:rPr>
          <w:rFonts w:cs="Arial"/>
          <w:color w:val="000000"/>
          <w:szCs w:val="20"/>
          <w:lang w:val="en-US"/>
        </w:rPr>
        <w:t>Therefore they should not be in the scope of the PRIIPS regulat</w:t>
      </w:r>
      <w:r w:rsidR="00FE3E06">
        <w:rPr>
          <w:rFonts w:cs="Arial"/>
          <w:color w:val="000000"/>
          <w:szCs w:val="20"/>
          <w:lang w:val="en-US"/>
        </w:rPr>
        <w:t xml:space="preserve">ion. </w:t>
      </w:r>
      <w:r w:rsidRPr="00FE3E06">
        <w:rPr>
          <w:rFonts w:cs="Arial"/>
          <w:color w:val="000000"/>
          <w:szCs w:val="20"/>
          <w:lang w:val="en-US"/>
        </w:rPr>
        <w:t xml:space="preserve">Those derivatives should only be   subject to the MIFID </w:t>
      </w:r>
      <w:r w:rsidR="00FE3E06">
        <w:rPr>
          <w:rFonts w:cs="Arial"/>
          <w:color w:val="000000"/>
          <w:szCs w:val="20"/>
          <w:lang w:val="en-US"/>
        </w:rPr>
        <w:t xml:space="preserve">II </w:t>
      </w:r>
      <w:r w:rsidRPr="00FE3E06">
        <w:rPr>
          <w:rFonts w:cs="Arial"/>
          <w:color w:val="000000"/>
          <w:szCs w:val="20"/>
          <w:lang w:val="en-US"/>
        </w:rPr>
        <w:t xml:space="preserve">obligations in particular the obligation of price and cost disclosure. </w:t>
      </w:r>
    </w:p>
    <w:p w:rsidR="00D61B98" w:rsidRDefault="00D61B98" w:rsidP="00D61B98"/>
    <w:p w:rsidR="00D61B98" w:rsidRDefault="00D61B98" w:rsidP="00D61B98"/>
    <w:p w:rsidR="00D61B98" w:rsidRPr="00D61B98" w:rsidRDefault="00D61B98" w:rsidP="00D61B98">
      <w:pPr>
        <w:rPr>
          <w:b/>
          <w:i/>
        </w:rPr>
      </w:pPr>
      <w:r>
        <w:rPr>
          <w:b/>
          <w:u w:val="single"/>
        </w:rPr>
        <w:t>3.</w:t>
      </w:r>
      <w:r w:rsidRPr="00D61B98">
        <w:rPr>
          <w:b/>
          <w:u w:val="single"/>
        </w:rPr>
        <w:t xml:space="preserve">Risk Indicator </w:t>
      </w:r>
    </w:p>
    <w:p w:rsidR="00D61B98" w:rsidRPr="00D61B98" w:rsidRDefault="00D61B98" w:rsidP="00D61B98">
      <w:pPr>
        <w:ind w:left="60"/>
        <w:rPr>
          <w:b/>
          <w:i/>
        </w:rPr>
      </w:pPr>
    </w:p>
    <w:p w:rsidR="00D61B98" w:rsidRPr="00D61B98" w:rsidRDefault="00D61B98" w:rsidP="00D61B98">
      <w:pPr>
        <w:pStyle w:val="Paragraphedeliste"/>
        <w:numPr>
          <w:ilvl w:val="1"/>
          <w:numId w:val="51"/>
        </w:numPr>
        <w:rPr>
          <w:b/>
        </w:rPr>
      </w:pPr>
      <w:r w:rsidRPr="00D61B98">
        <w:rPr>
          <w:b/>
          <w:u w:val="single"/>
        </w:rPr>
        <w:t xml:space="preserve"> proposed methodologies for PRIIPS which fall into the categories III and IV :</w:t>
      </w:r>
    </w:p>
    <w:p w:rsidR="00D61B98" w:rsidRPr="00D61B98" w:rsidRDefault="00D61B98" w:rsidP="00D61B98">
      <w:pPr>
        <w:ind w:left="420"/>
        <w:rPr>
          <w:b/>
        </w:rPr>
      </w:pPr>
    </w:p>
    <w:p w:rsidR="00D61B98" w:rsidRPr="009A0D36" w:rsidRDefault="00D61B98" w:rsidP="00D61B98">
      <w:pPr>
        <w:ind w:left="420"/>
      </w:pPr>
      <w:r w:rsidRPr="00D61B98">
        <w:t xml:space="preserve">We disagree with the proposed methodologies for </w:t>
      </w:r>
      <w:r w:rsidR="00D67E8D">
        <w:t xml:space="preserve">investment funds </w:t>
      </w:r>
      <w:r w:rsidRPr="00D61B98">
        <w:t xml:space="preserve"> which fall into the categories</w:t>
      </w:r>
      <w:r w:rsidRPr="009A0D36">
        <w:t xml:space="preserve"> III </w:t>
      </w:r>
      <w:r w:rsidR="00FB7C18">
        <w:t xml:space="preserve">( guaranteed funds) </w:t>
      </w:r>
      <w:r w:rsidRPr="009A0D36">
        <w:t>and IV :</w:t>
      </w:r>
    </w:p>
    <w:p w:rsidR="00D61B98" w:rsidRPr="009A0D36" w:rsidRDefault="00D61B98" w:rsidP="00D61B98"/>
    <w:p w:rsidR="00D61B98" w:rsidRPr="009A0D36" w:rsidRDefault="00D61B98" w:rsidP="00D61B98">
      <w:pPr>
        <w:pStyle w:val="Paragraphedeliste"/>
        <w:numPr>
          <w:ilvl w:val="0"/>
          <w:numId w:val="45"/>
        </w:numPr>
        <w:spacing w:after="200" w:line="276" w:lineRule="auto"/>
        <w:jc w:val="both"/>
      </w:pPr>
      <w:r w:rsidRPr="009A0D36">
        <w:t xml:space="preserve">For </w:t>
      </w:r>
      <w:r w:rsidR="00D67E8D">
        <w:t xml:space="preserve">investment funds </w:t>
      </w:r>
      <w:r w:rsidRPr="009A0D36">
        <w:t>which fall into category III the “bootstrapping” approach is difficult to be justified. It seems that the industry standard “Historical simulation VaR” would produce the same results with much simpler calculations; a similar methodology already implemented for UCITS KIID structured funds (CESR/10-673) can be generalized in the PRIIPs context. The deviation from the industry’s standards is difficult to be justified. We also  consider that the calculations should be based on observables quantities and the methodology should be simple enough in to reduce the model risk and insure comparability of results .In particular :</w:t>
      </w:r>
    </w:p>
    <w:p w:rsidR="00D61B98" w:rsidRPr="009A0D36" w:rsidRDefault="00D61B98" w:rsidP="00D61B98">
      <w:pPr>
        <w:pStyle w:val="Paragraphedeliste"/>
        <w:numPr>
          <w:ilvl w:val="1"/>
          <w:numId w:val="45"/>
        </w:numPr>
        <w:spacing w:after="200" w:line="276" w:lineRule="auto"/>
        <w:jc w:val="both"/>
      </w:pPr>
      <w:r w:rsidRPr="009A0D36">
        <w:t xml:space="preserve">non observables quantities like expected dividends, borrow cost, (future) storage costs should not be used in the calculations  as they cannot be  projected in the future. </w:t>
      </w:r>
    </w:p>
    <w:p w:rsidR="00D61B98" w:rsidRPr="009A0D36" w:rsidRDefault="00D61B98" w:rsidP="00D61B98">
      <w:pPr>
        <w:pStyle w:val="Paragraphedeliste"/>
        <w:numPr>
          <w:ilvl w:val="1"/>
          <w:numId w:val="45"/>
        </w:numPr>
        <w:spacing w:after="200" w:line="276" w:lineRule="auto"/>
        <w:jc w:val="both"/>
      </w:pPr>
      <w:r w:rsidRPr="009A0D36">
        <w:t>Using the risk free rate (which by the way can be negative) as the expected return is justified in the risk neutral framework, but not in the historical one..</w:t>
      </w:r>
    </w:p>
    <w:p w:rsidR="00D61B98" w:rsidRPr="009A0D36" w:rsidRDefault="00D61B98" w:rsidP="00D61B98">
      <w:pPr>
        <w:pStyle w:val="Paragraphedeliste"/>
        <w:numPr>
          <w:ilvl w:val="0"/>
          <w:numId w:val="47"/>
        </w:numPr>
        <w:tabs>
          <w:tab w:val="left" w:pos="4270"/>
        </w:tabs>
        <w:spacing w:after="200" w:line="276" w:lineRule="auto"/>
        <w:jc w:val="both"/>
      </w:pPr>
      <w:r w:rsidRPr="009A0D36">
        <w:t>The category IV methodology is not explicit enough . it should be specified in a level 3 text ,at least  for PRIIPS invested in  common products like real estate, private equities .</w:t>
      </w:r>
    </w:p>
    <w:p w:rsidR="00D61B98" w:rsidRPr="009A0D36" w:rsidRDefault="00D61B98" w:rsidP="00D61B98">
      <w:pPr>
        <w:tabs>
          <w:tab w:val="left" w:pos="4270"/>
        </w:tabs>
        <w:spacing w:after="200" w:line="276" w:lineRule="auto"/>
        <w:jc w:val="both"/>
      </w:pPr>
    </w:p>
    <w:p w:rsidR="00D61B98" w:rsidRPr="00D61B98" w:rsidRDefault="00D61B98" w:rsidP="00D61B98">
      <w:pPr>
        <w:jc w:val="both"/>
        <w:rPr>
          <w:i/>
        </w:rPr>
      </w:pPr>
      <w:r w:rsidRPr="00D61B98">
        <w:rPr>
          <w:i/>
        </w:rPr>
        <w:t>.</w:t>
      </w:r>
    </w:p>
    <w:p w:rsidR="00D61B98" w:rsidRDefault="00D61B98" w:rsidP="00D61B98">
      <w:pPr>
        <w:rPr>
          <w:i/>
          <w:u w:val="single"/>
        </w:rPr>
      </w:pPr>
      <w:r>
        <w:rPr>
          <w:b/>
          <w:i/>
          <w:u w:val="single"/>
        </w:rPr>
        <w:t>3.2</w:t>
      </w:r>
      <w:r w:rsidRPr="00D61B98">
        <w:rPr>
          <w:b/>
          <w:i/>
          <w:u w:val="single"/>
        </w:rPr>
        <w:t>. Methodologies for  credit assessment</w:t>
      </w:r>
      <w:r w:rsidRPr="00D61B98">
        <w:rPr>
          <w:i/>
          <w:u w:val="single"/>
        </w:rPr>
        <w:t xml:space="preserve"> :</w:t>
      </w:r>
    </w:p>
    <w:p w:rsidR="00D67E8D" w:rsidRDefault="00D67E8D" w:rsidP="00D61B98">
      <w:pPr>
        <w:rPr>
          <w:i/>
          <w:u w:val="single"/>
        </w:rPr>
      </w:pPr>
    </w:p>
    <w:p w:rsidR="00D67E8D" w:rsidRPr="00D61B98" w:rsidRDefault="00D67E8D" w:rsidP="00D61B98">
      <w:pPr>
        <w:rPr>
          <w:i/>
          <w:u w:val="single"/>
        </w:rPr>
      </w:pPr>
      <w:r w:rsidRPr="009A0D36">
        <w:t xml:space="preserve">We agree that a credit risk exposure that is collateralized shall be deemed immaterial ( section 65  page 42)  </w:t>
      </w:r>
    </w:p>
    <w:p w:rsidR="00D61B98" w:rsidRPr="00D61B98" w:rsidRDefault="00D61B98" w:rsidP="00D61B98">
      <w:pPr>
        <w:rPr>
          <w:i/>
          <w:u w:val="single"/>
        </w:rPr>
      </w:pPr>
    </w:p>
    <w:p w:rsidR="00D61B98" w:rsidRDefault="00D67E8D" w:rsidP="00D61B98">
      <w:pPr>
        <w:jc w:val="both"/>
      </w:pPr>
      <w:r>
        <w:t>W</w:t>
      </w:r>
      <w:r w:rsidR="00D61B98">
        <w:t>e welcome the ESAs’ statement on page 40 (para. 54 of Annex II to section 3) confirming that, in principle, credit risk shall not be assessed on AIFs or UCITS. We believe the</w:t>
      </w:r>
      <w:r w:rsidR="00D61B98" w:rsidRPr="0069486F">
        <w:t xml:space="preserve"> cases </w:t>
      </w:r>
      <w:r w:rsidR="00D61B98">
        <w:t>outlined by the ESAs in relation to para. 55 of Annex II to section 3 (on page 40, completed by explanatory text on page 76), in which credit risk is still meant to</w:t>
      </w:r>
      <w:r w:rsidR="00D61B98" w:rsidRPr="0069486F">
        <w:t xml:space="preserve"> be con</w:t>
      </w:r>
      <w:r w:rsidR="00D61B98">
        <w:t>sidered for funds, should be discarded, because</w:t>
      </w:r>
      <w:r w:rsidR="00D61B98" w:rsidRPr="0069486F">
        <w:t xml:space="preserve"> all potential credit risk arising within </w:t>
      </w:r>
      <w:r w:rsidR="00D61B98">
        <w:t>a</w:t>
      </w:r>
      <w:r w:rsidR="00D61B98" w:rsidRPr="0069486F">
        <w:t xml:space="preserve"> </w:t>
      </w:r>
      <w:r w:rsidR="00D61B98">
        <w:t xml:space="preserve">fund’s </w:t>
      </w:r>
      <w:r w:rsidR="00D61B98" w:rsidRPr="0069486F">
        <w:t>portfolio impact</w:t>
      </w:r>
      <w:r w:rsidR="00D61B98">
        <w:t>s</w:t>
      </w:r>
      <w:r w:rsidR="00D61B98" w:rsidRPr="0069486F">
        <w:t xml:space="preserve"> the</w:t>
      </w:r>
      <w:r w:rsidR="00D61B98">
        <w:t xml:space="preserve"> fund’s</w:t>
      </w:r>
      <w:r w:rsidR="00D61B98" w:rsidRPr="0069486F">
        <w:t xml:space="preserve"> NAV and thus </w:t>
      </w:r>
      <w:r w:rsidR="00D61B98">
        <w:t xml:space="preserve">is </w:t>
      </w:r>
      <w:r w:rsidR="00D61B98" w:rsidRPr="0069486F">
        <w:t xml:space="preserve">already covered </w:t>
      </w:r>
      <w:r w:rsidR="00D61B98">
        <w:t>by</w:t>
      </w:r>
      <w:r w:rsidR="00D61B98" w:rsidRPr="0069486F">
        <w:t xml:space="preserve"> </w:t>
      </w:r>
      <w:r w:rsidR="00D61B98">
        <w:t xml:space="preserve">its </w:t>
      </w:r>
      <w:r w:rsidR="00D61B98" w:rsidRPr="0069486F">
        <w:t xml:space="preserve">market risk. </w:t>
      </w:r>
      <w:r w:rsidR="00D61B98">
        <w:t>As a result, we think that f</w:t>
      </w:r>
      <w:r w:rsidR="00D61B98" w:rsidRPr="0069486F">
        <w:t xml:space="preserve">or all </w:t>
      </w:r>
      <w:r w:rsidR="00D61B98">
        <w:t>c</w:t>
      </w:r>
      <w:r w:rsidR="00D61B98" w:rsidRPr="0069486F">
        <w:t xml:space="preserve">alculations </w:t>
      </w:r>
      <w:r w:rsidR="00D61B98">
        <w:t>of the SRI, a fund’s</w:t>
      </w:r>
      <w:r w:rsidR="00D61B98" w:rsidRPr="0069486F">
        <w:t xml:space="preserve"> credit </w:t>
      </w:r>
      <w:r w:rsidR="00D61B98">
        <w:t>r</w:t>
      </w:r>
      <w:r w:rsidR="00D61B98" w:rsidRPr="0069486F">
        <w:t xml:space="preserve">isk should </w:t>
      </w:r>
      <w:r w:rsidR="00D61B98">
        <w:t>always</w:t>
      </w:r>
      <w:r w:rsidR="00D61B98" w:rsidRPr="0069486F">
        <w:t xml:space="preserve"> be considered as being </w:t>
      </w:r>
      <w:r w:rsidR="00D61B98">
        <w:t>CR</w:t>
      </w:r>
      <w:r w:rsidR="00D61B98" w:rsidRPr="0069486F">
        <w:t>1.</w:t>
      </w:r>
    </w:p>
    <w:p w:rsidR="00D61B98" w:rsidRPr="00007020" w:rsidRDefault="00D61B98" w:rsidP="00D61B98">
      <w:pPr>
        <w:rPr>
          <w:lang w:val="de-DE"/>
        </w:rPr>
      </w:pPr>
    </w:p>
    <w:p w:rsidR="00477E0B" w:rsidRDefault="00D61B98" w:rsidP="00D61B98">
      <w:pPr>
        <w:rPr>
          <w:b/>
          <w:u w:val="single"/>
          <w:lang w:val="de-DE"/>
        </w:rPr>
      </w:pPr>
      <w:r>
        <w:rPr>
          <w:b/>
          <w:u w:val="single"/>
          <w:lang w:val="de-DE"/>
        </w:rPr>
        <w:t>4.</w:t>
      </w:r>
      <w:r w:rsidRPr="00D61B98">
        <w:rPr>
          <w:b/>
          <w:u w:val="single"/>
          <w:lang w:val="de-DE"/>
        </w:rPr>
        <w:t xml:space="preserve">. </w:t>
      </w:r>
      <w:r>
        <w:rPr>
          <w:b/>
          <w:u w:val="single"/>
          <w:lang w:val="de-DE"/>
        </w:rPr>
        <w:t>T</w:t>
      </w:r>
      <w:r w:rsidRPr="00D61B98">
        <w:rPr>
          <w:b/>
          <w:u w:val="single"/>
          <w:lang w:val="de-DE"/>
        </w:rPr>
        <w:t xml:space="preserve">ransaction costs </w:t>
      </w:r>
    </w:p>
    <w:p w:rsidR="00D67E8D" w:rsidRDefault="00D67E8D" w:rsidP="00D61B98">
      <w:pPr>
        <w:rPr>
          <w:b/>
          <w:u w:val="single"/>
          <w:lang w:val="de-DE"/>
        </w:rPr>
      </w:pPr>
    </w:p>
    <w:p w:rsidR="00477E0B" w:rsidRPr="00D61B98" w:rsidRDefault="00D67E8D" w:rsidP="00D67E8D">
      <w:pPr>
        <w:spacing w:before="160"/>
        <w:jc w:val="both"/>
        <w:rPr>
          <w:iCs/>
          <w:lang w:val="en-US"/>
        </w:rPr>
      </w:pPr>
      <w:r>
        <w:t>For PRIIPS which have been operating for more than three years , we</w:t>
      </w:r>
      <w:r w:rsidRPr="00886106">
        <w:t xml:space="preserve"> favour using a standardised  table to calculate transaction cost</w:t>
      </w:r>
      <w:r>
        <w:t xml:space="preserve">s and are </w:t>
      </w:r>
      <w:r w:rsidR="00477E0B" w:rsidRPr="00D61B98">
        <w:t>against the methodology prescribed by the ESAs to calculate potential transaction costs for a number of</w:t>
      </w:r>
      <w:r>
        <w:t xml:space="preserve"> reasons</w:t>
      </w:r>
      <w:r w:rsidR="00477E0B" w:rsidRPr="00D61B98">
        <w:rPr>
          <w:lang w:val="en-US"/>
        </w:rPr>
        <w:t>:</w:t>
      </w:r>
    </w:p>
    <w:p w:rsidR="00477E0B" w:rsidRPr="00D61B98" w:rsidRDefault="00477E0B" w:rsidP="00465D56">
      <w:pPr>
        <w:jc w:val="both"/>
        <w:rPr>
          <w:lang w:val="en-US"/>
        </w:rPr>
      </w:pPr>
    </w:p>
    <w:p w:rsidR="00477E0B" w:rsidRPr="00D61B98" w:rsidRDefault="00477E0B" w:rsidP="00007020">
      <w:pPr>
        <w:numPr>
          <w:ilvl w:val="0"/>
          <w:numId w:val="43"/>
        </w:numPr>
        <w:jc w:val="both"/>
        <w:rPr>
          <w:lang w:val="en-US"/>
        </w:rPr>
      </w:pPr>
      <w:r w:rsidRPr="00D61B98">
        <w:rPr>
          <w:lang w:val="en-US"/>
        </w:rPr>
        <w:t>Apart for equities for which i</w:t>
      </w:r>
      <w:r w:rsidR="00465D56" w:rsidRPr="00D61B98">
        <w:rPr>
          <w:lang w:val="en-US"/>
        </w:rPr>
        <w:t xml:space="preserve">t may be possible to calculate </w:t>
      </w:r>
      <w:r w:rsidRPr="00D61B98">
        <w:rPr>
          <w:lang w:val="en-US"/>
        </w:rPr>
        <w:t>the mid-market price (provided suffi</w:t>
      </w:r>
      <w:r w:rsidR="00465D56" w:rsidRPr="00D61B98">
        <w:rPr>
          <w:lang w:val="en-US"/>
        </w:rPr>
        <w:t xml:space="preserve">cient details are given </w:t>
      </w:r>
      <w:r w:rsidRPr="00D61B98">
        <w:rPr>
          <w:lang w:val="en-US"/>
        </w:rPr>
        <w:t xml:space="preserve">to </w:t>
      </w:r>
      <w:r w:rsidR="00465D56" w:rsidRPr="00D61B98">
        <w:rPr>
          <w:lang w:val="en-US"/>
        </w:rPr>
        <w:t>actually,</w:t>
      </w:r>
      <w:r w:rsidRPr="00D61B98">
        <w:rPr>
          <w:lang w:val="en-US"/>
        </w:rPr>
        <w:t xml:space="preserve"> in a level 3  Guidelines) , for other assets data will  either not be available or  too burdensome  to get.</w:t>
      </w:r>
    </w:p>
    <w:p w:rsidR="00477E0B" w:rsidRPr="00D61B98" w:rsidRDefault="00465D56" w:rsidP="00007020">
      <w:pPr>
        <w:numPr>
          <w:ilvl w:val="0"/>
          <w:numId w:val="43"/>
        </w:numPr>
        <w:jc w:val="both"/>
        <w:rPr>
          <w:lang w:val="en-US"/>
        </w:rPr>
      </w:pPr>
      <w:r w:rsidRPr="00D61B98">
        <w:rPr>
          <w:lang w:val="en-US"/>
        </w:rPr>
        <w:t>As</w:t>
      </w:r>
      <w:r w:rsidR="00477E0B" w:rsidRPr="00D61B98">
        <w:rPr>
          <w:lang w:val="en-US"/>
        </w:rPr>
        <w:t xml:space="preserve"> the methodology proposed is simply a future estimate bases on three years of historic data ,  the  outcome can never be accurate so there should be a cost-benefit trade-off in finding a suitable calculation methodology.</w:t>
      </w:r>
    </w:p>
    <w:p w:rsidR="006F2438" w:rsidRPr="00886106" w:rsidRDefault="006F2438" w:rsidP="006F2438">
      <w:pPr>
        <w:pStyle w:val="Default"/>
        <w:rPr>
          <w:rFonts w:ascii="Arial" w:hAnsi="Arial" w:cs="Arial"/>
          <w:sz w:val="20"/>
          <w:szCs w:val="20"/>
          <w:lang w:val="en-US"/>
        </w:rPr>
      </w:pPr>
      <w:r w:rsidRPr="00886106">
        <w:rPr>
          <w:rFonts w:ascii="Arial" w:hAnsi="Arial" w:cs="Arial"/>
          <w:sz w:val="20"/>
          <w:szCs w:val="20"/>
          <w:lang w:val="en-US"/>
        </w:rPr>
        <w:t xml:space="preserve">Therefore we would like  to suggest an alternative method  : </w:t>
      </w:r>
    </w:p>
    <w:p w:rsidR="006F2438" w:rsidRPr="00886106" w:rsidRDefault="006F2438" w:rsidP="006F2438">
      <w:pPr>
        <w:pStyle w:val="Default"/>
        <w:rPr>
          <w:rFonts w:ascii="Arial" w:hAnsi="Arial" w:cs="Arial"/>
          <w:sz w:val="20"/>
          <w:szCs w:val="20"/>
          <w:lang w:val="en-US"/>
        </w:rPr>
      </w:pPr>
      <w:r w:rsidRPr="00886106">
        <w:rPr>
          <w:rFonts w:ascii="Arial" w:hAnsi="Arial" w:cs="Arial"/>
          <w:sz w:val="20"/>
          <w:szCs w:val="20"/>
          <w:lang w:val="en-US"/>
        </w:rPr>
        <w:t xml:space="preserve">.  Explicit transactions costs  should  be used where possible  ( e.g .broker fees,  taxes , …) </w:t>
      </w:r>
    </w:p>
    <w:p w:rsidR="006F2438" w:rsidRPr="00886106" w:rsidRDefault="006F2438" w:rsidP="006F2438">
      <w:pPr>
        <w:spacing w:before="160"/>
        <w:jc w:val="both"/>
        <w:rPr>
          <w:lang w:val="en-US"/>
        </w:rPr>
      </w:pPr>
      <w:r w:rsidRPr="00886106">
        <w:rPr>
          <w:lang w:val="en-US"/>
        </w:rPr>
        <w:t>. When explicit transaction costs are not available</w:t>
      </w:r>
      <w:r w:rsidRPr="00886106">
        <w:rPr>
          <w:b/>
          <w:lang w:val="en-US"/>
        </w:rPr>
        <w:t xml:space="preserve">  </w:t>
      </w:r>
      <w:r w:rsidRPr="00886106">
        <w:t xml:space="preserve"> manufacturers would  </w:t>
      </w:r>
      <w:r w:rsidR="009A0D36" w:rsidRPr="00886106">
        <w:t>use s</w:t>
      </w:r>
      <w:r w:rsidRPr="00886106">
        <w:t xml:space="preserve">tandard  transaction costs by using a  standardised table  provided by the ESAs for new PRIIPs , as no other information  would be  available. </w:t>
      </w:r>
      <w:r w:rsidR="009A0D36" w:rsidRPr="00886106">
        <w:t>W</w:t>
      </w:r>
      <w:r w:rsidRPr="00886106">
        <w:t>e favour using a standardised  table to calculate transaction cost, which will allow for uniform calculation of transaction costs among all PRIIP manufacturers. This is especially important as the reliance on a standardised table will allow smaller PRIIP manufacturers to perform their transaction costs calculation without undue cost expenditures, which could put them at a competitive disadvantage.</w:t>
      </w:r>
    </w:p>
    <w:p w:rsidR="006F2438" w:rsidRPr="00D61B98" w:rsidRDefault="006F2438" w:rsidP="006F2438">
      <w:pPr>
        <w:jc w:val="both"/>
      </w:pPr>
      <w:r w:rsidRPr="00886106">
        <w:lastRenderedPageBreak/>
        <w:t xml:space="preserve"> </w:t>
      </w:r>
    </w:p>
    <w:p w:rsidR="00B827FA" w:rsidRPr="00D61B98" w:rsidRDefault="00B827FA" w:rsidP="00B827FA"/>
    <w:p w:rsidR="00B827FA" w:rsidRDefault="00B827FA" w:rsidP="00B827FA"/>
    <w:p w:rsidR="00D34282" w:rsidRDefault="00D34282" w:rsidP="00355019">
      <w:r>
        <w:t>TYPE YOUR TEXT HERE</w:t>
      </w:r>
    </w:p>
    <w:permEnd w:id="41244950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605435" w:rsidRPr="00D67E8D" w:rsidRDefault="00605435" w:rsidP="001F7DF0">
      <w:pPr>
        <w:jc w:val="both"/>
        <w:rPr>
          <w:lang w:val="fr-FR"/>
        </w:rPr>
      </w:pPr>
      <w:permStart w:id="1458652389" w:edGrp="everyone"/>
    </w:p>
    <w:p w:rsidR="001F7DF0" w:rsidRPr="00D67E8D" w:rsidRDefault="001F7DF0" w:rsidP="003278B2">
      <w:pPr>
        <w:pStyle w:val="Paragraphedeliste"/>
        <w:rPr>
          <w:lang w:val="fr-FR"/>
        </w:rPr>
      </w:pPr>
    </w:p>
    <w:permEnd w:id="1458652389"/>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4"/>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4"/>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2F1F0B" w:rsidRPr="00D67E8D" w:rsidRDefault="002F1F0B" w:rsidP="002F1F0B">
      <w:pPr>
        <w:pStyle w:val="Paragraphedeliste"/>
        <w:ind w:left="0"/>
        <w:jc w:val="both"/>
        <w:rPr>
          <w:lang w:val="fr-FR"/>
        </w:rPr>
      </w:pPr>
      <w:permStart w:id="936516907" w:edGrp="everyone"/>
    </w:p>
    <w:p w:rsidR="002F1F0B" w:rsidRPr="00D67E8D" w:rsidRDefault="002F1F0B" w:rsidP="002F1F0B">
      <w:pPr>
        <w:jc w:val="both"/>
        <w:rPr>
          <w:lang w:val="fr-FR"/>
        </w:rPr>
      </w:pPr>
    </w:p>
    <w:p w:rsidR="00771B0A" w:rsidRPr="00D67E8D" w:rsidRDefault="00771B0A" w:rsidP="00771B0A">
      <w:pPr>
        <w:jc w:val="both"/>
        <w:rPr>
          <w:lang w:val="fr-FR"/>
        </w:rPr>
      </w:pPr>
    </w:p>
    <w:permEnd w:id="93651690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D61B98" w:rsidRPr="00D61B98" w:rsidRDefault="00B93A62" w:rsidP="00EF441F">
      <w:permStart w:id="2131764322" w:edGrp="everyone"/>
      <w:r w:rsidRPr="00D61B98">
        <w:t>With regard UCITS/AIFs</w:t>
      </w:r>
      <w:r w:rsidR="00D61B98" w:rsidRPr="00D61B98">
        <w:t xml:space="preserve"> </w:t>
      </w:r>
      <w:r w:rsidRPr="00D61B98">
        <w:t xml:space="preserve"> </w:t>
      </w:r>
      <w:r w:rsidR="00EF441F" w:rsidRPr="00D61B98">
        <w:t xml:space="preserve">Cornish Fisher expansion is an appropriate methodology .However the  wording </w:t>
      </w:r>
      <w:r w:rsidR="00D61B98" w:rsidRPr="00D61B98">
        <w:t xml:space="preserve">used in the Consultation Paper </w:t>
      </w:r>
      <w:r w:rsidR="00EF441F" w:rsidRPr="00D61B98">
        <w:t xml:space="preserve">in not always clear </w:t>
      </w:r>
      <w:r w:rsidR="00D61B98" w:rsidRPr="00D61B98">
        <w:t>:</w:t>
      </w:r>
      <w:r w:rsidR="00EF441F" w:rsidRPr="00D61B98">
        <w:t xml:space="preserve"> </w:t>
      </w:r>
    </w:p>
    <w:p w:rsidR="00D61B98" w:rsidRPr="00D61B98" w:rsidRDefault="00EF441F" w:rsidP="00D61B98">
      <w:pPr>
        <w:pStyle w:val="Paragraphedeliste"/>
        <w:numPr>
          <w:ilvl w:val="0"/>
          <w:numId w:val="47"/>
        </w:numPr>
      </w:pPr>
      <w:r w:rsidRPr="00D61B98">
        <w:t xml:space="preserve">“daily equidistant prices” </w:t>
      </w:r>
    </w:p>
    <w:p w:rsidR="00D61B98" w:rsidRPr="00D61B98" w:rsidRDefault="00EF441F" w:rsidP="00D61B98">
      <w:pPr>
        <w:pStyle w:val="Paragraphedeliste"/>
        <w:numPr>
          <w:ilvl w:val="0"/>
          <w:numId w:val="47"/>
        </w:numPr>
      </w:pPr>
      <w:r w:rsidRPr="00D61B98">
        <w:t xml:space="preserve">It seems that there are errors in formulae in the section 27, </w:t>
      </w:r>
    </w:p>
    <w:p w:rsidR="00D61B98" w:rsidRPr="00D61B98" w:rsidRDefault="00EF441F" w:rsidP="00D61B98">
      <w:pPr>
        <w:pStyle w:val="Paragraphedeliste"/>
        <w:numPr>
          <w:ilvl w:val="0"/>
          <w:numId w:val="47"/>
        </w:numPr>
      </w:pPr>
      <w:r w:rsidRPr="00D61B98">
        <w:t xml:space="preserve">Section 10 mentions “daily” or “weekly” prices, but in the section 20 we see only “daily” prices. </w:t>
      </w:r>
    </w:p>
    <w:p w:rsidR="00EF441F" w:rsidRPr="00D61B98" w:rsidRDefault="00EF441F" w:rsidP="00D61B98">
      <w:pPr>
        <w:pStyle w:val="Paragraphedeliste"/>
        <w:numPr>
          <w:ilvl w:val="0"/>
          <w:numId w:val="47"/>
        </w:numPr>
      </w:pPr>
      <w:r w:rsidRPr="00D61B98">
        <w:t>The section 20 should include cases where only weekly prices are available.</w:t>
      </w:r>
    </w:p>
    <w:p w:rsidR="00EF441F" w:rsidRPr="00D61B98" w:rsidRDefault="00EF441F" w:rsidP="00750796"/>
    <w:p w:rsidR="00720931" w:rsidRPr="00D61B98" w:rsidRDefault="00EF441F" w:rsidP="00720931">
      <w:r w:rsidRPr="00D61B98">
        <w:t xml:space="preserve">For PRIIPS which fall into category III </w:t>
      </w:r>
      <w:r w:rsidR="00720931" w:rsidRPr="00D61B98">
        <w:t xml:space="preserve"> we do not recommend a bootstrapping approach.</w:t>
      </w:r>
    </w:p>
    <w:p w:rsidR="00D61B98" w:rsidRDefault="00EF441F" w:rsidP="00EF441F">
      <w:pPr>
        <w:spacing w:after="200" w:line="276" w:lineRule="auto"/>
        <w:ind w:left="60"/>
        <w:jc w:val="both"/>
      </w:pPr>
      <w:r w:rsidRPr="00D61B98">
        <w:t>It seems that the industry standard “Historical simulation VaR” would produce the same results with much simpler calculations</w:t>
      </w:r>
      <w:r w:rsidR="00D61B98">
        <w:t xml:space="preserve"> . A</w:t>
      </w:r>
      <w:r w:rsidRPr="00D61B98">
        <w:t xml:space="preserve"> similar methodology already implemented for UCITS KIID structured funds (CESR/10-673) can be generalized in the PRIIPs context. </w:t>
      </w:r>
      <w:r w:rsidR="00720931" w:rsidRPr="00D61B98">
        <w:t xml:space="preserve"> Therefore </w:t>
      </w:r>
      <w:r w:rsidR="00EC1865" w:rsidRPr="00D61B98">
        <w:t>t</w:t>
      </w:r>
      <w:r w:rsidRPr="00D61B98">
        <w:t xml:space="preserve">he deviation from the industry’s standards is difficult to be justified. </w:t>
      </w:r>
    </w:p>
    <w:p w:rsidR="00EF441F" w:rsidRPr="00D61B98" w:rsidRDefault="00EF441F" w:rsidP="00EF441F">
      <w:pPr>
        <w:spacing w:after="200" w:line="276" w:lineRule="auto"/>
        <w:ind w:left="60"/>
        <w:jc w:val="both"/>
      </w:pPr>
      <w:r w:rsidRPr="00D61B98">
        <w:t>We also consider that the calculations should be based on observables quantities and the methodology should be simple enough in to reduce the model risk and insure comparability of results .In particular :</w:t>
      </w:r>
    </w:p>
    <w:p w:rsidR="00EF441F" w:rsidRPr="00D61B98" w:rsidRDefault="00EF441F" w:rsidP="00EF441F">
      <w:pPr>
        <w:pStyle w:val="Paragraphedeliste"/>
        <w:numPr>
          <w:ilvl w:val="0"/>
          <w:numId w:val="47"/>
        </w:numPr>
        <w:spacing w:after="200" w:line="276" w:lineRule="auto"/>
        <w:jc w:val="both"/>
      </w:pPr>
      <w:r w:rsidRPr="00D61B98">
        <w:t xml:space="preserve">non observables quantities like expected dividends, borrow cost, (future) storage costs should not be used in the calculations  as they cannot be  projected in the future. </w:t>
      </w:r>
    </w:p>
    <w:p w:rsidR="00EF441F" w:rsidRPr="00D61B98" w:rsidRDefault="00EF441F" w:rsidP="00EF441F">
      <w:pPr>
        <w:pStyle w:val="Paragraphedeliste"/>
        <w:numPr>
          <w:ilvl w:val="0"/>
          <w:numId w:val="47"/>
        </w:numPr>
        <w:spacing w:after="200" w:line="276" w:lineRule="auto"/>
        <w:jc w:val="both"/>
      </w:pPr>
      <w:r w:rsidRPr="00D61B98">
        <w:t>Using the risk free rate (which by the way can be negative) as the expected return is justified in the risk neutral framework, but not in the historical one..</w:t>
      </w:r>
    </w:p>
    <w:p w:rsidR="00EF441F" w:rsidRDefault="00EF441F" w:rsidP="00750796"/>
    <w:p w:rsidR="00B93A62" w:rsidRDefault="00B93A62" w:rsidP="00750796">
      <w:pPr>
        <w:rPr>
          <w:b/>
        </w:rPr>
      </w:pPr>
    </w:p>
    <w:permEnd w:id="2131764322"/>
    <w:p w:rsidR="00750796" w:rsidRDefault="00750796" w:rsidP="00750796">
      <w:pPr>
        <w:rPr>
          <w:lang w:val="fr-FR"/>
        </w:rPr>
      </w:pPr>
      <w:r w:rsidRPr="00580880">
        <w:rPr>
          <w:lang w:val="fr-FR"/>
        </w:rPr>
        <w:lastRenderedPageBreak/>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B93A62" w:rsidRPr="00D67E8D" w:rsidRDefault="00B93A62" w:rsidP="00750796">
      <w:pPr>
        <w:rPr>
          <w:lang w:val="fr-FR"/>
        </w:rPr>
      </w:pPr>
      <w:permStart w:id="1349736485" w:edGrp="everyone"/>
    </w:p>
    <w:permEnd w:id="1349736485"/>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1B736F" w:rsidRDefault="003278B2" w:rsidP="00B93A62">
      <w:pPr>
        <w:jc w:val="both"/>
      </w:pPr>
      <w:permStart w:id="307764302" w:edGrp="everyone"/>
      <w:r>
        <w:t>From a general point of view, w</w:t>
      </w:r>
      <w:r w:rsidR="001B736F">
        <w:t xml:space="preserve">e do not believe any statutory investor compensation or guarantee scheme should be taken into account. </w:t>
      </w:r>
    </w:p>
    <w:p w:rsidR="00403F00" w:rsidRDefault="00403F00" w:rsidP="00B93A62">
      <w:pPr>
        <w:jc w:val="both"/>
      </w:pPr>
    </w:p>
    <w:p w:rsidR="001B736F" w:rsidRDefault="001B736F" w:rsidP="00B93A62">
      <w:pPr>
        <w:jc w:val="both"/>
      </w:pPr>
      <w:r>
        <w:t>Government compensation scheme only guarantee EUR 100,000 or an equivalent amount, and it is not for each PRIIPs, but for each credit institution. Hence investors with more than EUR 100,000 in one PRIIP of one credit institution could be misled by a CRM risk class taking into account a compensation scheme.</w:t>
      </w:r>
    </w:p>
    <w:p w:rsidR="00403F00" w:rsidRDefault="00403F00" w:rsidP="00B93A62">
      <w:pPr>
        <w:jc w:val="both"/>
      </w:pPr>
    </w:p>
    <w:p w:rsidR="00750796" w:rsidRDefault="001B736F" w:rsidP="00B93A62">
      <w:pPr>
        <w:jc w:val="both"/>
      </w:pPr>
      <w:r>
        <w:t>Furthermore, the existence of a compensation scheme is already specified in section "What happens if [the name of the PRIIP manufacturer] is unable to pay out?". We do not see the benefit of taking it into account in another section of the KID.</w:t>
      </w:r>
    </w:p>
    <w:p w:rsidR="001B736F" w:rsidRDefault="001B736F" w:rsidP="00B93A62">
      <w:pPr>
        <w:jc w:val="both"/>
      </w:pPr>
    </w:p>
    <w:p w:rsidR="00B93A62" w:rsidRDefault="00403F00" w:rsidP="00403F00">
      <w:pPr>
        <w:jc w:val="both"/>
      </w:pPr>
      <w:r>
        <w:t>.</w:t>
      </w:r>
    </w:p>
    <w:permEnd w:id="30776430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1B736F" w:rsidRDefault="001B736F" w:rsidP="001B736F">
      <w:permStart w:id="627795028" w:edGrp="everyone"/>
      <w:r>
        <w:t xml:space="preserve">We favour the option for manufacturer to voluntarily increase the disclosed SRI </w:t>
      </w:r>
      <w:r w:rsidR="00EC1865">
        <w:t>.</w:t>
      </w:r>
      <w:r>
        <w:t>We do not have a view on unintended consequences.</w:t>
      </w:r>
    </w:p>
    <w:p w:rsidR="001B736F" w:rsidRDefault="00403F00" w:rsidP="00403F00">
      <w:r>
        <w:t>.</w:t>
      </w:r>
    </w:p>
    <w:permEnd w:id="627795028"/>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77071C" w:rsidRPr="00D67E8D" w:rsidRDefault="0077071C" w:rsidP="003278B2">
      <w:pPr>
        <w:jc w:val="both"/>
        <w:rPr>
          <w:lang w:val="fr-FR"/>
        </w:rPr>
      </w:pPr>
      <w:permStart w:id="549399822" w:edGrp="everyone"/>
      <w:r w:rsidRPr="00D67E8D">
        <w:rPr>
          <w:lang w:val="fr-FR"/>
        </w:rPr>
        <w:t>.</w:t>
      </w:r>
    </w:p>
    <w:p w:rsidR="003E4B00" w:rsidRPr="00580880" w:rsidRDefault="00403F00" w:rsidP="003E4B00">
      <w:pPr>
        <w:rPr>
          <w:lang w:val="fr-FR"/>
        </w:rPr>
      </w:pPr>
      <w:r w:rsidRPr="00D67E8D">
        <w:rPr>
          <w:lang w:val="fr-FR"/>
        </w:rPr>
        <w:t>.</w:t>
      </w:r>
      <w:r w:rsidRPr="00D67E8D">
        <w:rPr>
          <w:b/>
          <w:lang w:val="fr-FR"/>
        </w:rPr>
        <w:t xml:space="preserve"> </w:t>
      </w:r>
      <w:permEnd w:id="549399822"/>
      <w:r w:rsidR="003E4B00" w:rsidRPr="00580880">
        <w:rPr>
          <w:lang w:val="fr-FR"/>
        </w:rPr>
        <w:t>&lt;ESMA_QUESTION_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FA10F8" w:rsidRDefault="004F309F" w:rsidP="00121C49">
      <w:pPr>
        <w:jc w:val="both"/>
      </w:pPr>
      <w:permStart w:id="497581365" w:edGrp="everyone"/>
      <w:r>
        <w:t>From a general point of view, w</w:t>
      </w:r>
      <w:r w:rsidR="0077071C">
        <w:t xml:space="preserve">e generally agree with the </w:t>
      </w:r>
      <w:r w:rsidR="00EC1865">
        <w:t xml:space="preserve">MRM and SRI  </w:t>
      </w:r>
      <w:r w:rsidR="0077071C">
        <w:t>scale</w:t>
      </w:r>
      <w:r w:rsidR="00EC1865">
        <w:t>.</w:t>
      </w:r>
      <w:r w:rsidR="00121C49" w:rsidRPr="00121C49">
        <w:t xml:space="preserve"> </w:t>
      </w:r>
    </w:p>
    <w:p w:rsidR="00FA10F8" w:rsidRDefault="00FA10F8" w:rsidP="00121C49">
      <w:pPr>
        <w:jc w:val="both"/>
      </w:pPr>
    </w:p>
    <w:p w:rsidR="007B3966" w:rsidRDefault="00121C49" w:rsidP="00FA10F8">
      <w:pPr>
        <w:jc w:val="both"/>
      </w:pPr>
      <w:r>
        <w:t>We welcome the ESAs’ statement on page 40 (para. 54 of Annex II to section 3) confirming that, in principle, credit risk shall not be assessed on AIFs or UCITS. We believe the</w:t>
      </w:r>
      <w:r w:rsidRPr="0069486F">
        <w:t xml:space="preserve"> cases </w:t>
      </w:r>
      <w:r>
        <w:t>outlined by the ESAs in relation to para. 55 of Annex II to section 3 (on page 40, completed by explanatory text on page 76), in which credit risk is still meant to</w:t>
      </w:r>
      <w:r w:rsidRPr="0069486F">
        <w:t xml:space="preserve"> be con</w:t>
      </w:r>
      <w:r>
        <w:t>sidered for funds, should be discarded, because</w:t>
      </w:r>
      <w:r w:rsidRPr="0069486F">
        <w:t xml:space="preserve"> all potential credit risk arising within </w:t>
      </w:r>
      <w:r>
        <w:t>a</w:t>
      </w:r>
      <w:r w:rsidRPr="0069486F">
        <w:t xml:space="preserve"> </w:t>
      </w:r>
      <w:r>
        <w:t xml:space="preserve">fund’s </w:t>
      </w:r>
      <w:r w:rsidRPr="0069486F">
        <w:t>portfolio impact</w:t>
      </w:r>
      <w:r>
        <w:t>s</w:t>
      </w:r>
      <w:r w:rsidRPr="0069486F">
        <w:t xml:space="preserve"> the</w:t>
      </w:r>
      <w:r>
        <w:t xml:space="preserve"> fund’s</w:t>
      </w:r>
      <w:r w:rsidRPr="0069486F">
        <w:t xml:space="preserve"> NAV and thus </w:t>
      </w:r>
      <w:r>
        <w:t xml:space="preserve">is </w:t>
      </w:r>
      <w:r w:rsidRPr="0069486F">
        <w:t xml:space="preserve">already covered </w:t>
      </w:r>
      <w:r>
        <w:t>by</w:t>
      </w:r>
      <w:r w:rsidRPr="0069486F">
        <w:t xml:space="preserve"> </w:t>
      </w:r>
      <w:r>
        <w:t xml:space="preserve">its </w:t>
      </w:r>
      <w:r w:rsidRPr="0069486F">
        <w:t xml:space="preserve">market risk. </w:t>
      </w:r>
      <w:r>
        <w:t>As a result, we think that f</w:t>
      </w:r>
      <w:r w:rsidRPr="0069486F">
        <w:t xml:space="preserve">or all </w:t>
      </w:r>
      <w:r>
        <w:t>c</w:t>
      </w:r>
      <w:r w:rsidRPr="0069486F">
        <w:t xml:space="preserve">alculations </w:t>
      </w:r>
      <w:r>
        <w:t>of the SRI, a fund’s</w:t>
      </w:r>
      <w:r w:rsidRPr="0069486F">
        <w:t xml:space="preserve"> credit </w:t>
      </w:r>
      <w:r>
        <w:t>r</w:t>
      </w:r>
      <w:r w:rsidRPr="0069486F">
        <w:t xml:space="preserve">isk should </w:t>
      </w:r>
      <w:r>
        <w:t>always</w:t>
      </w:r>
      <w:r w:rsidRPr="0069486F">
        <w:t xml:space="preserve"> be considered as being </w:t>
      </w:r>
      <w:r>
        <w:t>CR</w:t>
      </w:r>
      <w:r w:rsidRPr="0069486F">
        <w:t>1</w:t>
      </w:r>
    </w:p>
    <w:permEnd w:id="497581365"/>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Pr="00580880" w:rsidRDefault="007B3966" w:rsidP="003E4B00">
      <w:pPr>
        <w:rPr>
          <w:lang w:val="fr-FR"/>
        </w:rPr>
      </w:pPr>
      <w:permStart w:id="2064871738" w:edGrp="everyone"/>
      <w:r w:rsidRPr="00D67E8D">
        <w:rPr>
          <w:lang w:val="fr-FR"/>
        </w:rPr>
        <w:t>.</w:t>
      </w:r>
      <w:r w:rsidR="0077071C" w:rsidRPr="00D67E8D">
        <w:rPr>
          <w:lang w:val="fr-FR"/>
        </w:rPr>
        <w:t xml:space="preserve"> </w:t>
      </w:r>
      <w:permEnd w:id="2064871738"/>
      <w:r w:rsidR="003E4B00" w:rsidRPr="00580880">
        <w:rPr>
          <w:lang w:val="fr-FR"/>
        </w:rPr>
        <w:t>&lt;ESMA_QUESTION_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235141" w:rsidRDefault="004F309F" w:rsidP="008B130E">
      <w:pPr>
        <w:jc w:val="both"/>
      </w:pPr>
      <w:permStart w:id="502489365" w:edGrp="everyone"/>
      <w:r>
        <w:t>From a general point of view, w</w:t>
      </w:r>
      <w:r w:rsidR="00235141" w:rsidRPr="00235141">
        <w:t xml:space="preserve">e are not aware of any other circumstances mitigating the credit risk assessment. However, should any be identified, it should  be taken into account </w:t>
      </w:r>
      <w:r w:rsidR="00EC1865">
        <w:t>.</w:t>
      </w:r>
    </w:p>
    <w:p w:rsidR="002067FB" w:rsidRDefault="002067FB" w:rsidP="002067FB">
      <w:pPr>
        <w:jc w:val="both"/>
      </w:pPr>
      <w:r>
        <w:t>We welcome the ESAs’ statement on page 40 (para. 54 of Annex II to section 3) confirming that, in principle, credit risk shall not be assessed on AIFs or UCITS. This is correct because investment funds do not expose investors to manufacturers’ credit risk because they are not on the balance sheet and very few have credit risk to guarantors.</w:t>
      </w:r>
    </w:p>
    <w:p w:rsidR="00235141" w:rsidRDefault="002067FB" w:rsidP="002067FB">
      <w:pPr>
        <w:jc w:val="both"/>
      </w:pPr>
      <w:r>
        <w:t>We believe the</w:t>
      </w:r>
      <w:r w:rsidRPr="0069486F">
        <w:t xml:space="preserve"> cases </w:t>
      </w:r>
      <w:r>
        <w:t>outlined by the ESAs in relation to para. 55 of Annex II to section 3 (on page 40, completed by explanatory text on page 76), in which credit risk is still meant to</w:t>
      </w:r>
      <w:r w:rsidRPr="0069486F">
        <w:t xml:space="preserve"> be con</w:t>
      </w:r>
      <w:r>
        <w:t>sidered for funds, should be discarded, because</w:t>
      </w:r>
      <w:r w:rsidRPr="0069486F">
        <w:t xml:space="preserve"> all potential credit risk arising within </w:t>
      </w:r>
      <w:r>
        <w:t>a</w:t>
      </w:r>
      <w:r w:rsidRPr="0069486F">
        <w:t xml:space="preserve"> </w:t>
      </w:r>
      <w:r>
        <w:t xml:space="preserve">fund’s </w:t>
      </w:r>
      <w:r w:rsidRPr="0069486F">
        <w:t>portfolio impact</w:t>
      </w:r>
      <w:r>
        <w:t>s</w:t>
      </w:r>
      <w:r w:rsidRPr="0069486F">
        <w:t xml:space="preserve"> the</w:t>
      </w:r>
      <w:r>
        <w:t xml:space="preserve"> fund’s</w:t>
      </w:r>
      <w:r w:rsidRPr="0069486F">
        <w:t xml:space="preserve"> NAV and thus </w:t>
      </w:r>
      <w:r>
        <w:t xml:space="preserve">is </w:t>
      </w:r>
      <w:r w:rsidRPr="0069486F">
        <w:t xml:space="preserve">already covered </w:t>
      </w:r>
      <w:r>
        <w:t>by</w:t>
      </w:r>
      <w:r w:rsidRPr="0069486F">
        <w:t xml:space="preserve"> </w:t>
      </w:r>
      <w:r>
        <w:t xml:space="preserve">its </w:t>
      </w:r>
      <w:r w:rsidRPr="0069486F">
        <w:t xml:space="preserve">market risk. </w:t>
      </w:r>
      <w:r>
        <w:t>As a result, we think that f</w:t>
      </w:r>
      <w:r w:rsidRPr="0069486F">
        <w:t xml:space="preserve">or all </w:t>
      </w:r>
      <w:r>
        <w:t>c</w:t>
      </w:r>
      <w:r w:rsidRPr="0069486F">
        <w:t xml:space="preserve">alculations </w:t>
      </w:r>
      <w:r>
        <w:t>of the SRI, a fund’s</w:t>
      </w:r>
      <w:r w:rsidRPr="0069486F">
        <w:t xml:space="preserve"> credit </w:t>
      </w:r>
      <w:r>
        <w:t>r</w:t>
      </w:r>
      <w:r w:rsidRPr="0069486F">
        <w:t xml:space="preserve">isk should </w:t>
      </w:r>
      <w:r>
        <w:t>always</w:t>
      </w:r>
      <w:r w:rsidRPr="0069486F">
        <w:t xml:space="preserve"> be considered as being </w:t>
      </w:r>
      <w:r>
        <w:t>CR</w:t>
      </w:r>
      <w:r w:rsidRPr="0069486F">
        <w:t>1.</w:t>
      </w:r>
      <w:r w:rsidR="007B3966" w:rsidRPr="007B3966">
        <w:t>.</w:t>
      </w:r>
    </w:p>
    <w:permEnd w:id="502489365"/>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1E2B79" w:rsidRDefault="0026748D" w:rsidP="00EC1865">
      <w:pPr>
        <w:jc w:val="both"/>
      </w:pPr>
      <w:permStart w:id="1836263782" w:edGrp="everyone"/>
      <w:r w:rsidRPr="00EB523A">
        <w:rPr>
          <w:b/>
          <w:i/>
        </w:rPr>
        <w:t xml:space="preserve"> </w:t>
      </w:r>
      <w:r w:rsidR="00EB523A" w:rsidRPr="00EB523A">
        <w:rPr>
          <w:b/>
          <w:i/>
        </w:rPr>
        <w:t xml:space="preserve"> </w:t>
      </w:r>
    </w:p>
    <w:p w:rsidR="001E2B79" w:rsidRDefault="001E2B79" w:rsidP="001E2B79">
      <w:pPr>
        <w:jc w:val="both"/>
      </w:pPr>
      <w:r>
        <w:t xml:space="preserve">A </w:t>
      </w:r>
      <w:r w:rsidRPr="001F2B57">
        <w:t>look</w:t>
      </w:r>
      <w:r>
        <w:t>-</w:t>
      </w:r>
      <w:r w:rsidRPr="001F2B57">
        <w:t xml:space="preserve">through approach </w:t>
      </w:r>
      <w:r>
        <w:t xml:space="preserve">to the </w:t>
      </w:r>
      <w:r w:rsidRPr="001F2B57">
        <w:t xml:space="preserve">assessment of credit risk </w:t>
      </w:r>
      <w:r>
        <w:t>may be necessary if packaging into another PRIIP is used to escape the assessment of credit risk of the effective underlying.</w:t>
      </w:r>
      <w:r w:rsidRPr="009C5B53">
        <w:t xml:space="preserve"> </w:t>
      </w:r>
      <w:r w:rsidRPr="00D838C7">
        <w:t xml:space="preserve">However, it should not generally apply in </w:t>
      </w:r>
      <w:r>
        <w:t xml:space="preserve">the </w:t>
      </w:r>
      <w:r w:rsidRPr="00D838C7">
        <w:t xml:space="preserve">case of PRIIPs investing in other PRIIPs or </w:t>
      </w:r>
      <w:r>
        <w:t xml:space="preserve">into </w:t>
      </w:r>
      <w:r w:rsidRPr="00D838C7">
        <w:t xml:space="preserve">other underlying instruments as suggested in para. 55 (d) of Annex II. </w:t>
      </w:r>
      <w:r>
        <w:t>The</w:t>
      </w:r>
      <w:r w:rsidRPr="00D838C7">
        <w:t xml:space="preserve"> credit or counterparty risk involved with such investments should be considered part of the market risk as is the case for other investments in underlying assets and indeed, will be captured by the historical volatility data or performance simulations relevant for establishing the MRM category.</w:t>
      </w:r>
    </w:p>
    <w:p w:rsidR="001E2B79" w:rsidRDefault="001E2B79" w:rsidP="001E2B79">
      <w:pPr>
        <w:jc w:val="both"/>
      </w:pPr>
    </w:p>
    <w:p w:rsidR="001E2B79" w:rsidRDefault="001E2B79" w:rsidP="001E2B79">
      <w:pPr>
        <w:jc w:val="both"/>
      </w:pPr>
      <w:r>
        <w:t>There is an important link between this proposal and that for MOPs.  Many MOPs are insurance products with the underlying investment options being investment funds.  Funds do not generally bear CR but insurance products do.  The generic KID for the MOP should therefore show the effect of the CR of the insurer, otherwise MOPs produced by insurers with very different credit ratings will appear to carry the same overall risk for consumers.</w:t>
      </w:r>
    </w:p>
    <w:p w:rsidR="001E2B79" w:rsidRDefault="001E2B79" w:rsidP="00EC1865">
      <w:pPr>
        <w:jc w:val="both"/>
      </w:pPr>
    </w:p>
    <w:p w:rsidR="001E2B79" w:rsidRDefault="001E2B79" w:rsidP="00EC1865">
      <w:pPr>
        <w:jc w:val="both"/>
      </w:pPr>
    </w:p>
    <w:p w:rsidR="001E2B79" w:rsidRDefault="001E2B79" w:rsidP="00EC1865">
      <w:pPr>
        <w:jc w:val="both"/>
      </w:pPr>
    </w:p>
    <w:p w:rsidR="001E2B79" w:rsidRDefault="001E2B79" w:rsidP="00EC1865">
      <w:pPr>
        <w:jc w:val="both"/>
      </w:pPr>
    </w:p>
    <w:p w:rsidR="001E2B79" w:rsidRDefault="001E2B79" w:rsidP="00EC1865">
      <w:pPr>
        <w:jc w:val="both"/>
      </w:pPr>
    </w:p>
    <w:permEnd w:id="1836263782"/>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235141" w:rsidRDefault="00235141" w:rsidP="00235141">
      <w:permStart w:id="122890148" w:edGrp="everyone"/>
      <w:r>
        <w:t xml:space="preserve">In our view, the risk indicator should relate only to the intrinsic risk of the PRIIP (measured in the currency used to issue the PRIIP). </w:t>
      </w:r>
    </w:p>
    <w:p w:rsidR="00235141" w:rsidRDefault="00235141" w:rsidP="00235141"/>
    <w:permEnd w:id="122890148"/>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235141" w:rsidRDefault="00235141" w:rsidP="00235141">
      <w:permStart w:id="1436891428" w:edGrp="everyone"/>
      <w:r>
        <w:t>Yes. No additional analysis for the assessment.</w:t>
      </w:r>
    </w:p>
    <w:p w:rsidR="00B458DD" w:rsidRDefault="00B458DD" w:rsidP="00235141"/>
    <w:p w:rsidR="00B458DD" w:rsidRDefault="00B458DD" w:rsidP="00B458DD">
      <w:r>
        <w:t>.</w:t>
      </w:r>
    </w:p>
    <w:permEnd w:id="1436891428"/>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A2049D" w:rsidRPr="003E4B00" w:rsidRDefault="003E4B00" w:rsidP="003E4B00">
      <w:pPr>
        <w:rPr>
          <w:lang w:val="fr-FR"/>
        </w:rPr>
      </w:pPr>
      <w:permStart w:id="11950926" w:edGrp="everyone"/>
      <w:permEnd w:id="11950926"/>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B458DD" w:rsidRPr="00D67E8D" w:rsidRDefault="00B458DD" w:rsidP="00BE2039">
      <w:pPr>
        <w:jc w:val="both"/>
        <w:rPr>
          <w:lang w:val="fr-FR"/>
        </w:rPr>
      </w:pPr>
      <w:permStart w:id="1179673427" w:edGrp="everyone"/>
    </w:p>
    <w:permEnd w:id="1179673427"/>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EB523A" w:rsidRPr="00CC3D57" w:rsidRDefault="00EB523A" w:rsidP="00EB523A">
      <w:pPr>
        <w:spacing w:before="160"/>
        <w:jc w:val="both"/>
      </w:pPr>
      <w:permStart w:id="1287208125" w:edGrp="everyone"/>
      <w:r w:rsidRPr="00CC3D57">
        <w:t>With regards to the asset classes listed, standard industry definitions are needed that correspond to the categories offered to practitioners by data providers such as Bloomberg..  It would  also be necessary to  extend this table to other asset classes which PRIIPS invest in  ( Index, Tracker, ETf, deposit ,….) . A sub-categorisation of asset classes should  be refined, at least in the long term, in order to better reflect the major drivers of transaction costs. For example, Possible criteria for further differentiation of bonds in terms of their trading costs could be the maturity term (since short-dated bonds generally imply different transaction costs than bonds with 30 or 50 years maturity) and the size of an order (in particular in relation to the overall trading volume of an instrument).</w:t>
      </w:r>
    </w:p>
    <w:p w:rsidR="00EB523A" w:rsidRPr="00CC3D57" w:rsidRDefault="00EB523A" w:rsidP="00EB523A">
      <w:pPr>
        <w:jc w:val="both"/>
        <w:rPr>
          <w:rFonts w:cs="Arial"/>
          <w:iCs/>
          <w:szCs w:val="20"/>
          <w:lang w:val="en-US"/>
        </w:rPr>
      </w:pPr>
      <w:r w:rsidRPr="00CC3D57">
        <w:rPr>
          <w:rFonts w:cs="Arial"/>
          <w:szCs w:val="20"/>
        </w:rPr>
        <w:t xml:space="preserve">We are  against the methodology prescribed by the ESAs to calculate potential transaction costs for a number of reasons </w:t>
      </w:r>
      <w:r w:rsidRPr="00CC3D57">
        <w:rPr>
          <w:rFonts w:cs="Arial"/>
          <w:szCs w:val="20"/>
          <w:lang w:val="en-US"/>
        </w:rPr>
        <w:t>Where the PRIIP has been operating for more   than three years :</w:t>
      </w:r>
    </w:p>
    <w:p w:rsidR="00EB523A" w:rsidRPr="00CC3D57" w:rsidRDefault="00EB523A" w:rsidP="00EB523A">
      <w:pPr>
        <w:pStyle w:val="Default"/>
        <w:rPr>
          <w:rFonts w:ascii="Arial" w:hAnsi="Arial" w:cs="Arial"/>
          <w:sz w:val="20"/>
          <w:szCs w:val="20"/>
          <w:lang w:val="en-US"/>
        </w:rPr>
      </w:pPr>
    </w:p>
    <w:p w:rsidR="00EB523A" w:rsidRPr="00CC3D57" w:rsidRDefault="00EB523A" w:rsidP="00EB523A">
      <w:pPr>
        <w:pStyle w:val="Default"/>
        <w:numPr>
          <w:ilvl w:val="0"/>
          <w:numId w:val="48"/>
        </w:numPr>
        <w:rPr>
          <w:rFonts w:ascii="Arial" w:hAnsi="Arial" w:cs="Arial"/>
          <w:sz w:val="20"/>
          <w:szCs w:val="20"/>
          <w:lang w:val="en-US"/>
        </w:rPr>
      </w:pPr>
      <w:r w:rsidRPr="00CC3D57">
        <w:rPr>
          <w:rFonts w:ascii="Arial" w:hAnsi="Arial" w:cs="Arial"/>
          <w:sz w:val="20"/>
          <w:szCs w:val="20"/>
          <w:lang w:val="en-US"/>
        </w:rPr>
        <w:t xml:space="preserve">Apart for equities for which it may be possible to calculate  the mid-market price (provided sufficient details are given  to actually , in a level 3  Guidelines) , for other assets data will  either not be available or  too burdensome  to get. </w:t>
      </w:r>
    </w:p>
    <w:p w:rsidR="00EB523A" w:rsidRPr="00CC3D57" w:rsidRDefault="00EB523A" w:rsidP="00EB523A">
      <w:pPr>
        <w:pStyle w:val="Default"/>
        <w:numPr>
          <w:ilvl w:val="0"/>
          <w:numId w:val="48"/>
        </w:numPr>
        <w:rPr>
          <w:rFonts w:ascii="Arial" w:hAnsi="Arial" w:cs="Arial"/>
          <w:sz w:val="20"/>
          <w:szCs w:val="20"/>
          <w:lang w:val="en-US"/>
        </w:rPr>
      </w:pPr>
      <w:r w:rsidRPr="00CC3D57">
        <w:rPr>
          <w:rFonts w:ascii="Arial" w:hAnsi="Arial" w:cs="Arial"/>
          <w:sz w:val="20"/>
          <w:szCs w:val="20"/>
          <w:lang w:val="en-US"/>
        </w:rPr>
        <w:t>Even for equities  it will be possible that a  trade could incur negative transaction costs, if the market price at execution is lower than the mid_market price at the time of the order, in case the market collapse</w:t>
      </w:r>
    </w:p>
    <w:p w:rsidR="00EB523A" w:rsidRPr="00CC3D57" w:rsidRDefault="00EB523A" w:rsidP="00EB523A">
      <w:pPr>
        <w:pStyle w:val="Default"/>
        <w:numPr>
          <w:ilvl w:val="0"/>
          <w:numId w:val="48"/>
        </w:numPr>
        <w:rPr>
          <w:rFonts w:ascii="Arial" w:hAnsi="Arial" w:cs="Arial"/>
          <w:b/>
          <w:sz w:val="20"/>
          <w:szCs w:val="20"/>
          <w:lang w:val="en-US"/>
        </w:rPr>
      </w:pPr>
      <w:r w:rsidRPr="00CC3D57">
        <w:rPr>
          <w:rFonts w:ascii="Arial" w:hAnsi="Arial" w:cs="Arial"/>
          <w:sz w:val="20"/>
          <w:szCs w:val="20"/>
          <w:lang w:val="en-US"/>
        </w:rPr>
        <w:lastRenderedPageBreak/>
        <w:t>As   the methodology proposed is simply a future estimate bases on three years of historic data ,  the  outcome can never be accurate so there should be a cost-benefit trade-off in finding a suitable calculation methodology</w:t>
      </w:r>
      <w:r w:rsidRPr="00CC3D57">
        <w:rPr>
          <w:rFonts w:ascii="Arial" w:hAnsi="Arial" w:cs="Arial"/>
          <w:b/>
          <w:sz w:val="20"/>
          <w:szCs w:val="20"/>
          <w:lang w:val="en-US"/>
        </w:rPr>
        <w:t>.</w:t>
      </w:r>
    </w:p>
    <w:p w:rsidR="00EB523A" w:rsidRPr="00CC3D57" w:rsidRDefault="00EB523A" w:rsidP="00EB523A">
      <w:pPr>
        <w:pStyle w:val="Default"/>
        <w:rPr>
          <w:rFonts w:asciiTheme="minorHAnsi" w:hAnsiTheme="minorHAnsi" w:cs="Courier New"/>
          <w:b/>
          <w:sz w:val="22"/>
          <w:szCs w:val="22"/>
          <w:lang w:val="en-US"/>
        </w:rPr>
      </w:pPr>
    </w:p>
    <w:p w:rsidR="00EB523A" w:rsidRPr="00886106" w:rsidRDefault="00EB523A" w:rsidP="00EB523A">
      <w:pPr>
        <w:pStyle w:val="Default"/>
        <w:rPr>
          <w:rFonts w:ascii="Arial" w:hAnsi="Arial" w:cs="Arial"/>
          <w:sz w:val="20"/>
          <w:szCs w:val="20"/>
          <w:lang w:val="en-US"/>
        </w:rPr>
      </w:pPr>
      <w:r w:rsidRPr="00886106">
        <w:rPr>
          <w:rFonts w:ascii="Arial" w:hAnsi="Arial" w:cs="Arial"/>
          <w:sz w:val="20"/>
          <w:szCs w:val="20"/>
          <w:lang w:val="en-US"/>
        </w:rPr>
        <w:t xml:space="preserve">Therefore we would like  to suggest an alternative method  : </w:t>
      </w:r>
    </w:p>
    <w:p w:rsidR="00EB523A" w:rsidRPr="00886106" w:rsidRDefault="00EB523A" w:rsidP="00EB523A">
      <w:pPr>
        <w:pStyle w:val="Default"/>
        <w:ind w:left="708"/>
        <w:rPr>
          <w:rFonts w:ascii="Arial" w:hAnsi="Arial" w:cs="Arial"/>
          <w:sz w:val="20"/>
          <w:szCs w:val="20"/>
          <w:lang w:val="en-US"/>
        </w:rPr>
      </w:pPr>
      <w:r w:rsidRPr="00886106">
        <w:rPr>
          <w:rFonts w:ascii="Arial" w:hAnsi="Arial" w:cs="Arial"/>
          <w:sz w:val="20"/>
          <w:szCs w:val="20"/>
          <w:lang w:val="en-US"/>
        </w:rPr>
        <w:t xml:space="preserve">.  Explicit transactions costs  should  be used where possible  ( e.g .broker fees,  taxes , …) </w:t>
      </w:r>
    </w:p>
    <w:p w:rsidR="00EB523A" w:rsidRPr="00886106" w:rsidRDefault="00EB523A" w:rsidP="006F2438">
      <w:pPr>
        <w:spacing w:before="160"/>
        <w:ind w:left="708"/>
        <w:jc w:val="both"/>
        <w:rPr>
          <w:lang w:val="en-US"/>
        </w:rPr>
      </w:pPr>
      <w:r w:rsidRPr="00886106">
        <w:rPr>
          <w:lang w:val="en-US"/>
        </w:rPr>
        <w:t xml:space="preserve">. When explicit transaction costs are not available (e.g. fixed income instruments)  </w:t>
      </w:r>
      <w:r w:rsidRPr="00886106">
        <w:t xml:space="preserve"> manufacturers would  calculate standard  transaction costs by using a  standardised table  provided by the ESAs for new PRIIPs  , as no other information  would be  available. we favour using a standardised  table to calculate transaction cost, which will allow for uniform calculation of transaction costs among all PRIIP manufacturers. This is especially important as the reliance on a standardised table will allow smaller PRIIP manufacturers to perform their transaction costs calculation without undue cost expenditures, which could put them at a competitive disadvantage.</w:t>
      </w:r>
    </w:p>
    <w:p w:rsidR="00731C0C" w:rsidRPr="00CC3D57" w:rsidRDefault="00EB523A" w:rsidP="006F2438">
      <w:pPr>
        <w:jc w:val="both"/>
      </w:pPr>
      <w:r w:rsidRPr="00CC3D57">
        <w:rPr>
          <w:highlight w:val="yellow"/>
        </w:rPr>
        <w:t xml:space="preserve"> </w:t>
      </w:r>
    </w:p>
    <w:permEnd w:id="1287208125"/>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6F2438" w:rsidRPr="00010A57" w:rsidRDefault="006F2438" w:rsidP="006F2438">
      <w:pPr>
        <w:spacing w:after="160" w:line="259" w:lineRule="auto"/>
        <w:contextualSpacing/>
        <w:jc w:val="both"/>
      </w:pPr>
      <w:permStart w:id="408816303" w:edGrp="everyone"/>
      <w:r w:rsidRPr="00010A57">
        <w:t>Th</w:t>
      </w:r>
      <w:r w:rsidR="002067FB">
        <w:t xml:space="preserve">is </w:t>
      </w:r>
      <w:r w:rsidRPr="00010A57">
        <w:t xml:space="preserve">  table</w:t>
      </w:r>
      <w:r>
        <w:t xml:space="preserve"> </w:t>
      </w:r>
      <w:r w:rsidR="002067FB">
        <w:t xml:space="preserve"> referred </w:t>
      </w:r>
      <w:r>
        <w:t xml:space="preserve">to in our answer to question 16 </w:t>
      </w:r>
      <w:r w:rsidRPr="00010A57">
        <w:t xml:space="preserve">  should be part of Level-3 guidelines rather than Level-2 RTS. The reason for this is that </w:t>
      </w:r>
      <w:r w:rsidR="002067FB">
        <w:t xml:space="preserve">transactins costs </w:t>
      </w:r>
      <w:r w:rsidRPr="00010A57">
        <w:t xml:space="preserve">are a reflection of market volatility and do not remain constant for a period of three years. It is crucial that this table is maintained and updated on a constant basis by the ESAs to provide a relatively accurate description of </w:t>
      </w:r>
      <w:r w:rsidR="002067FB">
        <w:t xml:space="preserve">transaction costs </w:t>
      </w:r>
      <w:r w:rsidRPr="00010A57">
        <w:t>.</w:t>
      </w:r>
    </w:p>
    <w:p w:rsidR="006F2438" w:rsidRDefault="006F2438" w:rsidP="00715C32">
      <w:pPr>
        <w:jc w:val="both"/>
      </w:pPr>
    </w:p>
    <w:p w:rsidR="006F2438" w:rsidRDefault="006F2438" w:rsidP="00715C32">
      <w:pPr>
        <w:jc w:val="both"/>
      </w:pPr>
    </w:p>
    <w:p w:rsidR="006F2438" w:rsidRDefault="006F2438" w:rsidP="00715C32">
      <w:pPr>
        <w:jc w:val="both"/>
      </w:pPr>
    </w:p>
    <w:p w:rsidR="006F2438" w:rsidRDefault="006F2438" w:rsidP="00715C32">
      <w:pPr>
        <w:jc w:val="both"/>
      </w:pPr>
    </w:p>
    <w:p w:rsidR="006F2438" w:rsidRDefault="006F2438" w:rsidP="00715C32">
      <w:pPr>
        <w:jc w:val="both"/>
      </w:pPr>
    </w:p>
    <w:p w:rsidR="006F2438" w:rsidRDefault="006F2438" w:rsidP="00715C32">
      <w:pPr>
        <w:jc w:val="both"/>
      </w:pPr>
    </w:p>
    <w:permEnd w:id="408816303"/>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4E2819" w:rsidRDefault="004E2819" w:rsidP="004E2819">
      <w:pPr>
        <w:pStyle w:val="Default"/>
        <w:rPr>
          <w:b/>
          <w:bCs/>
          <w:i/>
          <w:iCs/>
          <w:sz w:val="22"/>
          <w:szCs w:val="22"/>
          <w:lang w:val="en-US"/>
        </w:rPr>
      </w:pPr>
      <w:permStart w:id="551945586" w:edGrp="everyone"/>
    </w:p>
    <w:p w:rsidR="004E2819" w:rsidRPr="00CC3D57" w:rsidRDefault="004E2819" w:rsidP="004E2819">
      <w:pPr>
        <w:jc w:val="both"/>
      </w:pPr>
      <w:r w:rsidRPr="00CC3D57">
        <w:t>We agree that the values should reflect annualised amounts. Otherwise, the amount disclosed would appear to suggest that higher costs are incurred the longer a fund is held while in reality as the entry and exit charges are amortised over longer periods the annual cost decreases. The lack of annualised amounts may have a dissuasive effect on the investor. We believe the arithmetic average method would probably be easier to understand for a retail investor.</w:t>
      </w:r>
    </w:p>
    <w:p w:rsidR="00CF12A6" w:rsidRPr="004E2819" w:rsidRDefault="00CF12A6" w:rsidP="00CB7164">
      <w:pPr>
        <w:jc w:val="both"/>
        <w:rPr>
          <w:i/>
        </w:rPr>
      </w:pPr>
    </w:p>
    <w:p w:rsidR="00CF12A6" w:rsidRPr="004E2819" w:rsidRDefault="00CF12A6" w:rsidP="00CB7164">
      <w:pPr>
        <w:jc w:val="both"/>
        <w:rPr>
          <w:i/>
        </w:rPr>
      </w:pPr>
    </w:p>
    <w:p w:rsidR="00CF12A6" w:rsidRDefault="00CF12A6" w:rsidP="00CB7164">
      <w:pPr>
        <w:jc w:val="both"/>
      </w:pPr>
    </w:p>
    <w:p w:rsidR="00CF12A6" w:rsidRDefault="00CF12A6" w:rsidP="00CB7164">
      <w:pPr>
        <w:jc w:val="both"/>
      </w:pPr>
    </w:p>
    <w:p w:rsidR="00CF12A6" w:rsidRDefault="00CF12A6" w:rsidP="00CB7164">
      <w:pPr>
        <w:jc w:val="both"/>
      </w:pPr>
    </w:p>
    <w:p w:rsidR="00CF12A6" w:rsidRPr="00CB7164" w:rsidRDefault="00CF12A6" w:rsidP="00CB7164">
      <w:pPr>
        <w:jc w:val="both"/>
        <w:rPr>
          <w:b/>
        </w:rPr>
      </w:pPr>
    </w:p>
    <w:permEnd w:id="551945586"/>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715C32" w:rsidRPr="00D67E8D" w:rsidRDefault="00DB31B4" w:rsidP="00CB7164">
      <w:pPr>
        <w:jc w:val="both"/>
        <w:rPr>
          <w:lang w:val="fr-FR"/>
        </w:rPr>
      </w:pPr>
      <w:permStart w:id="1812282677" w:edGrp="everyone"/>
      <w:r w:rsidRPr="00D67E8D">
        <w:rPr>
          <w:lang w:val="fr-FR"/>
        </w:rPr>
        <w:t xml:space="preserve"> </w:t>
      </w:r>
    </w:p>
    <w:permEnd w:id="1812282677"/>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7259BC" w:rsidRPr="00D67E8D" w:rsidRDefault="007259BC" w:rsidP="00CB7164">
      <w:pPr>
        <w:jc w:val="both"/>
        <w:rPr>
          <w:lang w:val="fr-FR"/>
        </w:rPr>
      </w:pPr>
      <w:permStart w:id="888621241" w:edGrp="everyone"/>
      <w:r w:rsidRPr="00D67E8D">
        <w:rPr>
          <w:lang w:val="fr-FR"/>
        </w:rPr>
        <w:t xml:space="preserve">. </w:t>
      </w:r>
    </w:p>
    <w:permEnd w:id="88862124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E2819" w:rsidRPr="00CC3D57" w:rsidRDefault="004E2819" w:rsidP="004E2819">
      <w:pPr>
        <w:spacing w:before="160"/>
        <w:jc w:val="both"/>
      </w:pPr>
      <w:permStart w:id="1906185066" w:edGrp="everyone"/>
      <w:r w:rsidRPr="00CC3D57">
        <w:t>The use of percentage figures would be in line with the existing UCITS KIID and in our view generally be preferable, because actual or monetary figures could be taken literally by the investor (who might expect fixed costs and complain in case the indicated amount was different in practice). In particular, recurring costs expressed in monetary values could be misleading for the investor. We are also not aware of any concerns raised by investors into UCITS as a result of using percentage figures in the KIID.</w:t>
      </w:r>
    </w:p>
    <w:p w:rsidR="004E2819" w:rsidRPr="00CC3D57" w:rsidRDefault="004E2819" w:rsidP="004E2819">
      <w:pPr>
        <w:spacing w:before="160"/>
        <w:jc w:val="both"/>
      </w:pPr>
      <w:r w:rsidRPr="00CC3D57">
        <w:t xml:space="preserve"> As the first table is showing the effect of charges, it would be most useful if the second table showed the actual cost structure, thereby enabling a proper understanding, and even replication of the cost structure in other scenarios. It is likely to be misleading to show a 5% entry cost as 1% in the hope that the investor </w:t>
      </w:r>
      <w:r w:rsidRPr="00CC3D57">
        <w:lastRenderedPageBreak/>
        <w:t>realises that the table relates to a recommended holding period of 5 years and the 5% has been amortised. These actual percentages are also what will be required by online calculators and by MiFID II.</w:t>
      </w:r>
    </w:p>
    <w:p w:rsidR="004E2819" w:rsidRPr="00CC3D57" w:rsidRDefault="004E2819" w:rsidP="004E2819">
      <w:pPr>
        <w:pStyle w:val="Default"/>
        <w:rPr>
          <w:b/>
          <w:bCs/>
          <w:color w:val="auto"/>
          <w:sz w:val="22"/>
          <w:szCs w:val="22"/>
          <w:lang w:val="en-US"/>
        </w:rPr>
      </w:pPr>
    </w:p>
    <w:p w:rsidR="004E2819" w:rsidRPr="004E2819" w:rsidRDefault="004E2819" w:rsidP="007259BC">
      <w:pPr>
        <w:rPr>
          <w:b/>
          <w:i/>
          <w:lang w:val="en-US"/>
        </w:rPr>
      </w:pPr>
    </w:p>
    <w:p w:rsidR="004E2819" w:rsidRPr="004E2819" w:rsidRDefault="004E2819" w:rsidP="007259BC">
      <w:pPr>
        <w:rPr>
          <w:i/>
        </w:rPr>
      </w:pPr>
    </w:p>
    <w:p w:rsidR="004E2819" w:rsidRPr="004E2819" w:rsidRDefault="004E2819" w:rsidP="007259BC">
      <w:pPr>
        <w:rPr>
          <w:i/>
        </w:rPr>
      </w:pPr>
    </w:p>
    <w:p w:rsidR="004E2819" w:rsidRPr="00924FEA" w:rsidRDefault="004E2819" w:rsidP="007259BC"/>
    <w:p w:rsidR="00715C32" w:rsidRDefault="00715C32" w:rsidP="00715C32"/>
    <w:p w:rsidR="00491E49" w:rsidRDefault="00491E49" w:rsidP="00491E49">
      <w:r>
        <w:t>TYPE YOUR TEXT HERE</w:t>
      </w:r>
    </w:p>
    <w:permEnd w:id="1906185066"/>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6B100D">
      <w:permStart w:id="2062090269" w:edGrp="everyone"/>
      <w:r>
        <w:t>TYPE YOUR TEXT HERE</w:t>
      </w:r>
    </w:p>
    <w:permEnd w:id="2062090269"/>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E2819" w:rsidRPr="004E2819" w:rsidRDefault="004E2819" w:rsidP="004E2819">
      <w:pPr>
        <w:autoSpaceDE w:val="0"/>
        <w:autoSpaceDN w:val="0"/>
        <w:adjustRightInd w:val="0"/>
        <w:rPr>
          <w:i/>
        </w:rPr>
      </w:pPr>
      <w:permStart w:id="116719982" w:edGrp="everyone"/>
      <w:r w:rsidRPr="00CC3D57">
        <w:t>The example proposed in the paper above Question 23 provides detailed information on performance fees but does not showcase the variability of other cost elements.</w:t>
      </w:r>
      <w:r w:rsidRPr="00CC3D57">
        <w:rPr>
          <w:rFonts w:ascii="Helv" w:hAnsi="Helv" w:cs="Helv"/>
          <w:color w:val="000000"/>
          <w:szCs w:val="20"/>
          <w:lang w:val="en-US"/>
        </w:rPr>
        <w:t xml:space="preserve">  We are not in favour of showing the additional information on performance .</w:t>
      </w:r>
      <w:r w:rsidRPr="00CC3D57">
        <w:t>. We believe  that too much  information would be detrimental to the understanding of  a retail investor</w:t>
      </w:r>
      <w:r w:rsidRPr="004E2819">
        <w:rPr>
          <w:i/>
        </w:rPr>
        <w:t>.</w:t>
      </w:r>
    </w:p>
    <w:p w:rsidR="004E2819" w:rsidRPr="004E2819" w:rsidRDefault="004E2819" w:rsidP="004E2819">
      <w:pPr>
        <w:pStyle w:val="Default"/>
        <w:rPr>
          <w:i/>
          <w:iCs/>
          <w:color w:val="auto"/>
          <w:sz w:val="22"/>
          <w:szCs w:val="22"/>
          <w:lang w:val="en-GB"/>
        </w:rPr>
      </w:pPr>
    </w:p>
    <w:p w:rsidR="004E2819" w:rsidRDefault="004E2819" w:rsidP="00D416FC">
      <w:pPr>
        <w:jc w:val="both"/>
        <w:rPr>
          <w:b/>
        </w:rPr>
      </w:pPr>
    </w:p>
    <w:p w:rsidR="004E2819" w:rsidRDefault="004E2819" w:rsidP="00D416FC">
      <w:pPr>
        <w:jc w:val="both"/>
        <w:rPr>
          <w:b/>
        </w:rPr>
      </w:pPr>
    </w:p>
    <w:p w:rsidR="004E2819" w:rsidRDefault="004E2819" w:rsidP="00D416FC">
      <w:pPr>
        <w:jc w:val="both"/>
        <w:rPr>
          <w:b/>
        </w:rPr>
      </w:pPr>
    </w:p>
    <w:p w:rsidR="004E2819" w:rsidRDefault="004E2819" w:rsidP="00D416FC">
      <w:pPr>
        <w:jc w:val="both"/>
        <w:rPr>
          <w:b/>
        </w:rPr>
      </w:pPr>
    </w:p>
    <w:p w:rsidR="004E2819" w:rsidRDefault="004E2819" w:rsidP="00D416FC">
      <w:pPr>
        <w:jc w:val="both"/>
        <w:rPr>
          <w:b/>
        </w:rPr>
      </w:pPr>
    </w:p>
    <w:p w:rsidR="00491E49" w:rsidRDefault="00491E49" w:rsidP="00D416FC">
      <w:r>
        <w:t>TYPE YOUR TEXT HERE</w:t>
      </w:r>
    </w:p>
    <w:permEnd w:id="116719982"/>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D416FC" w:rsidP="002067FB">
      <w:pPr>
        <w:jc w:val="both"/>
      </w:pPr>
      <w:permStart w:id="2074419935" w:edGrp="everyone"/>
      <w:r>
        <w:t>(i</w:t>
      </w:r>
    </w:p>
    <w:permEnd w:id="2074419935"/>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395665454" w:edGrp="everyone"/>
      <w:r>
        <w:t>TYPE YOUR TEXT HERE</w:t>
      </w:r>
    </w:p>
    <w:permEnd w:id="1395665454"/>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966F8B" w:rsidRDefault="00630F51" w:rsidP="002D567D">
      <w:permStart w:id="162991568" w:edGrp="everyone"/>
      <w:r>
        <w:rPr>
          <w:b/>
        </w:rPr>
        <w:t xml:space="preserve"> </w:t>
      </w:r>
    </w:p>
    <w:p w:rsidR="00847BB0" w:rsidRDefault="00847BB0" w:rsidP="002D567D">
      <w:pPr>
        <w:jc w:val="both"/>
      </w:pPr>
      <w:r>
        <w:t>TYPE YOUR TEXT HERE</w:t>
      </w:r>
    </w:p>
    <w:permEnd w:id="162991568"/>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4E2819" w:rsidRDefault="004E2819" w:rsidP="00630F51">
      <w:permStart w:id="970353472" w:edGrp="everyone"/>
    </w:p>
    <w:p w:rsidR="004E2819" w:rsidRDefault="004E2819" w:rsidP="00630F51"/>
    <w:p w:rsidR="004E2819" w:rsidRPr="004E2819" w:rsidRDefault="00CC3D57" w:rsidP="004E2819">
      <w:pPr>
        <w:jc w:val="both"/>
        <w:rPr>
          <w:i/>
        </w:rPr>
      </w:pPr>
      <w:r>
        <w:t>W</w:t>
      </w:r>
      <w:r w:rsidR="004E2819" w:rsidRPr="00CC3D57">
        <w:t>e are in favour of showcasing both a summary table and a more detailed breakdown table as suggested by the ESAs.</w:t>
      </w:r>
      <w:r w:rsidR="00BE4785">
        <w:t xml:space="preserve"> </w:t>
      </w:r>
      <w:r w:rsidR="004E2819" w:rsidRPr="00CC3D57">
        <w:t>As the first table is showing the effect of charges, it would be most useful if the second table showed the actual cost structure, thereby enabling a proper understanding, and even replication of the cost structure in other scenarios. It is likely to be misleading to show a 5% entry cost as 1% in the hope that the investor realises that the table relates to a recommended holding period of 5 years and the 5% has been amortised. These actual percentages are also what will be required by online calculators and by MiFID II.The ESAs’ proposal misses a link to the performance scenario, i.e. indicating that the costs are based on the moderate performance scenario</w:t>
      </w:r>
      <w:r w:rsidR="004E2819" w:rsidRPr="004E2819">
        <w:rPr>
          <w:i/>
        </w:rPr>
        <w:t>.</w:t>
      </w:r>
    </w:p>
    <w:p w:rsidR="002D567D" w:rsidRDefault="002D567D" w:rsidP="00847BB0"/>
    <w:p w:rsidR="00847BB0" w:rsidRDefault="00847BB0" w:rsidP="00847BB0">
      <w:r>
        <w:t>TYPE YOUR TEXT HERE</w:t>
      </w:r>
    </w:p>
    <w:permEnd w:id="970353472"/>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Pr="00491E49" w:rsidRDefault="00491E49" w:rsidP="00491E49">
      <w:pPr>
        <w:rPr>
          <w:lang w:val="fr-FR"/>
        </w:rPr>
      </w:pPr>
      <w:permStart w:id="1343887593" w:edGrp="everyone"/>
      <w:permEnd w:id="1343887593"/>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47" w:rsidRDefault="00245347">
      <w:r>
        <w:separator/>
      </w:r>
    </w:p>
    <w:p w:rsidR="00245347" w:rsidRDefault="00245347"/>
  </w:endnote>
  <w:endnote w:type="continuationSeparator" w:id="0">
    <w:p w:rsidR="00245347" w:rsidRDefault="00245347">
      <w:r>
        <w:continuationSeparator/>
      </w:r>
    </w:p>
    <w:p w:rsidR="00245347" w:rsidRDefault="00245347"/>
  </w:endnote>
  <w:endnote w:type="continuationNotice" w:id="1">
    <w:p w:rsidR="00245347" w:rsidRDefault="00245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A7FD9" w:rsidRPr="00616B9B" w:rsidTr="00315E96">
      <w:trPr>
        <w:trHeight w:val="284"/>
      </w:trPr>
      <w:tc>
        <w:tcPr>
          <w:tcW w:w="8460" w:type="dxa"/>
        </w:tcPr>
        <w:p w:rsidR="007A7FD9" w:rsidRPr="00315E96" w:rsidRDefault="007A7FD9" w:rsidP="00315E96">
          <w:pPr>
            <w:pStyle w:val="00Footer"/>
            <w:rPr>
              <w:lang w:val="fr-FR"/>
            </w:rPr>
          </w:pPr>
        </w:p>
      </w:tc>
      <w:tc>
        <w:tcPr>
          <w:tcW w:w="952" w:type="dxa"/>
        </w:tcPr>
        <w:p w:rsidR="007A7FD9" w:rsidRPr="00616B9B" w:rsidRDefault="007A7FD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513B2">
            <w:rPr>
              <w:rFonts w:cs="Arial"/>
              <w:noProof/>
              <w:sz w:val="22"/>
              <w:szCs w:val="22"/>
            </w:rPr>
            <w:t>8</w:t>
          </w:r>
          <w:r w:rsidRPr="00616B9B">
            <w:rPr>
              <w:rFonts w:cs="Arial"/>
              <w:noProof/>
              <w:sz w:val="22"/>
              <w:szCs w:val="22"/>
            </w:rPr>
            <w:fldChar w:fldCharType="end"/>
          </w:r>
        </w:p>
      </w:tc>
    </w:tr>
  </w:tbl>
  <w:p w:rsidR="007A7FD9" w:rsidRDefault="007A7F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D9" w:rsidRDefault="007A7F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47" w:rsidRDefault="00245347">
      <w:r>
        <w:separator/>
      </w:r>
    </w:p>
    <w:p w:rsidR="00245347" w:rsidRDefault="00245347"/>
  </w:footnote>
  <w:footnote w:type="continuationSeparator" w:id="0">
    <w:p w:rsidR="00245347" w:rsidRDefault="00245347">
      <w:r>
        <w:continuationSeparator/>
      </w:r>
    </w:p>
    <w:p w:rsidR="00245347" w:rsidRDefault="00245347"/>
  </w:footnote>
  <w:footnote w:type="continuationNotice" w:id="1">
    <w:p w:rsidR="00245347" w:rsidRDefault="002453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D9" w:rsidRDefault="007A7FD9">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206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D9" w:rsidRDefault="007A7FD9"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D9" w:rsidRDefault="007A7F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A7FD9" w:rsidRPr="002F4496" w:rsidTr="000C06C9">
      <w:trPr>
        <w:trHeight w:val="284"/>
      </w:trPr>
      <w:tc>
        <w:tcPr>
          <w:tcW w:w="8460" w:type="dxa"/>
        </w:tcPr>
        <w:p w:rsidR="007A7FD9" w:rsidRPr="000C3B6D" w:rsidRDefault="007A7FD9" w:rsidP="000C06C9">
          <w:pPr>
            <w:pStyle w:val="00Footer"/>
            <w:rPr>
              <w:lang w:val="fr-FR"/>
            </w:rPr>
          </w:pPr>
        </w:p>
      </w:tc>
      <w:tc>
        <w:tcPr>
          <w:tcW w:w="952" w:type="dxa"/>
        </w:tcPr>
        <w:p w:rsidR="007A7FD9" w:rsidRPr="00146B34" w:rsidRDefault="007A7FD9" w:rsidP="000C06C9">
          <w:pPr>
            <w:pStyle w:val="00aPagenumber"/>
            <w:rPr>
              <w:lang w:val="fr-FR"/>
            </w:rPr>
          </w:pPr>
        </w:p>
      </w:tc>
    </w:tr>
  </w:tbl>
  <w:p w:rsidR="007A7FD9" w:rsidRPr="00DB46C3" w:rsidRDefault="007A7FD9">
    <w:pPr>
      <w:rPr>
        <w:lang w:val="fr-FR"/>
      </w:rPr>
    </w:pPr>
  </w:p>
  <w:p w:rsidR="007A7FD9" w:rsidRPr="002F4496" w:rsidRDefault="007A7FD9">
    <w:pPr>
      <w:pStyle w:val="En-tte"/>
      <w:rPr>
        <w:lang w:val="fr-FR"/>
      </w:rPr>
    </w:pPr>
  </w:p>
  <w:p w:rsidR="007A7FD9" w:rsidRPr="002F4496" w:rsidRDefault="007A7FD9" w:rsidP="000C06C9">
    <w:pPr>
      <w:pStyle w:val="En-tte"/>
      <w:tabs>
        <w:tab w:val="clear" w:pos="4536"/>
        <w:tab w:val="clear" w:pos="9072"/>
        <w:tab w:val="left" w:pos="8227"/>
      </w:tabs>
      <w:rPr>
        <w:lang w:val="fr-FR"/>
      </w:rPr>
    </w:pPr>
  </w:p>
  <w:p w:rsidR="007A7FD9" w:rsidRPr="002F4496" w:rsidRDefault="007A7FD9" w:rsidP="000C06C9">
    <w:pPr>
      <w:pStyle w:val="En-tte"/>
      <w:tabs>
        <w:tab w:val="clear" w:pos="4536"/>
        <w:tab w:val="clear" w:pos="9072"/>
        <w:tab w:val="left" w:pos="8227"/>
      </w:tabs>
      <w:rPr>
        <w:lang w:val="fr-FR"/>
      </w:rPr>
    </w:pPr>
  </w:p>
  <w:p w:rsidR="007A7FD9" w:rsidRPr="002F4496" w:rsidRDefault="007A7FD9">
    <w:pPr>
      <w:pStyle w:val="En-tte"/>
      <w:rPr>
        <w:lang w:val="fr-FR"/>
      </w:rPr>
    </w:pPr>
  </w:p>
  <w:p w:rsidR="007A7FD9" w:rsidRPr="002F4496" w:rsidRDefault="007A7FD9">
    <w:pPr>
      <w:pStyle w:val="En-tte"/>
      <w:rPr>
        <w:lang w:val="fr-FR"/>
      </w:rPr>
    </w:pPr>
  </w:p>
  <w:p w:rsidR="007A7FD9" w:rsidRPr="002F4496" w:rsidRDefault="007A7FD9">
    <w:pPr>
      <w:pStyle w:val="En-tte"/>
      <w:rPr>
        <w:lang w:val="fr-FR"/>
      </w:rPr>
    </w:pPr>
  </w:p>
  <w:p w:rsidR="007A7FD9" w:rsidRPr="002F4496" w:rsidRDefault="007A7FD9">
    <w:pPr>
      <w:pStyle w:val="En-tte"/>
      <w:rPr>
        <w:lang w:val="fr-FR"/>
      </w:rPr>
    </w:pPr>
  </w:p>
  <w:p w:rsidR="007A7FD9" w:rsidRPr="002F4496" w:rsidRDefault="007A7FD9">
    <w:pPr>
      <w:pStyle w:val="En-tte"/>
      <w:rPr>
        <w:highlight w:val="yellow"/>
        <w:lang w:val="fr-FR"/>
      </w:rPr>
    </w:pPr>
  </w:p>
  <w:p w:rsidR="007A7FD9" w:rsidRDefault="007A7FD9">
    <w:pPr>
      <w:pStyle w:val="En-tte"/>
    </w:pPr>
    <w:r>
      <w:rPr>
        <w:noProof/>
        <w:lang w:val="fr-FR" w:eastAsia="fr-FR"/>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E4CB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D2EEB"/>
    <w:multiLevelType w:val="multilevel"/>
    <w:tmpl w:val="4712065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977FE"/>
    <w:multiLevelType w:val="hybridMultilevel"/>
    <w:tmpl w:val="3746E9E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6065C6"/>
    <w:multiLevelType w:val="multilevel"/>
    <w:tmpl w:val="5F360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A91A6E"/>
    <w:multiLevelType w:val="hybridMultilevel"/>
    <w:tmpl w:val="503A55B4"/>
    <w:lvl w:ilvl="0" w:tplc="83327690">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3D216AAD"/>
    <w:multiLevelType w:val="hybridMultilevel"/>
    <w:tmpl w:val="72CA4B6C"/>
    <w:lvl w:ilvl="0" w:tplc="858CC8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4852D2"/>
    <w:multiLevelType w:val="hybridMultilevel"/>
    <w:tmpl w:val="350EC748"/>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34416F"/>
    <w:multiLevelType w:val="hybridMultilevel"/>
    <w:tmpl w:val="E7007E86"/>
    <w:lvl w:ilvl="0" w:tplc="040C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E5C4045"/>
    <w:multiLevelType w:val="hybridMultilevel"/>
    <w:tmpl w:val="F796EF8C"/>
    <w:lvl w:ilvl="0" w:tplc="040C000F">
      <w:start w:val="5"/>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81BF8"/>
    <w:multiLevelType w:val="hybridMultilevel"/>
    <w:tmpl w:val="74B85B02"/>
    <w:lvl w:ilvl="0" w:tplc="6D76C376">
      <w:numFmt w:val="bullet"/>
      <w:lvlText w:val="-"/>
      <w:lvlJc w:val="left"/>
      <w:pPr>
        <w:ind w:left="720" w:hanging="360"/>
      </w:pPr>
      <w:rPr>
        <w:rFonts w:ascii="Georgia" w:eastAsia="Times New Roman"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2" w15:restartNumberingAfterBreak="0">
    <w:nsid w:val="645A2655"/>
    <w:multiLevelType w:val="hybridMultilevel"/>
    <w:tmpl w:val="A37EA826"/>
    <w:lvl w:ilvl="0" w:tplc="6D76C376">
      <w:numFmt w:val="bullet"/>
      <w:lvlText w:val="-"/>
      <w:lvlJc w:val="left"/>
      <w:pPr>
        <w:ind w:left="1440" w:hanging="360"/>
      </w:pPr>
      <w:rPr>
        <w:rFonts w:ascii="Georgia" w:eastAsia="Times New Roman" w:hAnsi="Georg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8B1620"/>
    <w:multiLevelType w:val="hybridMultilevel"/>
    <w:tmpl w:val="4392ABA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7" w15:restartNumberingAfterBreak="0">
    <w:nsid w:val="70997294"/>
    <w:multiLevelType w:val="hybridMultilevel"/>
    <w:tmpl w:val="0C686592"/>
    <w:lvl w:ilvl="0" w:tplc="D578E5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D9C1755"/>
    <w:multiLevelType w:val="multilevel"/>
    <w:tmpl w:val="9380F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3"/>
  </w:num>
  <w:num w:numId="3">
    <w:abstractNumId w:val="15"/>
  </w:num>
  <w:num w:numId="4">
    <w:abstractNumId w:val="30"/>
  </w:num>
  <w:num w:numId="5">
    <w:abstractNumId w:val="32"/>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28"/>
  </w:num>
  <w:num w:numId="15">
    <w:abstractNumId w:val="13"/>
  </w:num>
  <w:num w:numId="16">
    <w:abstractNumId w:val="1"/>
  </w:num>
  <w:num w:numId="17">
    <w:abstractNumId w:val="18"/>
  </w:num>
  <w:num w:numId="18">
    <w:abstractNumId w:val="19"/>
  </w:num>
  <w:num w:numId="19">
    <w:abstractNumId w:val="21"/>
  </w:num>
  <w:num w:numId="20">
    <w:abstractNumId w:val="34"/>
  </w:num>
  <w:num w:numId="21">
    <w:abstractNumId w:val="48"/>
  </w:num>
  <w:num w:numId="22">
    <w:abstractNumId w:val="31"/>
  </w:num>
  <w:num w:numId="23">
    <w:abstractNumId w:val="12"/>
  </w:num>
  <w:num w:numId="24">
    <w:abstractNumId w:val="38"/>
  </w:num>
  <w:num w:numId="25">
    <w:abstractNumId w:val="37"/>
  </w:num>
  <w:num w:numId="26">
    <w:abstractNumId w:val="24"/>
  </w:num>
  <w:num w:numId="27">
    <w:abstractNumId w:val="43"/>
  </w:num>
  <w:num w:numId="28">
    <w:abstractNumId w:val="50"/>
  </w:num>
  <w:num w:numId="29">
    <w:abstractNumId w:val="9"/>
  </w:num>
  <w:num w:numId="30">
    <w:abstractNumId w:val="5"/>
  </w:num>
  <w:num w:numId="31">
    <w:abstractNumId w:val="27"/>
  </w:num>
  <w:num w:numId="32">
    <w:abstractNumId w:val="3"/>
  </w:num>
  <w:num w:numId="33">
    <w:abstractNumId w:val="8"/>
  </w:num>
  <w:num w:numId="34">
    <w:abstractNumId w:val="25"/>
  </w:num>
  <w:num w:numId="35">
    <w:abstractNumId w:val="45"/>
  </w:num>
  <w:num w:numId="36">
    <w:abstractNumId w:val="44"/>
  </w:num>
  <w:num w:numId="37">
    <w:abstractNumId w:val="16"/>
  </w:num>
  <w:num w:numId="38">
    <w:abstractNumId w:val="26"/>
  </w:num>
  <w:num w:numId="39">
    <w:abstractNumId w:val="47"/>
  </w:num>
  <w:num w:numId="40">
    <w:abstractNumId w:val="22"/>
  </w:num>
  <w:num w:numId="41">
    <w:abstractNumId w:val="2"/>
  </w:num>
  <w:num w:numId="42">
    <w:abstractNumId w:val="42"/>
  </w:num>
  <w:num w:numId="43">
    <w:abstractNumId w:val="40"/>
  </w:num>
  <w:num w:numId="44">
    <w:abstractNumId w:val="11"/>
  </w:num>
  <w:num w:numId="45">
    <w:abstractNumId w:val="29"/>
  </w:num>
  <w:num w:numId="46">
    <w:abstractNumId w:val="33"/>
  </w:num>
  <w:num w:numId="47">
    <w:abstractNumId w:val="46"/>
  </w:num>
  <w:num w:numId="48">
    <w:abstractNumId w:val="14"/>
  </w:num>
  <w:num w:numId="49">
    <w:abstractNumId w:val="4"/>
  </w:num>
  <w:num w:numId="50">
    <w:abstractNumId w:val="36"/>
  </w:num>
  <w:num w:numId="51">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0FDC"/>
    <w:rsid w:val="00001490"/>
    <w:rsid w:val="00002232"/>
    <w:rsid w:val="00002491"/>
    <w:rsid w:val="0000378E"/>
    <w:rsid w:val="00003A6A"/>
    <w:rsid w:val="00003AEB"/>
    <w:rsid w:val="00005BBA"/>
    <w:rsid w:val="00005D8C"/>
    <w:rsid w:val="00006C2B"/>
    <w:rsid w:val="00007014"/>
    <w:rsid w:val="00007020"/>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BC2"/>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3E64"/>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C49"/>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4A3F"/>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B736F"/>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B79"/>
    <w:rsid w:val="001E407D"/>
    <w:rsid w:val="001E40FB"/>
    <w:rsid w:val="001E66EC"/>
    <w:rsid w:val="001E68C5"/>
    <w:rsid w:val="001F0F63"/>
    <w:rsid w:val="001F3996"/>
    <w:rsid w:val="001F44A4"/>
    <w:rsid w:val="001F579D"/>
    <w:rsid w:val="001F65EF"/>
    <w:rsid w:val="001F697B"/>
    <w:rsid w:val="001F7DF0"/>
    <w:rsid w:val="002005A6"/>
    <w:rsid w:val="00204CBC"/>
    <w:rsid w:val="002051F1"/>
    <w:rsid w:val="002067BA"/>
    <w:rsid w:val="002067FB"/>
    <w:rsid w:val="0021058D"/>
    <w:rsid w:val="00211E2F"/>
    <w:rsid w:val="00211E9E"/>
    <w:rsid w:val="00214FB4"/>
    <w:rsid w:val="00215573"/>
    <w:rsid w:val="00215940"/>
    <w:rsid w:val="00217C23"/>
    <w:rsid w:val="00220561"/>
    <w:rsid w:val="00220CE4"/>
    <w:rsid w:val="00222D9B"/>
    <w:rsid w:val="00223788"/>
    <w:rsid w:val="00223D11"/>
    <w:rsid w:val="002242D3"/>
    <w:rsid w:val="002301E6"/>
    <w:rsid w:val="00232F90"/>
    <w:rsid w:val="00233B08"/>
    <w:rsid w:val="00233C3B"/>
    <w:rsid w:val="0023499C"/>
    <w:rsid w:val="00235141"/>
    <w:rsid w:val="00235CE3"/>
    <w:rsid w:val="0023636A"/>
    <w:rsid w:val="00236F34"/>
    <w:rsid w:val="002372F7"/>
    <w:rsid w:val="00240651"/>
    <w:rsid w:val="00240803"/>
    <w:rsid w:val="0024426D"/>
    <w:rsid w:val="00244F1D"/>
    <w:rsid w:val="00245004"/>
    <w:rsid w:val="00245347"/>
    <w:rsid w:val="00245FB4"/>
    <w:rsid w:val="00250898"/>
    <w:rsid w:val="00251EA9"/>
    <w:rsid w:val="00252843"/>
    <w:rsid w:val="002543F8"/>
    <w:rsid w:val="002551A4"/>
    <w:rsid w:val="002559F3"/>
    <w:rsid w:val="00256DFE"/>
    <w:rsid w:val="00261D56"/>
    <w:rsid w:val="00261FD3"/>
    <w:rsid w:val="00264077"/>
    <w:rsid w:val="00266B9A"/>
    <w:rsid w:val="0026748D"/>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79E"/>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567D"/>
    <w:rsid w:val="002D63F5"/>
    <w:rsid w:val="002D6E1A"/>
    <w:rsid w:val="002E036D"/>
    <w:rsid w:val="002E1517"/>
    <w:rsid w:val="002E1B22"/>
    <w:rsid w:val="002E2BC1"/>
    <w:rsid w:val="002E387F"/>
    <w:rsid w:val="002E7F4B"/>
    <w:rsid w:val="002F0C91"/>
    <w:rsid w:val="002F0E3E"/>
    <w:rsid w:val="002F1B19"/>
    <w:rsid w:val="002F1F0B"/>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8B2"/>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019"/>
    <w:rsid w:val="00355789"/>
    <w:rsid w:val="003609B6"/>
    <w:rsid w:val="00361119"/>
    <w:rsid w:val="0036538D"/>
    <w:rsid w:val="00365D12"/>
    <w:rsid w:val="0037017C"/>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301"/>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3F00"/>
    <w:rsid w:val="004040FF"/>
    <w:rsid w:val="00404284"/>
    <w:rsid w:val="004042C4"/>
    <w:rsid w:val="00406E90"/>
    <w:rsid w:val="00410240"/>
    <w:rsid w:val="00412253"/>
    <w:rsid w:val="004142ED"/>
    <w:rsid w:val="00414882"/>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5D56"/>
    <w:rsid w:val="00466926"/>
    <w:rsid w:val="00466FDA"/>
    <w:rsid w:val="004671D0"/>
    <w:rsid w:val="004674D1"/>
    <w:rsid w:val="00470773"/>
    <w:rsid w:val="00471FF9"/>
    <w:rsid w:val="00473E74"/>
    <w:rsid w:val="00473FEF"/>
    <w:rsid w:val="00475B8E"/>
    <w:rsid w:val="00477E0B"/>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819"/>
    <w:rsid w:val="004E2E89"/>
    <w:rsid w:val="004E33C2"/>
    <w:rsid w:val="004E3B9A"/>
    <w:rsid w:val="004E49B0"/>
    <w:rsid w:val="004E62DE"/>
    <w:rsid w:val="004E6B05"/>
    <w:rsid w:val="004E76A1"/>
    <w:rsid w:val="004F05DE"/>
    <w:rsid w:val="004F309F"/>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037"/>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0FEC"/>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7E88"/>
    <w:rsid w:val="006000DD"/>
    <w:rsid w:val="00600F63"/>
    <w:rsid w:val="006012E1"/>
    <w:rsid w:val="00602253"/>
    <w:rsid w:val="006023E1"/>
    <w:rsid w:val="00605435"/>
    <w:rsid w:val="00605531"/>
    <w:rsid w:val="00606240"/>
    <w:rsid w:val="0060674A"/>
    <w:rsid w:val="00606EFB"/>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E45"/>
    <w:rsid w:val="00625F82"/>
    <w:rsid w:val="00627999"/>
    <w:rsid w:val="00630F51"/>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100D"/>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438"/>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C32"/>
    <w:rsid w:val="00716774"/>
    <w:rsid w:val="00720931"/>
    <w:rsid w:val="007209DD"/>
    <w:rsid w:val="00722E49"/>
    <w:rsid w:val="00723A08"/>
    <w:rsid w:val="00723B5C"/>
    <w:rsid w:val="00724391"/>
    <w:rsid w:val="00724C18"/>
    <w:rsid w:val="007259BC"/>
    <w:rsid w:val="00726630"/>
    <w:rsid w:val="00727F73"/>
    <w:rsid w:val="00730705"/>
    <w:rsid w:val="00730944"/>
    <w:rsid w:val="00731C0C"/>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1C"/>
    <w:rsid w:val="007707ED"/>
    <w:rsid w:val="00771B0A"/>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A7FD9"/>
    <w:rsid w:val="007B0CD8"/>
    <w:rsid w:val="007B0DE0"/>
    <w:rsid w:val="007B21DE"/>
    <w:rsid w:val="007B2BB9"/>
    <w:rsid w:val="007B3966"/>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01"/>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06"/>
    <w:rsid w:val="008861AC"/>
    <w:rsid w:val="008865E2"/>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130E"/>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39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F8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36"/>
    <w:rsid w:val="009A0D56"/>
    <w:rsid w:val="009A31B9"/>
    <w:rsid w:val="009A4D4F"/>
    <w:rsid w:val="009A53D8"/>
    <w:rsid w:val="009A597F"/>
    <w:rsid w:val="009A7B72"/>
    <w:rsid w:val="009A7F49"/>
    <w:rsid w:val="009B03C4"/>
    <w:rsid w:val="009B0AA2"/>
    <w:rsid w:val="009B1D02"/>
    <w:rsid w:val="009B32B9"/>
    <w:rsid w:val="009B7133"/>
    <w:rsid w:val="009B7658"/>
    <w:rsid w:val="009B7CD1"/>
    <w:rsid w:val="009B7E22"/>
    <w:rsid w:val="009B7E78"/>
    <w:rsid w:val="009C10FE"/>
    <w:rsid w:val="009C13BC"/>
    <w:rsid w:val="009C1CA4"/>
    <w:rsid w:val="009C2532"/>
    <w:rsid w:val="009C2BA4"/>
    <w:rsid w:val="009C4619"/>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2397"/>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3DD1"/>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58DD"/>
    <w:rsid w:val="00B46135"/>
    <w:rsid w:val="00B472AB"/>
    <w:rsid w:val="00B47CE4"/>
    <w:rsid w:val="00B503A8"/>
    <w:rsid w:val="00B5121D"/>
    <w:rsid w:val="00B513B2"/>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2B2"/>
    <w:rsid w:val="00B66C26"/>
    <w:rsid w:val="00B71FB3"/>
    <w:rsid w:val="00B73492"/>
    <w:rsid w:val="00B7512A"/>
    <w:rsid w:val="00B76548"/>
    <w:rsid w:val="00B76BED"/>
    <w:rsid w:val="00B806E6"/>
    <w:rsid w:val="00B827FA"/>
    <w:rsid w:val="00B82DC1"/>
    <w:rsid w:val="00B835D5"/>
    <w:rsid w:val="00B84028"/>
    <w:rsid w:val="00B84307"/>
    <w:rsid w:val="00B8430D"/>
    <w:rsid w:val="00B85661"/>
    <w:rsid w:val="00B85C8A"/>
    <w:rsid w:val="00B86FBD"/>
    <w:rsid w:val="00B91B86"/>
    <w:rsid w:val="00B927CA"/>
    <w:rsid w:val="00B928AE"/>
    <w:rsid w:val="00B92ACB"/>
    <w:rsid w:val="00B93A62"/>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1AD7"/>
    <w:rsid w:val="00BD45A4"/>
    <w:rsid w:val="00BD4A5F"/>
    <w:rsid w:val="00BD59AA"/>
    <w:rsid w:val="00BD65E6"/>
    <w:rsid w:val="00BD6AF7"/>
    <w:rsid w:val="00BE19EF"/>
    <w:rsid w:val="00BE2039"/>
    <w:rsid w:val="00BE425B"/>
    <w:rsid w:val="00BE4785"/>
    <w:rsid w:val="00BE51BB"/>
    <w:rsid w:val="00BE7595"/>
    <w:rsid w:val="00BE77D3"/>
    <w:rsid w:val="00BF0138"/>
    <w:rsid w:val="00BF114B"/>
    <w:rsid w:val="00BF1620"/>
    <w:rsid w:val="00BF1AC3"/>
    <w:rsid w:val="00BF373A"/>
    <w:rsid w:val="00BF4B60"/>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C89"/>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164"/>
    <w:rsid w:val="00CB7286"/>
    <w:rsid w:val="00CB7947"/>
    <w:rsid w:val="00CC1783"/>
    <w:rsid w:val="00CC3B46"/>
    <w:rsid w:val="00CC3D57"/>
    <w:rsid w:val="00CC3D8B"/>
    <w:rsid w:val="00CC4E27"/>
    <w:rsid w:val="00CC570C"/>
    <w:rsid w:val="00CC62B6"/>
    <w:rsid w:val="00CC76AA"/>
    <w:rsid w:val="00CC7CD2"/>
    <w:rsid w:val="00CD05CF"/>
    <w:rsid w:val="00CD1CD3"/>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2A6"/>
    <w:rsid w:val="00CF2056"/>
    <w:rsid w:val="00CF4471"/>
    <w:rsid w:val="00CF51C0"/>
    <w:rsid w:val="00CF5B2A"/>
    <w:rsid w:val="00CF5F57"/>
    <w:rsid w:val="00CF64A7"/>
    <w:rsid w:val="00CF6730"/>
    <w:rsid w:val="00CF70E5"/>
    <w:rsid w:val="00CF7CEC"/>
    <w:rsid w:val="00D00B0F"/>
    <w:rsid w:val="00D01BF4"/>
    <w:rsid w:val="00D0272C"/>
    <w:rsid w:val="00D0428F"/>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16FC"/>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B98"/>
    <w:rsid w:val="00D6240A"/>
    <w:rsid w:val="00D63093"/>
    <w:rsid w:val="00D63599"/>
    <w:rsid w:val="00D63EBD"/>
    <w:rsid w:val="00D67101"/>
    <w:rsid w:val="00D67E8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31B4"/>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16F"/>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23A"/>
    <w:rsid w:val="00EB6CB7"/>
    <w:rsid w:val="00EC078B"/>
    <w:rsid w:val="00EC07A0"/>
    <w:rsid w:val="00EC08E4"/>
    <w:rsid w:val="00EC1865"/>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441F"/>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36"/>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10F8"/>
    <w:rsid w:val="00FA2528"/>
    <w:rsid w:val="00FA5535"/>
    <w:rsid w:val="00FA7206"/>
    <w:rsid w:val="00FA7EFB"/>
    <w:rsid w:val="00FB0816"/>
    <w:rsid w:val="00FB08C2"/>
    <w:rsid w:val="00FB3DD1"/>
    <w:rsid w:val="00FB51FD"/>
    <w:rsid w:val="00FB5667"/>
    <w:rsid w:val="00FB7A97"/>
    <w:rsid w:val="00FB7C18"/>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3E06"/>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26487389-9162-46E5-A3D0-60A94DE3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iPriority w:val="99"/>
    <w:unhideWhenUsed/>
    <w:rsid w:val="00AA016B"/>
    <w:rPr>
      <w:rFonts w:ascii="Consolas" w:hAnsi="Consolas"/>
      <w:sz w:val="21"/>
      <w:szCs w:val="21"/>
      <w:lang w:val="de-DE"/>
    </w:rPr>
  </w:style>
  <w:style w:type="character" w:customStyle="1" w:styleId="TextebrutCar">
    <w:name w:val="Texte brut Car"/>
    <w:link w:val="Textebrut"/>
    <w:uiPriority w:val="99"/>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40313315">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1118099">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3201142">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189405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8867483">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97B2-B1BF-47CE-9078-A71E29AC6E7B}">
  <ds:schemaRefs>
    <ds:schemaRef ds:uri="http://schemas.openxmlformats.org/officeDocument/2006/bibliography"/>
  </ds:schemaRefs>
</ds:datastoreItem>
</file>

<file path=customXml/itemProps2.xml><?xml version="1.0" encoding="utf-8"?>
<ds:datastoreItem xmlns:ds="http://schemas.openxmlformats.org/officeDocument/2006/customXml" ds:itemID="{84624CF1-11DE-4095-AC9F-FD8E808E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4757</Words>
  <Characters>26164</Characters>
  <Application>Microsoft Office Word</Application>
  <DocSecurity>8</DocSecurity>
  <Lines>218</Lines>
  <Paragraphs>61</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30860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Saint Pe, Stéphanie</cp:lastModifiedBy>
  <cp:revision>2</cp:revision>
  <cp:lastPrinted>2016-01-25T12:56:00Z</cp:lastPrinted>
  <dcterms:created xsi:type="dcterms:W3CDTF">2016-01-27T14:56:00Z</dcterms:created>
  <dcterms:modified xsi:type="dcterms:W3CDTF">2016-01-27T14:56:00Z</dcterms:modified>
</cp:coreProperties>
</file>