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0E35CB">
        <w:rPr>
          <w:rFonts w:cs="Arial"/>
        </w:rPr>
        <w:t>PRIIPS</w:t>
      </w:r>
      <w:r w:rsidRPr="00C25863">
        <w:t>_1&gt;</w:t>
      </w:r>
    </w:p>
    <w:p w:rsidR="001B0A6D" w:rsidRPr="00E86A2B" w:rsidRDefault="001B0A6D" w:rsidP="001B0A6D">
      <w:pPr>
        <w:pBdr>
          <w:bottom w:val="single" w:sz="4" w:space="1" w:color="auto"/>
        </w:pBdr>
        <w:spacing w:line="240" w:lineRule="atLeast"/>
        <w:rPr>
          <w:rFonts w:asciiTheme="minorHAnsi" w:hAnsiTheme="minorHAnsi" w:cs="Arial"/>
          <w:b/>
          <w:sz w:val="32"/>
          <w:szCs w:val="32"/>
        </w:rPr>
      </w:pPr>
      <w:permStart w:id="1903634023" w:edGrp="everyone"/>
      <w:r w:rsidRPr="00E86A2B">
        <w:rPr>
          <w:rFonts w:asciiTheme="minorHAnsi" w:hAnsiTheme="minorHAnsi"/>
          <w:b/>
          <w:sz w:val="32"/>
          <w:szCs w:val="32"/>
          <w:lang w:val="en-US"/>
        </w:rPr>
        <w:t xml:space="preserve">Afep </w:t>
      </w:r>
      <w:r>
        <w:rPr>
          <w:rFonts w:asciiTheme="minorHAnsi" w:hAnsiTheme="minorHAnsi"/>
          <w:b/>
          <w:sz w:val="32"/>
          <w:szCs w:val="32"/>
          <w:lang w:val="en-US"/>
        </w:rPr>
        <w:t>response</w:t>
      </w:r>
      <w:r w:rsidRPr="00E86A2B">
        <w:rPr>
          <w:rFonts w:asciiTheme="minorHAnsi" w:hAnsiTheme="minorHAnsi"/>
          <w:b/>
          <w:sz w:val="32"/>
          <w:szCs w:val="32"/>
          <w:lang w:val="en-US"/>
        </w:rPr>
        <w:t xml:space="preserve"> – January 2016</w:t>
      </w:r>
    </w:p>
    <w:p w:rsidR="001B0A6D" w:rsidRDefault="001B0A6D" w:rsidP="001B0A6D">
      <w:pPr>
        <w:spacing w:line="240" w:lineRule="atLeast"/>
        <w:jc w:val="both"/>
        <w:rPr>
          <w:rFonts w:cs="Arial"/>
          <w:b/>
          <w:sz w:val="24"/>
        </w:rPr>
      </w:pPr>
    </w:p>
    <w:p w:rsidR="001D3B28" w:rsidRPr="001D3B28" w:rsidRDefault="001D3B28" w:rsidP="001B0A6D">
      <w:pPr>
        <w:spacing w:line="240" w:lineRule="atLeast"/>
        <w:jc w:val="both"/>
        <w:rPr>
          <w:rFonts w:cs="Arial"/>
          <w:b/>
          <w:sz w:val="22"/>
          <w:szCs w:val="22"/>
        </w:rPr>
      </w:pPr>
      <w:r w:rsidRPr="001D3B28">
        <w:rPr>
          <w:rFonts w:cs="Arial"/>
          <w:b/>
          <w:sz w:val="22"/>
          <w:szCs w:val="22"/>
        </w:rPr>
        <w:t xml:space="preserve">The scope of the PRIIPs Regulation </w:t>
      </w:r>
      <w:r w:rsidR="007873B1">
        <w:rPr>
          <w:rFonts w:cs="Arial"/>
          <w:b/>
          <w:sz w:val="22"/>
          <w:szCs w:val="22"/>
        </w:rPr>
        <w:t>is too broad</w:t>
      </w:r>
    </w:p>
    <w:p w:rsidR="001B0A6D" w:rsidRPr="00E523B2" w:rsidRDefault="001B0A6D" w:rsidP="001B0A6D">
      <w:pPr>
        <w:spacing w:line="240" w:lineRule="atLeast"/>
        <w:jc w:val="both"/>
        <w:rPr>
          <w:rFonts w:cs="Arial"/>
          <w:sz w:val="22"/>
          <w:szCs w:val="22"/>
        </w:rPr>
      </w:pPr>
      <w:r>
        <w:rPr>
          <w:rFonts w:cs="Arial"/>
          <w:sz w:val="22"/>
          <w:szCs w:val="22"/>
        </w:rPr>
        <w:t>Corporate issuers are concerned</w:t>
      </w:r>
      <w:r w:rsidRPr="00E523B2">
        <w:rPr>
          <w:rFonts w:cs="Arial"/>
          <w:sz w:val="22"/>
          <w:szCs w:val="22"/>
        </w:rPr>
        <w:t xml:space="preserve"> about the very broad scope of </w:t>
      </w:r>
      <w:r>
        <w:rPr>
          <w:rFonts w:cs="Arial"/>
          <w:sz w:val="22"/>
          <w:szCs w:val="22"/>
        </w:rPr>
        <w:t>the</w:t>
      </w:r>
      <w:r w:rsidRPr="00E523B2">
        <w:rPr>
          <w:rFonts w:cs="Arial"/>
          <w:sz w:val="22"/>
          <w:szCs w:val="22"/>
        </w:rPr>
        <w:t xml:space="preserve"> PRIIPS </w:t>
      </w:r>
      <w:r>
        <w:rPr>
          <w:rFonts w:cs="Arial"/>
          <w:sz w:val="22"/>
          <w:szCs w:val="22"/>
        </w:rPr>
        <w:t xml:space="preserve">Regulation (the Regulation) and of forthcoming related delegated acts. They are more particularly concerned about </w:t>
      </w:r>
      <w:r w:rsidRPr="00E523B2">
        <w:rPr>
          <w:rFonts w:cs="Arial"/>
          <w:sz w:val="22"/>
          <w:szCs w:val="22"/>
        </w:rPr>
        <w:t>the difficulties involved in applying the Regulation to instruments that are not investment products</w:t>
      </w:r>
      <w:r>
        <w:rPr>
          <w:rFonts w:cs="Arial"/>
          <w:sz w:val="22"/>
          <w:szCs w:val="22"/>
        </w:rPr>
        <w:t xml:space="preserve"> such as</w:t>
      </w:r>
      <w:r w:rsidRPr="00E523B2">
        <w:rPr>
          <w:rFonts w:cs="Arial"/>
          <w:sz w:val="22"/>
          <w:szCs w:val="22"/>
        </w:rPr>
        <w:t xml:space="preserve">, for instance, </w:t>
      </w:r>
      <w:r>
        <w:rPr>
          <w:rFonts w:cs="Arial"/>
          <w:sz w:val="22"/>
          <w:szCs w:val="22"/>
        </w:rPr>
        <w:t>equity linked instruments issued by corporate issuers</w:t>
      </w:r>
      <w:r w:rsidRPr="00E523B2">
        <w:rPr>
          <w:rFonts w:cs="Arial"/>
          <w:sz w:val="22"/>
          <w:szCs w:val="22"/>
        </w:rPr>
        <w:t xml:space="preserve"> or products sold to corporate clients for the sole purpose of hedging and not investing. </w:t>
      </w:r>
      <w:r>
        <w:rPr>
          <w:rFonts w:cs="Arial"/>
          <w:sz w:val="22"/>
          <w:szCs w:val="22"/>
        </w:rPr>
        <w:t>T</w:t>
      </w:r>
      <w:r w:rsidRPr="00E523B2">
        <w:rPr>
          <w:rFonts w:cs="Arial"/>
          <w:sz w:val="22"/>
          <w:szCs w:val="22"/>
        </w:rPr>
        <w:t>he KID template in the proposed RTS is not fit for hedging products. More specifically, the section “</w:t>
      </w:r>
      <w:r w:rsidRPr="00E523B2">
        <w:rPr>
          <w:rFonts w:cs="Arial"/>
          <w:i/>
          <w:sz w:val="22"/>
          <w:szCs w:val="22"/>
        </w:rPr>
        <w:t>How long should I hold it and can I take my money out early?</w:t>
      </w:r>
      <w:r w:rsidRPr="00E523B2">
        <w:rPr>
          <w:rFonts w:cs="Arial"/>
          <w:sz w:val="22"/>
          <w:szCs w:val="22"/>
        </w:rPr>
        <w:t xml:space="preserve">” and RIY calculations do not make sense for such hedging products. </w:t>
      </w:r>
    </w:p>
    <w:p w:rsidR="001B0A6D" w:rsidRPr="00E523B2" w:rsidRDefault="001B0A6D" w:rsidP="001B0A6D">
      <w:pPr>
        <w:spacing w:line="240" w:lineRule="atLeast"/>
        <w:jc w:val="both"/>
        <w:rPr>
          <w:sz w:val="22"/>
          <w:szCs w:val="22"/>
        </w:rPr>
      </w:pPr>
    </w:p>
    <w:p w:rsidR="001B0A6D" w:rsidRPr="00E523B2" w:rsidRDefault="001B0A6D" w:rsidP="001B0A6D">
      <w:pPr>
        <w:shd w:val="clear" w:color="auto" w:fill="FFFFFF"/>
        <w:spacing w:line="240" w:lineRule="atLeast"/>
        <w:jc w:val="both"/>
        <w:rPr>
          <w:sz w:val="22"/>
          <w:szCs w:val="22"/>
        </w:rPr>
      </w:pPr>
      <w:r>
        <w:rPr>
          <w:sz w:val="22"/>
          <w:szCs w:val="22"/>
        </w:rPr>
        <w:t>As a matter of fact recital (6) of the Regulation clearly aims at instruments manufactured “</w:t>
      </w:r>
      <w:r w:rsidRPr="00757A94">
        <w:rPr>
          <w:i/>
          <w:sz w:val="22"/>
          <w:szCs w:val="22"/>
        </w:rPr>
        <w:t>to provide investment opportunities to retail investors</w:t>
      </w:r>
      <w:r>
        <w:rPr>
          <w:sz w:val="22"/>
          <w:szCs w:val="22"/>
        </w:rPr>
        <w:t>”, thus establishing a clea</w:t>
      </w:r>
      <w:r w:rsidR="001D3B28">
        <w:rPr>
          <w:sz w:val="22"/>
          <w:szCs w:val="22"/>
        </w:rPr>
        <w:t xml:space="preserve">r distinction between financing/hedging </w:t>
      </w:r>
      <w:r>
        <w:rPr>
          <w:sz w:val="22"/>
          <w:szCs w:val="22"/>
        </w:rPr>
        <w:t xml:space="preserve">instruments and investment products. Therefore equity linked instruments, such as </w:t>
      </w:r>
      <w:r w:rsidRPr="00E523B2">
        <w:rPr>
          <w:sz w:val="22"/>
          <w:szCs w:val="22"/>
        </w:rPr>
        <w:t>convertible</w:t>
      </w:r>
      <w:r>
        <w:rPr>
          <w:sz w:val="22"/>
          <w:szCs w:val="22"/>
        </w:rPr>
        <w:t xml:space="preserve"> and exchangeable</w:t>
      </w:r>
      <w:r w:rsidRPr="00E523B2">
        <w:rPr>
          <w:sz w:val="22"/>
          <w:szCs w:val="22"/>
        </w:rPr>
        <w:t xml:space="preserve"> bonds</w:t>
      </w:r>
      <w:r>
        <w:rPr>
          <w:sz w:val="22"/>
          <w:szCs w:val="22"/>
        </w:rPr>
        <w:t xml:space="preserve"> issued for financing purpose,</w:t>
      </w:r>
      <w:r w:rsidRPr="00E523B2">
        <w:rPr>
          <w:sz w:val="22"/>
          <w:szCs w:val="22"/>
        </w:rPr>
        <w:t xml:space="preserve"> and any OTC deriv</w:t>
      </w:r>
      <w:r w:rsidRPr="00E523B2">
        <w:rPr>
          <w:sz w:val="22"/>
          <w:szCs w:val="22"/>
        </w:rPr>
        <w:t>a</w:t>
      </w:r>
      <w:r w:rsidRPr="00E523B2">
        <w:rPr>
          <w:sz w:val="22"/>
          <w:szCs w:val="22"/>
        </w:rPr>
        <w:t>tives</w:t>
      </w:r>
      <w:r>
        <w:rPr>
          <w:sz w:val="22"/>
          <w:szCs w:val="22"/>
        </w:rPr>
        <w:t>, contracted for hedging purpose,</w:t>
      </w:r>
      <w:r w:rsidRPr="00E523B2">
        <w:rPr>
          <w:sz w:val="22"/>
          <w:szCs w:val="22"/>
        </w:rPr>
        <w:t xml:space="preserve"> should not be included in the scope</w:t>
      </w:r>
      <w:r>
        <w:rPr>
          <w:sz w:val="22"/>
          <w:szCs w:val="22"/>
        </w:rPr>
        <w:t xml:space="preserve"> of the Regulation</w:t>
      </w:r>
      <w:r w:rsidRPr="00E523B2">
        <w:rPr>
          <w:sz w:val="22"/>
          <w:szCs w:val="22"/>
        </w:rPr>
        <w:t>.</w:t>
      </w:r>
    </w:p>
    <w:p w:rsidR="001B0A6D" w:rsidRPr="00E523B2" w:rsidRDefault="001B0A6D" w:rsidP="001B0A6D">
      <w:pPr>
        <w:shd w:val="clear" w:color="auto" w:fill="FFFFFF"/>
        <w:spacing w:line="240" w:lineRule="atLeast"/>
        <w:jc w:val="both"/>
        <w:rPr>
          <w:sz w:val="22"/>
          <w:szCs w:val="22"/>
        </w:rPr>
      </w:pPr>
    </w:p>
    <w:p w:rsidR="001B0A6D" w:rsidRPr="00480F91" w:rsidRDefault="001B0A6D" w:rsidP="001B0A6D">
      <w:pPr>
        <w:shd w:val="clear" w:color="auto" w:fill="FFFFFF"/>
        <w:spacing w:line="240" w:lineRule="atLeast"/>
        <w:jc w:val="both"/>
        <w:rPr>
          <w:sz w:val="22"/>
          <w:szCs w:val="22"/>
        </w:rPr>
      </w:pPr>
      <w:r>
        <w:rPr>
          <w:sz w:val="22"/>
          <w:szCs w:val="22"/>
        </w:rPr>
        <w:t>A</w:t>
      </w:r>
      <w:r w:rsidRPr="00E523B2">
        <w:rPr>
          <w:sz w:val="22"/>
          <w:szCs w:val="22"/>
        </w:rPr>
        <w:t>s regards convertible bonds</w:t>
      </w:r>
      <w:r>
        <w:rPr>
          <w:sz w:val="22"/>
          <w:szCs w:val="22"/>
        </w:rPr>
        <w:t xml:space="preserve"> for instance</w:t>
      </w:r>
      <w:r w:rsidRPr="00E523B2">
        <w:rPr>
          <w:sz w:val="22"/>
          <w:szCs w:val="22"/>
        </w:rPr>
        <w:t xml:space="preserve">, </w:t>
      </w:r>
      <w:r>
        <w:rPr>
          <w:sz w:val="22"/>
          <w:szCs w:val="22"/>
        </w:rPr>
        <w:t>the</w:t>
      </w:r>
      <w:r w:rsidRPr="00E523B2">
        <w:rPr>
          <w:sz w:val="22"/>
          <w:szCs w:val="22"/>
        </w:rPr>
        <w:t xml:space="preserve"> primary purpose </w:t>
      </w:r>
      <w:r>
        <w:rPr>
          <w:sz w:val="22"/>
          <w:szCs w:val="22"/>
        </w:rPr>
        <w:t xml:space="preserve">of these products </w:t>
      </w:r>
      <w:r w:rsidRPr="00E523B2">
        <w:rPr>
          <w:sz w:val="22"/>
          <w:szCs w:val="22"/>
        </w:rPr>
        <w:t>is to meet the financing needs of their issuers</w:t>
      </w:r>
      <w:r>
        <w:rPr>
          <w:sz w:val="22"/>
          <w:szCs w:val="22"/>
        </w:rPr>
        <w:t xml:space="preserve"> and</w:t>
      </w:r>
      <w:r w:rsidRPr="00E523B2">
        <w:rPr>
          <w:sz w:val="22"/>
          <w:szCs w:val="22"/>
        </w:rPr>
        <w:t xml:space="preserve"> not the investment needs of retail investors. Convertibles are governed by the rules applicable to financing instruments</w:t>
      </w:r>
      <w:r>
        <w:rPr>
          <w:sz w:val="22"/>
          <w:szCs w:val="22"/>
        </w:rPr>
        <w:t xml:space="preserve"> and they should not be treated differently than </w:t>
      </w:r>
      <w:r w:rsidRPr="00E523B2">
        <w:rPr>
          <w:sz w:val="22"/>
          <w:szCs w:val="22"/>
        </w:rPr>
        <w:t xml:space="preserve">corporate shares or bonds, which are outside the scope of the Regulation. For instance, the cost structure for convertible bond is different </w:t>
      </w:r>
      <w:r>
        <w:rPr>
          <w:sz w:val="22"/>
          <w:szCs w:val="22"/>
        </w:rPr>
        <w:t>from</w:t>
      </w:r>
      <w:r w:rsidRPr="00E523B2">
        <w:rPr>
          <w:sz w:val="22"/>
          <w:szCs w:val="22"/>
        </w:rPr>
        <w:t xml:space="preserve"> the structure for other PRIIPs since it does not include the implicit costs paid by the investors</w:t>
      </w:r>
      <w:r>
        <w:rPr>
          <w:sz w:val="22"/>
          <w:szCs w:val="22"/>
        </w:rPr>
        <w:t xml:space="preserve">: </w:t>
      </w:r>
      <w:r w:rsidRPr="00E523B2">
        <w:rPr>
          <w:sz w:val="22"/>
          <w:szCs w:val="22"/>
        </w:rPr>
        <w:t>investors buy convertible bond at its market price.</w:t>
      </w:r>
      <w:r>
        <w:rPr>
          <w:sz w:val="22"/>
          <w:szCs w:val="22"/>
        </w:rPr>
        <w:t xml:space="preserve"> </w:t>
      </w:r>
      <w:r w:rsidRPr="00480F91">
        <w:rPr>
          <w:sz w:val="22"/>
          <w:szCs w:val="22"/>
          <w:lang w:val="en-US"/>
        </w:rPr>
        <w:t xml:space="preserve">Application of the PRIIPs regime to convertible bonds would </w:t>
      </w:r>
      <w:r>
        <w:rPr>
          <w:sz w:val="22"/>
          <w:szCs w:val="22"/>
          <w:lang w:val="en-US"/>
        </w:rPr>
        <w:t xml:space="preserve">more over </w:t>
      </w:r>
      <w:r w:rsidRPr="00480F91">
        <w:rPr>
          <w:sz w:val="22"/>
          <w:szCs w:val="22"/>
          <w:lang w:val="en-US"/>
        </w:rPr>
        <w:t xml:space="preserve">raise liability issues regarding the obligation to update the KID (article 16 of the draft RTS requires the manufacturer to review the KID every 12 months, whereas an offer of convertible bonds would only last a few days) and costs to establish a prospectus considering the complexity of </w:t>
      </w:r>
      <w:r w:rsidR="001D3B28">
        <w:rPr>
          <w:sz w:val="22"/>
          <w:szCs w:val="22"/>
          <w:lang w:val="en-US"/>
        </w:rPr>
        <w:t xml:space="preserve">some of </w:t>
      </w:r>
      <w:r w:rsidRPr="00480F91">
        <w:rPr>
          <w:sz w:val="22"/>
          <w:szCs w:val="22"/>
          <w:lang w:val="en-US"/>
        </w:rPr>
        <w:t xml:space="preserve">the </w:t>
      </w:r>
      <w:r>
        <w:rPr>
          <w:sz w:val="22"/>
          <w:szCs w:val="22"/>
          <w:lang w:val="en-US"/>
        </w:rPr>
        <w:t>disclosures required by the draft RTS.</w:t>
      </w:r>
    </w:p>
    <w:p w:rsidR="001B0A6D" w:rsidRPr="00480F91" w:rsidRDefault="001B0A6D" w:rsidP="001B0A6D">
      <w:pPr>
        <w:shd w:val="clear" w:color="auto" w:fill="FFFFFF"/>
        <w:spacing w:line="240" w:lineRule="atLeast"/>
        <w:jc w:val="both"/>
        <w:rPr>
          <w:sz w:val="22"/>
          <w:szCs w:val="22"/>
        </w:rPr>
      </w:pPr>
    </w:p>
    <w:p w:rsidR="001B0A6D" w:rsidRPr="00E523B2" w:rsidRDefault="001B0A6D" w:rsidP="001B0A6D">
      <w:pPr>
        <w:shd w:val="clear" w:color="auto" w:fill="FFFFFF"/>
        <w:spacing w:line="240" w:lineRule="atLeast"/>
        <w:jc w:val="both"/>
        <w:rPr>
          <w:sz w:val="22"/>
          <w:szCs w:val="22"/>
        </w:rPr>
      </w:pPr>
      <w:r w:rsidRPr="00E523B2">
        <w:rPr>
          <w:sz w:val="22"/>
          <w:szCs w:val="22"/>
        </w:rPr>
        <w:t xml:space="preserve">As regards, OTC derivatives, although </w:t>
      </w:r>
      <w:r>
        <w:rPr>
          <w:sz w:val="22"/>
          <w:szCs w:val="22"/>
        </w:rPr>
        <w:t>some could be</w:t>
      </w:r>
      <w:r w:rsidRPr="00E523B2">
        <w:rPr>
          <w:sz w:val="22"/>
          <w:szCs w:val="22"/>
        </w:rPr>
        <w:t xml:space="preserve"> intended for mass distribution, </w:t>
      </w:r>
      <w:r>
        <w:rPr>
          <w:sz w:val="22"/>
          <w:szCs w:val="22"/>
        </w:rPr>
        <w:t>for i</w:t>
      </w:r>
      <w:r>
        <w:rPr>
          <w:sz w:val="22"/>
          <w:szCs w:val="22"/>
        </w:rPr>
        <w:t>n</w:t>
      </w:r>
      <w:r>
        <w:rPr>
          <w:sz w:val="22"/>
          <w:szCs w:val="22"/>
        </w:rPr>
        <w:t>stance</w:t>
      </w:r>
      <w:r w:rsidRPr="00E523B2">
        <w:rPr>
          <w:sz w:val="22"/>
          <w:szCs w:val="22"/>
        </w:rPr>
        <w:t xml:space="preserve"> CFDs, those contracted with corporate clients classified as retail clients are not PRIIPs, for the following reasons:</w:t>
      </w:r>
    </w:p>
    <w:p w:rsidR="001B0A6D" w:rsidRPr="00480F91" w:rsidRDefault="001B0A6D" w:rsidP="001B0A6D">
      <w:pPr>
        <w:pStyle w:val="Paragraphedeliste"/>
        <w:numPr>
          <w:ilvl w:val="0"/>
          <w:numId w:val="52"/>
        </w:numPr>
        <w:shd w:val="clear" w:color="auto" w:fill="FFFFFF"/>
        <w:autoSpaceDE w:val="0"/>
        <w:autoSpaceDN w:val="0"/>
        <w:adjustRightInd w:val="0"/>
        <w:spacing w:line="240" w:lineRule="atLeast"/>
        <w:jc w:val="both"/>
        <w:rPr>
          <w:color w:val="000000"/>
          <w:sz w:val="22"/>
          <w:szCs w:val="22"/>
          <w:lang w:val="en-US" w:eastAsia="en-GB"/>
        </w:rPr>
      </w:pPr>
      <w:r>
        <w:rPr>
          <w:color w:val="000000"/>
          <w:sz w:val="22"/>
          <w:szCs w:val="22"/>
          <w:lang w:eastAsia="en-GB"/>
        </w:rPr>
        <w:t>t</w:t>
      </w:r>
      <w:r w:rsidRPr="00480F91">
        <w:rPr>
          <w:color w:val="000000"/>
          <w:sz w:val="22"/>
          <w:szCs w:val="22"/>
          <w:lang w:val="en-US" w:eastAsia="en-GB"/>
        </w:rPr>
        <w:t xml:space="preserve">here is no distribution as such to retail investors, only a bilaterally negotiated contract; </w:t>
      </w:r>
    </w:p>
    <w:p w:rsidR="001B0A6D" w:rsidRPr="00480F91" w:rsidRDefault="001B0A6D" w:rsidP="001B0A6D">
      <w:pPr>
        <w:pStyle w:val="Paragraphedeliste"/>
        <w:numPr>
          <w:ilvl w:val="0"/>
          <w:numId w:val="52"/>
        </w:numPr>
        <w:shd w:val="clear" w:color="auto" w:fill="FFFFFF"/>
        <w:autoSpaceDE w:val="0"/>
        <w:autoSpaceDN w:val="0"/>
        <w:adjustRightInd w:val="0"/>
        <w:spacing w:line="240" w:lineRule="atLeast"/>
        <w:jc w:val="both"/>
        <w:rPr>
          <w:color w:val="000000"/>
          <w:sz w:val="22"/>
          <w:szCs w:val="22"/>
          <w:lang w:val="en-US" w:eastAsia="en-GB"/>
        </w:rPr>
      </w:pPr>
      <w:r>
        <w:rPr>
          <w:color w:val="000000"/>
          <w:sz w:val="22"/>
          <w:szCs w:val="22"/>
          <w:lang w:val="en-US" w:eastAsia="en-GB"/>
        </w:rPr>
        <w:t>t</w:t>
      </w:r>
      <w:r w:rsidRPr="00480F91">
        <w:rPr>
          <w:color w:val="000000"/>
          <w:sz w:val="22"/>
          <w:szCs w:val="22"/>
          <w:lang w:val="en-US" w:eastAsia="en-GB"/>
        </w:rPr>
        <w:t>here is no “</w:t>
      </w:r>
      <w:r w:rsidRPr="00480F91">
        <w:rPr>
          <w:i/>
          <w:color w:val="000000"/>
          <w:sz w:val="22"/>
          <w:szCs w:val="22"/>
          <w:lang w:val="en-US" w:eastAsia="en-GB"/>
        </w:rPr>
        <w:t>investment opportunities</w:t>
      </w:r>
      <w:r w:rsidRPr="00480F91">
        <w:rPr>
          <w:color w:val="000000"/>
          <w:sz w:val="22"/>
          <w:szCs w:val="22"/>
          <w:lang w:val="en-US" w:eastAsia="en-GB"/>
        </w:rPr>
        <w:t xml:space="preserve">” as such;  </w:t>
      </w:r>
    </w:p>
    <w:p w:rsidR="001B0A6D" w:rsidRPr="00480F91" w:rsidRDefault="001B0A6D" w:rsidP="001B0A6D">
      <w:pPr>
        <w:pStyle w:val="Paragraphedeliste"/>
        <w:numPr>
          <w:ilvl w:val="0"/>
          <w:numId w:val="52"/>
        </w:numPr>
        <w:shd w:val="clear" w:color="auto" w:fill="FFFFFF"/>
        <w:autoSpaceDE w:val="0"/>
        <w:autoSpaceDN w:val="0"/>
        <w:adjustRightInd w:val="0"/>
        <w:spacing w:line="240" w:lineRule="atLeast"/>
        <w:jc w:val="both"/>
        <w:rPr>
          <w:color w:val="000000"/>
          <w:sz w:val="22"/>
          <w:szCs w:val="22"/>
          <w:lang w:val="en-US" w:eastAsia="en-GB"/>
        </w:rPr>
      </w:pPr>
      <w:r>
        <w:rPr>
          <w:color w:val="000000"/>
          <w:sz w:val="22"/>
          <w:szCs w:val="22"/>
          <w:lang w:val="en-US" w:eastAsia="en-GB"/>
        </w:rPr>
        <w:t>t</w:t>
      </w:r>
      <w:r w:rsidRPr="00480F91">
        <w:rPr>
          <w:color w:val="000000"/>
          <w:sz w:val="22"/>
          <w:szCs w:val="22"/>
          <w:lang w:val="en-US" w:eastAsia="en-GB"/>
        </w:rPr>
        <w:t>here is no repayable amount to the retail investor, as stated in the definition of a PRIIP;</w:t>
      </w:r>
    </w:p>
    <w:p w:rsidR="001B0A6D" w:rsidRPr="00480F91" w:rsidRDefault="001B0A6D" w:rsidP="001B0A6D">
      <w:pPr>
        <w:pStyle w:val="Paragraphedeliste"/>
        <w:numPr>
          <w:ilvl w:val="0"/>
          <w:numId w:val="52"/>
        </w:numPr>
        <w:shd w:val="clear" w:color="auto" w:fill="FFFFFF"/>
        <w:autoSpaceDE w:val="0"/>
        <w:autoSpaceDN w:val="0"/>
        <w:adjustRightInd w:val="0"/>
        <w:spacing w:line="240" w:lineRule="atLeast"/>
        <w:jc w:val="both"/>
        <w:rPr>
          <w:color w:val="000000"/>
          <w:sz w:val="22"/>
          <w:szCs w:val="22"/>
          <w:lang w:val="en-US" w:eastAsia="en-GB"/>
        </w:rPr>
      </w:pPr>
      <w:proofErr w:type="gramStart"/>
      <w:r>
        <w:rPr>
          <w:color w:val="000000"/>
          <w:sz w:val="22"/>
          <w:szCs w:val="22"/>
          <w:lang w:val="en-US" w:eastAsia="en-GB"/>
        </w:rPr>
        <w:t>s</w:t>
      </w:r>
      <w:r w:rsidRPr="00480F91">
        <w:rPr>
          <w:color w:val="000000"/>
          <w:sz w:val="22"/>
          <w:szCs w:val="22"/>
          <w:lang w:val="en-US" w:eastAsia="en-GB"/>
        </w:rPr>
        <w:t>ome</w:t>
      </w:r>
      <w:proofErr w:type="gramEnd"/>
      <w:r w:rsidRPr="00480F91">
        <w:rPr>
          <w:color w:val="000000"/>
          <w:sz w:val="22"/>
          <w:szCs w:val="22"/>
          <w:lang w:val="en-US" w:eastAsia="en-GB"/>
        </w:rPr>
        <w:t xml:space="preserve"> derivatives exposed solely to an interest rate are similar to fixed-rate or variable-rate deposits, which are outside the scope of PRIIPS.</w:t>
      </w:r>
    </w:p>
    <w:p w:rsidR="001B0A6D" w:rsidRPr="00E523B2" w:rsidRDefault="001B0A6D" w:rsidP="001B0A6D">
      <w:pPr>
        <w:shd w:val="clear" w:color="auto" w:fill="FFFFFF"/>
        <w:autoSpaceDE w:val="0"/>
        <w:autoSpaceDN w:val="0"/>
        <w:adjustRightInd w:val="0"/>
        <w:spacing w:line="240" w:lineRule="atLeast"/>
        <w:jc w:val="both"/>
        <w:rPr>
          <w:color w:val="000000"/>
          <w:sz w:val="22"/>
          <w:szCs w:val="22"/>
          <w:lang w:val="en-US" w:eastAsia="en-GB"/>
        </w:rPr>
      </w:pPr>
    </w:p>
    <w:p w:rsidR="001B0A6D" w:rsidRDefault="001B0A6D" w:rsidP="001B0A6D">
      <w:pPr>
        <w:shd w:val="clear" w:color="auto" w:fill="FFFFFF"/>
        <w:spacing w:line="240" w:lineRule="atLeast"/>
        <w:jc w:val="both"/>
        <w:rPr>
          <w:color w:val="000000"/>
          <w:sz w:val="22"/>
          <w:szCs w:val="22"/>
          <w:lang w:val="en-US" w:eastAsia="en-GB"/>
        </w:rPr>
      </w:pPr>
      <w:r w:rsidRPr="00E523B2">
        <w:rPr>
          <w:color w:val="000000"/>
          <w:sz w:val="22"/>
          <w:szCs w:val="22"/>
          <w:lang w:val="en-US" w:eastAsia="en-GB"/>
        </w:rPr>
        <w:t>In addition</w:t>
      </w:r>
      <w:r w:rsidR="001D3B28">
        <w:rPr>
          <w:color w:val="000000"/>
          <w:sz w:val="22"/>
          <w:szCs w:val="22"/>
          <w:lang w:val="en-US" w:eastAsia="en-GB"/>
        </w:rPr>
        <w:t xml:space="preserve"> </w:t>
      </w:r>
      <w:r w:rsidRPr="00E523B2">
        <w:rPr>
          <w:color w:val="000000"/>
          <w:sz w:val="22"/>
          <w:szCs w:val="22"/>
          <w:lang w:val="en-US" w:eastAsia="en-GB"/>
        </w:rPr>
        <w:t xml:space="preserve">those OTC derivatives are not </w:t>
      </w:r>
      <w:r w:rsidR="001D3B28">
        <w:rPr>
          <w:color w:val="000000"/>
          <w:sz w:val="22"/>
          <w:szCs w:val="22"/>
          <w:lang w:val="en-US" w:eastAsia="en-GB"/>
        </w:rPr>
        <w:t xml:space="preserve">standardized </w:t>
      </w:r>
      <w:r w:rsidRPr="00E523B2">
        <w:rPr>
          <w:color w:val="000000"/>
          <w:sz w:val="22"/>
          <w:szCs w:val="22"/>
          <w:lang w:val="en-US" w:eastAsia="en-GB"/>
        </w:rPr>
        <w:t>products ready for mass distribution to retail investors. Applying the requirement to produce a KID for these products would in effect mean that any single derivative contract with a client would require a KID, which seems dispr</w:t>
      </w:r>
      <w:r w:rsidRPr="00E523B2">
        <w:rPr>
          <w:color w:val="000000"/>
          <w:sz w:val="22"/>
          <w:szCs w:val="22"/>
          <w:lang w:val="en-US" w:eastAsia="en-GB"/>
        </w:rPr>
        <w:t>o</w:t>
      </w:r>
      <w:r w:rsidRPr="00E523B2">
        <w:rPr>
          <w:color w:val="000000"/>
          <w:sz w:val="22"/>
          <w:szCs w:val="22"/>
          <w:lang w:val="en-US" w:eastAsia="en-GB"/>
        </w:rPr>
        <w:t>portionate considering the lack of value added for the corporate clients concerned.</w:t>
      </w:r>
    </w:p>
    <w:p w:rsidR="001B0A6D" w:rsidRDefault="001B0A6D" w:rsidP="001B0A6D">
      <w:pPr>
        <w:shd w:val="clear" w:color="auto" w:fill="FFFFFF"/>
        <w:spacing w:line="240" w:lineRule="atLeast"/>
        <w:jc w:val="both"/>
        <w:rPr>
          <w:color w:val="000000"/>
          <w:sz w:val="22"/>
          <w:szCs w:val="22"/>
          <w:lang w:val="en-US" w:eastAsia="en-GB"/>
        </w:rPr>
      </w:pPr>
    </w:p>
    <w:p w:rsidR="001B0A6D" w:rsidRDefault="001B0A6D" w:rsidP="001B0A6D">
      <w:pPr>
        <w:shd w:val="clear" w:color="auto" w:fill="FFFFFF"/>
        <w:spacing w:line="240" w:lineRule="atLeast"/>
        <w:jc w:val="both"/>
        <w:rPr>
          <w:color w:val="000000"/>
          <w:sz w:val="22"/>
          <w:szCs w:val="22"/>
          <w:lang w:val="en-US" w:eastAsia="en-GB"/>
        </w:rPr>
      </w:pPr>
    </w:p>
    <w:p w:rsidR="001B0A6D" w:rsidRPr="00E86A2B" w:rsidRDefault="001B0A6D" w:rsidP="001B0A6D">
      <w:pPr>
        <w:pBdr>
          <w:bottom w:val="single" w:sz="4" w:space="1" w:color="auto"/>
        </w:pBdr>
        <w:jc w:val="both"/>
        <w:rPr>
          <w:b/>
          <w:bCs/>
          <w:iCs/>
          <w:szCs w:val="20"/>
          <w:lang w:eastAsia="fr-FR"/>
        </w:rPr>
      </w:pPr>
      <w:r w:rsidRPr="00E86A2B">
        <w:rPr>
          <w:b/>
          <w:bCs/>
          <w:iCs/>
          <w:szCs w:val="20"/>
          <w:lang w:eastAsia="fr-FR"/>
        </w:rPr>
        <w:t>About AFEP (French Association of Large Companies)</w:t>
      </w:r>
    </w:p>
    <w:p w:rsidR="001B0A6D" w:rsidRPr="001B0A6D" w:rsidRDefault="001B0A6D" w:rsidP="001B0A6D">
      <w:pPr>
        <w:jc w:val="both"/>
        <w:rPr>
          <w:szCs w:val="20"/>
          <w:lang w:eastAsia="fr-FR"/>
        </w:rPr>
      </w:pPr>
      <w:r w:rsidRPr="001B0A6D">
        <w:rPr>
          <w:szCs w:val="20"/>
          <w:lang w:eastAsia="fr-FR"/>
        </w:rPr>
        <w:t>Since 1982, Afep is the association which brings together large companies operating in France. The Association is based in Paris and Brussels.</w:t>
      </w:r>
    </w:p>
    <w:p w:rsidR="001B0A6D" w:rsidRPr="001B0A6D" w:rsidRDefault="001B0A6D" w:rsidP="001B0A6D">
      <w:pPr>
        <w:jc w:val="both"/>
        <w:rPr>
          <w:szCs w:val="20"/>
          <w:lang w:eastAsia="fr-FR"/>
        </w:rPr>
      </w:pPr>
      <w:r w:rsidRPr="001B0A6D">
        <w:rPr>
          <w:szCs w:val="20"/>
          <w:lang w:eastAsia="fr-FR"/>
        </w:rPr>
        <w:t>Afep aims to foster a business-friendly environment and to present the company members’ vision to French public authorities, European institutions and international organisations. Restoring business co</w:t>
      </w:r>
      <w:r w:rsidRPr="001B0A6D">
        <w:rPr>
          <w:szCs w:val="20"/>
          <w:lang w:eastAsia="fr-FR"/>
        </w:rPr>
        <w:t>m</w:t>
      </w:r>
      <w:r w:rsidRPr="001B0A6D">
        <w:rPr>
          <w:szCs w:val="20"/>
          <w:lang w:eastAsia="fr-FR"/>
        </w:rPr>
        <w:t>petitiveness to achieve growth and sustainable employment in Europe and tackle the challenges of globa</w:t>
      </w:r>
      <w:r w:rsidRPr="001B0A6D">
        <w:rPr>
          <w:szCs w:val="20"/>
          <w:lang w:eastAsia="fr-FR"/>
        </w:rPr>
        <w:t>l</w:t>
      </w:r>
      <w:r w:rsidRPr="001B0A6D">
        <w:rPr>
          <w:szCs w:val="20"/>
          <w:lang w:eastAsia="fr-FR"/>
        </w:rPr>
        <w:t xml:space="preserve">isation is </w:t>
      </w:r>
      <w:proofErr w:type="spellStart"/>
      <w:r w:rsidRPr="001B0A6D">
        <w:rPr>
          <w:szCs w:val="20"/>
          <w:lang w:eastAsia="fr-FR"/>
        </w:rPr>
        <w:t>Afep’s</w:t>
      </w:r>
      <w:proofErr w:type="spellEnd"/>
      <w:r w:rsidRPr="001B0A6D">
        <w:rPr>
          <w:szCs w:val="20"/>
          <w:lang w:eastAsia="fr-FR"/>
        </w:rPr>
        <w:t xml:space="preserve"> core priority. Afep has 112 members. More than 8.5 million people are employed by Afep companies; their annual combined turnover amounts to €2,600 billion.</w:t>
      </w:r>
    </w:p>
    <w:p w:rsidR="001B0A6D" w:rsidRPr="001B0A6D" w:rsidRDefault="001B0A6D" w:rsidP="001B0A6D">
      <w:pPr>
        <w:jc w:val="both"/>
        <w:rPr>
          <w:szCs w:val="20"/>
          <w:lang w:eastAsia="fr-FR"/>
        </w:rPr>
      </w:pPr>
      <w:r w:rsidRPr="001B0A6D">
        <w:rPr>
          <w:szCs w:val="20"/>
          <w:lang w:eastAsia="fr-FR"/>
        </w:rPr>
        <w:t>Afep is involved in drafting cross-sectoral legislation, at French and European level, in the following areas: economy, taxation, company law and corporate governance, corporate finance and financial markets, competition, intellectual property and consumer affairs, labour law and social protection, environment and energy, corporate social responsibility.</w:t>
      </w:r>
    </w:p>
    <w:p w:rsidR="001B0A6D" w:rsidRPr="001B0A6D" w:rsidRDefault="001B0A6D" w:rsidP="001B0A6D">
      <w:pPr>
        <w:jc w:val="both"/>
        <w:rPr>
          <w:szCs w:val="20"/>
          <w:lang w:eastAsia="fr-FR"/>
        </w:rPr>
      </w:pPr>
    </w:p>
    <w:p w:rsidR="001B0A6D" w:rsidRPr="00E523B2" w:rsidRDefault="001B0A6D" w:rsidP="001B0A6D">
      <w:pPr>
        <w:jc w:val="both"/>
        <w:rPr>
          <w:b/>
          <w:iCs/>
          <w:szCs w:val="20"/>
          <w:lang w:eastAsia="fr-FR"/>
        </w:rPr>
      </w:pPr>
      <w:r w:rsidRPr="00E523B2">
        <w:rPr>
          <w:b/>
          <w:iCs/>
          <w:szCs w:val="20"/>
          <w:lang w:eastAsia="fr-FR"/>
        </w:rPr>
        <w:t>Contacts</w:t>
      </w:r>
    </w:p>
    <w:tbl>
      <w:tblPr>
        <w:tblW w:w="0" w:type="auto"/>
        <w:tblBorders>
          <w:insideH w:val="single" w:sz="4" w:space="0" w:color="auto"/>
          <w:insideV w:val="single" w:sz="4" w:space="0" w:color="auto"/>
        </w:tblBorders>
        <w:tblLook w:val="04A0" w:firstRow="1" w:lastRow="0" w:firstColumn="1" w:lastColumn="0" w:noHBand="0" w:noVBand="1"/>
      </w:tblPr>
      <w:tblGrid>
        <w:gridCol w:w="3173"/>
        <w:gridCol w:w="6455"/>
      </w:tblGrid>
      <w:tr w:rsidR="001B0A6D" w:rsidRPr="00E523B2" w:rsidTr="00046952">
        <w:tc>
          <w:tcPr>
            <w:tcW w:w="3227" w:type="dxa"/>
            <w:tcBorders>
              <w:right w:val="nil"/>
            </w:tcBorders>
            <w:shd w:val="clear" w:color="auto" w:fill="auto"/>
          </w:tcPr>
          <w:p w:rsidR="001B0A6D" w:rsidRPr="00E523B2" w:rsidRDefault="001B0A6D" w:rsidP="00046952">
            <w:pPr>
              <w:tabs>
                <w:tab w:val="left" w:pos="936"/>
              </w:tabs>
              <w:kinsoku w:val="0"/>
              <w:overflowPunct w:val="0"/>
              <w:ind w:right="142"/>
              <w:jc w:val="both"/>
              <w:textAlignment w:val="baseline"/>
              <w:rPr>
                <w:b/>
                <w:iCs/>
                <w:szCs w:val="20"/>
                <w:lang w:eastAsia="fr-FR"/>
              </w:rPr>
            </w:pPr>
            <w:r w:rsidRPr="00E523B2">
              <w:rPr>
                <w:b/>
                <w:iCs/>
                <w:szCs w:val="20"/>
                <w:lang w:eastAsia="fr-FR"/>
              </w:rPr>
              <w:t>Lé Quang TRAN VAN</w:t>
            </w:r>
          </w:p>
          <w:p w:rsidR="001B0A6D" w:rsidRPr="00E523B2" w:rsidRDefault="001B0A6D" w:rsidP="00046952">
            <w:pPr>
              <w:tabs>
                <w:tab w:val="left" w:pos="936"/>
              </w:tabs>
              <w:kinsoku w:val="0"/>
              <w:overflowPunct w:val="0"/>
              <w:ind w:right="142"/>
              <w:jc w:val="both"/>
              <w:textAlignment w:val="baseline"/>
              <w:rPr>
                <w:iCs/>
                <w:szCs w:val="20"/>
              </w:rPr>
            </w:pPr>
            <w:r w:rsidRPr="00E523B2">
              <w:rPr>
                <w:iCs/>
                <w:szCs w:val="20"/>
                <w:lang w:eastAsia="fr-FR"/>
              </w:rPr>
              <w:t>Director for Financial Affairs</w:t>
            </w:r>
            <w:r w:rsidRPr="00E523B2">
              <w:rPr>
                <w:iCs/>
                <w:szCs w:val="20"/>
              </w:rPr>
              <w:t xml:space="preserve"> </w:t>
            </w:r>
          </w:p>
          <w:p w:rsidR="001B0A6D" w:rsidRPr="00E523B2" w:rsidRDefault="001B1C83" w:rsidP="00046952">
            <w:pPr>
              <w:rPr>
                <w:iCs/>
                <w:color w:val="0563C1"/>
                <w:szCs w:val="20"/>
                <w:u w:val="single"/>
              </w:rPr>
            </w:pPr>
            <w:hyperlink r:id="rId15" w:history="1">
              <w:r w:rsidR="001B0A6D" w:rsidRPr="00E523B2">
                <w:rPr>
                  <w:rStyle w:val="Lienhypertexte"/>
                  <w:szCs w:val="20"/>
                </w:rPr>
                <w:t>lq.tranvan@afep.com</w:t>
              </w:r>
            </w:hyperlink>
          </w:p>
          <w:p w:rsidR="001B0A6D" w:rsidRPr="00E523B2" w:rsidRDefault="001B0A6D" w:rsidP="00046952">
            <w:pPr>
              <w:tabs>
                <w:tab w:val="left" w:pos="936"/>
              </w:tabs>
              <w:kinsoku w:val="0"/>
              <w:overflowPunct w:val="0"/>
              <w:ind w:right="142"/>
              <w:jc w:val="both"/>
              <w:textAlignment w:val="baseline"/>
              <w:rPr>
                <w:iCs/>
                <w:szCs w:val="20"/>
              </w:rPr>
            </w:pPr>
            <w:r w:rsidRPr="00E523B2">
              <w:rPr>
                <w:iCs/>
                <w:szCs w:val="20"/>
              </w:rPr>
              <w:t>+33 1 43 59 85 41</w:t>
            </w:r>
          </w:p>
        </w:tc>
        <w:tc>
          <w:tcPr>
            <w:tcW w:w="6662" w:type="dxa"/>
            <w:tcBorders>
              <w:top w:val="nil"/>
              <w:left w:val="nil"/>
              <w:bottom w:val="nil"/>
            </w:tcBorders>
            <w:shd w:val="clear" w:color="auto" w:fill="auto"/>
          </w:tcPr>
          <w:p w:rsidR="001B0A6D" w:rsidRPr="00E523B2" w:rsidRDefault="001B0A6D" w:rsidP="00046952">
            <w:pPr>
              <w:rPr>
                <w:b/>
                <w:iCs/>
                <w:szCs w:val="20"/>
              </w:rPr>
            </w:pPr>
            <w:r w:rsidRPr="00E523B2">
              <w:rPr>
                <w:b/>
                <w:iCs/>
                <w:szCs w:val="20"/>
              </w:rPr>
              <w:t>Jérémie PELERIN</w:t>
            </w:r>
          </w:p>
          <w:p w:rsidR="001B0A6D" w:rsidRPr="00E523B2" w:rsidRDefault="001B0A6D" w:rsidP="00046952">
            <w:pPr>
              <w:rPr>
                <w:iCs/>
                <w:szCs w:val="20"/>
              </w:rPr>
            </w:pPr>
            <w:r w:rsidRPr="00E523B2">
              <w:rPr>
                <w:iCs/>
                <w:szCs w:val="20"/>
              </w:rPr>
              <w:t>European Affairs Director, Head of the Brussels Office</w:t>
            </w:r>
          </w:p>
          <w:p w:rsidR="001B0A6D" w:rsidRPr="00E523B2" w:rsidRDefault="001B1C83" w:rsidP="00046952">
            <w:pPr>
              <w:rPr>
                <w:color w:val="0563C1"/>
                <w:szCs w:val="20"/>
              </w:rPr>
            </w:pPr>
            <w:hyperlink r:id="rId16" w:history="1">
              <w:r w:rsidR="001B0A6D" w:rsidRPr="00E523B2">
                <w:rPr>
                  <w:rStyle w:val="Lienhypertexte"/>
                  <w:szCs w:val="20"/>
                </w:rPr>
                <w:t>jeremie.pelerin@afep.be</w:t>
              </w:r>
            </w:hyperlink>
          </w:p>
          <w:p w:rsidR="001B0A6D" w:rsidRPr="00E523B2" w:rsidRDefault="001B0A6D" w:rsidP="00046952">
            <w:pPr>
              <w:rPr>
                <w:iCs/>
                <w:szCs w:val="20"/>
              </w:rPr>
            </w:pPr>
            <w:r w:rsidRPr="00E523B2">
              <w:rPr>
                <w:iCs/>
                <w:szCs w:val="20"/>
              </w:rPr>
              <w:t>+32 2 227 57 23</w:t>
            </w:r>
          </w:p>
        </w:tc>
      </w:tr>
    </w:tbl>
    <w:p w:rsidR="001B0A6D" w:rsidRDefault="001B0A6D" w:rsidP="001B0A6D">
      <w:pPr>
        <w:shd w:val="clear" w:color="auto" w:fill="FFFFFF"/>
        <w:spacing w:line="240" w:lineRule="atLeast"/>
        <w:jc w:val="both"/>
        <w:rPr>
          <w:color w:val="000000"/>
          <w:sz w:val="22"/>
          <w:szCs w:val="22"/>
          <w:lang w:val="en-US" w:eastAsia="en-GB"/>
        </w:rPr>
      </w:pPr>
    </w:p>
    <w:permEnd w:id="1903634023"/>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765338930" w:edGrp="everyone"/>
      <w:r>
        <w:t>TYPE YOUR TEXT HERE</w:t>
      </w:r>
    </w:p>
    <w:permEnd w:id="765338930"/>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1207127683" w:edGrp="everyone"/>
      <w:r>
        <w:t>TYPE YOUR TEXT HERE</w:t>
      </w:r>
    </w:p>
    <w:permEnd w:id="120712768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816906384" w:edGrp="everyone"/>
      <w:r>
        <w:t>TYPE YOUR TEXT HERE</w:t>
      </w:r>
    </w:p>
    <w:permEnd w:id="816906384"/>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449865597" w:edGrp="everyone"/>
      <w:r>
        <w:t>TYPE YOUR TEXT HERE</w:t>
      </w:r>
    </w:p>
    <w:permEnd w:id="1449865597"/>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609437433" w:edGrp="everyone"/>
      <w:r>
        <w:t>TYPE YOUR TEXT HERE</w:t>
      </w:r>
    </w:p>
    <w:permEnd w:id="160943743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lastRenderedPageBreak/>
        <w:t>&lt;ESMA_QUESTION_PRIIPS_6&gt;</w:t>
      </w:r>
    </w:p>
    <w:p w:rsidR="003E4B00" w:rsidRDefault="003E4B00" w:rsidP="003E4B00">
      <w:permStart w:id="681862942" w:edGrp="everyone"/>
      <w:r>
        <w:t>TYPE YOUR TEXT HERE</w:t>
      </w:r>
    </w:p>
    <w:permEnd w:id="681862942"/>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212831387" w:edGrp="everyone"/>
      <w:r>
        <w:t>TYPE YOUR TEXT HERE</w:t>
      </w:r>
    </w:p>
    <w:permEnd w:id="121283138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110526379" w:edGrp="everyone"/>
      <w:r>
        <w:t>TYPE YOUR TEXT HERE</w:t>
      </w:r>
    </w:p>
    <w:permEnd w:id="110526379"/>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994148464" w:edGrp="everyone"/>
      <w:r>
        <w:t>TYPE YOUR TEXT HERE</w:t>
      </w:r>
    </w:p>
    <w:permEnd w:id="1994148464"/>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996087843" w:edGrp="everyone"/>
      <w:r>
        <w:t>TYPE YOUR TEXT HERE</w:t>
      </w:r>
    </w:p>
    <w:permEnd w:id="996087843"/>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659316726" w:edGrp="everyone"/>
      <w:r>
        <w:t>TYPE YOUR TEXT HERE</w:t>
      </w:r>
    </w:p>
    <w:permEnd w:id="659316726"/>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2066240396" w:edGrp="everyone"/>
      <w:r>
        <w:t>TYPE YOUR TEXT HERE</w:t>
      </w:r>
    </w:p>
    <w:permEnd w:id="2066240396"/>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791807373" w:edGrp="everyone"/>
      <w:r>
        <w:t>TYPE YOUR TEXT HERE</w:t>
      </w:r>
    </w:p>
    <w:permEnd w:id="79180737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884903278" w:edGrp="everyone"/>
      <w:r>
        <w:t>TYPE YOUR TEXT HERE</w:t>
      </w:r>
    </w:p>
    <w:permEnd w:id="1884903278"/>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1997033783" w:edGrp="everyone"/>
      <w:r>
        <w:t>TYPE YOUR TEXT HERE</w:t>
      </w:r>
    </w:p>
    <w:permEnd w:id="1997033783"/>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434009949" w:edGrp="everyone"/>
      <w:r>
        <w:t>TYPE YOUR TEXT HERE</w:t>
      </w:r>
    </w:p>
    <w:permEnd w:id="1434009949"/>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911110959" w:edGrp="everyone"/>
      <w:r>
        <w:t>TYPE YOUR TEXT HERE</w:t>
      </w:r>
    </w:p>
    <w:permEnd w:id="1911110959"/>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326514998" w:edGrp="everyone"/>
      <w:r>
        <w:t>TYPE YOUR TEXT HERE</w:t>
      </w:r>
    </w:p>
    <w:permEnd w:id="32651499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608123067" w:edGrp="everyone"/>
      <w:r>
        <w:t>TYPE YOUR TEXT HERE</w:t>
      </w:r>
    </w:p>
    <w:permEnd w:id="608123067"/>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326511482" w:edGrp="everyone"/>
      <w:r>
        <w:t>TYPE YOUR TEXT HERE</w:t>
      </w:r>
    </w:p>
    <w:permEnd w:id="326511482"/>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401623305" w:edGrp="everyone"/>
      <w:r>
        <w:t>TYPE YOUR TEXT HERE</w:t>
      </w:r>
    </w:p>
    <w:permEnd w:id="401623305"/>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911821849" w:edGrp="everyone"/>
      <w:r>
        <w:t>TYPE YOUR TEXT HERE</w:t>
      </w:r>
    </w:p>
    <w:permEnd w:id="1911821849"/>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1855745784" w:edGrp="everyone"/>
      <w:r>
        <w:t>TYPE YOUR TEXT HERE</w:t>
      </w:r>
    </w:p>
    <w:permEnd w:id="1855745784"/>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364598897" w:edGrp="everyone"/>
      <w:r>
        <w:t>TYPE YOUR TEXT HERE</w:t>
      </w:r>
    </w:p>
    <w:permEnd w:id="1364598897"/>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393495936" w:edGrp="everyone"/>
      <w:r>
        <w:t>TYPE YOUR TEXT HERE</w:t>
      </w:r>
    </w:p>
    <w:permEnd w:id="1393495936"/>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402078223" w:edGrp="everyone"/>
      <w:r>
        <w:t>TYPE YOUR TEXT HERE</w:t>
      </w:r>
    </w:p>
    <w:permEnd w:id="402078223"/>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827333180" w:edGrp="everyone"/>
      <w:r>
        <w:t>TYPE YOUR TEXT HERE</w:t>
      </w:r>
    </w:p>
    <w:permEnd w:id="82733318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1B0A6D" w:rsidRDefault="001B0A6D" w:rsidP="00046952">
      <w:pPr>
        <w:spacing w:line="240" w:lineRule="atLeast"/>
        <w:jc w:val="both"/>
        <w:rPr>
          <w:rFonts w:cs="Arial"/>
          <w:sz w:val="22"/>
          <w:szCs w:val="22"/>
        </w:rPr>
      </w:pPr>
      <w:permStart w:id="1080887577" w:edGrp="everyone"/>
      <w:r w:rsidRPr="00E523B2">
        <w:rPr>
          <w:rFonts w:cs="Arial"/>
          <w:b/>
          <w:sz w:val="22"/>
          <w:szCs w:val="22"/>
        </w:rPr>
        <w:t xml:space="preserve">Interactions with </w:t>
      </w:r>
      <w:r>
        <w:rPr>
          <w:rFonts w:cs="Arial"/>
          <w:b/>
          <w:sz w:val="22"/>
          <w:szCs w:val="22"/>
        </w:rPr>
        <w:t xml:space="preserve">the </w:t>
      </w:r>
      <w:r w:rsidRPr="00E523B2">
        <w:rPr>
          <w:rFonts w:cs="Arial"/>
          <w:b/>
          <w:sz w:val="22"/>
          <w:szCs w:val="22"/>
        </w:rPr>
        <w:t xml:space="preserve">Prospectus Directive </w:t>
      </w:r>
      <w:r w:rsidRPr="00E523B2">
        <w:rPr>
          <w:rFonts w:cs="Arial"/>
          <w:sz w:val="22"/>
          <w:szCs w:val="22"/>
        </w:rPr>
        <w:t>need to be clarified</w:t>
      </w:r>
      <w:r>
        <w:rPr>
          <w:rFonts w:cs="Arial"/>
          <w:sz w:val="22"/>
          <w:szCs w:val="22"/>
        </w:rPr>
        <w:t>:</w:t>
      </w:r>
    </w:p>
    <w:p w:rsidR="001B1C83" w:rsidRDefault="001B1C83" w:rsidP="00046952">
      <w:pPr>
        <w:spacing w:line="240" w:lineRule="atLeast"/>
        <w:jc w:val="both"/>
        <w:rPr>
          <w:rFonts w:cs="Arial"/>
          <w:sz w:val="22"/>
          <w:szCs w:val="22"/>
        </w:rPr>
      </w:pPr>
    </w:p>
    <w:p w:rsidR="001B0A6D" w:rsidRPr="0092316B" w:rsidRDefault="001B0A6D" w:rsidP="001B0A6D">
      <w:pPr>
        <w:pStyle w:val="Paragraphedeliste"/>
        <w:numPr>
          <w:ilvl w:val="0"/>
          <w:numId w:val="53"/>
        </w:numPr>
        <w:spacing w:line="240" w:lineRule="atLeast"/>
        <w:jc w:val="both"/>
        <w:rPr>
          <w:rFonts w:cs="Arial"/>
          <w:sz w:val="22"/>
          <w:szCs w:val="22"/>
        </w:rPr>
      </w:pPr>
      <w:r w:rsidRPr="0092316B">
        <w:rPr>
          <w:rFonts w:cs="Arial"/>
          <w:sz w:val="22"/>
          <w:szCs w:val="22"/>
        </w:rPr>
        <w:t>The Commission’s proposal for a regulation on prospectus requires the information on the characteristics of the securities</w:t>
      </w:r>
      <w:r w:rsidR="001B1C83">
        <w:rPr>
          <w:rFonts w:cs="Arial"/>
          <w:sz w:val="22"/>
          <w:szCs w:val="22"/>
        </w:rPr>
        <w:t>,</w:t>
      </w:r>
      <w:r w:rsidRPr="0092316B">
        <w:rPr>
          <w:rFonts w:cs="Arial"/>
          <w:sz w:val="22"/>
          <w:szCs w:val="22"/>
        </w:rPr>
        <w:t xml:space="preserve"> disclosed in </w:t>
      </w:r>
      <w:r>
        <w:rPr>
          <w:rFonts w:cs="Arial"/>
          <w:sz w:val="22"/>
          <w:szCs w:val="22"/>
        </w:rPr>
        <w:t>the</w:t>
      </w:r>
      <w:r w:rsidRPr="0092316B">
        <w:rPr>
          <w:rFonts w:cs="Arial"/>
          <w:sz w:val="22"/>
          <w:szCs w:val="22"/>
        </w:rPr>
        <w:t xml:space="preserve"> summary of a prospectus</w:t>
      </w:r>
      <w:r w:rsidR="001B1C83">
        <w:rPr>
          <w:rFonts w:cs="Arial"/>
          <w:sz w:val="22"/>
          <w:szCs w:val="22"/>
        </w:rPr>
        <w:t>,</w:t>
      </w:r>
      <w:r w:rsidRPr="0092316B">
        <w:rPr>
          <w:rFonts w:cs="Arial"/>
          <w:sz w:val="22"/>
          <w:szCs w:val="22"/>
        </w:rPr>
        <w:t xml:space="preserve"> to be replaced by the information included in a KID, when the concerned securities fall in the scope of both r</w:t>
      </w:r>
      <w:r w:rsidRPr="0092316B">
        <w:rPr>
          <w:rFonts w:cs="Arial"/>
          <w:sz w:val="22"/>
          <w:szCs w:val="22"/>
        </w:rPr>
        <w:t>e</w:t>
      </w:r>
      <w:r w:rsidRPr="0092316B">
        <w:rPr>
          <w:rFonts w:cs="Arial"/>
          <w:sz w:val="22"/>
          <w:szCs w:val="22"/>
        </w:rPr>
        <w:t>gimes (prospectus and PRIIPs). However the issuer would still have to produce a KID. This would create redundancies.</w:t>
      </w:r>
    </w:p>
    <w:p w:rsidR="001B0A6D" w:rsidRPr="0092316B" w:rsidRDefault="001B0A6D" w:rsidP="001B0A6D">
      <w:pPr>
        <w:pStyle w:val="Paragraphedeliste"/>
        <w:numPr>
          <w:ilvl w:val="0"/>
          <w:numId w:val="53"/>
        </w:numPr>
        <w:spacing w:line="240" w:lineRule="atLeast"/>
        <w:jc w:val="both"/>
        <w:rPr>
          <w:rFonts w:cs="Arial"/>
          <w:sz w:val="22"/>
          <w:szCs w:val="22"/>
        </w:rPr>
      </w:pPr>
      <w:r w:rsidRPr="0092316B">
        <w:rPr>
          <w:rFonts w:cs="Arial"/>
          <w:sz w:val="22"/>
          <w:szCs w:val="22"/>
        </w:rPr>
        <w:t xml:space="preserve">Moreover it is not clear which document will prevail in terms of liability. The same </w:t>
      </w:r>
      <w:r w:rsidR="001D3B28">
        <w:rPr>
          <w:rFonts w:cs="Arial"/>
          <w:sz w:val="22"/>
          <w:szCs w:val="22"/>
        </w:rPr>
        <w:t>question</w:t>
      </w:r>
      <w:r w:rsidRPr="0092316B">
        <w:rPr>
          <w:rFonts w:cs="Arial"/>
          <w:sz w:val="22"/>
          <w:szCs w:val="22"/>
        </w:rPr>
        <w:t xml:space="preserve"> applies in case of differences between the KID and the Final Terms drafted under the Pr</w:t>
      </w:r>
      <w:r w:rsidRPr="0092316B">
        <w:rPr>
          <w:rFonts w:cs="Arial"/>
          <w:sz w:val="22"/>
          <w:szCs w:val="22"/>
        </w:rPr>
        <w:t>o</w:t>
      </w:r>
      <w:r w:rsidRPr="0092316B">
        <w:rPr>
          <w:rFonts w:cs="Arial"/>
          <w:sz w:val="22"/>
          <w:szCs w:val="22"/>
        </w:rPr>
        <w:t>spectus Directive.</w:t>
      </w:r>
    </w:p>
    <w:p w:rsidR="00BD43C0" w:rsidRDefault="00BD43C0" w:rsidP="00491E49">
      <w:pPr>
        <w:rPr>
          <w:rFonts w:cs="Arial"/>
          <w:sz w:val="22"/>
          <w:szCs w:val="22"/>
          <w:lang w:val="en-US"/>
        </w:rPr>
      </w:pPr>
    </w:p>
    <w:p w:rsidR="00491E49" w:rsidRPr="00491E49" w:rsidRDefault="001B0A6D" w:rsidP="00491E49">
      <w:pPr>
        <w:rPr>
          <w:lang w:val="fr-FR"/>
        </w:rPr>
      </w:pPr>
      <w:r w:rsidRPr="0092316B">
        <w:rPr>
          <w:rFonts w:cs="Arial"/>
          <w:sz w:val="22"/>
          <w:szCs w:val="22"/>
          <w:lang w:val="en-US"/>
        </w:rPr>
        <w:t>In addition, requirements in relation to updating a prospectus and supplementing a prospe</w:t>
      </w:r>
      <w:r w:rsidRPr="0092316B">
        <w:rPr>
          <w:rFonts w:cs="Arial"/>
          <w:sz w:val="22"/>
          <w:szCs w:val="22"/>
          <w:lang w:val="en-US"/>
        </w:rPr>
        <w:t>c</w:t>
      </w:r>
      <w:r w:rsidRPr="0092316B">
        <w:rPr>
          <w:rFonts w:cs="Arial"/>
          <w:sz w:val="22"/>
          <w:szCs w:val="22"/>
          <w:lang w:val="en-US"/>
        </w:rPr>
        <w:t>tus are not consistent with the requirement to review and revise the KID</w:t>
      </w:r>
      <w:proofErr w:type="gramStart"/>
      <w:r w:rsidRPr="00BD43C0">
        <w:rPr>
          <w:rFonts w:cs="Arial"/>
          <w:sz w:val="22"/>
          <w:szCs w:val="22"/>
        </w:rPr>
        <w:t>..</w:t>
      </w:r>
      <w:permEnd w:id="1080887577"/>
      <w:proofErr w:type="gramEnd"/>
      <w:r w:rsidR="00491E49" w:rsidRPr="00580880">
        <w:rPr>
          <w:lang w:val="fr-FR"/>
        </w:rPr>
        <w:t>&lt;ESMA_QUESTION_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bookmarkStart w:id="3" w:name="_GoBack"/>
      <w:bookmarkEnd w:id="3"/>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B1C83">
            <w:rPr>
              <w:rFonts w:cs="Arial"/>
              <w:noProof/>
              <w:sz w:val="22"/>
              <w:szCs w:val="22"/>
            </w:rPr>
            <w:t>3</w:t>
          </w:r>
          <w:r w:rsidRPr="00616B9B">
            <w:rPr>
              <w:rFonts w:cs="Arial"/>
              <w:noProof/>
              <w:sz w:val="22"/>
              <w:szCs w:val="22"/>
            </w:rPr>
            <w:fldChar w:fldCharType="end"/>
          </w:r>
        </w:p>
      </w:tc>
    </w:tr>
  </w:tbl>
  <w:p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CA239E6"/>
    <w:multiLevelType w:val="hybridMultilevel"/>
    <w:tmpl w:val="BEBE0DFC"/>
    <w:lvl w:ilvl="0" w:tplc="D7207F5A">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C2484"/>
    <w:multiLevelType w:val="hybridMultilevel"/>
    <w:tmpl w:val="29BEB2BC"/>
    <w:lvl w:ilvl="0" w:tplc="D7207F5A">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11"/>
  </w:num>
  <w:num w:numId="24">
    <w:abstractNumId w:val="32"/>
  </w:num>
  <w:num w:numId="25">
    <w:abstractNumId w:val="31"/>
  </w:num>
  <w:num w:numId="26">
    <w:abstractNumId w:val="21"/>
  </w:num>
  <w:num w:numId="27">
    <w:abstractNumId w:val="35"/>
  </w:num>
  <w:num w:numId="28">
    <w:abstractNumId w:val="40"/>
  </w:num>
  <w:num w:numId="29">
    <w:abstractNumId w:val="9"/>
  </w:num>
  <w:num w:numId="30">
    <w:abstractNumId w:val="3"/>
  </w:num>
  <w:num w:numId="31">
    <w:abstractNumId w:val="24"/>
  </w:num>
  <w:num w:numId="32">
    <w:abstractNumId w:val="2"/>
  </w:num>
  <w:num w:numId="33">
    <w:abstractNumId w:val="7"/>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4"/>
  </w:num>
  <w:num w:numId="51">
    <w:abstractNumId w:val="23"/>
  </w:num>
  <w:num w:numId="52">
    <w:abstractNumId w:val="5"/>
  </w:num>
  <w:num w:numId="53">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A6D"/>
    <w:rsid w:val="001B1355"/>
    <w:rsid w:val="001B1C83"/>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B28"/>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3B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3C0"/>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4DF"/>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eremie.pelerin@afep.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lq.tranvan@afep.com"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362B-D9DF-4BA6-B2E0-E4B2AF0DA0BB}">
  <ds:schemaRefs>
    <ds:schemaRef ds:uri="http://schemas.openxmlformats.org/officeDocument/2006/bibliography"/>
  </ds:schemaRefs>
</ds:datastoreItem>
</file>

<file path=customXml/itemProps2.xml><?xml version="1.0" encoding="utf-8"?>
<ds:datastoreItem xmlns:ds="http://schemas.openxmlformats.org/officeDocument/2006/customXml" ds:itemID="{48F7FA20-727B-4177-93C0-B3272DD7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2878</Words>
  <Characters>16339</Characters>
  <Application>Microsoft Office Word</Application>
  <DocSecurity>8</DocSecurity>
  <Lines>136</Lines>
  <Paragraphs>38</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19179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Lé Quang TRAN VAN</cp:lastModifiedBy>
  <cp:revision>5</cp:revision>
  <cp:lastPrinted>2015-02-18T11:01:00Z</cp:lastPrinted>
  <dcterms:created xsi:type="dcterms:W3CDTF">2016-01-28T16:07:00Z</dcterms:created>
  <dcterms:modified xsi:type="dcterms:W3CDTF">2016-01-29T09:04:00Z</dcterms:modified>
</cp:coreProperties>
</file>