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bookmarkStart w:id="1" w:name="_GoBack"/>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bookmarkEnd w:id="1"/>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Kop1"/>
        <w:numPr>
          <w:ilvl w:val="0"/>
          <w:numId w:val="0"/>
        </w:numPr>
        <w:ind w:left="431" w:hanging="431"/>
      </w:pPr>
      <w:r>
        <w:lastRenderedPageBreak/>
        <w:t>Introduction</w:t>
      </w:r>
    </w:p>
    <w:p w:rsidR="00D34282" w:rsidRPr="001D47A5" w:rsidRDefault="00D34282" w:rsidP="00D34282">
      <w:pPr>
        <w:rPr>
          <w:rStyle w:val="Intensievebenadrukking"/>
        </w:rPr>
      </w:pPr>
      <w:r w:rsidRPr="001D47A5">
        <w:rPr>
          <w:rStyle w:val="Intensievebenadrukking"/>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E6563C" w:rsidRDefault="00E6563C" w:rsidP="00E6563C">
      <w:permStart w:id="282099473" w:edGrp="everyone"/>
      <w:r>
        <w:t xml:space="preserve">Structured electronic data is more valuable than non-structured data. The three largest Dutch banks with a market share in business lending to SMEs of approximately 80% are currently asking business borrowers to submit their financial statements and other relevant information in XBRL. For this purpose, ABN AMRO, ING and Rabobank have established a joint-venture </w:t>
      </w:r>
      <w:r w:rsidRPr="00E6563C">
        <w:t xml:space="preserve">called Financiële Rapportages Coöperatief (“FRC”) </w:t>
      </w:r>
      <w:r>
        <w:t>to develop standardized taxonomies for business lending to SMEs and to build and maintain a common technical infrastructure to process these electronic credit reports directly into the systems of the banks. As of 1 January 2017, the delivery of these electronic credit reports in XBRL format to the banks will become the norm. It is the basic believe of the large banks that both banks and SMEs will benefit significantly from this digital reporting process:</w:t>
      </w:r>
    </w:p>
    <w:p w:rsidR="00E6563C" w:rsidRDefault="00E6563C" w:rsidP="00E6563C">
      <w:pPr>
        <w:pStyle w:val="Lijstalinea"/>
        <w:numPr>
          <w:ilvl w:val="0"/>
          <w:numId w:val="53"/>
        </w:numPr>
        <w:spacing w:after="160" w:line="259" w:lineRule="auto"/>
      </w:pPr>
      <w:r>
        <w:t>Structured electronic reporting leads to more relevant, more up-to-date and better quality data , significantly improving the credit scoring process, which helps SMEs to have better access to finance;</w:t>
      </w:r>
    </w:p>
    <w:p w:rsidR="00E6563C" w:rsidRDefault="00E6563C" w:rsidP="00E6563C">
      <w:pPr>
        <w:pStyle w:val="Lijstalinea"/>
        <w:numPr>
          <w:ilvl w:val="0"/>
          <w:numId w:val="53"/>
        </w:numPr>
        <w:spacing w:after="160" w:line="259" w:lineRule="auto"/>
      </w:pPr>
      <w:r>
        <w:t>Banks can speed up the credit application process, reducing the lead time for financing significantly;</w:t>
      </w:r>
    </w:p>
    <w:p w:rsidR="00E6563C" w:rsidRPr="008F61EE" w:rsidRDefault="00E6563C" w:rsidP="00E6563C">
      <w:pPr>
        <w:pStyle w:val="Lijstalinea"/>
        <w:numPr>
          <w:ilvl w:val="0"/>
          <w:numId w:val="53"/>
        </w:numPr>
        <w:spacing w:after="160" w:line="259" w:lineRule="auto"/>
      </w:pPr>
      <w:r>
        <w:t xml:space="preserve">New innovative tooling and services for SMEs (i.e. benchmarking and dash boards) will be made available by banks and other market participants. </w:t>
      </w:r>
    </w:p>
    <w:p w:rsidR="00E6563C" w:rsidRDefault="00E6563C" w:rsidP="00E6563C">
      <w:r>
        <w:t xml:space="preserve">The broad adoption of a structured data format within the Netherlands (and Europe) is further increasing the value of structured data (network effects) and is bringing down costs (economies of scale). </w:t>
      </w:r>
    </w:p>
    <w:p w:rsidR="00E6563C" w:rsidRDefault="00E6563C" w:rsidP="00E6563C">
      <w:r>
        <w:t xml:space="preserve">XBRL allows (contrary to PDF) fast and efficient machine-to-machine exchange of information and does in our view not harm the necessary viewing functionality for small investors or companies at all. The Dutch banks therefore </w:t>
      </w:r>
      <w:proofErr w:type="gramStart"/>
      <w:r>
        <w:t>suggest  ESMA</w:t>
      </w:r>
      <w:proofErr w:type="gramEnd"/>
      <w:r>
        <w:t xml:space="preserve"> to make a clear choice for XBRL as preferred technical standard of the future and to develop a roadmap requiring issuers to file structured data in XBRL as of 2020.</w:t>
      </w:r>
    </w:p>
    <w:permEnd w:id="282099473"/>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assessment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E6563C" w:rsidRDefault="00E6563C" w:rsidP="00E6563C">
      <w:permStart w:id="889008732" w:edGrp="everyone"/>
      <w:r w:rsidRPr="00D220DB">
        <w:t xml:space="preserve">No, </w:t>
      </w:r>
      <w:r>
        <w:t xml:space="preserve">there is no need for </w:t>
      </w:r>
      <w:r w:rsidRPr="00D220DB">
        <w:t>a wider assessment.</w:t>
      </w:r>
      <w:r>
        <w:t xml:space="preserve"> We clearly see a need for a </w:t>
      </w:r>
      <w:r w:rsidRPr="00B47FFA">
        <w:t>single</w:t>
      </w:r>
      <w:r>
        <w:t xml:space="preserve"> electronic reporting format in Europe. Regulators and governments across Europe have adopted XBRL as the universal language of reporting. Dutch banks have introduced XBRL for credit risk reporting (based on both Dutch GAAP and tax accounting), lowering the administrative burden in the information supply chain. Using a structured electronic reporting format also leads to increased quality of the received data, significantly improving the credit scoring process.</w:t>
      </w:r>
    </w:p>
    <w:p w:rsidR="00E6563C" w:rsidRDefault="00E6563C" w:rsidP="008701E5">
      <w:r>
        <w:t>This development helps companies to have better access to finance,</w:t>
      </w:r>
    </w:p>
    <w:permEnd w:id="889008732"/>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E6563C" w:rsidRDefault="00E6563C" w:rsidP="00E6563C">
      <w:permStart w:id="455278932" w:edGrp="everyone"/>
      <w:r>
        <w:t>Yes</w:t>
      </w:r>
      <w:r w:rsidRPr="00D220DB">
        <w:t>, we do agree</w:t>
      </w:r>
      <w:r>
        <w:t xml:space="preserve"> with the policy objectives</w:t>
      </w:r>
      <w:r w:rsidRPr="00D220DB">
        <w:t>.</w:t>
      </w:r>
    </w:p>
    <w:p w:rsidR="00E6563C" w:rsidRDefault="00E6563C" w:rsidP="00E6563C">
      <w:r>
        <w:t>PO1: electronic reporting should be easier for issuers compared to the current practices.</w:t>
      </w:r>
    </w:p>
    <w:p w:rsidR="00E6563C" w:rsidRDefault="00E6563C" w:rsidP="008701E5">
      <w:r>
        <w:t>This can be achieved by using standards that are already in place within companies, intermediaries (accountants), regulators and banks across Europe.</w:t>
      </w:r>
    </w:p>
    <w:permEnd w:id="455278932"/>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E6563C" w:rsidRPr="00D220DB" w:rsidRDefault="00E6563C" w:rsidP="00E6563C">
      <w:permStart w:id="2130787691" w:edGrp="everyone"/>
      <w:r>
        <w:t xml:space="preserve">Yes, a further debate is necessary. </w:t>
      </w:r>
      <w:r w:rsidRPr="00B47FFA">
        <w:t>Banks and other providers of financing</w:t>
      </w:r>
      <w:r>
        <w:t xml:space="preserve"> require the same level of assurance from a structured electronic source as from an unstructured source. When both structured and unstructured data would be required, the audit debate would be even more relevant, since both sources would have to be cross-checked and audited. In the Netherlands, structured electronic reporting is replacing traditional (pdf and paper) reporting. Therefore, auditing of electronic structured data is a necessity.</w:t>
      </w:r>
    </w:p>
    <w:permEnd w:id="2130787691"/>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E6563C" w:rsidRDefault="00E6563C" w:rsidP="00E6563C">
      <w:permStart w:id="1819544922" w:edGrp="everyone"/>
      <w:r>
        <w:t>We have some additions and remarks to your assessment of the current reporting processes. We do not agree that “the audit report does not lend itself well to transformation into a structured electronic format”. The Dutch XBRL program for annual reporting is currently mandating an electronic assurance program (SBR assurance), which will further improve the reporting process.</w:t>
      </w:r>
    </w:p>
    <w:p w:rsidR="00E6563C" w:rsidRDefault="00E6563C" w:rsidP="008701E5">
      <w:r>
        <w:t xml:space="preserve">Recently, the Netherlands have passed a law which will require companies to file their annual reports with the Chamber of Commerce in XBRL only, </w:t>
      </w:r>
      <w:proofErr w:type="gramStart"/>
      <w:r>
        <w:t>phased  over</w:t>
      </w:r>
      <w:proofErr w:type="gramEnd"/>
      <w:r>
        <w:t xml:space="preserve"> the next 4 years (either by submitting an XBRL file, or entering the data in a portal). Paper and PDF will not be allowed anymore.</w:t>
      </w:r>
    </w:p>
    <w:permEnd w:id="1819544922"/>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E6563C" w:rsidRPr="00D220DB" w:rsidRDefault="00E6563C" w:rsidP="00E6563C">
      <w:permStart w:id="1782672243" w:edGrp="everyone"/>
      <w:r>
        <w:t xml:space="preserve">In general, we do agree. </w:t>
      </w:r>
    </w:p>
    <w:p w:rsidR="00E6563C" w:rsidRDefault="00E6563C" w:rsidP="008701E5">
      <w:r>
        <w:tab/>
      </w:r>
    </w:p>
    <w:permEnd w:id="1782672243"/>
    <w:p w:rsidR="008701E5" w:rsidRDefault="008701E5" w:rsidP="008701E5">
      <w:pPr>
        <w:rPr>
          <w:lang w:eastAsia="en-US"/>
        </w:rPr>
      </w:pPr>
      <w:r w:rsidRPr="008701E5">
        <w:rPr>
          <w:lang w:eastAsia="en-US"/>
        </w:rPr>
        <w:lastRenderedPageBreak/>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E6563C" w:rsidRPr="00D220DB" w:rsidRDefault="00E6563C" w:rsidP="00E6563C">
      <w:permStart w:id="887495882" w:edGrp="everyone"/>
      <w:r>
        <w:t>Yes, we agree with the chosen technologies.</w:t>
      </w:r>
    </w:p>
    <w:permEnd w:id="887495882"/>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E6563C" w:rsidRPr="00D220DB" w:rsidRDefault="00E6563C" w:rsidP="00E6563C">
      <w:permStart w:id="1290014538" w:edGrp="everyone"/>
      <w:r w:rsidRPr="00D220DB">
        <w:t xml:space="preserve">Yes, </w:t>
      </w:r>
      <w:r>
        <w:t xml:space="preserve">the IFRS taxonomy is the structured electronic codification of the IFRS standards, formally prepared and published by the IASB; and should be used by ESMA if and when reporting in IFRS is required. </w:t>
      </w:r>
      <w:r w:rsidRPr="00B47FFA">
        <w:t>Please note that for SMEs which source their funding requirements from bank reporting in Dutch GAAP is common practice and acceptable to banks.</w:t>
      </w:r>
      <w:r>
        <w:t xml:space="preserve">  </w:t>
      </w:r>
    </w:p>
    <w:permEnd w:id="1290014538"/>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E6563C" w:rsidRPr="00B47FFA" w:rsidRDefault="00E6563C" w:rsidP="00E6563C">
      <w:permStart w:id="1940134769" w:edGrp="everyone"/>
      <w:r w:rsidRPr="00B47FFA">
        <w:t xml:space="preserve">Using regulatory and entity specific extensions is contradictory to the goal of standardization and poses additional technical challenges for receiving entities,  but cannot be avoided in certain jurisdictions and for certain categories of (larger) companies. </w:t>
      </w:r>
    </w:p>
    <w:permEnd w:id="1940134769"/>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9: Do you agree with the proposed approach in relation to the taxonomies of third countries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E6563C" w:rsidRDefault="00E6563C" w:rsidP="00E6563C">
      <w:permStart w:id="1029972431" w:edGrp="everyone"/>
      <w:r w:rsidRPr="00D220DB">
        <w:t>Yes</w:t>
      </w:r>
      <w:r>
        <w:t>, we do agree.</w:t>
      </w:r>
    </w:p>
    <w:p w:rsidR="00E6563C" w:rsidRDefault="00E6563C" w:rsidP="008701E5">
      <w:r>
        <w:tab/>
      </w:r>
    </w:p>
    <w:permEnd w:id="1029972431"/>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E6563C" w:rsidRDefault="00E6563C" w:rsidP="002D4EB1">
      <w:pPr>
        <w:tabs>
          <w:tab w:val="left" w:pos="1350"/>
        </w:tabs>
      </w:pPr>
      <w:permStart w:id="559833929" w:edGrp="everyone"/>
      <w:r w:rsidRPr="00D220DB">
        <w:t>Yes.</w:t>
      </w:r>
      <w:r>
        <w:tab/>
      </w:r>
    </w:p>
    <w:p w:rsidR="00E6563C" w:rsidRDefault="00E6563C" w:rsidP="008701E5">
      <w:r>
        <w:t xml:space="preserve">As mentioned </w:t>
      </w:r>
      <w:r w:rsidRPr="00B47FFA">
        <w:t>under our General Comments</w:t>
      </w:r>
      <w:r>
        <w:t xml:space="preserve">, for automated processing for credit risk analysis, all data in the annual report </w:t>
      </w:r>
      <w:r w:rsidRPr="00B47FFA">
        <w:t>and other relevant credit data</w:t>
      </w:r>
      <w:r>
        <w:t xml:space="preserve"> should be available in a structured electronic format.</w:t>
      </w:r>
    </w:p>
    <w:permEnd w:id="559833929"/>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E6563C" w:rsidRDefault="00E6563C" w:rsidP="00E6563C">
      <w:permStart w:id="1611351430" w:edGrp="everyone"/>
      <w:r w:rsidRPr="00D220DB">
        <w:t xml:space="preserve">No, </w:t>
      </w:r>
      <w:r>
        <w:t>we do not agree</w:t>
      </w:r>
      <w:r w:rsidRPr="00B47FFA">
        <w:t>. We do not rank PDF as an electronic format as it does not allow machine-to-machine exchange of information. Furthermore,</w:t>
      </w:r>
      <w:r>
        <w:t xml:space="preserve">    </w:t>
      </w:r>
    </w:p>
    <w:p w:rsidR="00E6563C" w:rsidRDefault="00E6563C" w:rsidP="008701E5">
      <w:r>
        <w:t>requiring a non-structured format, next to a structured format, would mean that issuers would have to produce 2 reports for which they would likely ask (or be required to ask) assurance. This is an additional burden in the reporting process.</w:t>
      </w:r>
    </w:p>
    <w:permEnd w:id="1611351430"/>
    <w:p w:rsidR="008701E5" w:rsidRDefault="008701E5" w:rsidP="008701E5">
      <w:pPr>
        <w:rPr>
          <w:lang w:eastAsia="en-US"/>
        </w:rPr>
      </w:pPr>
      <w:r w:rsidRPr="008701E5">
        <w:rPr>
          <w:lang w:eastAsia="en-US"/>
        </w:rPr>
        <w:lastRenderedPageBreak/>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E6563C" w:rsidRPr="00D220DB" w:rsidRDefault="00E6563C" w:rsidP="00E6563C">
      <w:permStart w:id="175522813" w:edGrp="everyone"/>
      <w:r>
        <w:t xml:space="preserve">Since data is increasingly exchanged electronically from machine to machine, we prefer a </w:t>
      </w:r>
      <w:r w:rsidRPr="00B47FFA">
        <w:t>single</w:t>
      </w:r>
      <w:r>
        <w:t xml:space="preserve"> structured electronic format. We do not need unstructured data, since this format can easily be derived from structured data.</w:t>
      </w:r>
    </w:p>
    <w:permEnd w:id="175522813"/>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E6563C" w:rsidRPr="00D220DB" w:rsidRDefault="00E6563C" w:rsidP="00E6563C">
      <w:permStart w:id="111807795" w:edGrp="everyone"/>
      <w:r w:rsidRPr="00D220DB">
        <w:t>Yes</w:t>
      </w:r>
      <w:r>
        <w:t>, we do agree.</w:t>
      </w:r>
    </w:p>
    <w:permEnd w:id="111807795"/>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E6563C" w:rsidRDefault="00E6563C" w:rsidP="00E6563C">
      <w:permStart w:id="1720670910" w:edGrp="everyone"/>
      <w:r w:rsidRPr="00D220DB">
        <w:t>XBRL</w:t>
      </w:r>
      <w:r>
        <w:t xml:space="preserve"> is our preferred solution. </w:t>
      </w:r>
      <w:proofErr w:type="spellStart"/>
      <w:proofErr w:type="gramStart"/>
      <w:r>
        <w:t>iXBRL</w:t>
      </w:r>
      <w:proofErr w:type="spellEnd"/>
      <w:proofErr w:type="gramEnd"/>
      <w:r>
        <w:t xml:space="preserve"> only adds the possibility to add unstructured data and layout which can be misinterpreted or is ambiguous, and is not machine-readable.</w:t>
      </w:r>
    </w:p>
    <w:p w:rsidR="00E6563C" w:rsidRDefault="00E6563C" w:rsidP="008701E5">
      <w:r>
        <w:t xml:space="preserve">The banking consortium has developed a highly-automated information supply chain, which requires unambiguous </w:t>
      </w:r>
      <w:r w:rsidRPr="00B47FFA">
        <w:t>and high quality</w:t>
      </w:r>
      <w:r>
        <w:t xml:space="preserve"> data.</w:t>
      </w:r>
    </w:p>
    <w:permEnd w:id="1720670910"/>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E6563C" w:rsidRPr="00D220DB" w:rsidRDefault="00E6563C" w:rsidP="00E6563C">
      <w:permStart w:id="1177565112" w:edGrp="everyone"/>
      <w:r w:rsidRPr="00D220DB">
        <w:t>No, we do not agree.</w:t>
      </w:r>
      <w:r w:rsidRPr="00D220DB">
        <w:br/>
      </w:r>
      <w:r>
        <w:t>We prefer structured electronic reporting to be required as early as possible for any reporting type.</w:t>
      </w:r>
    </w:p>
    <w:permEnd w:id="1177565112"/>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Default="00E6563C" w:rsidP="008701E5">
      <w:pPr>
        <w:rPr>
          <w:lang w:eastAsia="en-US"/>
        </w:rPr>
      </w:pPr>
      <w:permStart w:id="804806706" w:edGrp="everyone"/>
      <w:r>
        <w:t>Yes, we do agree. In case member states do not have a taxonomy (XBRL or otherwise), there is no other option</w:t>
      </w:r>
      <w:proofErr w:type="gramStart"/>
      <w:r>
        <w:t>.</w:t>
      </w:r>
      <w:permEnd w:id="804806706"/>
      <w:r w:rsidR="008701E5" w:rsidRPr="008701E5">
        <w:rPr>
          <w:lang w:eastAsia="en-US"/>
        </w:rPr>
        <w:t>&lt;</w:t>
      </w:r>
      <w:proofErr w:type="gramEnd"/>
      <w:r w:rsidR="008701E5" w:rsidRPr="008701E5">
        <w:rPr>
          <w:lang w:eastAsia="en-US"/>
        </w:rPr>
        <w: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8701E5" w:rsidRDefault="00E6563C" w:rsidP="008701E5">
      <w:pPr>
        <w:rPr>
          <w:lang w:eastAsia="en-US"/>
        </w:rPr>
      </w:pPr>
      <w:permStart w:id="536111872" w:edGrp="everyone"/>
      <w:r>
        <w:t>Yes, we agree with this approach</w:t>
      </w:r>
      <w:proofErr w:type="gramStart"/>
      <w:r>
        <w:t>.</w:t>
      </w:r>
      <w:permEnd w:id="536111872"/>
      <w:r w:rsidR="008701E5" w:rsidRPr="008701E5">
        <w:rPr>
          <w:lang w:eastAsia="en-US"/>
        </w:rPr>
        <w:t>&lt;</w:t>
      </w:r>
      <w:proofErr w:type="gramEnd"/>
      <w:r w:rsidR="008701E5" w:rsidRPr="008701E5">
        <w:rPr>
          <w:lang w:eastAsia="en-US"/>
        </w:rPr>
        <w: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Default="00E6563C" w:rsidP="008701E5">
      <w:pPr>
        <w:rPr>
          <w:lang w:eastAsia="en-US"/>
        </w:rPr>
      </w:pPr>
      <w:permStart w:id="1424492479" w:edGrp="everyone"/>
      <w:r w:rsidRPr="00B47FFA">
        <w:t>Not relevant for us</w:t>
      </w:r>
      <w:r w:rsidRPr="008701E5">
        <w:rPr>
          <w:lang w:eastAsia="en-US"/>
        </w:rPr>
        <w:t xml:space="preserve"> </w:t>
      </w:r>
      <w:permEnd w:id="1424492479"/>
      <w:r w:rsidR="008701E5"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8701E5" w:rsidRDefault="00E6563C" w:rsidP="008701E5">
      <w:pPr>
        <w:rPr>
          <w:lang w:eastAsia="en-US"/>
        </w:rPr>
      </w:pPr>
      <w:permStart w:id="2045644489" w:edGrp="everyone"/>
      <w:r w:rsidRPr="00B47FFA">
        <w:t>We prefer structured electronic reporting for SMEs to be required as early as possible</w:t>
      </w:r>
      <w:proofErr w:type="gramStart"/>
      <w:r w:rsidRPr="00B47FFA">
        <w:t>.</w:t>
      </w:r>
      <w:permEnd w:id="2045644489"/>
      <w:r w:rsidR="008701E5" w:rsidRPr="008701E5">
        <w:rPr>
          <w:lang w:eastAsia="en-US"/>
        </w:rPr>
        <w:t>&lt;</w:t>
      </w:r>
      <w:proofErr w:type="gramEnd"/>
      <w:r w:rsidR="008701E5" w:rsidRPr="008701E5">
        <w:rPr>
          <w:lang w:eastAsia="en-US"/>
        </w:rPr>
        <w: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8701E5" w:rsidRPr="008701E5" w:rsidRDefault="00E6563C" w:rsidP="008701E5">
      <w:pPr>
        <w:rPr>
          <w:lang w:eastAsia="en-US"/>
        </w:rPr>
      </w:pPr>
      <w:permStart w:id="26110655" w:edGrp="everyone"/>
      <w:r>
        <w:t>No, thanks</w:t>
      </w:r>
      <w:r w:rsidRPr="008701E5">
        <w:rPr>
          <w:lang w:eastAsia="en-US"/>
        </w:rPr>
        <w:t xml:space="preserve"> </w:t>
      </w:r>
      <w:permEnd w:id="26110655"/>
      <w:r w:rsidR="008701E5"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6563C">
            <w:rPr>
              <w:rFonts w:cs="Arial"/>
              <w:noProof/>
              <w:sz w:val="22"/>
              <w:szCs w:val="22"/>
            </w:rPr>
            <w:t>3</w:t>
          </w:r>
          <w:r w:rsidRPr="00616B9B">
            <w:rPr>
              <w:rFonts w:cs="Arial"/>
              <w:noProof/>
              <w:sz w:val="22"/>
              <w:szCs w:val="22"/>
            </w:rPr>
            <w:fldChar w:fldCharType="end"/>
          </w:r>
        </w:p>
      </w:tc>
    </w:tr>
  </w:tbl>
  <w:p w:rsidR="00811EDA" w:rsidRDefault="00811ED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Koptekst"/>
    </w:pPr>
    <w:r>
      <w:rPr>
        <w:noProof/>
        <w:lang w:val="nl-NL" w:eastAsia="nl-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ACCC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Koptekst"/>
      <w:jc w:val="right"/>
    </w:pPr>
    <w:r>
      <w:rPr>
        <w:noProof/>
        <w:lang w:val="nl-NL" w:eastAsia="nl-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tekst"/>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highlight w:val="yellow"/>
        <w:lang w:val="fr-FR"/>
      </w:rPr>
    </w:pPr>
  </w:p>
  <w:p w:rsidR="00811EDA" w:rsidRDefault="00DE66EB">
    <w:pPr>
      <w:pStyle w:val="Koptekst"/>
    </w:pPr>
    <w:r>
      <w:rPr>
        <w:noProof/>
        <w:lang w:val="nl-NL" w:eastAsia="nl-NL"/>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2F4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NL" w:eastAsia="nl-NL"/>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737"/>
    <w:multiLevelType w:val="hybridMultilevel"/>
    <w:tmpl w:val="6256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4"/>
  </w:num>
  <w:num w:numId="4">
    <w:abstractNumId w:val="25"/>
  </w:num>
  <w:num w:numId="5">
    <w:abstractNumId w:val="27"/>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12"/>
  </w:num>
  <w:num w:numId="16">
    <w:abstractNumId w:val="1"/>
  </w:num>
  <w:num w:numId="17">
    <w:abstractNumId w:val="16"/>
  </w:num>
  <w:num w:numId="18">
    <w:abstractNumId w:val="17"/>
  </w:num>
  <w:num w:numId="19">
    <w:abstractNumId w:val="19"/>
  </w:num>
  <w:num w:numId="20">
    <w:abstractNumId w:val="28"/>
  </w:num>
  <w:num w:numId="21">
    <w:abstractNumId w:val="38"/>
  </w:num>
  <w:num w:numId="22">
    <w:abstractNumId w:val="26"/>
  </w:num>
  <w:num w:numId="23">
    <w:abstractNumId w:val="11"/>
  </w:num>
  <w:num w:numId="24">
    <w:abstractNumId w:val="32"/>
  </w:num>
  <w:num w:numId="25">
    <w:abstractNumId w:val="31"/>
  </w:num>
  <w:num w:numId="26">
    <w:abstractNumId w:val="21"/>
  </w:num>
  <w:num w:numId="27">
    <w:abstractNumId w:val="35"/>
  </w:num>
  <w:num w:numId="28">
    <w:abstractNumId w:val="40"/>
  </w:num>
  <w:num w:numId="29">
    <w:abstractNumId w:val="9"/>
  </w:num>
  <w:num w:numId="30">
    <w:abstractNumId w:val="4"/>
  </w:num>
  <w:num w:numId="31">
    <w:abstractNumId w:val="23"/>
  </w:num>
  <w:num w:numId="32">
    <w:abstractNumId w:val="2"/>
  </w:num>
  <w:num w:numId="33">
    <w:abstractNumId w:val="8"/>
  </w:num>
  <w:num w:numId="34">
    <w:abstractNumId w:val="22"/>
  </w:num>
  <w:num w:numId="35">
    <w:abstractNumId w:val="37"/>
  </w:num>
  <w:num w:numId="36">
    <w:abstractNumId w:val="37"/>
    <w:lvlOverride w:ilvl="0">
      <w:startOverride w:val="1"/>
    </w:lvlOverride>
  </w:num>
  <w:num w:numId="37">
    <w:abstractNumId w:val="37"/>
    <w:lvlOverride w:ilvl="0">
      <w:startOverride w:val="1"/>
    </w:lvlOverride>
  </w:num>
  <w:num w:numId="38">
    <w:abstractNumId w:val="37"/>
    <w:lvlOverride w:ilvl="0">
      <w:startOverride w:val="1"/>
    </w:lvlOverride>
  </w:num>
  <w:num w:numId="39">
    <w:abstractNumId w:val="37"/>
    <w:lvlOverride w:ilvl="0">
      <w:startOverride w:val="1"/>
    </w:lvlOverride>
  </w:num>
  <w:num w:numId="40">
    <w:abstractNumId w:val="37"/>
    <w:lvlOverride w:ilvl="0">
      <w:startOverride w:val="1"/>
    </w:lvlOverride>
  </w:num>
  <w:num w:numId="41">
    <w:abstractNumId w:val="37"/>
  </w:num>
  <w:num w:numId="42">
    <w:abstractNumId w:val="37"/>
    <w:lvlOverride w:ilvl="0">
      <w:startOverride w:val="1"/>
    </w:lvlOverride>
  </w:num>
  <w:num w:numId="43">
    <w:abstractNumId w:val="37"/>
    <w:lvlOverride w:ilvl="0">
      <w:startOverride w:val="1"/>
    </w:lvlOverride>
  </w:num>
  <w:num w:numId="44">
    <w:abstractNumId w:val="37"/>
    <w:lvlOverride w:ilvl="0">
      <w:startOverride w:val="1"/>
    </w:lvlOverride>
  </w:num>
  <w:num w:numId="45">
    <w:abstractNumId w:val="37"/>
    <w:lvlOverride w:ilvl="0">
      <w:startOverride w:val="1"/>
    </w:lvlOverride>
  </w:num>
  <w:num w:numId="46">
    <w:abstractNumId w:val="37"/>
    <w:lvlOverride w:ilvl="0">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num>
  <w:num w:numId="52">
    <w:abstractNumId w:val="6"/>
  </w:num>
  <w:num w:numId="53">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563C"/>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5:docId w15:val="{EA5BDCD9-4E96-4541-82D2-46397FD8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0769"/>
    <w:rPr>
      <w:rFonts w:ascii="Arial" w:hAnsi="Arial"/>
      <w:szCs w:val="24"/>
      <w:lang w:eastAsia="de-DE"/>
    </w:rPr>
  </w:style>
  <w:style w:type="paragraph" w:styleId="Kop1">
    <w:name w:val="heading 1"/>
    <w:basedOn w:val="Standaard"/>
    <w:next w:val="Standaard"/>
    <w:link w:val="Kop1Char"/>
    <w:qFormat/>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3"/>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Fußnote"/>
    <w:basedOn w:val="Standaard"/>
    <w:link w:val="VoetnoottekstChar"/>
    <w:uiPriority w:val="99"/>
    <w:qFormat/>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Georgia" w:hAnsi="Georgia"/>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evebenadrukking">
    <w:name w:val="Intense Emphasis"/>
    <w:basedOn w:val="Standaardalinea-lettertype"/>
    <w:uiPriority w:val="21"/>
    <w:qFormat/>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ard"/>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ardalinea-lettertype"/>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ard"/>
    <w:next w:val="Standa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ardalinea-lettertype"/>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85F0-7B8B-4244-A108-BBD634AE15D3}">
  <ds:schemaRefs>
    <ds:schemaRef ds:uri="http://schemas.openxmlformats.org/officeDocument/2006/bibliography"/>
  </ds:schemaRefs>
</ds:datastoreItem>
</file>

<file path=customXml/itemProps2.xml><?xml version="1.0" encoding="utf-8"?>
<ds:datastoreItem xmlns:ds="http://schemas.openxmlformats.org/officeDocument/2006/customXml" ds:itemID="{C1EB9697-B06D-4CC8-A071-C8C6A30E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2153</Words>
  <Characters>11845</Characters>
  <Application>Microsoft Office Word</Application>
  <DocSecurity>12</DocSecurity>
  <Lines>98</Lines>
  <Paragraphs>27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ESEF CP</vt:lpstr>
      <vt:lpstr>Reply form for the ESEF CP</vt:lpstr>
      <vt:lpstr>20110000</vt:lpstr>
      <vt:lpstr>20110000</vt:lpstr>
      <vt:lpstr>20110000</vt:lpstr>
    </vt:vector>
  </TitlesOfParts>
  <Company>ESMA</Company>
  <LinksUpToDate>false</LinksUpToDate>
  <CharactersWithSpaces>13971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Simon Zwagemakers</cp:lastModifiedBy>
  <cp:revision>2</cp:revision>
  <cp:lastPrinted>2015-02-18T11:01:00Z</cp:lastPrinted>
  <dcterms:created xsi:type="dcterms:W3CDTF">2016-01-18T16:54:00Z</dcterms:created>
  <dcterms:modified xsi:type="dcterms:W3CDTF">2016-01-18T16:54:00Z</dcterms:modified>
</cp:coreProperties>
</file>