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even" r:id="rId10"/>
          <w:headerReference w:type="default" r:id="rId11"/>
          <w:footerReference w:type="even"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bookmarkStart w:id="1" w:name="_GoBack"/>
      <w:r w:rsidR="006646DF">
        <w:rPr>
          <w:rFonts w:cs="Arial"/>
        </w:rPr>
        <w:t>PRIIPS</w:t>
      </w:r>
      <w:bookmarkEnd w:id="1"/>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Titre1"/>
        <w:numPr>
          <w:ilvl w:val="0"/>
          <w:numId w:val="0"/>
        </w:numPr>
        <w:ind w:left="431" w:hanging="431"/>
      </w:pPr>
      <w:r>
        <w:t>Introduction</w:t>
      </w:r>
    </w:p>
    <w:p w:rsidR="00C33ACE" w:rsidRPr="00C33ACE" w:rsidRDefault="00C33ACE" w:rsidP="00C33ACE"/>
    <w:p w:rsidR="00D34282" w:rsidRDefault="00D34282" w:rsidP="00D34282">
      <w:pPr>
        <w:rPr>
          <w:rStyle w:val="Emphaseintense"/>
        </w:rPr>
      </w:pPr>
      <w:r w:rsidRPr="001D47A5">
        <w:rPr>
          <w:rStyle w:val="Emphaseintense"/>
        </w:rPr>
        <w:t>Please make your introductory comments below, if any:</w:t>
      </w:r>
    </w:p>
    <w:p w:rsidR="002E2BC1" w:rsidRPr="001D47A5" w:rsidRDefault="002E2BC1" w:rsidP="00D34282">
      <w:pPr>
        <w:rPr>
          <w:rStyle w:val="Emphaseintense"/>
        </w:rPr>
      </w:pPr>
    </w:p>
    <w:p w:rsidR="00D34282" w:rsidRPr="00C25863" w:rsidRDefault="00D34282" w:rsidP="00D34282">
      <w:r w:rsidRPr="00C25863">
        <w:t>&lt;</w:t>
      </w:r>
      <w:r>
        <w:t>ESMA_COMMENT</w:t>
      </w:r>
      <w:r w:rsidRPr="00C25863">
        <w:t>_</w:t>
      </w:r>
      <w:r w:rsidR="000E35CB">
        <w:rPr>
          <w:rFonts w:cs="Arial"/>
        </w:rPr>
        <w:t>PRIIPS</w:t>
      </w:r>
      <w:r w:rsidRPr="00C25863">
        <w:t>_1&gt;</w:t>
      </w:r>
    </w:p>
    <w:p w:rsidR="00E56DA9" w:rsidRDefault="00211FCE" w:rsidP="001E3E14">
      <w:pPr>
        <w:jc w:val="both"/>
        <w:rPr>
          <w:lang w:val="en-US"/>
        </w:rPr>
      </w:pPr>
      <w:permStart w:id="1746960314" w:edGrp="everyone"/>
      <w:r w:rsidRPr="00211FCE">
        <w:rPr>
          <w:lang w:val="en-US"/>
        </w:rPr>
        <w:t xml:space="preserve">The Association </w:t>
      </w:r>
      <w:proofErr w:type="spellStart"/>
      <w:r w:rsidRPr="00211FCE">
        <w:rPr>
          <w:i/>
          <w:lang w:val="en-US"/>
        </w:rPr>
        <w:t>Française</w:t>
      </w:r>
      <w:proofErr w:type="spellEnd"/>
      <w:r w:rsidRPr="00211FCE">
        <w:rPr>
          <w:i/>
          <w:lang w:val="en-US"/>
        </w:rPr>
        <w:t xml:space="preserve"> des </w:t>
      </w:r>
      <w:proofErr w:type="spellStart"/>
      <w:r w:rsidRPr="00211FCE">
        <w:rPr>
          <w:i/>
          <w:lang w:val="en-US"/>
        </w:rPr>
        <w:t>Sociétés</w:t>
      </w:r>
      <w:proofErr w:type="spellEnd"/>
      <w:r w:rsidRPr="00211FCE">
        <w:rPr>
          <w:i/>
          <w:lang w:val="en-US"/>
        </w:rPr>
        <w:t xml:space="preserve"> de Placement </w:t>
      </w:r>
      <w:proofErr w:type="spellStart"/>
      <w:r w:rsidRPr="00211FCE">
        <w:rPr>
          <w:i/>
          <w:lang w:val="en-US"/>
        </w:rPr>
        <w:t>Immobilier</w:t>
      </w:r>
      <w:proofErr w:type="spellEnd"/>
      <w:r w:rsidR="00E56DA9">
        <w:rPr>
          <w:i/>
          <w:lang w:val="en-US"/>
        </w:rPr>
        <w:t xml:space="preserve"> </w:t>
      </w:r>
      <w:r w:rsidR="00E56DA9">
        <w:rPr>
          <w:lang w:val="en-US"/>
        </w:rPr>
        <w:t>(ASPIM)</w:t>
      </w:r>
      <w:r w:rsidRPr="00211FCE">
        <w:rPr>
          <w:lang w:val="en-US"/>
        </w:rPr>
        <w:t xml:space="preserve">, which represents more than 50 French portfolio management companies managing real estate investment funds in France, thanks ESMA, EBA and EIOPA for the opportunity given to the French real estate </w:t>
      </w:r>
      <w:r>
        <w:rPr>
          <w:lang w:val="en-US"/>
        </w:rPr>
        <w:t>asset management ind</w:t>
      </w:r>
      <w:r w:rsidR="00694067">
        <w:rPr>
          <w:lang w:val="en-US"/>
        </w:rPr>
        <w:t>ustry to p</w:t>
      </w:r>
      <w:r w:rsidR="0061068A">
        <w:rPr>
          <w:lang w:val="en-US"/>
        </w:rPr>
        <w:t>rovide further input</w:t>
      </w:r>
      <w:r w:rsidR="00694067">
        <w:rPr>
          <w:lang w:val="en-US"/>
        </w:rPr>
        <w:t xml:space="preserve"> </w:t>
      </w:r>
      <w:r w:rsidR="00D25D3F">
        <w:rPr>
          <w:lang w:val="en-US"/>
        </w:rPr>
        <w:t xml:space="preserve">on </w:t>
      </w:r>
      <w:r w:rsidR="00E56DA9">
        <w:rPr>
          <w:lang w:val="en-US"/>
        </w:rPr>
        <w:t xml:space="preserve">the setting-up of the Key Information Document (KID) that will </w:t>
      </w:r>
      <w:r w:rsidR="00ED6AC4">
        <w:rPr>
          <w:lang w:val="en-US"/>
        </w:rPr>
        <w:t xml:space="preserve">be </w:t>
      </w:r>
      <w:r w:rsidR="00E56DA9">
        <w:rPr>
          <w:lang w:val="en-US"/>
        </w:rPr>
        <w:t xml:space="preserve">provided to retail investors in accordance with the PRIIPS Regulation. </w:t>
      </w:r>
    </w:p>
    <w:p w:rsidR="00E56DA9" w:rsidRDefault="00E56DA9" w:rsidP="001E3E14">
      <w:pPr>
        <w:jc w:val="both"/>
        <w:rPr>
          <w:lang w:val="en-US"/>
        </w:rPr>
      </w:pPr>
    </w:p>
    <w:p w:rsidR="00E247F3" w:rsidRDefault="00ED6AC4" w:rsidP="001E3E14">
      <w:pPr>
        <w:jc w:val="both"/>
        <w:rPr>
          <w:lang w:val="en-US"/>
        </w:rPr>
      </w:pPr>
      <w:r>
        <w:rPr>
          <w:lang w:val="en-US"/>
        </w:rPr>
        <w:t>ASPIM had</w:t>
      </w:r>
      <w:r w:rsidR="00E56DA9">
        <w:rPr>
          <w:lang w:val="en-US"/>
        </w:rPr>
        <w:t xml:space="preserve"> provided a detailed a</w:t>
      </w:r>
      <w:r w:rsidR="00210AC6">
        <w:rPr>
          <w:lang w:val="en-US"/>
        </w:rPr>
        <w:t xml:space="preserve">nswer </w:t>
      </w:r>
      <w:r w:rsidR="0061068A">
        <w:rPr>
          <w:lang w:val="en-US"/>
        </w:rPr>
        <w:t xml:space="preserve">on July 17, 2015 </w:t>
      </w:r>
      <w:r w:rsidR="00210AC6">
        <w:rPr>
          <w:lang w:val="en-US"/>
        </w:rPr>
        <w:t xml:space="preserve">to ESMA, EBA and EIOPA </w:t>
      </w:r>
      <w:r w:rsidR="00D25D3F">
        <w:rPr>
          <w:lang w:val="en-US"/>
        </w:rPr>
        <w:t xml:space="preserve">on </w:t>
      </w:r>
      <w:r w:rsidR="00E56DA9">
        <w:rPr>
          <w:lang w:val="en-US"/>
        </w:rPr>
        <w:t>the Technical Discussion Paper on risk, performance scenarios</w:t>
      </w:r>
      <w:r w:rsidR="00210AC6">
        <w:rPr>
          <w:lang w:val="en-US"/>
        </w:rPr>
        <w:t xml:space="preserve"> and cost disclosure in KID explaining that </w:t>
      </w:r>
      <w:r w:rsidR="002A6FD3">
        <w:rPr>
          <w:lang w:val="en-US"/>
        </w:rPr>
        <w:t>the orient</w:t>
      </w:r>
      <w:r w:rsidR="002A6FD3">
        <w:rPr>
          <w:lang w:val="en-US"/>
        </w:rPr>
        <w:t>a</w:t>
      </w:r>
      <w:r w:rsidR="002A6FD3">
        <w:rPr>
          <w:lang w:val="en-US"/>
        </w:rPr>
        <w:t xml:space="preserve">tions submitted to consultation raised </w:t>
      </w:r>
      <w:r w:rsidR="00E56DA9">
        <w:rPr>
          <w:lang w:val="en-US"/>
        </w:rPr>
        <w:t xml:space="preserve">specific concerns with respect </w:t>
      </w:r>
      <w:r w:rsidR="00210AC6">
        <w:rPr>
          <w:lang w:val="en-US"/>
        </w:rPr>
        <w:t xml:space="preserve">to the presentation of risks and costs regarding </w:t>
      </w:r>
      <w:r w:rsidR="00E56DA9">
        <w:rPr>
          <w:lang w:val="en-US"/>
        </w:rPr>
        <w:t>real estate investment funds</w:t>
      </w:r>
      <w:r>
        <w:rPr>
          <w:lang w:val="en-US"/>
        </w:rPr>
        <w:t xml:space="preserve"> in the KID</w:t>
      </w:r>
      <w:r w:rsidR="00E56DA9">
        <w:rPr>
          <w:lang w:val="en-US"/>
        </w:rPr>
        <w:t>.</w:t>
      </w:r>
    </w:p>
    <w:p w:rsidR="00E247F3" w:rsidRDefault="00E247F3" w:rsidP="001E3E14">
      <w:pPr>
        <w:jc w:val="both"/>
        <w:rPr>
          <w:lang w:val="en-US"/>
        </w:rPr>
      </w:pPr>
    </w:p>
    <w:p w:rsidR="002A6FD3" w:rsidRDefault="00E56DA9" w:rsidP="001E3E14">
      <w:pPr>
        <w:jc w:val="both"/>
        <w:rPr>
          <w:lang w:val="en-US"/>
        </w:rPr>
      </w:pPr>
      <w:r>
        <w:rPr>
          <w:lang w:val="en-US"/>
        </w:rPr>
        <w:t xml:space="preserve">In particular, ASPIM highlighted that </w:t>
      </w:r>
      <w:r w:rsidR="00ED6AC4">
        <w:rPr>
          <w:lang w:val="en-US"/>
        </w:rPr>
        <w:t>(</w:t>
      </w:r>
      <w:proofErr w:type="spellStart"/>
      <w:r w:rsidR="00ED6AC4">
        <w:rPr>
          <w:lang w:val="en-US"/>
        </w:rPr>
        <w:t>i</w:t>
      </w:r>
      <w:proofErr w:type="spellEnd"/>
      <w:r w:rsidR="00ED6AC4">
        <w:rPr>
          <w:lang w:val="en-US"/>
        </w:rPr>
        <w:t xml:space="preserve">) inadequate computation methods of a summary risk indicator, (ii) </w:t>
      </w:r>
      <w:r w:rsidR="002A6FD3">
        <w:rPr>
          <w:lang w:val="en-US"/>
        </w:rPr>
        <w:t>analysis</w:t>
      </w:r>
      <w:r w:rsidR="00210AC6">
        <w:rPr>
          <w:lang w:val="en-US"/>
        </w:rPr>
        <w:t xml:space="preserve"> </w:t>
      </w:r>
      <w:r w:rsidR="00D25D3F">
        <w:rPr>
          <w:lang w:val="en-US"/>
        </w:rPr>
        <w:t xml:space="preserve">of the illiquidity of an investment product </w:t>
      </w:r>
      <w:r w:rsidR="00210AC6">
        <w:rPr>
          <w:lang w:val="en-US"/>
        </w:rPr>
        <w:t>only as a risk factor</w:t>
      </w:r>
      <w:r w:rsidR="0061068A">
        <w:rPr>
          <w:lang w:val="en-US"/>
        </w:rPr>
        <w:t xml:space="preserve">, added to </w:t>
      </w:r>
      <w:r w:rsidR="00ED6AC4">
        <w:rPr>
          <w:lang w:val="en-US"/>
        </w:rPr>
        <w:t xml:space="preserve">(iii) identical </w:t>
      </w:r>
      <w:r w:rsidR="00D25D3F">
        <w:rPr>
          <w:lang w:val="en-US"/>
        </w:rPr>
        <w:t xml:space="preserve">methods of </w:t>
      </w:r>
      <w:r w:rsidR="00ED6AC4">
        <w:rPr>
          <w:lang w:val="en-US"/>
        </w:rPr>
        <w:t>computation of costs between investment products with dramatically different underlying asset</w:t>
      </w:r>
      <w:r w:rsidR="002A6FD3">
        <w:rPr>
          <w:lang w:val="en-US"/>
        </w:rPr>
        <w:t>s</w:t>
      </w:r>
      <w:r w:rsidR="00ED6AC4">
        <w:rPr>
          <w:lang w:val="en-US"/>
        </w:rPr>
        <w:t xml:space="preserve">, would </w:t>
      </w:r>
      <w:r w:rsidR="00D25D3F">
        <w:rPr>
          <w:lang w:val="en-US"/>
        </w:rPr>
        <w:t xml:space="preserve">most likely </w:t>
      </w:r>
      <w:r w:rsidR="002A6FD3">
        <w:rPr>
          <w:lang w:val="en-US"/>
        </w:rPr>
        <w:t xml:space="preserve">flaw the presentation of </w:t>
      </w:r>
      <w:r w:rsidR="00210AC6">
        <w:rPr>
          <w:lang w:val="en-US"/>
        </w:rPr>
        <w:t xml:space="preserve">the characteristics of </w:t>
      </w:r>
      <w:r w:rsidR="002A6FD3">
        <w:rPr>
          <w:lang w:val="en-US"/>
        </w:rPr>
        <w:t xml:space="preserve">real estate investment funds in the KID and impede appropriate comparability between real estate investment funds and other investment products. </w:t>
      </w:r>
      <w:r w:rsidR="00B0732A">
        <w:rPr>
          <w:lang w:val="en-US"/>
        </w:rPr>
        <w:t xml:space="preserve">ASPIM’s answer can be found </w:t>
      </w:r>
      <w:hyperlink r:id="rId18" w:history="1">
        <w:r w:rsidR="00B0732A" w:rsidRPr="00B0732A">
          <w:rPr>
            <w:rStyle w:val="Lienhypertexte"/>
            <w:lang w:val="en-US"/>
          </w:rPr>
          <w:t>here</w:t>
        </w:r>
      </w:hyperlink>
      <w:r w:rsidR="00B0732A">
        <w:rPr>
          <w:lang w:val="en-US"/>
        </w:rPr>
        <w:t xml:space="preserve">. </w:t>
      </w:r>
    </w:p>
    <w:p w:rsidR="00210AC6" w:rsidRDefault="00210AC6" w:rsidP="001E3E14">
      <w:pPr>
        <w:jc w:val="both"/>
        <w:rPr>
          <w:lang w:val="en-US"/>
        </w:rPr>
      </w:pPr>
    </w:p>
    <w:p w:rsidR="0061068A" w:rsidRDefault="002A6FD3" w:rsidP="001E3E14">
      <w:pPr>
        <w:jc w:val="both"/>
        <w:rPr>
          <w:lang w:val="en-US"/>
        </w:rPr>
      </w:pPr>
      <w:r>
        <w:rPr>
          <w:lang w:val="en-US"/>
        </w:rPr>
        <w:t xml:space="preserve">ASPIM </w:t>
      </w:r>
      <w:r w:rsidR="00B0732A">
        <w:rPr>
          <w:lang w:val="en-US"/>
        </w:rPr>
        <w:t xml:space="preserve">read carefully </w:t>
      </w:r>
      <w:r w:rsidR="00210AC6">
        <w:rPr>
          <w:lang w:val="en-US"/>
        </w:rPr>
        <w:t xml:space="preserve">the draft Commission Delegated Regulation </w:t>
      </w:r>
      <w:r w:rsidR="00D25D3F">
        <w:rPr>
          <w:lang w:val="en-US"/>
        </w:rPr>
        <w:t xml:space="preserve">appended to </w:t>
      </w:r>
      <w:r w:rsidR="00B0732A">
        <w:rPr>
          <w:lang w:val="en-US"/>
        </w:rPr>
        <w:t xml:space="preserve">the </w:t>
      </w:r>
      <w:r w:rsidR="00D25D3F">
        <w:rPr>
          <w:lang w:val="en-US"/>
        </w:rPr>
        <w:t xml:space="preserve">Consultation Paper on </w:t>
      </w:r>
      <w:r w:rsidR="0061068A">
        <w:rPr>
          <w:lang w:val="en-US"/>
        </w:rPr>
        <w:t xml:space="preserve">PRIIPS Key Information Document </w:t>
      </w:r>
      <w:r w:rsidR="00D25D3F">
        <w:rPr>
          <w:lang w:val="en-US"/>
        </w:rPr>
        <w:t xml:space="preserve">laying </w:t>
      </w:r>
      <w:r w:rsidR="00210AC6">
        <w:rPr>
          <w:lang w:val="en-US"/>
        </w:rPr>
        <w:t>down the regulatory technical standards with regard to the presentation, content, revision and provision of the key information document, specific underlying metho</w:t>
      </w:r>
      <w:r w:rsidR="00210AC6">
        <w:rPr>
          <w:lang w:val="en-US"/>
        </w:rPr>
        <w:t>d</w:t>
      </w:r>
      <w:r w:rsidR="00210AC6">
        <w:rPr>
          <w:lang w:val="en-US"/>
        </w:rPr>
        <w:t>ologies and information review in accordance with Regulation (UE) n° 1286/2014</w:t>
      </w:r>
      <w:r w:rsidR="0061068A">
        <w:rPr>
          <w:lang w:val="en-US"/>
        </w:rPr>
        <w:t xml:space="preserve"> issued on November 11, 2015</w:t>
      </w:r>
      <w:r w:rsidR="00210AC6">
        <w:rPr>
          <w:lang w:val="en-US"/>
        </w:rPr>
        <w:t xml:space="preserve">. </w:t>
      </w:r>
    </w:p>
    <w:p w:rsidR="0061068A" w:rsidRDefault="0061068A" w:rsidP="001E3E14">
      <w:pPr>
        <w:jc w:val="both"/>
        <w:rPr>
          <w:lang w:val="en-US"/>
        </w:rPr>
      </w:pPr>
    </w:p>
    <w:p w:rsidR="00210AC6" w:rsidRDefault="00210AC6" w:rsidP="001E3E14">
      <w:pPr>
        <w:jc w:val="both"/>
        <w:rPr>
          <w:lang w:val="en-US"/>
        </w:rPr>
      </w:pPr>
      <w:r>
        <w:rPr>
          <w:lang w:val="en-US"/>
        </w:rPr>
        <w:t xml:space="preserve">ASPIM notes with regrets that </w:t>
      </w:r>
      <w:r w:rsidR="008B0E8D">
        <w:rPr>
          <w:lang w:val="en-US"/>
        </w:rPr>
        <w:t xml:space="preserve">some of </w:t>
      </w:r>
      <w:r>
        <w:rPr>
          <w:lang w:val="en-US"/>
        </w:rPr>
        <w:t xml:space="preserve">its concerns expressed in its answer to the consultation on the Technical Discussion Paper on risk, performance scenarios and disclosure in KID were not taken into account by ESMA, EBA and EIOPA when working on the draft Commission Delegated Regulation. </w:t>
      </w:r>
    </w:p>
    <w:p w:rsidR="00210AC6" w:rsidRDefault="00210AC6" w:rsidP="001E3E14">
      <w:pPr>
        <w:jc w:val="both"/>
        <w:rPr>
          <w:lang w:val="en-US"/>
        </w:rPr>
      </w:pPr>
    </w:p>
    <w:p w:rsidR="002A6FD3" w:rsidRDefault="002A6FD3" w:rsidP="001E3E14">
      <w:pPr>
        <w:jc w:val="both"/>
        <w:rPr>
          <w:lang w:val="en-US"/>
        </w:rPr>
      </w:pPr>
      <w:r>
        <w:rPr>
          <w:lang w:val="en-US"/>
        </w:rPr>
        <w:t xml:space="preserve">In this respect, ASPIM would like again to stress that French real estate investment funds managers fully agree with the objectives pursued by the PRIIPS Regulation and are well aware of the difficulty </w:t>
      </w:r>
      <w:r w:rsidR="00D25D3F">
        <w:rPr>
          <w:lang w:val="en-US"/>
        </w:rPr>
        <w:t>of a</w:t>
      </w:r>
      <w:r w:rsidR="00D25D3F">
        <w:rPr>
          <w:lang w:val="en-US"/>
        </w:rPr>
        <w:t>d</w:t>
      </w:r>
      <w:r w:rsidR="00D25D3F">
        <w:rPr>
          <w:lang w:val="en-US"/>
        </w:rPr>
        <w:t xml:space="preserve">dressing </w:t>
      </w:r>
      <w:r>
        <w:rPr>
          <w:lang w:val="en-US"/>
        </w:rPr>
        <w:t>appropriately all categories of investment products covered by the PRIIPS Regulation. However ASPIM considers that</w:t>
      </w:r>
      <w:r w:rsidR="001E3E14">
        <w:rPr>
          <w:lang w:val="en-US"/>
        </w:rPr>
        <w:t xml:space="preserve"> standardization of information </w:t>
      </w:r>
      <w:r>
        <w:rPr>
          <w:lang w:val="en-US"/>
        </w:rPr>
        <w:t>at all costs would be detrimental to investors’ effe</w:t>
      </w:r>
      <w:r>
        <w:rPr>
          <w:lang w:val="en-US"/>
        </w:rPr>
        <w:t>c</w:t>
      </w:r>
      <w:r>
        <w:rPr>
          <w:lang w:val="en-US"/>
        </w:rPr>
        <w:t xml:space="preserve">tive </w:t>
      </w:r>
      <w:r w:rsidR="00210AC6">
        <w:rPr>
          <w:lang w:val="en-US"/>
        </w:rPr>
        <w:t xml:space="preserve">and accurate </w:t>
      </w:r>
      <w:r>
        <w:rPr>
          <w:lang w:val="en-US"/>
        </w:rPr>
        <w:t>infor</w:t>
      </w:r>
      <w:r w:rsidR="00210AC6">
        <w:rPr>
          <w:lang w:val="en-US"/>
        </w:rPr>
        <w:t>mation</w:t>
      </w:r>
      <w:r w:rsidR="001E3E14">
        <w:rPr>
          <w:lang w:val="en-US"/>
        </w:rPr>
        <w:t xml:space="preserve"> and would be counterproductive</w:t>
      </w:r>
      <w:r w:rsidR="00210AC6">
        <w:rPr>
          <w:lang w:val="en-US"/>
        </w:rPr>
        <w:t xml:space="preserve">. </w:t>
      </w:r>
    </w:p>
    <w:p w:rsidR="00210AC6" w:rsidRDefault="00210AC6" w:rsidP="001E3E14">
      <w:pPr>
        <w:jc w:val="both"/>
        <w:rPr>
          <w:lang w:val="en-US"/>
        </w:rPr>
      </w:pPr>
    </w:p>
    <w:p w:rsidR="00210AC6" w:rsidRDefault="00D25D3F" w:rsidP="001E3E14">
      <w:pPr>
        <w:jc w:val="both"/>
        <w:rPr>
          <w:lang w:val="en-US"/>
        </w:rPr>
      </w:pPr>
      <w:r>
        <w:rPr>
          <w:lang w:val="en-US"/>
        </w:rPr>
        <w:t xml:space="preserve">Therefore, </w:t>
      </w:r>
      <w:r w:rsidR="00210AC6">
        <w:rPr>
          <w:lang w:val="en-US"/>
        </w:rPr>
        <w:t xml:space="preserve">ASPIM would </w:t>
      </w:r>
      <w:r w:rsidR="00694067">
        <w:rPr>
          <w:lang w:val="en-US"/>
        </w:rPr>
        <w:t>l</w:t>
      </w:r>
      <w:r w:rsidR="003163A5">
        <w:rPr>
          <w:lang w:val="en-US"/>
        </w:rPr>
        <w:t>ike to present again its views</w:t>
      </w:r>
      <w:r w:rsidR="00CB4F9B">
        <w:rPr>
          <w:lang w:val="en-US"/>
        </w:rPr>
        <w:t xml:space="preserve">, </w:t>
      </w:r>
      <w:r w:rsidR="00210AC6">
        <w:rPr>
          <w:lang w:val="en-US"/>
        </w:rPr>
        <w:t xml:space="preserve">on how </w:t>
      </w:r>
      <w:r w:rsidR="00D216AD">
        <w:rPr>
          <w:lang w:val="en-US"/>
        </w:rPr>
        <w:t xml:space="preserve">costs, risks and performance </w:t>
      </w:r>
      <w:r w:rsidR="00210AC6">
        <w:rPr>
          <w:lang w:val="en-US"/>
        </w:rPr>
        <w:t xml:space="preserve">should be disclosed for real estate investment funds and hopes that ESMA, EBA and EIOPA will take its concerns into consideration before submitting its </w:t>
      </w:r>
      <w:r w:rsidR="00B0732A">
        <w:rPr>
          <w:lang w:val="en-US"/>
        </w:rPr>
        <w:t xml:space="preserve">draft </w:t>
      </w:r>
      <w:r w:rsidR="001E3E14">
        <w:rPr>
          <w:lang w:val="en-US"/>
        </w:rPr>
        <w:t>Commission Delegated Regulation to the European Commi</w:t>
      </w:r>
      <w:r w:rsidR="001E3E14">
        <w:rPr>
          <w:lang w:val="en-US"/>
        </w:rPr>
        <w:t>s</w:t>
      </w:r>
      <w:r w:rsidR="001E3E14">
        <w:rPr>
          <w:lang w:val="en-US"/>
        </w:rPr>
        <w:t>sion</w:t>
      </w:r>
      <w:r w:rsidR="00B0732A">
        <w:rPr>
          <w:lang w:val="en-US"/>
        </w:rPr>
        <w:t xml:space="preserve"> on March 31, 2016</w:t>
      </w:r>
      <w:r w:rsidR="00210AC6">
        <w:rPr>
          <w:lang w:val="en-US"/>
        </w:rPr>
        <w:t xml:space="preserve">. </w:t>
      </w:r>
    </w:p>
    <w:p w:rsidR="00D216AD" w:rsidRDefault="00D216AD" w:rsidP="001E3E14">
      <w:pPr>
        <w:jc w:val="both"/>
        <w:rPr>
          <w:lang w:val="en-US"/>
        </w:rPr>
      </w:pPr>
    </w:p>
    <w:p w:rsidR="00D216AD" w:rsidRPr="00D216AD" w:rsidRDefault="00D216AD" w:rsidP="00D216AD">
      <w:pPr>
        <w:pStyle w:val="Paragraphedeliste"/>
        <w:numPr>
          <w:ilvl w:val="0"/>
          <w:numId w:val="52"/>
        </w:numPr>
        <w:jc w:val="both"/>
        <w:rPr>
          <w:b/>
          <w:u w:val="single"/>
          <w:lang w:val="en-US"/>
        </w:rPr>
      </w:pPr>
      <w:r w:rsidRPr="00D216AD">
        <w:rPr>
          <w:b/>
          <w:u w:val="single"/>
          <w:lang w:val="en-US"/>
        </w:rPr>
        <w:t>Costs</w:t>
      </w:r>
    </w:p>
    <w:p w:rsidR="001E3E14" w:rsidRDefault="001E3E14" w:rsidP="001E3E14">
      <w:pPr>
        <w:jc w:val="both"/>
        <w:rPr>
          <w:lang w:val="en-US"/>
        </w:rPr>
      </w:pPr>
    </w:p>
    <w:p w:rsidR="008B0E8D" w:rsidRDefault="001E3E14" w:rsidP="008B0E8D">
      <w:pPr>
        <w:jc w:val="both"/>
        <w:rPr>
          <w:lang w:val="en-US"/>
        </w:rPr>
      </w:pPr>
      <w:r w:rsidRPr="0085268C">
        <w:rPr>
          <w:lang w:val="en-US"/>
        </w:rPr>
        <w:t>Firstly</w:t>
      </w:r>
      <w:r w:rsidR="008B0E8D">
        <w:rPr>
          <w:lang w:val="en-US"/>
        </w:rPr>
        <w:t>,</w:t>
      </w:r>
      <w:r w:rsidR="008B0E8D" w:rsidRPr="008B0E8D">
        <w:rPr>
          <w:lang w:val="en-US"/>
        </w:rPr>
        <w:t xml:space="preserve"> </w:t>
      </w:r>
      <w:r w:rsidR="008B0E8D">
        <w:rPr>
          <w:lang w:val="en-US"/>
        </w:rPr>
        <w:t xml:space="preserve">ASPIM welcomes ESMA, EBA and EIOPA’s efforts to provide detailed lists of costs that should be integrated in the KID. </w:t>
      </w:r>
    </w:p>
    <w:p w:rsidR="008B0E8D" w:rsidRDefault="008B0E8D" w:rsidP="008B0E8D">
      <w:pPr>
        <w:jc w:val="both"/>
        <w:rPr>
          <w:lang w:val="en-US"/>
        </w:rPr>
      </w:pPr>
    </w:p>
    <w:p w:rsidR="008B0E8D" w:rsidRDefault="008B0E8D" w:rsidP="008B0E8D">
      <w:pPr>
        <w:jc w:val="both"/>
        <w:rPr>
          <w:lang w:val="en-US"/>
        </w:rPr>
      </w:pPr>
      <w:r>
        <w:rPr>
          <w:lang w:val="en-US"/>
        </w:rPr>
        <w:t>In this respect, ASPIM understands that paragraph 6 (b) of Annex IV of the draft Commission Delegation Regulation which specifies that payments to “</w:t>
      </w:r>
      <w:r w:rsidRPr="00AC4F2A">
        <w:rPr>
          <w:i/>
          <w:lang w:val="en-US"/>
        </w:rPr>
        <w:t>providers of property management services for real estate operating expenses and capital expenditure (if applicable)</w:t>
      </w:r>
      <w:r>
        <w:rPr>
          <w:lang w:val="en-US"/>
        </w:rPr>
        <w:t>” include fees paid to persons providing ou</w:t>
      </w:r>
      <w:r>
        <w:rPr>
          <w:lang w:val="en-US"/>
        </w:rPr>
        <w:t>t</w:t>
      </w:r>
      <w:r>
        <w:rPr>
          <w:lang w:val="en-US"/>
        </w:rPr>
        <w:t xml:space="preserve">sourced services but do not cover the </w:t>
      </w:r>
      <w:r w:rsidRPr="008B0E8D">
        <w:rPr>
          <w:lang w:val="en-US"/>
        </w:rPr>
        <w:t xml:space="preserve">operating expenses </w:t>
      </w:r>
      <w:r>
        <w:rPr>
          <w:lang w:val="en-US"/>
        </w:rPr>
        <w:t xml:space="preserve">and the effective capital expenditure costs. ASPIM considers that this approach is appropriate. Indeed, such expenses do not constitute actual costs </w:t>
      </w:r>
      <w:r>
        <w:rPr>
          <w:lang w:val="en-US"/>
        </w:rPr>
        <w:lastRenderedPageBreak/>
        <w:t xml:space="preserve">for a real estate fund but are designed to enhance the valuation of the real estate assets and participate in the performance of the fund. </w:t>
      </w:r>
    </w:p>
    <w:p w:rsidR="008B0E8D" w:rsidRDefault="008B0E8D" w:rsidP="001E3E14">
      <w:pPr>
        <w:jc w:val="both"/>
        <w:rPr>
          <w:lang w:val="en-US"/>
        </w:rPr>
      </w:pPr>
    </w:p>
    <w:p w:rsidR="00D23BB1" w:rsidRDefault="00ED6C7A" w:rsidP="001E3E14">
      <w:pPr>
        <w:jc w:val="both"/>
        <w:rPr>
          <w:lang w:val="en-US"/>
        </w:rPr>
      </w:pPr>
      <w:r>
        <w:rPr>
          <w:lang w:val="en-US"/>
        </w:rPr>
        <w:t xml:space="preserve">Secondly, </w:t>
      </w:r>
      <w:r w:rsidR="001E3E14">
        <w:rPr>
          <w:lang w:val="en-US"/>
        </w:rPr>
        <w:t>ASPIM considers that for real estate investment funds, on-going costs should be split between costs directly related to the manag</w:t>
      </w:r>
      <w:r>
        <w:rPr>
          <w:lang w:val="en-US"/>
        </w:rPr>
        <w:t xml:space="preserve">ement of the investment </w:t>
      </w:r>
      <w:r w:rsidR="001F47EF">
        <w:rPr>
          <w:lang w:val="en-US"/>
        </w:rPr>
        <w:t>funds</w:t>
      </w:r>
      <w:r>
        <w:rPr>
          <w:lang w:val="en-US"/>
        </w:rPr>
        <w:t xml:space="preserve"> </w:t>
      </w:r>
      <w:r w:rsidR="001E3E14">
        <w:rPr>
          <w:lang w:val="en-US"/>
        </w:rPr>
        <w:t>and costs related to the mana</w:t>
      </w:r>
      <w:r>
        <w:rPr>
          <w:lang w:val="en-US"/>
        </w:rPr>
        <w:t xml:space="preserve">gement of the underlying properties </w:t>
      </w:r>
      <w:r w:rsidR="001E3E14">
        <w:rPr>
          <w:lang w:val="en-US"/>
        </w:rPr>
        <w:t xml:space="preserve">of the investment </w:t>
      </w:r>
      <w:r w:rsidR="001F47EF">
        <w:rPr>
          <w:lang w:val="en-US"/>
        </w:rPr>
        <w:t>funds</w:t>
      </w:r>
      <w:r w:rsidR="001E3E14">
        <w:rPr>
          <w:lang w:val="en-US"/>
        </w:rPr>
        <w:t xml:space="preserve">. </w:t>
      </w:r>
    </w:p>
    <w:p w:rsidR="00D23BB1" w:rsidRDefault="00D23BB1" w:rsidP="001E3E14">
      <w:pPr>
        <w:jc w:val="both"/>
        <w:rPr>
          <w:lang w:val="en-US"/>
        </w:rPr>
      </w:pPr>
    </w:p>
    <w:p w:rsidR="00E9341D" w:rsidRDefault="001E3E14" w:rsidP="001E3E14">
      <w:pPr>
        <w:jc w:val="both"/>
        <w:rPr>
          <w:lang w:val="en-US"/>
        </w:rPr>
      </w:pPr>
      <w:r>
        <w:rPr>
          <w:lang w:val="en-US"/>
        </w:rPr>
        <w:t xml:space="preserve">Indeed, real estate investment funds bear costs associated with the direct management of real estate assets while investment funds holding mainly financial instruments bear costs related to the management of such instruments, which are dramatically lower. </w:t>
      </w:r>
    </w:p>
    <w:p w:rsidR="00E9341D" w:rsidRDefault="00E9341D" w:rsidP="001E3E14">
      <w:pPr>
        <w:jc w:val="both"/>
        <w:rPr>
          <w:lang w:val="en-US"/>
        </w:rPr>
      </w:pPr>
    </w:p>
    <w:p w:rsidR="00E9341D" w:rsidRDefault="001E3E14" w:rsidP="001E3E14">
      <w:pPr>
        <w:jc w:val="both"/>
        <w:rPr>
          <w:lang w:val="en-US"/>
        </w:rPr>
      </w:pPr>
      <w:r>
        <w:rPr>
          <w:lang w:val="en-US"/>
        </w:rPr>
        <w:t xml:space="preserve">As a result, </w:t>
      </w:r>
      <w:r w:rsidR="00E9341D">
        <w:rPr>
          <w:lang w:val="en-US"/>
        </w:rPr>
        <w:t xml:space="preserve">an aggregation of all </w:t>
      </w:r>
      <w:r>
        <w:rPr>
          <w:lang w:val="en-US"/>
        </w:rPr>
        <w:t>on-going costs would make real estate investment funds appear much more expensive than investment funds dedicated to investments in financial instruments</w:t>
      </w:r>
      <w:r w:rsidR="0061068A">
        <w:rPr>
          <w:lang w:val="en-US"/>
        </w:rPr>
        <w:t xml:space="preserve">. However, such presentation would not put investors </w:t>
      </w:r>
      <w:r w:rsidR="00D23BB1">
        <w:rPr>
          <w:lang w:val="en-US"/>
        </w:rPr>
        <w:t>in a position to understand why there is a difference in the cost structure of real estate investment funds as opposed to other types of investment funds</w:t>
      </w:r>
      <w:r>
        <w:rPr>
          <w:lang w:val="en-US"/>
        </w:rPr>
        <w:t xml:space="preserve">. </w:t>
      </w:r>
    </w:p>
    <w:p w:rsidR="00E9341D" w:rsidRDefault="00E9341D" w:rsidP="001E3E14">
      <w:pPr>
        <w:jc w:val="both"/>
        <w:rPr>
          <w:lang w:val="en-US"/>
        </w:rPr>
      </w:pPr>
    </w:p>
    <w:p w:rsidR="00D23BB1" w:rsidRDefault="001E3E14" w:rsidP="001E3E14">
      <w:pPr>
        <w:jc w:val="both"/>
        <w:rPr>
          <w:lang w:val="en-US"/>
        </w:rPr>
      </w:pPr>
      <w:r>
        <w:rPr>
          <w:lang w:val="en-US"/>
        </w:rPr>
        <w:t>This is why investors should be in a position to compare what is actually comparable and make a distin</w:t>
      </w:r>
      <w:r>
        <w:rPr>
          <w:lang w:val="en-US"/>
        </w:rPr>
        <w:t>c</w:t>
      </w:r>
      <w:r w:rsidR="000B69EF">
        <w:rPr>
          <w:lang w:val="en-US"/>
        </w:rPr>
        <w:t xml:space="preserve">tion between </w:t>
      </w:r>
      <w:r>
        <w:rPr>
          <w:lang w:val="en-US"/>
        </w:rPr>
        <w:t>costs associated with</w:t>
      </w:r>
      <w:r w:rsidR="000B69EF">
        <w:rPr>
          <w:lang w:val="en-US"/>
        </w:rPr>
        <w:t xml:space="preserve"> the investment product and </w:t>
      </w:r>
      <w:r>
        <w:rPr>
          <w:lang w:val="en-US"/>
        </w:rPr>
        <w:t>costs associated with the manage</w:t>
      </w:r>
      <w:r w:rsidR="001F47EF">
        <w:rPr>
          <w:lang w:val="en-US"/>
        </w:rPr>
        <w:t>ment of the underlying properties</w:t>
      </w:r>
      <w:r w:rsidR="007F0AFF">
        <w:rPr>
          <w:lang w:val="en-US"/>
        </w:rPr>
        <w:t xml:space="preserve">. </w:t>
      </w:r>
    </w:p>
    <w:p w:rsidR="007F0AFF" w:rsidRDefault="007F0AFF" w:rsidP="001E3E14">
      <w:pPr>
        <w:jc w:val="both"/>
        <w:rPr>
          <w:lang w:val="en-US"/>
        </w:rPr>
      </w:pPr>
    </w:p>
    <w:p w:rsidR="00974973" w:rsidRDefault="007A1DDC" w:rsidP="001E3E14">
      <w:pPr>
        <w:jc w:val="both"/>
        <w:rPr>
          <w:lang w:val="en-US"/>
        </w:rPr>
      </w:pPr>
      <w:r>
        <w:rPr>
          <w:lang w:val="en-US"/>
        </w:rPr>
        <w:t>Thirdly</w:t>
      </w:r>
      <w:r w:rsidR="00D25D3F">
        <w:rPr>
          <w:lang w:val="en-US"/>
        </w:rPr>
        <w:t>,</w:t>
      </w:r>
      <w:r w:rsidR="002B0735">
        <w:rPr>
          <w:lang w:val="en-US"/>
        </w:rPr>
        <w:t xml:space="preserve"> ASPIM c</w:t>
      </w:r>
      <w:r w:rsidR="00D25D3F">
        <w:rPr>
          <w:lang w:val="en-US"/>
        </w:rPr>
        <w:t>onsiders that transaction costs</w:t>
      </w:r>
      <w:r w:rsidR="002B0735">
        <w:rPr>
          <w:lang w:val="en-US"/>
        </w:rPr>
        <w:t xml:space="preserve"> should not be included in the on-going costs for real estate investment funds. Indeed, specific acquisition costs are already integrated indirectly in the en</w:t>
      </w:r>
      <w:r w:rsidR="00D25D3F">
        <w:rPr>
          <w:lang w:val="en-US"/>
        </w:rPr>
        <w:t>try/exi</w:t>
      </w:r>
      <w:r w:rsidR="002B0735">
        <w:rPr>
          <w:lang w:val="en-US"/>
        </w:rPr>
        <w:t xml:space="preserve">t costs as French accounting rules already provide that subscription premiums include research costs and acquisition costs. </w:t>
      </w:r>
    </w:p>
    <w:p w:rsidR="00974973" w:rsidRDefault="00974973" w:rsidP="001E3E14">
      <w:pPr>
        <w:jc w:val="both"/>
        <w:rPr>
          <w:lang w:val="en-US"/>
        </w:rPr>
      </w:pPr>
    </w:p>
    <w:p w:rsidR="00E247F3" w:rsidRDefault="002B0735" w:rsidP="001E3E14">
      <w:pPr>
        <w:jc w:val="both"/>
        <w:rPr>
          <w:lang w:val="en-US"/>
        </w:rPr>
      </w:pPr>
      <w:r>
        <w:rPr>
          <w:lang w:val="en-US"/>
        </w:rPr>
        <w:t xml:space="preserve">Moreover, the draft Commission Delegated Regulation provides in paragraph 8 of Annex VI that </w:t>
      </w:r>
      <w:r w:rsidR="00974973">
        <w:rPr>
          <w:lang w:val="en-US"/>
        </w:rPr>
        <w:t>“</w:t>
      </w:r>
      <w:r w:rsidR="00974973" w:rsidRPr="00974973">
        <w:rPr>
          <w:i/>
          <w:lang w:val="en-US"/>
        </w:rPr>
        <w:t>Transa</w:t>
      </w:r>
      <w:r w:rsidR="00974973" w:rsidRPr="00974973">
        <w:rPr>
          <w:i/>
          <w:lang w:val="en-US"/>
        </w:rPr>
        <w:t>c</w:t>
      </w:r>
      <w:r w:rsidR="00974973" w:rsidRPr="00974973">
        <w:rPr>
          <w:i/>
          <w:lang w:val="en-US"/>
        </w:rPr>
        <w:t>tion costs shall be calculated on an annualized basis, based on a</w:t>
      </w:r>
      <w:r w:rsidR="00D25D3F">
        <w:rPr>
          <w:i/>
          <w:lang w:val="en-US"/>
        </w:rPr>
        <w:t>n</w:t>
      </w:r>
      <w:r w:rsidR="00974973" w:rsidRPr="00974973">
        <w:rPr>
          <w:i/>
          <w:lang w:val="en-US"/>
        </w:rPr>
        <w:t xml:space="preserve"> average of the transaction costs i</w:t>
      </w:r>
      <w:r w:rsidR="00974973" w:rsidRPr="00974973">
        <w:rPr>
          <w:i/>
          <w:lang w:val="en-US"/>
        </w:rPr>
        <w:t>n</w:t>
      </w:r>
      <w:r w:rsidR="00974973" w:rsidRPr="00974973">
        <w:rPr>
          <w:i/>
          <w:lang w:val="en-US"/>
        </w:rPr>
        <w:t>curred by the PRIIP over the previous three years</w:t>
      </w:r>
      <w:r w:rsidR="00974973">
        <w:rPr>
          <w:lang w:val="en-US"/>
        </w:rPr>
        <w:t xml:space="preserve">”. However, a three-year </w:t>
      </w:r>
      <w:proofErr w:type="spellStart"/>
      <w:r w:rsidR="00974973">
        <w:rPr>
          <w:lang w:val="en-US"/>
        </w:rPr>
        <w:t>annualization</w:t>
      </w:r>
      <w:proofErr w:type="spellEnd"/>
      <w:r w:rsidR="00974973">
        <w:rPr>
          <w:lang w:val="en-US"/>
        </w:rPr>
        <w:t xml:space="preserve"> is not appropriate for real estate investment funds. Indeed, real estate investment funds do not aim at buying </w:t>
      </w:r>
      <w:r w:rsidR="009A474C">
        <w:rPr>
          <w:lang w:val="en-US"/>
        </w:rPr>
        <w:t xml:space="preserve">and selling real estate assets on a regular basis but rather tend to acquire real estate assets in the long run to get returns from rental fees. Also, real estate transactions are much longer to put in place. </w:t>
      </w:r>
    </w:p>
    <w:p w:rsidR="00E247F3" w:rsidRDefault="00E247F3" w:rsidP="001E3E14">
      <w:pPr>
        <w:jc w:val="both"/>
        <w:rPr>
          <w:lang w:val="en-US"/>
        </w:rPr>
      </w:pPr>
    </w:p>
    <w:p w:rsidR="002B0735" w:rsidRDefault="00E247F3" w:rsidP="001E3E14">
      <w:pPr>
        <w:jc w:val="both"/>
        <w:rPr>
          <w:lang w:val="en-US"/>
        </w:rPr>
      </w:pPr>
      <w:r>
        <w:rPr>
          <w:lang w:val="en-US"/>
        </w:rPr>
        <w:t>As a result, d</w:t>
      </w:r>
      <w:r w:rsidR="009A474C">
        <w:rPr>
          <w:lang w:val="en-US"/>
        </w:rPr>
        <w:t xml:space="preserve">epending on the investment strategy of its managers, a real estate investment fund may not engage in real estate transactions of several years and engage into several real estate transactions for the following years. As a result, transaction costs are difficult to estimate in advance and </w:t>
      </w:r>
      <w:proofErr w:type="spellStart"/>
      <w:r w:rsidR="009A474C">
        <w:rPr>
          <w:lang w:val="en-US"/>
        </w:rPr>
        <w:t>annualization</w:t>
      </w:r>
      <w:proofErr w:type="spellEnd"/>
      <w:r w:rsidR="009A474C">
        <w:rPr>
          <w:lang w:val="en-US"/>
        </w:rPr>
        <w:t xml:space="preserve"> on a three year period </w:t>
      </w:r>
      <w:r w:rsidR="0061068A">
        <w:rPr>
          <w:lang w:val="en-US"/>
        </w:rPr>
        <w:t xml:space="preserve">would most likely not be applicable </w:t>
      </w:r>
      <w:r w:rsidR="009A474C">
        <w:rPr>
          <w:lang w:val="en-US"/>
        </w:rPr>
        <w:t xml:space="preserve">for a given fund. </w:t>
      </w:r>
    </w:p>
    <w:p w:rsidR="009A474C" w:rsidRDefault="009A474C" w:rsidP="001E3E14">
      <w:pPr>
        <w:jc w:val="both"/>
        <w:rPr>
          <w:lang w:val="en-US"/>
        </w:rPr>
      </w:pPr>
    </w:p>
    <w:p w:rsidR="009A474C" w:rsidRDefault="009A474C" w:rsidP="001E3E14">
      <w:pPr>
        <w:jc w:val="both"/>
        <w:rPr>
          <w:lang w:val="en-US"/>
        </w:rPr>
      </w:pPr>
      <w:r>
        <w:rPr>
          <w:lang w:val="en-US"/>
        </w:rPr>
        <w:t>Overall, disclosing transaction costs in the in-going expenses for r</w:t>
      </w:r>
      <w:r w:rsidR="00D25D3F">
        <w:rPr>
          <w:lang w:val="en-US"/>
        </w:rPr>
        <w:t>eal estate investment funds is</w:t>
      </w:r>
      <w:r>
        <w:rPr>
          <w:lang w:val="en-US"/>
        </w:rPr>
        <w:t xml:space="preserve"> not mea</w:t>
      </w:r>
      <w:r>
        <w:rPr>
          <w:lang w:val="en-US"/>
        </w:rPr>
        <w:t>n</w:t>
      </w:r>
      <w:r>
        <w:rPr>
          <w:lang w:val="en-US"/>
        </w:rPr>
        <w:t xml:space="preserve">ingful for real estate investment funds. </w:t>
      </w:r>
    </w:p>
    <w:p w:rsidR="00240E38" w:rsidRDefault="00240E38" w:rsidP="001E3E14">
      <w:pPr>
        <w:jc w:val="both"/>
        <w:rPr>
          <w:lang w:val="en-US"/>
        </w:rPr>
      </w:pPr>
    </w:p>
    <w:p w:rsidR="00240E38" w:rsidRPr="00240E38" w:rsidRDefault="00240E38" w:rsidP="00240E38">
      <w:pPr>
        <w:pStyle w:val="Paragraphedeliste"/>
        <w:numPr>
          <w:ilvl w:val="0"/>
          <w:numId w:val="52"/>
        </w:numPr>
        <w:jc w:val="both"/>
        <w:rPr>
          <w:b/>
          <w:u w:val="single"/>
          <w:lang w:val="en-US"/>
        </w:rPr>
      </w:pPr>
      <w:r w:rsidRPr="00240E38">
        <w:rPr>
          <w:b/>
          <w:u w:val="single"/>
          <w:lang w:val="en-US"/>
        </w:rPr>
        <w:t xml:space="preserve">Risks </w:t>
      </w:r>
    </w:p>
    <w:p w:rsidR="00D216AD" w:rsidRDefault="00D216AD" w:rsidP="001E3E14">
      <w:pPr>
        <w:jc w:val="both"/>
        <w:rPr>
          <w:lang w:val="en-US"/>
        </w:rPr>
      </w:pPr>
    </w:p>
    <w:p w:rsidR="00C94E85" w:rsidRPr="00C94E85" w:rsidRDefault="00C94E85" w:rsidP="00C94E85">
      <w:pPr>
        <w:jc w:val="both"/>
        <w:rPr>
          <w:lang w:val="en-US"/>
        </w:rPr>
      </w:pPr>
      <w:r w:rsidRPr="00C94E85">
        <w:rPr>
          <w:lang w:val="en-US"/>
        </w:rPr>
        <w:t>ASPIM disagrees with the methodology provided in the draft Commission Delegated Regulation to co</w:t>
      </w:r>
      <w:r w:rsidRPr="00C94E85">
        <w:rPr>
          <w:lang w:val="en-US"/>
        </w:rPr>
        <w:t>m</w:t>
      </w:r>
      <w:r w:rsidRPr="00C94E85">
        <w:rPr>
          <w:lang w:val="en-US"/>
        </w:rPr>
        <w:t xml:space="preserve">pute the market risk for illiquid investment products. </w:t>
      </w:r>
    </w:p>
    <w:p w:rsidR="00C94E85" w:rsidRPr="00C94E85" w:rsidRDefault="00C94E85" w:rsidP="00C94E85">
      <w:pPr>
        <w:jc w:val="both"/>
        <w:rPr>
          <w:lang w:val="en-US"/>
        </w:rPr>
      </w:pPr>
    </w:p>
    <w:p w:rsidR="00C94E85" w:rsidRPr="00C94E85" w:rsidRDefault="00C94E85" w:rsidP="00C94E85">
      <w:pPr>
        <w:jc w:val="both"/>
        <w:rPr>
          <w:lang w:val="en-US"/>
        </w:rPr>
      </w:pPr>
      <w:r w:rsidRPr="00C94E85">
        <w:rPr>
          <w:lang w:val="en-US"/>
        </w:rPr>
        <w:t xml:space="preserve">In this respect, ASPIM would first like to stress that the methodology provided by ESMA, EBA and EIOPA on the draft Commission Delegated Regulation results in assigning the same or a very close risk class number for all types of investment funds whose underlying assets are illiquid or for which insufficient data is available to compute the market risk. Moreover the spectrum of volatilities considered to discriminate between risk classes appear to be absolutely too narrow at the low end. Volatilities are themselves subject to variations over time which motivates the use of </w:t>
      </w:r>
      <w:proofErr w:type="spellStart"/>
      <w:r w:rsidRPr="00C94E85">
        <w:rPr>
          <w:lang w:val="en-US"/>
        </w:rPr>
        <w:t>heteroscedastic</w:t>
      </w:r>
      <w:proofErr w:type="spellEnd"/>
      <w:r w:rsidRPr="00C94E85">
        <w:rPr>
          <w:lang w:val="en-US"/>
        </w:rPr>
        <w:t xml:space="preserve"> modeling in risk control procedures and such a narrow spectrum could mean very frequent changes in risk classes.</w:t>
      </w:r>
    </w:p>
    <w:p w:rsidR="00C94E85" w:rsidRPr="00C94E85" w:rsidRDefault="00C94E85" w:rsidP="00C94E85">
      <w:pPr>
        <w:jc w:val="both"/>
        <w:rPr>
          <w:lang w:val="en-US"/>
        </w:rPr>
      </w:pPr>
    </w:p>
    <w:p w:rsidR="00C94E85" w:rsidRPr="00C94E85" w:rsidRDefault="00C94E85" w:rsidP="00C94E85">
      <w:pPr>
        <w:jc w:val="both"/>
        <w:rPr>
          <w:lang w:val="en-US"/>
        </w:rPr>
      </w:pPr>
      <w:r w:rsidRPr="00C94E85">
        <w:rPr>
          <w:lang w:val="en-US"/>
        </w:rPr>
        <w:t xml:space="preserve">Also, ASPIM would like to stress the discrepancies that the draft Commission Delegated Regulation would create with other European Regulations if it were to be implemented. Indeed, Directive Solvency II already treats real estate investment funds as less risky products than traded corporate shares and private equity. Solvency capital requirements applicable under Directive Solvency II amounts to 25% for real estate </w:t>
      </w:r>
      <w:r w:rsidRPr="00C94E85">
        <w:rPr>
          <w:lang w:val="en-US"/>
        </w:rPr>
        <w:lastRenderedPageBreak/>
        <w:t>investment funds with limited recourse to leverage effect while 39% is necessary for OECD traded stocks and 49% for private equity and stocks traded on emerging markets. Given this framework, it is totally contradictory to provide in the PRIIPS Regulation that real estate investment fun</w:t>
      </w:r>
      <w:r w:rsidR="00AD77F7">
        <w:rPr>
          <w:lang w:val="en-US"/>
        </w:rPr>
        <w:t>ds, depending on the liquidity offered, should be assigned to class 5</w:t>
      </w:r>
      <w:r w:rsidRPr="00C94E85">
        <w:rPr>
          <w:lang w:val="en-US"/>
        </w:rPr>
        <w:t xml:space="preserve"> on the market risk </w:t>
      </w:r>
      <w:r w:rsidR="00AD77F7">
        <w:rPr>
          <w:lang w:val="en-US"/>
        </w:rPr>
        <w:t>scale, as private equity funds.</w:t>
      </w:r>
    </w:p>
    <w:p w:rsidR="00C94E85" w:rsidRPr="00C94E85" w:rsidRDefault="00C94E85" w:rsidP="00C94E85">
      <w:pPr>
        <w:jc w:val="both"/>
        <w:rPr>
          <w:lang w:val="en-US"/>
        </w:rPr>
      </w:pPr>
    </w:p>
    <w:p w:rsidR="00C94E85" w:rsidRPr="00C94E85" w:rsidRDefault="00C94E85" w:rsidP="00C94E85">
      <w:pPr>
        <w:jc w:val="both"/>
        <w:rPr>
          <w:lang w:val="en-US"/>
        </w:rPr>
      </w:pPr>
      <w:r w:rsidRPr="00C94E85">
        <w:rPr>
          <w:lang w:val="en-US"/>
        </w:rPr>
        <w:t xml:space="preserve">Besides, ASPIM would like to stress that the liquidity of an investment product should not only be based on the liquidity of the underlying assets and on the possibility to obtain the redemption of the units/shares subscribed in a said investment fund but also on the possibility to sell the investment on the secondary market and on the foreseeable price that an investor could obtain on this market. </w:t>
      </w:r>
    </w:p>
    <w:p w:rsidR="00C94E85" w:rsidRPr="00C94E85" w:rsidRDefault="00C94E85" w:rsidP="00C94E85">
      <w:pPr>
        <w:jc w:val="both"/>
        <w:rPr>
          <w:lang w:val="en-US"/>
        </w:rPr>
      </w:pPr>
    </w:p>
    <w:p w:rsidR="00C94E85" w:rsidRPr="00C94E85" w:rsidRDefault="00C94E85" w:rsidP="00C94E85">
      <w:pPr>
        <w:jc w:val="both"/>
        <w:rPr>
          <w:lang w:val="en-US"/>
        </w:rPr>
      </w:pPr>
      <w:r w:rsidRPr="00C94E85">
        <w:rPr>
          <w:lang w:val="en-US"/>
        </w:rPr>
        <w:t>In this respect, it should be reminded that many investors investing in French real estate investment funds keep their investments for more than 30 years to obtain regular distributions in the long-run and constitute retirement savings. The fact that the investors may not be entitled to obtain the redemption of their shares/units in a real estate investment fund does not mean that (</w:t>
      </w:r>
      <w:proofErr w:type="spellStart"/>
      <w:r w:rsidRPr="00C94E85">
        <w:rPr>
          <w:lang w:val="en-US"/>
        </w:rPr>
        <w:t>i</w:t>
      </w:r>
      <w:proofErr w:type="spellEnd"/>
      <w:r w:rsidRPr="00C94E85">
        <w:rPr>
          <w:lang w:val="en-US"/>
        </w:rPr>
        <w:t xml:space="preserve">) the investment product is risky and does not provide secure and regular incomes, (ii) that a secondary market is not active and does not allow investors to liquidate their investment, and (iii) that the investors would make a loss when terminating their investment. </w:t>
      </w:r>
    </w:p>
    <w:p w:rsidR="00C94E85" w:rsidRPr="00C94E85" w:rsidRDefault="00C94E85" w:rsidP="00C94E85">
      <w:pPr>
        <w:jc w:val="both"/>
        <w:rPr>
          <w:lang w:val="en-US"/>
        </w:rPr>
      </w:pPr>
    </w:p>
    <w:p w:rsidR="00C94E85" w:rsidRPr="00C94E85" w:rsidRDefault="00C94E85" w:rsidP="00C94E85">
      <w:pPr>
        <w:jc w:val="both"/>
        <w:rPr>
          <w:lang w:val="en-US"/>
        </w:rPr>
      </w:pPr>
      <w:r w:rsidRPr="00C94E85">
        <w:rPr>
          <w:lang w:val="en-US"/>
        </w:rPr>
        <w:t xml:space="preserve">As a consequence, it clearly appears that the qualitative criteria selected by the ESMA, EBA, EIOPA to assess the market risk for illiquid investment products are not appropriate. </w:t>
      </w:r>
    </w:p>
    <w:p w:rsidR="00C94E85" w:rsidRPr="00C94E85" w:rsidRDefault="00C94E85" w:rsidP="00C94E85">
      <w:pPr>
        <w:jc w:val="both"/>
        <w:rPr>
          <w:lang w:val="en-US"/>
        </w:rPr>
      </w:pPr>
    </w:p>
    <w:p w:rsidR="00240E38" w:rsidRDefault="00C94E85" w:rsidP="00C94E85">
      <w:pPr>
        <w:jc w:val="both"/>
        <w:rPr>
          <w:lang w:val="en-US"/>
        </w:rPr>
      </w:pPr>
      <w:r w:rsidRPr="00C94E85">
        <w:rPr>
          <w:lang w:val="en-US"/>
        </w:rPr>
        <w:t>Overall, the computation and scale of the market risk for the summary risk indicator presented in the draft Commission Delegated Regulation is not satisfactory.</w:t>
      </w:r>
    </w:p>
    <w:p w:rsidR="00C94E85" w:rsidRDefault="00C94E85" w:rsidP="00C94E85">
      <w:pPr>
        <w:jc w:val="both"/>
        <w:rPr>
          <w:lang w:val="en-US"/>
        </w:rPr>
      </w:pPr>
    </w:p>
    <w:p w:rsidR="00240E38" w:rsidRPr="00240E38" w:rsidRDefault="00240E38" w:rsidP="00240E38">
      <w:pPr>
        <w:pStyle w:val="Paragraphedeliste"/>
        <w:numPr>
          <w:ilvl w:val="0"/>
          <w:numId w:val="52"/>
        </w:numPr>
        <w:jc w:val="both"/>
        <w:rPr>
          <w:b/>
          <w:u w:val="single"/>
          <w:lang w:val="en-US"/>
        </w:rPr>
      </w:pPr>
      <w:r w:rsidRPr="00240E38">
        <w:rPr>
          <w:b/>
          <w:u w:val="single"/>
          <w:lang w:val="en-US"/>
        </w:rPr>
        <w:t xml:space="preserve">Performance </w:t>
      </w:r>
    </w:p>
    <w:p w:rsidR="00E8013D" w:rsidRDefault="00E8013D" w:rsidP="00D34282">
      <w:pPr>
        <w:rPr>
          <w:lang w:val="en-US"/>
        </w:rPr>
      </w:pPr>
    </w:p>
    <w:p w:rsidR="00490DDF" w:rsidRDefault="00490DDF" w:rsidP="00490DDF">
      <w:pPr>
        <w:jc w:val="both"/>
        <w:rPr>
          <w:lang w:val="en-US"/>
        </w:rPr>
      </w:pPr>
      <w:r>
        <w:rPr>
          <w:lang w:val="en-US"/>
        </w:rPr>
        <w:t xml:space="preserve">Finally, ASPIM would like to make several comments on the presentation of performance scenarios. </w:t>
      </w:r>
    </w:p>
    <w:p w:rsidR="00490DDF" w:rsidRDefault="00490DDF" w:rsidP="00490DDF">
      <w:pPr>
        <w:jc w:val="both"/>
        <w:rPr>
          <w:lang w:val="en-US"/>
        </w:rPr>
      </w:pPr>
    </w:p>
    <w:p w:rsidR="00490DDF" w:rsidRDefault="00490DDF" w:rsidP="00490DDF">
      <w:pPr>
        <w:jc w:val="both"/>
        <w:rPr>
          <w:lang w:val="en-US"/>
        </w:rPr>
      </w:pPr>
      <w:r>
        <w:rPr>
          <w:lang w:val="en-US"/>
        </w:rPr>
        <w:t>ASPIM considers that the approach followed in the draft Commission Delegated Regulation not to provide criteria and parameters that all PRIIPS manufacturers would have to comply with is appropriate. Indeed, it is clearly impossible to provide a set of parameters that would be relevant for all the categories of inves</w:t>
      </w:r>
      <w:r>
        <w:rPr>
          <w:lang w:val="en-US"/>
        </w:rPr>
        <w:t>t</w:t>
      </w:r>
      <w:r>
        <w:rPr>
          <w:lang w:val="en-US"/>
        </w:rPr>
        <w:t xml:space="preserve">ment products falling into the scope of the PRIIPS Regulation. </w:t>
      </w:r>
      <w:r w:rsidR="00ED3E1C">
        <w:rPr>
          <w:lang w:val="en-US"/>
        </w:rPr>
        <w:t xml:space="preserve">Indeed, the draft Commission Delegated Regulation should leave room for the industry to define in coordination with the national regulators criteria and parameters that are appropriate to each asset class. </w:t>
      </w:r>
    </w:p>
    <w:p w:rsidR="0085268C" w:rsidRDefault="0085268C" w:rsidP="00490DDF">
      <w:pPr>
        <w:jc w:val="both"/>
        <w:rPr>
          <w:lang w:val="en-US"/>
        </w:rPr>
      </w:pPr>
    </w:p>
    <w:p w:rsidR="00490DDF" w:rsidRDefault="0085268C" w:rsidP="00490DDF">
      <w:pPr>
        <w:jc w:val="both"/>
        <w:rPr>
          <w:lang w:val="en-US"/>
        </w:rPr>
      </w:pPr>
      <w:r>
        <w:rPr>
          <w:lang w:val="en-US"/>
        </w:rPr>
        <w:t>However, ASPIM disagrees with the approach taken under paragraph IV of Annex IV which specifies that the performance scenarios should only be based on “</w:t>
      </w:r>
      <w:r w:rsidRPr="0085268C">
        <w:rPr>
          <w:i/>
          <w:lang w:val="en-US"/>
        </w:rPr>
        <w:t>assumptions about future market conditions and price movements</w:t>
      </w:r>
      <w:r>
        <w:rPr>
          <w:lang w:val="en-US"/>
        </w:rPr>
        <w:t>”. Indeed, ASPIM believes that at least one of the scenarios presented in the KID should be based on historical data as these data are the most reliable data available, in particular, for real estate investment funds</w:t>
      </w:r>
      <w:r w:rsidR="004853C0">
        <w:rPr>
          <w:lang w:val="en-US"/>
        </w:rPr>
        <w:t xml:space="preserve"> and constitute ve</w:t>
      </w:r>
      <w:r>
        <w:rPr>
          <w:lang w:val="en-US"/>
        </w:rPr>
        <w:t xml:space="preserve">ry valuable information for investors. </w:t>
      </w:r>
    </w:p>
    <w:p w:rsidR="0085268C" w:rsidRDefault="0085268C" w:rsidP="00490DDF">
      <w:pPr>
        <w:jc w:val="both"/>
        <w:rPr>
          <w:lang w:val="en-US"/>
        </w:rPr>
      </w:pPr>
    </w:p>
    <w:p w:rsidR="00490DDF" w:rsidRDefault="0085268C" w:rsidP="00490DDF">
      <w:pPr>
        <w:jc w:val="both"/>
        <w:rPr>
          <w:lang w:val="en-US"/>
        </w:rPr>
      </w:pPr>
      <w:r>
        <w:rPr>
          <w:lang w:val="en-US"/>
        </w:rPr>
        <w:t>Besides, ASPIM disagrees with the presentation of performance in the KID in monetary values</w:t>
      </w:r>
      <w:r w:rsidR="00F931BF">
        <w:rPr>
          <w:lang w:val="en-US"/>
        </w:rPr>
        <w:t xml:space="preserve"> (the same comment applies for the presentation of costs)</w:t>
      </w:r>
      <w:r>
        <w:rPr>
          <w:lang w:val="en-US"/>
        </w:rPr>
        <w:t>. Indeed, p</w:t>
      </w:r>
      <w:r w:rsidR="00490DDF">
        <w:rPr>
          <w:lang w:val="en-US"/>
        </w:rPr>
        <w:t xml:space="preserve">erformances </w:t>
      </w:r>
      <w:r>
        <w:rPr>
          <w:lang w:val="en-US"/>
        </w:rPr>
        <w:t>presented in the prospective pe</w:t>
      </w:r>
      <w:r>
        <w:rPr>
          <w:lang w:val="en-US"/>
        </w:rPr>
        <w:t>r</w:t>
      </w:r>
      <w:r>
        <w:rPr>
          <w:lang w:val="en-US"/>
        </w:rPr>
        <w:t>formance scenarios would</w:t>
      </w:r>
      <w:r w:rsidR="00490DDF">
        <w:rPr>
          <w:lang w:val="en-US"/>
        </w:rPr>
        <w:t xml:space="preserve"> </w:t>
      </w:r>
      <w:r>
        <w:rPr>
          <w:lang w:val="en-US"/>
        </w:rPr>
        <w:t xml:space="preserve">be </w:t>
      </w:r>
      <w:r w:rsidR="00490DDF">
        <w:rPr>
          <w:lang w:val="en-US"/>
        </w:rPr>
        <w:t>estimates</w:t>
      </w:r>
      <w:r>
        <w:rPr>
          <w:lang w:val="en-US"/>
        </w:rPr>
        <w:t xml:space="preserve"> for which no accurate figures </w:t>
      </w:r>
      <w:r w:rsidR="00F931BF">
        <w:rPr>
          <w:lang w:val="en-US"/>
        </w:rPr>
        <w:t>may be computed</w:t>
      </w:r>
      <w:r>
        <w:rPr>
          <w:lang w:val="en-US"/>
        </w:rPr>
        <w:t xml:space="preserve">. </w:t>
      </w:r>
    </w:p>
    <w:p w:rsidR="00490DDF" w:rsidRDefault="00490DDF" w:rsidP="00490DDF">
      <w:pPr>
        <w:jc w:val="both"/>
        <w:rPr>
          <w:lang w:val="en-US"/>
        </w:rPr>
      </w:pPr>
    </w:p>
    <w:p w:rsidR="00490DDF" w:rsidRDefault="00490DDF" w:rsidP="00490DDF">
      <w:pPr>
        <w:jc w:val="both"/>
        <w:rPr>
          <w:lang w:val="en-US"/>
        </w:rPr>
      </w:pPr>
      <w:r>
        <w:rPr>
          <w:lang w:val="en-US"/>
        </w:rPr>
        <w:t>Also, if monetary values are provided in the KID, it may be confusing for investors who may tend to co</w:t>
      </w:r>
      <w:r>
        <w:rPr>
          <w:lang w:val="en-US"/>
        </w:rPr>
        <w:t>n</w:t>
      </w:r>
      <w:r>
        <w:rPr>
          <w:lang w:val="en-US"/>
        </w:rPr>
        <w:t xml:space="preserve">sider these figures as effective while they only constitute estimates. </w:t>
      </w:r>
    </w:p>
    <w:p w:rsidR="00490DDF" w:rsidRDefault="00490DDF" w:rsidP="00490DDF">
      <w:pPr>
        <w:jc w:val="both"/>
        <w:rPr>
          <w:lang w:val="en-US"/>
        </w:rPr>
      </w:pPr>
    </w:p>
    <w:p w:rsidR="00490DDF" w:rsidRDefault="0085268C" w:rsidP="00490DDF">
      <w:pPr>
        <w:jc w:val="both"/>
        <w:rPr>
          <w:lang w:val="en-US"/>
        </w:rPr>
      </w:pPr>
      <w:r>
        <w:rPr>
          <w:lang w:val="en-US"/>
        </w:rPr>
        <w:t>It should also be noted that</w:t>
      </w:r>
      <w:r w:rsidR="00490DDF">
        <w:rPr>
          <w:lang w:val="en-US"/>
        </w:rPr>
        <w:t>, the default amount of 1 000 euros provided in the draft Commission Deleg</w:t>
      </w:r>
      <w:r w:rsidR="00490DDF">
        <w:rPr>
          <w:lang w:val="en-US"/>
        </w:rPr>
        <w:t>a</w:t>
      </w:r>
      <w:r w:rsidR="00490DDF">
        <w:rPr>
          <w:lang w:val="en-US"/>
        </w:rPr>
        <w:t xml:space="preserve">tion Regulation may not </w:t>
      </w:r>
      <w:r w:rsidR="00F931BF">
        <w:rPr>
          <w:lang w:val="en-US"/>
        </w:rPr>
        <w:t xml:space="preserve">be </w:t>
      </w:r>
      <w:r w:rsidR="00490DDF">
        <w:rPr>
          <w:lang w:val="en-US"/>
        </w:rPr>
        <w:t>appropriate for every category of investment funds. This is why ASPIM b</w:t>
      </w:r>
      <w:r w:rsidR="00490DDF">
        <w:rPr>
          <w:lang w:val="en-US"/>
        </w:rPr>
        <w:t>e</w:t>
      </w:r>
      <w:r w:rsidR="00490DDF">
        <w:rPr>
          <w:lang w:val="en-US"/>
        </w:rPr>
        <w:t xml:space="preserve">lieves percentages provided clearer information for investors. </w:t>
      </w:r>
    </w:p>
    <w:p w:rsidR="0085268C" w:rsidRDefault="0085268C" w:rsidP="00490DDF">
      <w:pPr>
        <w:jc w:val="both"/>
        <w:rPr>
          <w:lang w:val="en-US"/>
        </w:rPr>
      </w:pPr>
    </w:p>
    <w:p w:rsidR="0085268C" w:rsidRDefault="0085268C" w:rsidP="00490DDF">
      <w:pPr>
        <w:jc w:val="both"/>
        <w:rPr>
          <w:lang w:val="en-US"/>
        </w:rPr>
      </w:pPr>
    </w:p>
    <w:p w:rsidR="0085268C" w:rsidRDefault="0085268C" w:rsidP="0085268C">
      <w:pPr>
        <w:jc w:val="center"/>
        <w:rPr>
          <w:lang w:val="en-US"/>
        </w:rPr>
      </w:pPr>
      <w:r>
        <w:rPr>
          <w:lang w:val="en-US"/>
        </w:rPr>
        <w:t>***</w:t>
      </w:r>
    </w:p>
    <w:p w:rsidR="00490DDF" w:rsidRPr="00E6527E" w:rsidRDefault="00490DDF" w:rsidP="00490DDF">
      <w:pPr>
        <w:jc w:val="both"/>
        <w:rPr>
          <w:lang w:val="en-US"/>
        </w:rPr>
      </w:pPr>
    </w:p>
    <w:p w:rsidR="00490DDF" w:rsidRDefault="00490DDF" w:rsidP="00490DDF">
      <w:pPr>
        <w:jc w:val="both"/>
        <w:rPr>
          <w:lang w:val="en-US"/>
        </w:rPr>
      </w:pPr>
      <w:r>
        <w:rPr>
          <w:lang w:val="en-US"/>
        </w:rPr>
        <w:t xml:space="preserve">ASPIM hopes that ESMA, EBA and EIOPA will take the abovementioned arguments into consideration and provide the necessary adjustments to the draft Commission Delegated Regulation to ensure that </w:t>
      </w:r>
      <w:r>
        <w:rPr>
          <w:lang w:val="en-US"/>
        </w:rPr>
        <w:lastRenderedPageBreak/>
        <w:t>information regarding real estate investment funds provided in the KID will not be inaccurate and mislea</w:t>
      </w:r>
      <w:r>
        <w:rPr>
          <w:lang w:val="en-US"/>
        </w:rPr>
        <w:t>d</w:t>
      </w:r>
      <w:r>
        <w:rPr>
          <w:lang w:val="en-US"/>
        </w:rPr>
        <w:t xml:space="preserve">ing. </w:t>
      </w:r>
    </w:p>
    <w:p w:rsidR="00490DDF" w:rsidRDefault="00490DDF" w:rsidP="00490DDF">
      <w:pPr>
        <w:jc w:val="both"/>
        <w:rPr>
          <w:lang w:val="en-US"/>
        </w:rPr>
      </w:pPr>
    </w:p>
    <w:p w:rsidR="00490DDF" w:rsidRDefault="00490DDF" w:rsidP="00490DDF">
      <w:pPr>
        <w:jc w:val="both"/>
        <w:rPr>
          <w:lang w:val="en-US"/>
        </w:rPr>
      </w:pPr>
      <w:r>
        <w:rPr>
          <w:lang w:val="en-US"/>
        </w:rPr>
        <w:t xml:space="preserve">ASPIM has also provided answers to the specific questions raised by ESMA, EBA and EIOPA in the Joint Consultation Paper that will be found in the questionnaire below. </w:t>
      </w:r>
    </w:p>
    <w:p w:rsidR="00490DDF" w:rsidRDefault="00490DDF" w:rsidP="00490DDF">
      <w:pPr>
        <w:jc w:val="both"/>
        <w:rPr>
          <w:lang w:val="en-US"/>
        </w:rPr>
      </w:pPr>
    </w:p>
    <w:p w:rsidR="00490DDF" w:rsidRDefault="00490DDF" w:rsidP="00490DDF">
      <w:pPr>
        <w:jc w:val="both"/>
        <w:rPr>
          <w:lang w:val="en-US"/>
        </w:rPr>
      </w:pPr>
      <w:r>
        <w:rPr>
          <w:lang w:val="en-US"/>
        </w:rPr>
        <w:t>ASPIM would be happy to provide further input if ESMA, EBA and EIOPA wish so.</w:t>
      </w:r>
    </w:p>
    <w:p w:rsidR="00490DDF" w:rsidRDefault="00490DDF" w:rsidP="00D34282">
      <w:pPr>
        <w:rPr>
          <w:lang w:val="en-US"/>
        </w:rPr>
      </w:pPr>
    </w:p>
    <w:permEnd w:id="1746960314"/>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CF308D" w:rsidRDefault="00033557" w:rsidP="00CF308D">
      <w:pPr>
        <w:jc w:val="both"/>
      </w:pPr>
      <w:permStart w:id="511334956" w:edGrp="everyone"/>
      <w:r>
        <w:t xml:space="preserve">In ASPIM’s point of view, it is not necessary for ESMA, EBA and EIOPA to provide guidelines regarding </w:t>
      </w:r>
      <w:r w:rsidR="00CF308D">
        <w:t xml:space="preserve">the circumstances under which a comprehension alert should be included in the KID. </w:t>
      </w:r>
    </w:p>
    <w:p w:rsidR="00CF308D" w:rsidRDefault="00CF308D" w:rsidP="00CF308D">
      <w:pPr>
        <w:jc w:val="both"/>
      </w:pPr>
    </w:p>
    <w:p w:rsidR="00FE3B64" w:rsidRDefault="00CF308D" w:rsidP="00CF308D">
      <w:pPr>
        <w:jc w:val="both"/>
      </w:pPr>
      <w:r>
        <w:t>Indeed, Recital 18 of the PRIIPS Regulation is already clear</w:t>
      </w:r>
      <w:r w:rsidR="00FE3B64">
        <w:t xml:space="preserve"> and enables producers of investment pro</w:t>
      </w:r>
      <w:r w:rsidR="00FE3B64">
        <w:t>d</w:t>
      </w:r>
      <w:r w:rsidR="00FE3B64">
        <w:t>ucts to themselves define whether it is necessary to include the comprehension alert in the KID or not</w:t>
      </w:r>
      <w:r>
        <w:t xml:space="preserve">. </w:t>
      </w:r>
    </w:p>
    <w:p w:rsidR="00FE3B64" w:rsidRDefault="00FE3B64" w:rsidP="00CF308D">
      <w:pPr>
        <w:jc w:val="both"/>
      </w:pPr>
    </w:p>
    <w:p w:rsidR="00FE3B64" w:rsidRDefault="00FE3B64" w:rsidP="00CF308D">
      <w:pPr>
        <w:jc w:val="both"/>
      </w:pPr>
      <w:r>
        <w:t xml:space="preserve">Firstly, </w:t>
      </w:r>
      <w:r w:rsidR="00691487">
        <w:t>i</w:t>
      </w:r>
      <w:r w:rsidR="00CF308D">
        <w:t>t specifies that a comprehension alert should be provided in a KID for a given investment product when such product is not simple and may be difficult to rea</w:t>
      </w:r>
      <w:r>
        <w:t>d</w:t>
      </w:r>
      <w:r w:rsidR="00CF308D">
        <w:t xml:space="preserve">. </w:t>
      </w:r>
    </w:p>
    <w:p w:rsidR="00FE3B64" w:rsidRDefault="00FE3B64" w:rsidP="00CF308D">
      <w:pPr>
        <w:jc w:val="both"/>
      </w:pPr>
    </w:p>
    <w:p w:rsidR="00FE3B64" w:rsidRDefault="00FE3B64" w:rsidP="00CF308D">
      <w:pPr>
        <w:jc w:val="both"/>
      </w:pPr>
      <w:r>
        <w:t>Secondly</w:t>
      </w:r>
      <w:r w:rsidR="00CF308D">
        <w:t xml:space="preserve">, Recital 18 </w:t>
      </w:r>
      <w:r>
        <w:t xml:space="preserve">specifies that </w:t>
      </w:r>
      <w:r w:rsidR="00CF308D">
        <w:t>“</w:t>
      </w:r>
      <w:r w:rsidR="00CF308D" w:rsidRPr="00CF308D">
        <w:rPr>
          <w:i/>
        </w:rPr>
        <w:t>a product should be regard</w:t>
      </w:r>
      <w:r w:rsidR="00CF308D">
        <w:rPr>
          <w:i/>
        </w:rPr>
        <w:t>ed</w:t>
      </w:r>
      <w:r w:rsidR="00CF308D" w:rsidRPr="00CF308D">
        <w:rPr>
          <w:i/>
        </w:rPr>
        <w:t xml:space="preserve"> as not being simple and as being diff</w:t>
      </w:r>
      <w:r w:rsidR="00CF308D" w:rsidRPr="00CF308D">
        <w:rPr>
          <w:i/>
        </w:rPr>
        <w:t>i</w:t>
      </w:r>
      <w:r w:rsidR="00CF308D" w:rsidRPr="00CF308D">
        <w:rPr>
          <w:i/>
        </w:rPr>
        <w:t>cult to understand in particular if it invests in underlying assets in which retail investors do not commonly invest, if it uses a number of different mechanisms to calculate the final return of the investment, creating a greater risk of misunderstanding on the part of the retail investor of if the investment’s pay-off takes advantage of retail investor’s behavioural biases, such as teaser rate followed by a much higher floating conditional rate, or an iterative formula</w:t>
      </w:r>
      <w:r w:rsidR="00CF308D">
        <w:t xml:space="preserve">”. </w:t>
      </w:r>
    </w:p>
    <w:p w:rsidR="00FE3B64" w:rsidRDefault="00FE3B64" w:rsidP="00CF308D">
      <w:pPr>
        <w:jc w:val="both"/>
      </w:pPr>
    </w:p>
    <w:p w:rsidR="002E576F" w:rsidRDefault="00FE3B64" w:rsidP="00CF308D">
      <w:pPr>
        <w:jc w:val="both"/>
      </w:pPr>
      <w:r>
        <w:t>Besides, ASPIM</w:t>
      </w:r>
      <w:r w:rsidR="002E576F">
        <w:t xml:space="preserve"> considers that providing further guidelines would be helpful for manufacturers of inves</w:t>
      </w:r>
      <w:r w:rsidR="002E576F">
        <w:t>t</w:t>
      </w:r>
      <w:r w:rsidR="002E576F">
        <w:t xml:space="preserve">ment products. </w:t>
      </w:r>
    </w:p>
    <w:p w:rsidR="002E576F" w:rsidRDefault="002E576F" w:rsidP="00CF308D">
      <w:pPr>
        <w:jc w:val="both"/>
      </w:pPr>
    </w:p>
    <w:p w:rsidR="002E576F" w:rsidRDefault="002E576F" w:rsidP="00CF308D">
      <w:pPr>
        <w:jc w:val="both"/>
      </w:pPr>
      <w:r>
        <w:t xml:space="preserve">In particular, if ESMA, EBA and EIOPA develop standardized criteria for all types of investment products, these criteria would most likely not be relevant for all classes of investment products. It is therefore better to stick with general criteria. </w:t>
      </w:r>
    </w:p>
    <w:p w:rsidR="002E576F" w:rsidRDefault="002E576F" w:rsidP="00CF308D">
      <w:pPr>
        <w:jc w:val="both"/>
      </w:pPr>
    </w:p>
    <w:p w:rsidR="00F017E5" w:rsidRDefault="002E576F" w:rsidP="00CF308D">
      <w:pPr>
        <w:jc w:val="both"/>
      </w:pPr>
      <w:r>
        <w:t>Moreover, ASPIM does not agree with the approach already taken by ESMA, EBA and EIOPA in its Di</w:t>
      </w:r>
      <w:r>
        <w:t>s</w:t>
      </w:r>
      <w:r>
        <w:t xml:space="preserve">cussion Paper of 17 November 2014 regarding the definition of a product that is not simple and difficult to understand. </w:t>
      </w:r>
    </w:p>
    <w:p w:rsidR="00F017E5" w:rsidRDefault="00F017E5" w:rsidP="00CF308D">
      <w:pPr>
        <w:jc w:val="both"/>
      </w:pPr>
    </w:p>
    <w:p w:rsidR="00F017E5" w:rsidRDefault="002E576F" w:rsidP="00CF308D">
      <w:pPr>
        <w:jc w:val="both"/>
      </w:pPr>
      <w:r>
        <w:t xml:space="preserve">Indeed, on page 75 of the Discussion Paper, ESMA, EBA and EIOPA state that an underlying asset that is not commonly invested in by retail investors should be understood as an investment product that </w:t>
      </w:r>
      <w:r w:rsidR="00F017E5">
        <w:t>is not listed in the assets in which a UCITS may invest. This approach is not acceptable for ASPIM as the UCITS list does not comprise all investment products that retail i</w:t>
      </w:r>
      <w:r w:rsidR="00F931BF">
        <w:t xml:space="preserve">nvestors may commonly invest in. </w:t>
      </w:r>
      <w:r w:rsidR="00F017E5">
        <w:t xml:space="preserve"> </w:t>
      </w:r>
    </w:p>
    <w:p w:rsidR="00F017E5" w:rsidRDefault="00F017E5" w:rsidP="00CF308D">
      <w:pPr>
        <w:jc w:val="both"/>
      </w:pPr>
    </w:p>
    <w:p w:rsidR="00F017E5" w:rsidRDefault="00F017E5" w:rsidP="00CF308D">
      <w:pPr>
        <w:jc w:val="both"/>
      </w:pPr>
      <w:r>
        <w:t xml:space="preserve">In particular, retail investors buy real estate assets for their personal housing. Therefore, it cannot be stated that because real estate assets are not included in the list of the assets in which UCITS may invest, that retail investors do not commonly invest in real estate investment products. </w:t>
      </w:r>
    </w:p>
    <w:p w:rsidR="00F017E5" w:rsidRDefault="00F017E5" w:rsidP="00CF308D">
      <w:pPr>
        <w:jc w:val="both"/>
      </w:pPr>
    </w:p>
    <w:p w:rsidR="00FE3B64" w:rsidRDefault="00F017E5" w:rsidP="00CF308D">
      <w:pPr>
        <w:jc w:val="both"/>
      </w:pPr>
      <w:r>
        <w:t xml:space="preserve">As a result, the UCITS list is not fully relevant and should not be taken as a criterion to define whether an investment product is simple or not. </w:t>
      </w:r>
    </w:p>
    <w:p w:rsidR="00F017E5" w:rsidRDefault="00F017E5" w:rsidP="00CF308D">
      <w:pPr>
        <w:jc w:val="both"/>
      </w:pPr>
    </w:p>
    <w:p w:rsidR="00F017E5" w:rsidRDefault="00F017E5" w:rsidP="00CF308D">
      <w:pPr>
        <w:jc w:val="both"/>
      </w:pPr>
      <w:r>
        <w:t xml:space="preserve">Overall, ASPIM considers that no additional list or criteria should be added as they would complicate the analysis and </w:t>
      </w:r>
      <w:r w:rsidR="00691487">
        <w:t xml:space="preserve">would </w:t>
      </w:r>
      <w:r>
        <w:t xml:space="preserve">not provide adequate standards applicable for all classes of investment products. </w:t>
      </w:r>
    </w:p>
    <w:p w:rsidR="00CF308D" w:rsidRDefault="00CF308D" w:rsidP="00CF308D">
      <w:pPr>
        <w:jc w:val="both"/>
      </w:pPr>
    </w:p>
    <w:permEnd w:id="511334956"/>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691487" w:rsidRDefault="00FE7D25" w:rsidP="00FE7D25">
      <w:pPr>
        <w:jc w:val="both"/>
      </w:pPr>
      <w:permStart w:id="1227773355" w:edGrp="everyone"/>
      <w:r>
        <w:t xml:space="preserve"> </w:t>
      </w:r>
      <w:r w:rsidR="00691487">
        <w:t>ASPIM disagrees with the presentation of absolute figures in the KID and with the presentation of a default of 1 000 euros.</w:t>
      </w:r>
    </w:p>
    <w:p w:rsidR="00691487" w:rsidRDefault="00691487" w:rsidP="00750796"/>
    <w:p w:rsidR="00FE7D25" w:rsidRDefault="00691487" w:rsidP="00FE7D25">
      <w:pPr>
        <w:jc w:val="both"/>
        <w:rPr>
          <w:rFonts w:cs="Arial"/>
          <w:lang w:val="en-US"/>
        </w:rPr>
      </w:pPr>
      <w:r>
        <w:t xml:space="preserve">In particular, </w:t>
      </w:r>
      <w:r w:rsidRPr="009C6844">
        <w:rPr>
          <w:rFonts w:cs="Arial"/>
          <w:lang w:val="en-US"/>
        </w:rPr>
        <w:t>absolute figures may wrongly lead investors to think that scenarios are personalized</w:t>
      </w:r>
      <w:r w:rsidR="00FE7D25">
        <w:rPr>
          <w:rFonts w:cs="Arial"/>
          <w:lang w:val="en-US"/>
        </w:rPr>
        <w:t xml:space="preserve">. Also, absolute figures are misleading for investors both in the performance scenarios and in the presentation of risks the amounts computed are only estimates. </w:t>
      </w:r>
    </w:p>
    <w:p w:rsidR="00FE7D25" w:rsidRDefault="00FE7D25" w:rsidP="00750796">
      <w:pPr>
        <w:rPr>
          <w:rFonts w:cs="Arial"/>
          <w:lang w:val="en-US"/>
        </w:rPr>
      </w:pPr>
    </w:p>
    <w:p w:rsidR="00FE7D25" w:rsidRDefault="00FE7D25" w:rsidP="00FE7D25">
      <w:pPr>
        <w:jc w:val="both"/>
        <w:rPr>
          <w:rFonts w:cs="Arial"/>
          <w:lang w:val="en-US"/>
        </w:rPr>
      </w:pPr>
      <w:r>
        <w:rPr>
          <w:rFonts w:cs="Arial"/>
          <w:lang w:val="en-US"/>
        </w:rPr>
        <w:t>In this respect, ASPIM considers that percentages facilitate comparison between different types of inves</w:t>
      </w:r>
      <w:r>
        <w:rPr>
          <w:rFonts w:cs="Arial"/>
          <w:lang w:val="en-US"/>
        </w:rPr>
        <w:t>t</w:t>
      </w:r>
      <w:r>
        <w:rPr>
          <w:rFonts w:cs="Arial"/>
          <w:lang w:val="en-US"/>
        </w:rPr>
        <w:t xml:space="preserve">ment products and would offer clearer information to investors. Presentation of costs with percentages is already applicable for UCITS KIID and would also be relevant for other investment products covered by the PRIIPS Regulation. </w:t>
      </w:r>
    </w:p>
    <w:p w:rsidR="00750796" w:rsidRPr="00580880" w:rsidRDefault="00691487" w:rsidP="00750796">
      <w:pPr>
        <w:rPr>
          <w:lang w:val="fr-FR"/>
        </w:rPr>
      </w:pPr>
      <w:r>
        <w:t xml:space="preserve"> </w:t>
      </w:r>
      <w:permEnd w:id="1227773355"/>
      <w:r w:rsidR="00750796" w:rsidRPr="00580880">
        <w:rPr>
          <w:lang w:val="fr-FR"/>
        </w:rPr>
        <w:t>&lt;ESMA_QUESTION_</w:t>
      </w:r>
      <w:r w:rsidR="003E4B00">
        <w:rPr>
          <w:lang w:val="fr-FR"/>
        </w:rPr>
        <w:t>PRIIPS</w:t>
      </w:r>
      <w:r w:rsidR="00750796"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FE7D25" w:rsidRDefault="00FE7D25" w:rsidP="00750796">
      <w:permStart w:id="1733439756" w:edGrp="everyone"/>
      <w:r>
        <w:t>Not applicable to real estate investment funds that would fall into Category V because of the illiquidity of the underlying assets for which only qualitative criteria are used.</w:t>
      </w:r>
    </w:p>
    <w:permEnd w:id="1733439756"/>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FE7D25" w:rsidP="00750796">
      <w:permStart w:id="204605433" w:edGrp="everyone"/>
      <w:r>
        <w:t>Not applicable to real estate investment funds that would fall into Category V because of the illiquidity of the underlying assets.</w:t>
      </w:r>
    </w:p>
    <w:permEnd w:id="204605433"/>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4D7FD2" w:rsidP="00750796">
      <w:permStart w:id="1627786145" w:edGrp="everyone"/>
      <w:r>
        <w:t>Y</w:t>
      </w:r>
      <w:r w:rsidR="00FE7D25">
        <w:t xml:space="preserve">es. However, it would </w:t>
      </w:r>
      <w:r>
        <w:t xml:space="preserve">not </w:t>
      </w:r>
      <w:r w:rsidR="00FE7D25">
        <w:t xml:space="preserve">be applicable to </w:t>
      </w:r>
      <w:proofErr w:type="gramStart"/>
      <w:r w:rsidR="00FE7D25">
        <w:t>French</w:t>
      </w:r>
      <w:proofErr w:type="gramEnd"/>
      <w:r w:rsidR="00FE7D25">
        <w:t xml:space="preserve"> real estate investment schemes</w:t>
      </w:r>
      <w:r w:rsidR="00435094">
        <w:t xml:space="preserve"> in practice</w:t>
      </w:r>
      <w:r w:rsidR="00FE7D25">
        <w:t xml:space="preserve">. </w:t>
      </w:r>
    </w:p>
    <w:p w:rsidR="00FE7D25" w:rsidRDefault="00FE7D25" w:rsidP="00750796"/>
    <w:permEnd w:id="1627786145"/>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435094" w:rsidRDefault="00FE7D25" w:rsidP="002414F9">
      <w:pPr>
        <w:jc w:val="both"/>
      </w:pPr>
      <w:permStart w:id="1646031561" w:edGrp="everyone"/>
      <w:r>
        <w:t xml:space="preserve">ASPIM disagrees with the possibility to voluntarily increase the disclosed SRI. </w:t>
      </w:r>
    </w:p>
    <w:p w:rsidR="00435094" w:rsidRDefault="00435094" w:rsidP="002414F9">
      <w:pPr>
        <w:jc w:val="both"/>
      </w:pPr>
    </w:p>
    <w:p w:rsidR="003E4B00" w:rsidRDefault="00FE7D25" w:rsidP="002414F9">
      <w:pPr>
        <w:jc w:val="both"/>
      </w:pPr>
      <w:r>
        <w:lastRenderedPageBreak/>
        <w:t>Indeed, by</w:t>
      </w:r>
      <w:r w:rsidR="00435094">
        <w:t xml:space="preserve"> authorizing PRIIPS manufacturers to voluntarily increase the SRI</w:t>
      </w:r>
      <w:r>
        <w:t xml:space="preserve">, </w:t>
      </w:r>
      <w:r w:rsidR="00435094">
        <w:t xml:space="preserve">the latter </w:t>
      </w:r>
      <w:r>
        <w:t>would be in a position to provide a subjective analysis of their prod</w:t>
      </w:r>
      <w:r w:rsidR="00435094">
        <w:t xml:space="preserve">ucts. As a result, </w:t>
      </w:r>
      <w:r>
        <w:t>the core purpose of defining comp</w:t>
      </w:r>
      <w:r>
        <w:t>u</w:t>
      </w:r>
      <w:r>
        <w:t xml:space="preserve">tation methodologies and guidelines in the Commission Delegation Regulation would be thwarted. </w:t>
      </w:r>
      <w:r w:rsidR="002414F9">
        <w:t>Also, enabling PRIIPS manufacturers to adjust the SRI on a discretionary basis would most likely impede</w:t>
      </w:r>
      <w:r w:rsidR="00435094">
        <w:t xml:space="preserve"> the reliability of the information disclosed in the KID</w:t>
      </w:r>
      <w:r w:rsidR="002414F9">
        <w:t xml:space="preserve">. </w:t>
      </w:r>
    </w:p>
    <w:p w:rsidR="00FE7D25" w:rsidRDefault="00FE7D25" w:rsidP="003E4B00"/>
    <w:p w:rsidR="00FE7D25" w:rsidRDefault="00435094" w:rsidP="002414F9">
      <w:pPr>
        <w:jc w:val="both"/>
      </w:pPr>
      <w:r>
        <w:t>In spite of the above</w:t>
      </w:r>
      <w:r w:rsidR="00FE7D25">
        <w:t xml:space="preserve">, if ESMA, EBA and EIOPA enable PRIIPS manufacturers to increase the disclosed SRI </w:t>
      </w:r>
      <w:r>
        <w:t xml:space="preserve">it would be fair and proportionate to </w:t>
      </w:r>
      <w:r w:rsidR="00FE7D25">
        <w:t>also enable PRIIPS manufacturers to decrease this indicator when there is evi</w:t>
      </w:r>
      <w:r>
        <w:t xml:space="preserve">dence, for instance, </w:t>
      </w:r>
      <w:r w:rsidR="00FE7D25">
        <w:t>that the methods of computation are inappropriate for a given i</w:t>
      </w:r>
      <w:r w:rsidR="00FE7D25">
        <w:t>n</w:t>
      </w:r>
      <w:r w:rsidR="00FE7D25">
        <w:t xml:space="preserve">vestment fund and do not accurately reveal the risks associated with such investment product. </w:t>
      </w:r>
    </w:p>
    <w:permEnd w:id="1646031561"/>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435094" w:rsidP="003E4B00">
      <w:permStart w:id="546707544" w:edGrp="everyone"/>
      <w:r>
        <w:t>Not applicable for real estate investment funds.</w:t>
      </w:r>
      <w:r w:rsidR="002414F9">
        <w:t xml:space="preserve"> </w:t>
      </w:r>
    </w:p>
    <w:permEnd w:id="546707544"/>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Pr="00580880" w:rsidRDefault="002414F9" w:rsidP="003E4B00">
      <w:pPr>
        <w:rPr>
          <w:lang w:val="fr-FR"/>
        </w:rPr>
      </w:pPr>
      <w:permStart w:id="1669285007" w:edGrp="everyone"/>
      <w:r>
        <w:t>ASPIM disagrees with the scale</w:t>
      </w:r>
      <w:r w:rsidR="00F931BF">
        <w:t xml:space="preserve"> provided in the d</w:t>
      </w:r>
      <w:r w:rsidR="00435094">
        <w:t>raft Commission Delegation Regulation</w:t>
      </w:r>
      <w:r>
        <w:t>.</w:t>
      </w:r>
      <w:r w:rsidR="00435094">
        <w:t xml:space="preserve"> Please refer</w:t>
      </w:r>
      <w:r w:rsidR="00F931BF">
        <w:t xml:space="preserve"> to section </w:t>
      </w:r>
      <w:r w:rsidR="0085268C">
        <w:t xml:space="preserve">II of our introduction for a detailed presentation of our members’ </w:t>
      </w:r>
      <w:r w:rsidR="00F931BF">
        <w:t>opinion on this scale of the</w:t>
      </w:r>
      <w:r w:rsidR="0085268C">
        <w:t xml:space="preserve"> MRM</w:t>
      </w:r>
      <w:r w:rsidR="00435094">
        <w:t xml:space="preserve">. </w:t>
      </w:r>
      <w:r>
        <w:t xml:space="preserve"> </w:t>
      </w:r>
      <w:permEnd w:id="1669285007"/>
      <w:r w:rsidR="003E4B00" w:rsidRPr="00580880">
        <w:rPr>
          <w:lang w:val="fr-FR"/>
        </w:rPr>
        <w:t>&lt;ESMA_QUESTION_</w:t>
      </w:r>
      <w:r w:rsidR="003E4B00">
        <w:rPr>
          <w:lang w:val="fr-FR"/>
        </w:rPr>
        <w:t>PRIIPS_8</w:t>
      </w:r>
      <w:r w:rsidR="003E4B00"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4D7FD2" w:rsidP="003E4B00">
      <w:permStart w:id="310595602" w:edGrp="everyone"/>
      <w:r>
        <w:t>This question is not relevant for French real estate investment funds</w:t>
      </w:r>
      <w:r w:rsidR="00BA06F0">
        <w:t xml:space="preserve">. </w:t>
      </w:r>
    </w:p>
    <w:permEnd w:id="310595602"/>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Pr="00580880" w:rsidRDefault="00BA06F0" w:rsidP="003E4B00">
      <w:pPr>
        <w:rPr>
          <w:lang w:val="fr-FR"/>
        </w:rPr>
      </w:pPr>
      <w:permStart w:id="251160406" w:edGrp="everyone"/>
      <w:r>
        <w:lastRenderedPageBreak/>
        <w:t>This question is n</w:t>
      </w:r>
      <w:r w:rsidR="00ED7691">
        <w:t xml:space="preserve">ot relevant for real estate investment firms. </w:t>
      </w:r>
      <w:permEnd w:id="251160406"/>
      <w:r w:rsidR="003E4B00" w:rsidRPr="00580880">
        <w:rPr>
          <w:lang w:val="fr-FR"/>
        </w:rPr>
        <w:t>&lt;ESMA_QUESTION_</w:t>
      </w:r>
      <w:r w:rsidR="003E4B00">
        <w:rPr>
          <w:lang w:val="fr-FR"/>
        </w:rPr>
        <w:t>PRIIPS_10</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Pr="00580880" w:rsidRDefault="00F931BF" w:rsidP="003E4B00">
      <w:pPr>
        <w:rPr>
          <w:lang w:val="fr-FR"/>
        </w:rPr>
      </w:pPr>
      <w:permStart w:id="1121125590" w:edGrp="everyone"/>
      <w:r>
        <w:t>This question is n</w:t>
      </w:r>
      <w:r w:rsidR="00BA06F0">
        <w:t xml:space="preserve">ot applicable for real estate investment funds. </w:t>
      </w:r>
      <w:permEnd w:id="1121125590"/>
      <w:r w:rsidR="003E4B00" w:rsidRPr="00580880">
        <w:rPr>
          <w:lang w:val="fr-FR"/>
        </w:rPr>
        <w:t>&lt;ESMA_QUESTION_</w:t>
      </w:r>
      <w:r w:rsidR="003E4B00">
        <w:rPr>
          <w:lang w:val="fr-FR"/>
        </w:rPr>
        <w:t>PRIIPS_11</w:t>
      </w:r>
      <w:r w:rsidR="003E4B00"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BA06F0" w:rsidRDefault="00BA06F0" w:rsidP="003E4B00">
      <w:permStart w:id="1346853722" w:edGrp="everyone"/>
      <w:r>
        <w:t xml:space="preserve">ASPIM does not consider that the currency risk should be taken into account. </w:t>
      </w:r>
    </w:p>
    <w:p w:rsidR="00BA06F0" w:rsidRDefault="00BA06F0" w:rsidP="003E4B00"/>
    <w:p w:rsidR="00BA06F0" w:rsidRDefault="00BA06F0" w:rsidP="00BA06F0">
      <w:pPr>
        <w:jc w:val="both"/>
      </w:pPr>
      <w:r>
        <w:t>Indeed, the KID is a document that is standardized for all eligible investors and does not contain any personalized item. If PRIIPS manufacturers were compelled to include currency risk in the risk indicator, they would have to differentiate KID depending on the jurisdiction where investors are located. This ou</w:t>
      </w:r>
      <w:r>
        <w:t>t</w:t>
      </w:r>
      <w:r>
        <w:t>come would not be consistent with the purpose of the PRIIPS Regulation to provide standardized info</w:t>
      </w:r>
      <w:r>
        <w:t>r</w:t>
      </w:r>
      <w:r>
        <w:t xml:space="preserve">mation for a given investment product. </w:t>
      </w:r>
    </w:p>
    <w:p w:rsidR="00BA06F0" w:rsidRDefault="00BA06F0" w:rsidP="00BA06F0">
      <w:pPr>
        <w:jc w:val="both"/>
      </w:pPr>
    </w:p>
    <w:p w:rsidR="00BA06F0" w:rsidRDefault="00BA06F0" w:rsidP="00BA06F0">
      <w:pPr>
        <w:jc w:val="both"/>
      </w:pPr>
      <w:r>
        <w:t xml:space="preserve">In practice, ASPIM does not consider that currency risk is an issue for French real estate investment funds as these funds are subscribed by French investors and, as of today, are not expected to extend beyond the Euro Zone. </w:t>
      </w:r>
    </w:p>
    <w:p w:rsidR="00BA06F0" w:rsidRDefault="00BA06F0" w:rsidP="00BA06F0">
      <w:pPr>
        <w:jc w:val="both"/>
      </w:pPr>
    </w:p>
    <w:p w:rsidR="003E4B00" w:rsidRPr="00580880" w:rsidRDefault="00BA06F0" w:rsidP="003E4B00">
      <w:pPr>
        <w:rPr>
          <w:lang w:val="fr-FR"/>
        </w:rPr>
      </w:pPr>
      <w:r>
        <w:t xml:space="preserve"> </w:t>
      </w:r>
      <w:permEnd w:id="1346853722"/>
      <w:r w:rsidR="003E4B00" w:rsidRPr="00580880">
        <w:rPr>
          <w:lang w:val="fr-FR"/>
        </w:rPr>
        <w:t>&lt;ESMA_QUESTION_</w:t>
      </w:r>
      <w:r w:rsidR="003E4B00">
        <w:rPr>
          <w:lang w:val="fr-FR"/>
        </w:rPr>
        <w:t>PRIIPS_12</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A31794" w:rsidP="003E4B00">
      <w:permStart w:id="483687075" w:edGrp="everyone"/>
      <w:r>
        <w:t>This question is n</w:t>
      </w:r>
      <w:r w:rsidR="00295914">
        <w:t xml:space="preserve">ot applicable to real estate investment funds. </w:t>
      </w:r>
    </w:p>
    <w:permEnd w:id="483687075"/>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 xml:space="preserve">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w:t>
      </w:r>
      <w:r w:rsidRPr="00A2049D">
        <w:rPr>
          <w:rFonts w:ascii="Calibri" w:hAnsi="Calibri"/>
          <w:i/>
          <w:sz w:val="22"/>
          <w:lang w:eastAsia="en-US"/>
        </w:rPr>
        <w:lastRenderedPageBreak/>
        <w:t>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BA06F0" w:rsidRDefault="00BA06F0" w:rsidP="003E4B00">
      <w:permStart w:id="1057431208" w:edGrp="everyone"/>
      <w:r>
        <w:t xml:space="preserve">Performance fees are not relevant in the context of real estate investment funds. </w:t>
      </w:r>
    </w:p>
    <w:permEnd w:id="1057431208"/>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95878" w:rsidRDefault="00BA06F0" w:rsidP="003E4B00">
      <w:permStart w:id="172113393" w:edGrp="everyone"/>
      <w:r>
        <w:t xml:space="preserve">ASPIM considers that there should not be a combination of both presentations as it would provide too much information for a three pages document. In most cases, including for illiquid investment products, </w:t>
      </w:r>
      <w:r w:rsidR="00395878">
        <w:t xml:space="preserve">the presentation as a table should be sufficient. </w:t>
      </w:r>
    </w:p>
    <w:p w:rsidR="00395878" w:rsidRDefault="00395878" w:rsidP="003E4B00"/>
    <w:p w:rsidR="00395878" w:rsidRDefault="00395878" w:rsidP="0085268C">
      <w:pPr>
        <w:jc w:val="both"/>
      </w:pPr>
      <w:r>
        <w:t xml:space="preserve">Besides, as already provided in the draft Commission Delegation Regulation, it should be clearly stated in the KID that performance scenarios </w:t>
      </w:r>
      <w:r w:rsidR="0085268C">
        <w:t xml:space="preserve">and costs as well </w:t>
      </w:r>
      <w:r>
        <w:t>are provided for informational purposes only and are merely estimate</w:t>
      </w:r>
      <w:r w:rsidR="00A31794">
        <w:t>s</w:t>
      </w:r>
      <w:r>
        <w:t xml:space="preserve"> based on</w:t>
      </w:r>
      <w:r w:rsidR="0085268C">
        <w:t xml:space="preserve"> prospective analyses</w:t>
      </w:r>
      <w:r>
        <w:t xml:space="preserve">. </w:t>
      </w:r>
    </w:p>
    <w:p w:rsidR="00395878" w:rsidRDefault="00395878" w:rsidP="003E4B00"/>
    <w:p w:rsidR="00395878" w:rsidRDefault="00395878" w:rsidP="00395878">
      <w:pPr>
        <w:jc w:val="both"/>
      </w:pPr>
      <w:r>
        <w:t>Indeed, it is provided in Appendix 1 to Annex V of the draft Commission Delegation Regulation that “</w:t>
      </w:r>
      <w:r w:rsidRPr="00395878">
        <w:rPr>
          <w:i/>
        </w:rPr>
        <w:t xml:space="preserve">the scenarios presented are not an exact indicator of future performance, but </w:t>
      </w:r>
      <w:proofErr w:type="gramStart"/>
      <w:r w:rsidRPr="00395878">
        <w:rPr>
          <w:i/>
        </w:rPr>
        <w:t>an estimation</w:t>
      </w:r>
      <w:proofErr w:type="gramEnd"/>
      <w:r w:rsidRPr="00395878">
        <w:rPr>
          <w:i/>
        </w:rPr>
        <w:t xml:space="preserve"> to that effect. What you get will vary depending on how the market performs and how long you keep the investment</w:t>
      </w:r>
      <w:r>
        <w:t xml:space="preserve">”. </w:t>
      </w:r>
    </w:p>
    <w:p w:rsidR="00395878" w:rsidRDefault="00395878" w:rsidP="003E4B00"/>
    <w:p w:rsidR="00A31794" w:rsidRDefault="00395878" w:rsidP="003E4B00">
      <w:r>
        <w:t xml:space="preserve">ASPIM considers that the abovementioned draft should be clarified in order to clearly indicate that the PRIIPS manufacturer will bear no liability of the estimates do not prove accurate over the time-frame of the investment. </w:t>
      </w:r>
    </w:p>
    <w:p w:rsidR="003E4B00" w:rsidRPr="003E4B00" w:rsidRDefault="00BA06F0" w:rsidP="003E4B00">
      <w:pPr>
        <w:rPr>
          <w:lang w:val="fr-FR"/>
        </w:rPr>
      </w:pPr>
      <w:r>
        <w:t xml:space="preserve"> </w:t>
      </w:r>
      <w:permEnd w:id="172113393"/>
      <w:r w:rsidR="003E4B00" w:rsidRPr="00580880">
        <w:rPr>
          <w:lang w:val="fr-FR"/>
        </w:rPr>
        <w:t>&lt;ESMA_QUESTION_</w:t>
      </w:r>
      <w:r w:rsidR="003E4B00">
        <w:rPr>
          <w:lang w:val="fr-FR"/>
        </w:rPr>
        <w:t>PRIIPS_15</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A31794" w:rsidP="003E4B00">
      <w:permStart w:id="284508334" w:edGrp="everyone"/>
      <w:r>
        <w:t>This question is n</w:t>
      </w:r>
      <w:r w:rsidR="00295914">
        <w:t xml:space="preserve">ot applicable to real estate investment funds. </w:t>
      </w:r>
    </w:p>
    <w:p w:rsidR="00295914" w:rsidRDefault="00295914" w:rsidP="003E4B00"/>
    <w:permEnd w:id="284508334"/>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295914" w:rsidRDefault="00A31794" w:rsidP="003E4B00">
      <w:permStart w:id="2050174468" w:edGrp="everyone"/>
      <w:r>
        <w:t>This question is n</w:t>
      </w:r>
      <w:r w:rsidR="00295914">
        <w:t xml:space="preserve">ot applicable to real estate investment funds. </w:t>
      </w:r>
    </w:p>
    <w:permEnd w:id="2050174468"/>
    <w:p w:rsidR="003E4B00" w:rsidRPr="003E4B00" w:rsidRDefault="003E4B00" w:rsidP="003E4B00">
      <w:pPr>
        <w:rPr>
          <w:lang w:val="fr-FR"/>
        </w:rPr>
      </w:pPr>
      <w:r w:rsidRPr="00580880">
        <w:rPr>
          <w:lang w:val="fr-FR"/>
        </w:rPr>
        <w:lastRenderedPageBreak/>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95878" w:rsidRDefault="00395878" w:rsidP="00395878">
      <w:pPr>
        <w:jc w:val="both"/>
      </w:pPr>
      <w:permStart w:id="1223577910" w:edGrp="everyone"/>
      <w:r>
        <w:t xml:space="preserve">As indicated in </w:t>
      </w:r>
      <w:r w:rsidR="00A31794">
        <w:t xml:space="preserve">section III of </w:t>
      </w:r>
      <w:r>
        <w:t>our introduction to this response paper, ASPIM does not consider appropriate to provide monetary values in the costs section of the KID and strongly supports providing only percen</w:t>
      </w:r>
      <w:r>
        <w:t>t</w:t>
      </w:r>
      <w:r>
        <w:t xml:space="preserve">ages, as for UCITS KIID. </w:t>
      </w:r>
    </w:p>
    <w:p w:rsidR="00395878" w:rsidRDefault="00395878" w:rsidP="003E4B00"/>
    <w:p w:rsidR="00395878" w:rsidRDefault="00395878" w:rsidP="00395878">
      <w:pPr>
        <w:jc w:val="both"/>
      </w:pPr>
      <w:r>
        <w:t>If the presentation of costs in monetary amounts and absolute figures were still selected by the ESMA, EBA and EIOPA, ASPIM considers that the amounts should be annualized based on arithmetic average.</w:t>
      </w:r>
    </w:p>
    <w:p w:rsidR="003E4B00" w:rsidRPr="003E4B00" w:rsidRDefault="00395878" w:rsidP="003E4B00">
      <w:pPr>
        <w:rPr>
          <w:lang w:val="fr-FR"/>
        </w:rPr>
      </w:pPr>
      <w:r>
        <w:t xml:space="preserve"> </w:t>
      </w:r>
      <w:permEnd w:id="1223577910"/>
      <w:r w:rsidR="003E4B00" w:rsidRPr="00580880">
        <w:rPr>
          <w:lang w:val="fr-FR"/>
        </w:rPr>
        <w:t>&lt;ESMA_QUESTION_</w:t>
      </w:r>
      <w:r w:rsidR="003E4B00">
        <w:rPr>
          <w:lang w:val="fr-FR"/>
        </w:rPr>
        <w:t>PRIIPS_18</w:t>
      </w:r>
      <w:r w:rsidR="003E4B00"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A31794" w:rsidP="003E4B00">
      <w:permStart w:id="1507068910" w:edGrp="everyone"/>
      <w:r>
        <w:t>This question is n</w:t>
      </w:r>
      <w:r w:rsidR="00395878">
        <w:t xml:space="preserve">ot applicable to real estate investment funds. </w:t>
      </w:r>
    </w:p>
    <w:permEnd w:id="1507068910"/>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Pr="003E4B00" w:rsidRDefault="00A31794" w:rsidP="00491E49">
      <w:pPr>
        <w:rPr>
          <w:lang w:val="fr-FR"/>
        </w:rPr>
      </w:pPr>
      <w:permStart w:id="896162209" w:edGrp="everyone"/>
      <w:r>
        <w:t>This question is n</w:t>
      </w:r>
      <w:r w:rsidR="00395878">
        <w:t xml:space="preserve">ot applicable to real estate investment funds. </w:t>
      </w:r>
      <w:permEnd w:id="896162209"/>
      <w:r w:rsidR="00491E49" w:rsidRPr="00580880">
        <w:rPr>
          <w:lang w:val="fr-FR"/>
        </w:rPr>
        <w:t>&lt;ESMA_QUESTION_</w:t>
      </w:r>
      <w:r w:rsidR="00491E49">
        <w:rPr>
          <w:lang w:val="fr-FR"/>
        </w:rPr>
        <w:t>PRIIPS_20</w:t>
      </w:r>
      <w:r w:rsidR="00491E49"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832ABD" w:rsidRDefault="00832ABD" w:rsidP="004D7FD2">
      <w:pPr>
        <w:jc w:val="both"/>
      </w:pPr>
      <w:permStart w:id="978085222" w:edGrp="everyone"/>
      <w:r>
        <w:t>A</w:t>
      </w:r>
      <w:r w:rsidR="004D7FD2">
        <w:t xml:space="preserve">s explained in the introduction to this response paper, using monetary values is not the most appropriate method to ensure comparability between investment products. </w:t>
      </w:r>
    </w:p>
    <w:p w:rsidR="00832ABD" w:rsidRDefault="00832ABD" w:rsidP="004D7FD2">
      <w:pPr>
        <w:jc w:val="both"/>
      </w:pPr>
    </w:p>
    <w:p w:rsidR="004D7FD2" w:rsidRDefault="004D7FD2" w:rsidP="004D7FD2">
      <w:pPr>
        <w:jc w:val="both"/>
      </w:pPr>
      <w:r>
        <w:t>Also, please refer to our answer to question 82 of the Technical Discussion Paper on this subject.</w:t>
      </w:r>
    </w:p>
    <w:permEnd w:id="978085222"/>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D7FD2" w:rsidRDefault="004D7FD2" w:rsidP="00832ABD">
      <w:pPr>
        <w:jc w:val="both"/>
      </w:pPr>
      <w:permStart w:id="2022253459" w:edGrp="everyone"/>
      <w:r>
        <w:t xml:space="preserve">ASPIM does not believe that a graphical presentation </w:t>
      </w:r>
      <w:r w:rsidR="00832ABD">
        <w:t xml:space="preserve">of costs </w:t>
      </w:r>
      <w:r>
        <w:t>would provide a better understanding for inves</w:t>
      </w:r>
      <w:r w:rsidR="00832ABD">
        <w:t xml:space="preserve">tors. </w:t>
      </w:r>
      <w:r>
        <w:t xml:space="preserve">Therefore, it would be clearer to provide </w:t>
      </w:r>
      <w:r w:rsidR="00832ABD">
        <w:t xml:space="preserve">relevant </w:t>
      </w:r>
      <w:r>
        <w:t>percentages</w:t>
      </w:r>
      <w:r w:rsidR="00832ABD">
        <w:t xml:space="preserve"> in a table</w:t>
      </w:r>
      <w:r>
        <w:t xml:space="preserve">. </w:t>
      </w:r>
    </w:p>
    <w:permEnd w:id="2022253459"/>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D7FD2" w:rsidRDefault="004D7FD2" w:rsidP="00491E49">
      <w:permStart w:id="2110455970" w:edGrp="everyone"/>
      <w:r>
        <w:t xml:space="preserve">Performance fees are not applicable to real estate investment funds. </w:t>
      </w:r>
    </w:p>
    <w:permEnd w:id="2110455970"/>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395878" w:rsidRDefault="002414F9" w:rsidP="004D7FD2">
      <w:pPr>
        <w:jc w:val="both"/>
      </w:pPr>
      <w:permStart w:id="717362681" w:edGrp="everyone"/>
      <w:r>
        <w:t>It would indeed be helpful to provide only one table, as it is the case today for UCITS subject to the KID. However, the number of tables does not solve ASPIM’s concern regarding the b</w:t>
      </w:r>
      <w:r w:rsidR="004D7FD2">
        <w:t xml:space="preserve">reakdown of recurring costs between costs related to the direct management of the investment fund and costs related to the management of the underlying assets. </w:t>
      </w:r>
    </w:p>
    <w:p w:rsidR="00395878" w:rsidRDefault="00395878" w:rsidP="004D7FD2">
      <w:pPr>
        <w:jc w:val="both"/>
      </w:pPr>
    </w:p>
    <w:p w:rsidR="004D7FD2" w:rsidRDefault="004D7FD2" w:rsidP="004D7FD2">
      <w:pPr>
        <w:jc w:val="both"/>
      </w:pPr>
      <w:r>
        <w:t xml:space="preserve">Please refer to </w:t>
      </w:r>
      <w:r w:rsidR="00A31794">
        <w:t xml:space="preserve">section I of </w:t>
      </w:r>
      <w:r>
        <w:t>the introduction to this answer paper and to our answer from July 17, 2015 on the Technical Discussion Paper</w:t>
      </w:r>
      <w:r w:rsidR="00A31794">
        <w:t xml:space="preserve"> for further input on this subject</w:t>
      </w:r>
      <w:r>
        <w:t xml:space="preserve">. </w:t>
      </w:r>
    </w:p>
    <w:permEnd w:id="717362681"/>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lastRenderedPageBreak/>
        <w:t>&lt;ESMA_QUESTION_PRIIPS_25&gt;</w:t>
      </w:r>
    </w:p>
    <w:p w:rsidR="00491E49" w:rsidRDefault="002414F9" w:rsidP="00491E49">
      <w:permStart w:id="512106555" w:edGrp="everyone"/>
      <w:r>
        <w:t xml:space="preserve">No applicable to real estate investment funds which are not structured products. </w:t>
      </w:r>
    </w:p>
    <w:permEnd w:id="51210655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2414F9" w:rsidRDefault="002414F9" w:rsidP="00847BB0">
      <w:permStart w:id="384646034" w:edGrp="everyone"/>
    </w:p>
    <w:p w:rsidR="00395878" w:rsidRDefault="002414F9" w:rsidP="002414F9">
      <w:pPr>
        <w:jc w:val="both"/>
      </w:pPr>
      <w:r>
        <w:t xml:space="preserve">As explained in its answer to the Technical Discussion Paper on July 17, 2015, ASPIM considers that there should be a distinction between costs linked to the management of vehicles and costs linked to the management of the assets. </w:t>
      </w:r>
    </w:p>
    <w:p w:rsidR="00395878" w:rsidRDefault="00395878" w:rsidP="002414F9">
      <w:pPr>
        <w:jc w:val="both"/>
      </w:pPr>
    </w:p>
    <w:p w:rsidR="00847BB0" w:rsidRDefault="002414F9" w:rsidP="002414F9">
      <w:pPr>
        <w:jc w:val="both"/>
      </w:pPr>
      <w:r>
        <w:t xml:space="preserve">Please refer the introduction of this answer and to our answer to the Technical Discussion </w:t>
      </w:r>
      <w:r w:rsidR="00A31794">
        <w:t xml:space="preserve">and to section I of our introduction to this response paper </w:t>
      </w:r>
      <w:r>
        <w:t xml:space="preserve">for a detailed presentation of our members’ opinion on this </w:t>
      </w:r>
      <w:proofErr w:type="gramStart"/>
      <w:r>
        <w:t>subject</w:t>
      </w:r>
      <w:r w:rsidR="00A31794">
        <w:t xml:space="preserve"> </w:t>
      </w:r>
      <w:r>
        <w:t>.</w:t>
      </w:r>
      <w:proofErr w:type="gramEnd"/>
      <w:r>
        <w:t xml:space="preserve"> </w:t>
      </w:r>
    </w:p>
    <w:p w:rsidR="002414F9" w:rsidRDefault="002414F9" w:rsidP="00847BB0"/>
    <w:permEnd w:id="384646034"/>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1656891550" w:edGrp="everyone"/>
      <w:r>
        <w:t>TYPE YOUR TEXT HERE</w:t>
      </w:r>
    </w:p>
    <w:permEnd w:id="165689155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Do you have any views on the possible impacts for providers of underlying investments for multi-option products, and in particular indirect impacts for manufacturers of underlying investments used by these </w:t>
      </w:r>
      <w:r w:rsidRPr="00A2049D">
        <w:rPr>
          <w:rFonts w:ascii="Calibri" w:hAnsi="Calibri"/>
          <w:i/>
          <w:iCs/>
          <w:sz w:val="22"/>
          <w:lang w:eastAsia="en-US"/>
        </w:rPr>
        <w:lastRenderedPageBreak/>
        <w:t>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491E49" w:rsidRDefault="00491E49" w:rsidP="00491E49">
      <w:permStart w:id="1404402921" w:edGrp="everyone"/>
      <w:r>
        <w:t>TYPE YOUR TEXT HERE</w:t>
      </w:r>
    </w:p>
    <w:permEnd w:id="1404402921"/>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47" w:rsidRDefault="00655947">
      <w:r>
        <w:separator/>
      </w:r>
    </w:p>
    <w:p w:rsidR="00655947" w:rsidRDefault="00655947"/>
  </w:endnote>
  <w:endnote w:type="continuationSeparator" w:id="0">
    <w:p w:rsidR="00655947" w:rsidRDefault="00655947">
      <w:r>
        <w:continuationSeparator/>
      </w:r>
    </w:p>
    <w:p w:rsidR="00655947" w:rsidRDefault="00655947"/>
  </w:endnote>
  <w:endnote w:type="continuationNotice" w:id="1">
    <w:p w:rsidR="00655947" w:rsidRDefault="00655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DC" w:rsidRDefault="007A1DD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55947" w:rsidRPr="00616B9B" w:rsidTr="00315E96">
      <w:trPr>
        <w:trHeight w:val="284"/>
      </w:trPr>
      <w:tc>
        <w:tcPr>
          <w:tcW w:w="8460" w:type="dxa"/>
        </w:tcPr>
        <w:p w:rsidR="00655947" w:rsidRPr="00315E96" w:rsidRDefault="00655947" w:rsidP="00315E96">
          <w:pPr>
            <w:pStyle w:val="00Footer"/>
            <w:rPr>
              <w:lang w:val="fr-FR"/>
            </w:rPr>
          </w:pPr>
        </w:p>
      </w:tc>
      <w:tc>
        <w:tcPr>
          <w:tcW w:w="952" w:type="dxa"/>
        </w:tcPr>
        <w:p w:rsidR="00655947" w:rsidRPr="00616B9B" w:rsidRDefault="0065594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B14A35">
            <w:rPr>
              <w:rFonts w:cs="Arial"/>
              <w:noProof/>
              <w:sz w:val="22"/>
              <w:szCs w:val="22"/>
            </w:rPr>
            <w:t>3</w:t>
          </w:r>
          <w:r w:rsidRPr="00616B9B">
            <w:rPr>
              <w:rFonts w:cs="Arial"/>
              <w:noProof/>
              <w:sz w:val="22"/>
              <w:szCs w:val="22"/>
            </w:rPr>
            <w:fldChar w:fldCharType="end"/>
          </w:r>
        </w:p>
      </w:tc>
    </w:tr>
  </w:tbl>
  <w:p w:rsidR="00655947" w:rsidRDefault="0065594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DC" w:rsidRDefault="007A1DDC">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47" w:rsidRDefault="006559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47" w:rsidRDefault="00655947">
      <w:r>
        <w:separator/>
      </w:r>
    </w:p>
    <w:p w:rsidR="00655947" w:rsidRDefault="00655947"/>
  </w:footnote>
  <w:footnote w:type="continuationSeparator" w:id="0">
    <w:p w:rsidR="00655947" w:rsidRDefault="00655947">
      <w:r>
        <w:continuationSeparator/>
      </w:r>
    </w:p>
    <w:p w:rsidR="00655947" w:rsidRDefault="00655947"/>
  </w:footnote>
  <w:footnote w:type="continuationNotice" w:id="1">
    <w:p w:rsidR="00655947" w:rsidRDefault="006559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DC" w:rsidRDefault="007A1D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47" w:rsidRDefault="00655947">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47" w:rsidRDefault="00655947"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47" w:rsidRDefault="006559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55947" w:rsidRPr="002F4496" w:rsidTr="000C06C9">
      <w:trPr>
        <w:trHeight w:val="284"/>
      </w:trPr>
      <w:tc>
        <w:tcPr>
          <w:tcW w:w="8460" w:type="dxa"/>
        </w:tcPr>
        <w:p w:rsidR="00655947" w:rsidRPr="000C3B6D" w:rsidRDefault="00655947" w:rsidP="000C06C9">
          <w:pPr>
            <w:pStyle w:val="00Footer"/>
            <w:rPr>
              <w:lang w:val="fr-FR"/>
            </w:rPr>
          </w:pPr>
        </w:p>
      </w:tc>
      <w:tc>
        <w:tcPr>
          <w:tcW w:w="952" w:type="dxa"/>
        </w:tcPr>
        <w:p w:rsidR="00655947" w:rsidRPr="00146B34" w:rsidRDefault="00655947" w:rsidP="000C06C9">
          <w:pPr>
            <w:pStyle w:val="00aPagenumber"/>
            <w:rPr>
              <w:lang w:val="fr-FR"/>
            </w:rPr>
          </w:pPr>
        </w:p>
      </w:tc>
    </w:tr>
  </w:tbl>
  <w:p w:rsidR="00655947" w:rsidRPr="00DB46C3" w:rsidRDefault="00655947">
    <w:pPr>
      <w:rPr>
        <w:lang w:val="fr-FR"/>
      </w:rPr>
    </w:pPr>
  </w:p>
  <w:p w:rsidR="00655947" w:rsidRPr="002F4496" w:rsidRDefault="00655947">
    <w:pPr>
      <w:pStyle w:val="En-tte"/>
      <w:rPr>
        <w:lang w:val="fr-FR"/>
      </w:rPr>
    </w:pPr>
  </w:p>
  <w:p w:rsidR="00655947" w:rsidRPr="002F4496" w:rsidRDefault="00655947" w:rsidP="000C06C9">
    <w:pPr>
      <w:pStyle w:val="En-tte"/>
      <w:tabs>
        <w:tab w:val="clear" w:pos="4536"/>
        <w:tab w:val="clear" w:pos="9072"/>
        <w:tab w:val="left" w:pos="8227"/>
      </w:tabs>
      <w:rPr>
        <w:lang w:val="fr-FR"/>
      </w:rPr>
    </w:pPr>
  </w:p>
  <w:p w:rsidR="00655947" w:rsidRPr="002F4496" w:rsidRDefault="00655947" w:rsidP="000C06C9">
    <w:pPr>
      <w:pStyle w:val="En-tte"/>
      <w:tabs>
        <w:tab w:val="clear" w:pos="4536"/>
        <w:tab w:val="clear" w:pos="9072"/>
        <w:tab w:val="left" w:pos="8227"/>
      </w:tabs>
      <w:rPr>
        <w:lang w:val="fr-FR"/>
      </w:rPr>
    </w:pPr>
  </w:p>
  <w:p w:rsidR="00655947" w:rsidRPr="002F4496" w:rsidRDefault="00655947">
    <w:pPr>
      <w:pStyle w:val="En-tte"/>
      <w:rPr>
        <w:lang w:val="fr-FR"/>
      </w:rPr>
    </w:pPr>
  </w:p>
  <w:p w:rsidR="00655947" w:rsidRPr="002F4496" w:rsidRDefault="00655947">
    <w:pPr>
      <w:pStyle w:val="En-tte"/>
      <w:rPr>
        <w:lang w:val="fr-FR"/>
      </w:rPr>
    </w:pPr>
  </w:p>
  <w:p w:rsidR="00655947" w:rsidRPr="002F4496" w:rsidRDefault="00655947">
    <w:pPr>
      <w:pStyle w:val="En-tte"/>
      <w:rPr>
        <w:lang w:val="fr-FR"/>
      </w:rPr>
    </w:pPr>
  </w:p>
  <w:p w:rsidR="00655947" w:rsidRPr="002F4496" w:rsidRDefault="00655947">
    <w:pPr>
      <w:pStyle w:val="En-tte"/>
      <w:rPr>
        <w:lang w:val="fr-FR"/>
      </w:rPr>
    </w:pPr>
  </w:p>
  <w:p w:rsidR="00655947" w:rsidRPr="002F4496" w:rsidRDefault="00655947">
    <w:pPr>
      <w:pStyle w:val="En-tte"/>
      <w:rPr>
        <w:highlight w:val="yellow"/>
        <w:lang w:val="fr-FR"/>
      </w:rPr>
    </w:pPr>
  </w:p>
  <w:p w:rsidR="00655947" w:rsidRDefault="00655947">
    <w:pPr>
      <w:pStyle w:val="En-tte"/>
    </w:pPr>
    <w:r>
      <w:rPr>
        <w:noProof/>
        <w:lang w:val="fr-FR" w:eastAsia="fr-FR"/>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fr-FR"/>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3">
    <w:nsid w:val="66273FFD"/>
    <w:multiLevelType w:val="hybridMultilevel"/>
    <w:tmpl w:val="2584AE42"/>
    <w:lvl w:ilvl="0" w:tplc="75D850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4"/>
  </w:num>
  <w:num w:numId="18">
    <w:abstractNumId w:val="15"/>
  </w:num>
  <w:num w:numId="19">
    <w:abstractNumId w:val="17"/>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19"/>
  </w:num>
  <w:num w:numId="27">
    <w:abstractNumId w:val="34"/>
  </w:num>
  <w:num w:numId="28">
    <w:abstractNumId w:val="39"/>
  </w:num>
  <w:num w:numId="29">
    <w:abstractNumId w:val="7"/>
  </w:num>
  <w:num w:numId="30">
    <w:abstractNumId w:val="3"/>
  </w:num>
  <w:num w:numId="31">
    <w:abstractNumId w:val="22"/>
  </w:num>
  <w:num w:numId="32">
    <w:abstractNumId w:val="2"/>
  </w:num>
  <w:num w:numId="33">
    <w:abstractNumId w:val="6"/>
  </w:num>
  <w:num w:numId="34">
    <w:abstractNumId w:val="20"/>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2"/>
  </w:num>
  <w:num w:numId="51">
    <w:abstractNumId w:val="21"/>
  </w:num>
  <w:num w:numId="52">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AIL_OWNER_ADDRESS" w:val="sAAAE9kkUq3pEoI9p0LkhZtNrkk0lVyz8OBEgAvtZPc7TUo="/>
    <w:docVar w:name="FullName" w:val="C:\Users\GGO03001\Desktop\ESA_TDP_ASPIM REPLY FORM.docx"/>
    <w:docVar w:name="MAIL_MSG_ID1" w:val="gFAA9xAl/vizjZjRSZJ73xdyWx5y0Te9gPbAQdRRc2ekNNthQZ7PCQzsP81pfG9AdJL+/APNf6LtFdM8_x000a_i6fA1gsdXevV5dnMsBa9hQ70Z9Ni2Ryj+2CjEMHkf2LqRGoEMlxmwi5tpeHUcTIUPi++wKhUt0Ef_x000a_/eGo/JRw5foa2IB++oMVfh3wgj8HBhibCNit9QzZIHVieUhRF7+meA8nVkn/Wj0b1I9xSAL3NIVU_x000a_RPDpAk6KO0jfM2osI"/>
    <w:docVar w:name="MAIL_MSG_ID2" w:val="gyeqvcEUOzPbPxfVdKH3Ru4TDnSrXEKS+/ugcUb3M6L87XV0IEuHmYgT1w+_x000a_JCgIPrZGqGxAx02UKIocuN/o0VA/qXCtuPr83Q=="/>
    <w:docVar w:name="NotificationTaskPaneId" w:val="5ceb220e-b30a-4f0e-afb7-f31b2929c861"/>
    <w:docVar w:name="RESPONSE_SENDER_NAME" w:val="sAAAE34RQVAK31k+eoj1Gkp+PSMsJmn8zBnibCdOy+IYFik="/>
    <w:docVar w:name="Saved" w:val="True"/>
  </w:docVars>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3557"/>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800"/>
    <w:rsid w:val="00081CEB"/>
    <w:rsid w:val="00081E60"/>
    <w:rsid w:val="00082D8E"/>
    <w:rsid w:val="00082E31"/>
    <w:rsid w:val="00083AA3"/>
    <w:rsid w:val="00085947"/>
    <w:rsid w:val="000868FE"/>
    <w:rsid w:val="00086E1D"/>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B69EF"/>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35E6"/>
    <w:rsid w:val="000F55B7"/>
    <w:rsid w:val="000F604F"/>
    <w:rsid w:val="000F7399"/>
    <w:rsid w:val="001020A2"/>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0C1"/>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5E8"/>
    <w:rsid w:val="001D3A1F"/>
    <w:rsid w:val="001D3FB6"/>
    <w:rsid w:val="001D4550"/>
    <w:rsid w:val="001D5498"/>
    <w:rsid w:val="001D5BAF"/>
    <w:rsid w:val="001D6401"/>
    <w:rsid w:val="001D66C9"/>
    <w:rsid w:val="001D722A"/>
    <w:rsid w:val="001E04FC"/>
    <w:rsid w:val="001E3E14"/>
    <w:rsid w:val="001E407D"/>
    <w:rsid w:val="001E40FB"/>
    <w:rsid w:val="001E66EC"/>
    <w:rsid w:val="001E68C5"/>
    <w:rsid w:val="001F0F63"/>
    <w:rsid w:val="001F3996"/>
    <w:rsid w:val="001F44A4"/>
    <w:rsid w:val="001F47EF"/>
    <w:rsid w:val="001F579D"/>
    <w:rsid w:val="001F65EF"/>
    <w:rsid w:val="001F697B"/>
    <w:rsid w:val="002005A6"/>
    <w:rsid w:val="00204CBC"/>
    <w:rsid w:val="002051F1"/>
    <w:rsid w:val="002067BA"/>
    <w:rsid w:val="0021058D"/>
    <w:rsid w:val="00210AC6"/>
    <w:rsid w:val="00211E2F"/>
    <w:rsid w:val="00211E9E"/>
    <w:rsid w:val="00211FCE"/>
    <w:rsid w:val="00214FB4"/>
    <w:rsid w:val="00215940"/>
    <w:rsid w:val="00217C23"/>
    <w:rsid w:val="00220561"/>
    <w:rsid w:val="00220CE4"/>
    <w:rsid w:val="00222D9B"/>
    <w:rsid w:val="00223788"/>
    <w:rsid w:val="00223918"/>
    <w:rsid w:val="00223D11"/>
    <w:rsid w:val="002242D3"/>
    <w:rsid w:val="002301E6"/>
    <w:rsid w:val="00232F90"/>
    <w:rsid w:val="00233825"/>
    <w:rsid w:val="00233B08"/>
    <w:rsid w:val="00233C3B"/>
    <w:rsid w:val="0023499C"/>
    <w:rsid w:val="00235AE6"/>
    <w:rsid w:val="00235CE3"/>
    <w:rsid w:val="0023636A"/>
    <w:rsid w:val="00236F34"/>
    <w:rsid w:val="002372F7"/>
    <w:rsid w:val="00240651"/>
    <w:rsid w:val="00240803"/>
    <w:rsid w:val="00240E38"/>
    <w:rsid w:val="002414F9"/>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689E"/>
    <w:rsid w:val="00287BBB"/>
    <w:rsid w:val="00287E3B"/>
    <w:rsid w:val="00290638"/>
    <w:rsid w:val="00291763"/>
    <w:rsid w:val="00291D80"/>
    <w:rsid w:val="00293156"/>
    <w:rsid w:val="00293BE7"/>
    <w:rsid w:val="002946DC"/>
    <w:rsid w:val="00295914"/>
    <w:rsid w:val="002A0C82"/>
    <w:rsid w:val="002A0CD8"/>
    <w:rsid w:val="002A13EB"/>
    <w:rsid w:val="002A35EF"/>
    <w:rsid w:val="002A3DE0"/>
    <w:rsid w:val="002A40EA"/>
    <w:rsid w:val="002A46E8"/>
    <w:rsid w:val="002A491C"/>
    <w:rsid w:val="002A6FD3"/>
    <w:rsid w:val="002B0735"/>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7E7"/>
    <w:rsid w:val="002D4FEF"/>
    <w:rsid w:val="002D502D"/>
    <w:rsid w:val="002D63F5"/>
    <w:rsid w:val="002D6E1A"/>
    <w:rsid w:val="002E036D"/>
    <w:rsid w:val="002E1517"/>
    <w:rsid w:val="002E1B22"/>
    <w:rsid w:val="002E2BC1"/>
    <w:rsid w:val="002E387F"/>
    <w:rsid w:val="002E576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63A5"/>
    <w:rsid w:val="00317FC8"/>
    <w:rsid w:val="003223D7"/>
    <w:rsid w:val="003238C8"/>
    <w:rsid w:val="00323D9F"/>
    <w:rsid w:val="00324FDB"/>
    <w:rsid w:val="00325F48"/>
    <w:rsid w:val="0033194F"/>
    <w:rsid w:val="00332304"/>
    <w:rsid w:val="00332406"/>
    <w:rsid w:val="00332D8D"/>
    <w:rsid w:val="00334E36"/>
    <w:rsid w:val="00336B56"/>
    <w:rsid w:val="00341B25"/>
    <w:rsid w:val="00341EC0"/>
    <w:rsid w:val="0034240C"/>
    <w:rsid w:val="00344496"/>
    <w:rsid w:val="00345968"/>
    <w:rsid w:val="00347667"/>
    <w:rsid w:val="003507E2"/>
    <w:rsid w:val="003522B2"/>
    <w:rsid w:val="0035455E"/>
    <w:rsid w:val="00354A6F"/>
    <w:rsid w:val="00354B48"/>
    <w:rsid w:val="00355789"/>
    <w:rsid w:val="00355FAE"/>
    <w:rsid w:val="00357432"/>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26D"/>
    <w:rsid w:val="00383D7D"/>
    <w:rsid w:val="00384CCE"/>
    <w:rsid w:val="003865E5"/>
    <w:rsid w:val="003926C1"/>
    <w:rsid w:val="00392900"/>
    <w:rsid w:val="00393357"/>
    <w:rsid w:val="00395878"/>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5094"/>
    <w:rsid w:val="00437929"/>
    <w:rsid w:val="00437A4A"/>
    <w:rsid w:val="00437C54"/>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3C0"/>
    <w:rsid w:val="00486C17"/>
    <w:rsid w:val="00486DE2"/>
    <w:rsid w:val="00487117"/>
    <w:rsid w:val="00487A32"/>
    <w:rsid w:val="00487A91"/>
    <w:rsid w:val="004901E5"/>
    <w:rsid w:val="0049027D"/>
    <w:rsid w:val="004903D4"/>
    <w:rsid w:val="0049052B"/>
    <w:rsid w:val="00490DDF"/>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D7FD2"/>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4225"/>
    <w:rsid w:val="0054672D"/>
    <w:rsid w:val="00550F4E"/>
    <w:rsid w:val="005532B5"/>
    <w:rsid w:val="00554A05"/>
    <w:rsid w:val="00555849"/>
    <w:rsid w:val="005559A8"/>
    <w:rsid w:val="00557048"/>
    <w:rsid w:val="00557FB5"/>
    <w:rsid w:val="005611F3"/>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5F7692"/>
    <w:rsid w:val="006000DD"/>
    <w:rsid w:val="00600F63"/>
    <w:rsid w:val="006012E1"/>
    <w:rsid w:val="00602253"/>
    <w:rsid w:val="006023E1"/>
    <w:rsid w:val="00605531"/>
    <w:rsid w:val="00606240"/>
    <w:rsid w:val="0060674A"/>
    <w:rsid w:val="00607832"/>
    <w:rsid w:val="0060784B"/>
    <w:rsid w:val="00610254"/>
    <w:rsid w:val="006105FB"/>
    <w:rsid w:val="0061068A"/>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47"/>
    <w:rsid w:val="00660BF0"/>
    <w:rsid w:val="0066189C"/>
    <w:rsid w:val="006630CF"/>
    <w:rsid w:val="00663EFF"/>
    <w:rsid w:val="006646DF"/>
    <w:rsid w:val="00666F74"/>
    <w:rsid w:val="00667FEA"/>
    <w:rsid w:val="006703F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487"/>
    <w:rsid w:val="00691B7C"/>
    <w:rsid w:val="00694067"/>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0808"/>
    <w:rsid w:val="006D21A9"/>
    <w:rsid w:val="006D399F"/>
    <w:rsid w:val="006D4F0C"/>
    <w:rsid w:val="006D5645"/>
    <w:rsid w:val="006E0C8A"/>
    <w:rsid w:val="006E2A23"/>
    <w:rsid w:val="006E35E5"/>
    <w:rsid w:val="006E3C72"/>
    <w:rsid w:val="006E4F20"/>
    <w:rsid w:val="006E649A"/>
    <w:rsid w:val="006F08DC"/>
    <w:rsid w:val="006F2AB6"/>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878"/>
    <w:rsid w:val="00756BFF"/>
    <w:rsid w:val="00756D77"/>
    <w:rsid w:val="00760041"/>
    <w:rsid w:val="007605C7"/>
    <w:rsid w:val="00760B08"/>
    <w:rsid w:val="00760EDA"/>
    <w:rsid w:val="00761F4E"/>
    <w:rsid w:val="00762150"/>
    <w:rsid w:val="00762621"/>
    <w:rsid w:val="00763F36"/>
    <w:rsid w:val="007648A0"/>
    <w:rsid w:val="00766F4D"/>
    <w:rsid w:val="00766F55"/>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DD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AFF"/>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ABD"/>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68C"/>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0E8D"/>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973"/>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74C"/>
    <w:rsid w:val="009A4D4F"/>
    <w:rsid w:val="009A53D8"/>
    <w:rsid w:val="009A597F"/>
    <w:rsid w:val="009A72A7"/>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794"/>
    <w:rsid w:val="00A31F14"/>
    <w:rsid w:val="00A324DC"/>
    <w:rsid w:val="00A32B5A"/>
    <w:rsid w:val="00A33CCC"/>
    <w:rsid w:val="00A33ECB"/>
    <w:rsid w:val="00A34DE0"/>
    <w:rsid w:val="00A35728"/>
    <w:rsid w:val="00A357F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1A7"/>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4F2A"/>
    <w:rsid w:val="00AC50C8"/>
    <w:rsid w:val="00AC5581"/>
    <w:rsid w:val="00AC56AD"/>
    <w:rsid w:val="00AC61BE"/>
    <w:rsid w:val="00AD0CB4"/>
    <w:rsid w:val="00AD1FF2"/>
    <w:rsid w:val="00AD2A21"/>
    <w:rsid w:val="00AD3B43"/>
    <w:rsid w:val="00AD4FF2"/>
    <w:rsid w:val="00AD506C"/>
    <w:rsid w:val="00AD6BE5"/>
    <w:rsid w:val="00AD77F7"/>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0732A"/>
    <w:rsid w:val="00B105F2"/>
    <w:rsid w:val="00B10991"/>
    <w:rsid w:val="00B12128"/>
    <w:rsid w:val="00B12945"/>
    <w:rsid w:val="00B12C1E"/>
    <w:rsid w:val="00B14A35"/>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6F0"/>
    <w:rsid w:val="00BA1354"/>
    <w:rsid w:val="00BA24F8"/>
    <w:rsid w:val="00BA31AA"/>
    <w:rsid w:val="00BA3A1D"/>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249"/>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5C7F"/>
    <w:rsid w:val="00C6669E"/>
    <w:rsid w:val="00C672B0"/>
    <w:rsid w:val="00C729C7"/>
    <w:rsid w:val="00C777AD"/>
    <w:rsid w:val="00C80C53"/>
    <w:rsid w:val="00C810E6"/>
    <w:rsid w:val="00C81195"/>
    <w:rsid w:val="00C85387"/>
    <w:rsid w:val="00C85E52"/>
    <w:rsid w:val="00C86471"/>
    <w:rsid w:val="00C8677B"/>
    <w:rsid w:val="00C86F96"/>
    <w:rsid w:val="00C909C6"/>
    <w:rsid w:val="00C923B7"/>
    <w:rsid w:val="00C94D4C"/>
    <w:rsid w:val="00C94E85"/>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15A"/>
    <w:rsid w:val="00CB36A5"/>
    <w:rsid w:val="00CB4F9B"/>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08D"/>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16AD"/>
    <w:rsid w:val="00D22786"/>
    <w:rsid w:val="00D228B4"/>
    <w:rsid w:val="00D23BB1"/>
    <w:rsid w:val="00D25AC4"/>
    <w:rsid w:val="00D25D3F"/>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7F3"/>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6DA9"/>
    <w:rsid w:val="00E57F8E"/>
    <w:rsid w:val="00E611C8"/>
    <w:rsid w:val="00E6344A"/>
    <w:rsid w:val="00E64E69"/>
    <w:rsid w:val="00E64FB7"/>
    <w:rsid w:val="00E6527E"/>
    <w:rsid w:val="00E669A1"/>
    <w:rsid w:val="00E679BA"/>
    <w:rsid w:val="00E70243"/>
    <w:rsid w:val="00E72CC6"/>
    <w:rsid w:val="00E73D44"/>
    <w:rsid w:val="00E7494A"/>
    <w:rsid w:val="00E74BE2"/>
    <w:rsid w:val="00E74C66"/>
    <w:rsid w:val="00E75933"/>
    <w:rsid w:val="00E77A1B"/>
    <w:rsid w:val="00E8013D"/>
    <w:rsid w:val="00E808BE"/>
    <w:rsid w:val="00E81E36"/>
    <w:rsid w:val="00E81E40"/>
    <w:rsid w:val="00E82ECE"/>
    <w:rsid w:val="00E8713B"/>
    <w:rsid w:val="00E90C61"/>
    <w:rsid w:val="00E92A82"/>
    <w:rsid w:val="00E92AA8"/>
    <w:rsid w:val="00E9341D"/>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3E1C"/>
    <w:rsid w:val="00ED4B27"/>
    <w:rsid w:val="00ED543C"/>
    <w:rsid w:val="00ED6AC4"/>
    <w:rsid w:val="00ED6BA4"/>
    <w:rsid w:val="00ED6C7A"/>
    <w:rsid w:val="00ED7691"/>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7E5"/>
    <w:rsid w:val="00F01A08"/>
    <w:rsid w:val="00F02C04"/>
    <w:rsid w:val="00F03AF1"/>
    <w:rsid w:val="00F04BCD"/>
    <w:rsid w:val="00F05A8C"/>
    <w:rsid w:val="00F06211"/>
    <w:rsid w:val="00F10A54"/>
    <w:rsid w:val="00F111BB"/>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1BF"/>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E3B64"/>
    <w:rsid w:val="00FE7D25"/>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Paragraphedeliste"/>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Policepardfau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sma.europa.eu/press-news/consultations/joint-committee-consultation-key-information-document-priips"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E951-FC99-4227-BEDF-062EAC84231E}">
  <ds:schemaRefs>
    <ds:schemaRef ds:uri="http://schemas.openxmlformats.org/officeDocument/2006/bibliography"/>
  </ds:schemaRefs>
</ds:datastoreItem>
</file>

<file path=customXml/itemProps2.xml><?xml version="1.0" encoding="utf-8"?>
<ds:datastoreItem xmlns:ds="http://schemas.openxmlformats.org/officeDocument/2006/customXml" ds:itemID="{E2452D89-5C1F-46F5-B15C-8AC34840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5318</Words>
  <Characters>29685</Characters>
  <Application>Microsoft Office Word</Application>
  <DocSecurity>8</DocSecurity>
  <Lines>247</Lines>
  <Paragraphs>69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34934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GIDE</cp:lastModifiedBy>
  <cp:revision>2</cp:revision>
  <cp:lastPrinted>2016-01-27T17:53:00Z</cp:lastPrinted>
  <dcterms:created xsi:type="dcterms:W3CDTF">2016-01-29T17:34:00Z</dcterms:created>
  <dcterms:modified xsi:type="dcterms:W3CDTF">2016-01-29T17:34:00Z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WS0101.22561459.1</vt:lpwstr>
  </property>
  <property fmtid="{D5CDD505-2E9C-101B-9397-08002B2CF9AE}" pid="3" name="FooterParam">
    <vt:lpwstr>SHOW</vt:lpwstr>
  </property>
</Properties>
</file>