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D34282" w:rsidRPr="000E35CB" w:rsidRDefault="00332304" w:rsidP="000E35CB">
      <w:pPr>
        <w:rPr>
          <w:rFonts w:cs="Arial"/>
          <w:b/>
          <w:bCs/>
          <w:kern w:val="32"/>
          <w:sz w:val="24"/>
          <w:szCs w:val="32"/>
        </w:rPr>
      </w:pPr>
      <w:r>
        <w:br w:type="page"/>
      </w:r>
    </w:p>
    <w:p w:rsidR="00D34282" w:rsidRDefault="00D34282" w:rsidP="00D34282">
      <w:pPr>
        <w:spacing w:after="120" w:line="264" w:lineRule="auto"/>
      </w:pPr>
    </w:p>
    <w:p w:rsidR="00D34282" w:rsidRDefault="00D34282" w:rsidP="00D34282">
      <w:pPr>
        <w:pStyle w:val="Titre1"/>
        <w:numPr>
          <w:ilvl w:val="0"/>
          <w:numId w:val="0"/>
        </w:numPr>
        <w:ind w:left="431" w:hanging="431"/>
      </w:pPr>
      <w:r>
        <w:t>Introduction</w:t>
      </w:r>
    </w:p>
    <w:p w:rsidR="00C33ACE" w:rsidRPr="00C33ACE" w:rsidRDefault="00C33ACE" w:rsidP="00C33ACE"/>
    <w:p w:rsidR="00D34282" w:rsidRDefault="00D34282" w:rsidP="00D34282">
      <w:pPr>
        <w:rPr>
          <w:rStyle w:val="Emphaseintense"/>
        </w:rPr>
      </w:pPr>
      <w:r w:rsidRPr="001D47A5">
        <w:rPr>
          <w:rStyle w:val="Emphaseintense"/>
        </w:rPr>
        <w:t>Please make your introductory comments below, if any:</w:t>
      </w:r>
    </w:p>
    <w:p w:rsidR="002E2BC1" w:rsidRPr="001D47A5" w:rsidRDefault="002E2BC1" w:rsidP="00D34282">
      <w:pPr>
        <w:rPr>
          <w:rStyle w:val="Emphaseintense"/>
        </w:rPr>
      </w:pPr>
    </w:p>
    <w:p w:rsidR="00D34282" w:rsidRPr="00C25863" w:rsidRDefault="00D34282" w:rsidP="00D34282">
      <w:r w:rsidRPr="00C25863">
        <w:t>&lt;</w:t>
      </w:r>
      <w:r>
        <w:t>ESMA_COMMENT</w:t>
      </w:r>
      <w:r w:rsidRPr="00C25863">
        <w:t>_</w:t>
      </w:r>
      <w:r w:rsidR="000E35CB">
        <w:rPr>
          <w:rFonts w:cs="Arial"/>
        </w:rPr>
        <w:t>PRIIPS</w:t>
      </w:r>
      <w:r w:rsidRPr="00C25863">
        <w:t>_1&gt;</w:t>
      </w:r>
    </w:p>
    <w:p w:rsidR="006010E8" w:rsidRDefault="006010E8" w:rsidP="000F0B2B">
      <w:pPr>
        <w:jc w:val="both"/>
      </w:pPr>
      <w:permStart w:id="730544599" w:edGrp="everyone"/>
      <w:r>
        <w:t>Amundi welcome this new opportunity to express views about this important future PRIIPs regulation. We do size and appreciate the huge effort which has been done by ESAs in order to find ways related to some very complex topics. Therefore all comments included in this reply aim at helping regulator</w:t>
      </w:r>
      <w:r w:rsidR="007018A2">
        <w:t>s</w:t>
      </w:r>
      <w:r>
        <w:t xml:space="preserve"> to reach a result that should be as beneficial for all actors as it has been the case with the UCITS KIID.</w:t>
      </w:r>
    </w:p>
    <w:p w:rsidR="006010E8" w:rsidRDefault="006010E8" w:rsidP="000F0B2B">
      <w:pPr>
        <w:jc w:val="both"/>
      </w:pPr>
    </w:p>
    <w:p w:rsidR="00EF5C3E" w:rsidRDefault="00EF5C3E" w:rsidP="00EF5C3E">
      <w:pPr>
        <w:jc w:val="both"/>
      </w:pPr>
      <w:r>
        <w:t>Before coming to the content of draft RTS, let us mention that we have a str</w:t>
      </w:r>
      <w:r w:rsidR="000B4080">
        <w:t>ong concern with the target timing</w:t>
      </w:r>
      <w:r>
        <w:t xml:space="preserve"> of implementation of </w:t>
      </w:r>
      <w:r w:rsidR="000B4080">
        <w:t xml:space="preserve">this regulation. </w:t>
      </w:r>
      <w:r>
        <w:t>Given the very technical nature of the underlying methodol</w:t>
      </w:r>
      <w:r>
        <w:t>o</w:t>
      </w:r>
      <w:r>
        <w:t>gies and calculations, there will not be enough time to implement the PRIIP KID by 31 December 2016.</w:t>
      </w:r>
      <w:r w:rsidR="000B4080">
        <w:t xml:space="preserve"> </w:t>
      </w:r>
      <w:r>
        <w:t>Draft RTS are to be submitted to the Commission by 31 March. The Commission has three months to endorse the standards before Council and Parliament have another 3(+1)-month scrutiny window. The publication of the final Level-2 Regulation in the EU Official Journal is likely to happen only around autumn 2016. This will give market participants only a few months’ time to complete the KID project which is unrealistic from an operational and project management perspective.</w:t>
      </w:r>
      <w:r w:rsidR="000B4080">
        <w:t xml:space="preserve"> We had one year time for the i</w:t>
      </w:r>
      <w:r w:rsidR="000B4080">
        <w:t>m</w:t>
      </w:r>
      <w:r w:rsidR="000B4080">
        <w:t>plementation of the UCITS KIID and it was already a challenge to provide these for nearly 3 000 of our funds.</w:t>
      </w:r>
    </w:p>
    <w:p w:rsidR="000B4080" w:rsidRPr="000B4080" w:rsidRDefault="000B4080" w:rsidP="000B4080">
      <w:pPr>
        <w:jc w:val="center"/>
        <w:rPr>
          <w:b/>
        </w:rPr>
      </w:pPr>
      <w:proofErr w:type="spellStart"/>
      <w:r w:rsidRPr="000B4080">
        <w:rPr>
          <w:b/>
        </w:rPr>
        <w:t>oOo</w:t>
      </w:r>
      <w:proofErr w:type="spellEnd"/>
    </w:p>
    <w:p w:rsidR="000B4080" w:rsidRDefault="000B4080" w:rsidP="000F0B2B">
      <w:pPr>
        <w:jc w:val="both"/>
      </w:pPr>
    </w:p>
    <w:p w:rsidR="004C600E" w:rsidRPr="004C600E" w:rsidRDefault="004C600E" w:rsidP="004C600E">
      <w:pPr>
        <w:pStyle w:val="Paragraphedeliste"/>
        <w:numPr>
          <w:ilvl w:val="0"/>
          <w:numId w:val="44"/>
        </w:numPr>
        <w:jc w:val="both"/>
        <w:rPr>
          <w:b/>
          <w:u w:val="single"/>
        </w:rPr>
      </w:pPr>
      <w:r w:rsidRPr="004C600E">
        <w:rPr>
          <w:b/>
          <w:u w:val="single"/>
        </w:rPr>
        <w:t>Risk indicator</w:t>
      </w:r>
    </w:p>
    <w:p w:rsidR="004C600E" w:rsidRDefault="004C600E" w:rsidP="004C600E">
      <w:pPr>
        <w:jc w:val="both"/>
      </w:pPr>
    </w:p>
    <w:p w:rsidR="000F0B2B" w:rsidRDefault="009F230E" w:rsidP="004C600E">
      <w:pPr>
        <w:jc w:val="both"/>
      </w:pPr>
      <w:r>
        <w:t>The defini</w:t>
      </w:r>
      <w:r w:rsidR="007018A2">
        <w:t>tions proposed for</w:t>
      </w:r>
      <w:r>
        <w:t xml:space="preserve"> the various categories of PRIIPs with regards to the risk indicator </w:t>
      </w:r>
      <w:r w:rsidR="007018A2">
        <w:t>are</w:t>
      </w:r>
      <w:r w:rsidR="00A66BF6">
        <w:t xml:space="preserve"> </w:t>
      </w:r>
      <w:r w:rsidR="007018A2">
        <w:t>quite</w:t>
      </w:r>
      <w:r w:rsidR="00A66BF6">
        <w:t xml:space="preserve"> complex and we experienced strong difficulties before identifying to which category UCITS and AIFs pertain. </w:t>
      </w:r>
      <w:r w:rsidR="007018A2" w:rsidRPr="004C600E">
        <w:rPr>
          <w:b/>
        </w:rPr>
        <w:t>This complex</w:t>
      </w:r>
      <w:r w:rsidR="00A66BF6" w:rsidRPr="004C600E">
        <w:rPr>
          <w:b/>
        </w:rPr>
        <w:t xml:space="preserve"> classification may entail </w:t>
      </w:r>
      <w:r w:rsidR="008F1BE8" w:rsidRPr="004C600E">
        <w:rPr>
          <w:b/>
        </w:rPr>
        <w:t>real practical problem</w:t>
      </w:r>
      <w:r w:rsidR="007018A2" w:rsidRPr="004C600E">
        <w:rPr>
          <w:b/>
        </w:rPr>
        <w:t>s of</w:t>
      </w:r>
      <w:r w:rsidR="008F1BE8" w:rsidRPr="004C600E">
        <w:rPr>
          <w:b/>
        </w:rPr>
        <w:t xml:space="preserve"> </w:t>
      </w:r>
      <w:r w:rsidR="007018A2" w:rsidRPr="004C600E">
        <w:rPr>
          <w:b/>
        </w:rPr>
        <w:t>impl</w:t>
      </w:r>
      <w:r w:rsidR="007018A2" w:rsidRPr="004C600E">
        <w:rPr>
          <w:b/>
        </w:rPr>
        <w:t>e</w:t>
      </w:r>
      <w:r w:rsidR="007018A2" w:rsidRPr="004C600E">
        <w:rPr>
          <w:b/>
        </w:rPr>
        <w:t xml:space="preserve">mentation </w:t>
      </w:r>
      <w:r w:rsidR="007018A2">
        <w:t>and we would urge ES</w:t>
      </w:r>
      <w:r w:rsidR="008F1BE8">
        <w:t>A</w:t>
      </w:r>
      <w:r w:rsidR="007018A2">
        <w:t>s</w:t>
      </w:r>
      <w:r w:rsidR="008F1BE8">
        <w:t xml:space="preserve"> to find ways of simplification.</w:t>
      </w:r>
    </w:p>
    <w:p w:rsidR="008F1BE8" w:rsidRDefault="008F1BE8" w:rsidP="000F0B2B">
      <w:pPr>
        <w:jc w:val="both"/>
      </w:pPr>
    </w:p>
    <w:p w:rsidR="008F1BE8" w:rsidRDefault="008F1BE8" w:rsidP="000F0B2B">
      <w:pPr>
        <w:jc w:val="both"/>
      </w:pPr>
      <w:r>
        <w:t>It seems appropriate to introduce credit risk for some products but we consider that the aggregation of market and credit risk within a single synthetic indicator does not provide any value but is rather mislea</w:t>
      </w:r>
      <w:r>
        <w:t>d</w:t>
      </w:r>
      <w:r>
        <w:t xml:space="preserve">ing. Instead of a 7 level synthetic indicator which is not based on a very rational aggregation, </w:t>
      </w:r>
      <w:r w:rsidRPr="001919C1">
        <w:rPr>
          <w:b/>
        </w:rPr>
        <w:t xml:space="preserve">we would favour a 3 level synthetic indicator (low, moderate, high) </w:t>
      </w:r>
      <w:r>
        <w:t>which would avoid some questionable a</w:t>
      </w:r>
      <w:r>
        <w:t>s</w:t>
      </w:r>
      <w:r>
        <w:t>sumptions with regards to the aggregation matrix. This indicat</w:t>
      </w:r>
      <w:r w:rsidR="00DF5580">
        <w:t>or would be disclosed together with the two others i.e. market risk and credit risk indicators. Such a presentation would be much more credible, el</w:t>
      </w:r>
      <w:r w:rsidR="00DF5580">
        <w:t>o</w:t>
      </w:r>
      <w:r w:rsidR="00DF5580">
        <w:t>quent and appropriate.</w:t>
      </w:r>
      <w:r w:rsidR="0032057D">
        <w:t xml:space="preserve"> It would also allow financial advisors to provide explanation about risk. If a single indicator is provided, it will be impossible for the advisor to explain why the risk is level 3 and not 5.</w:t>
      </w:r>
    </w:p>
    <w:p w:rsidR="004C600E" w:rsidRDefault="004C600E" w:rsidP="000F0B2B">
      <w:pPr>
        <w:jc w:val="both"/>
      </w:pPr>
    </w:p>
    <w:p w:rsidR="000F0B2B" w:rsidRDefault="000F0B2B" w:rsidP="000F0B2B">
      <w:pPr>
        <w:jc w:val="both"/>
      </w:pPr>
    </w:p>
    <w:p w:rsidR="004C600E" w:rsidRPr="004C600E" w:rsidRDefault="004C600E" w:rsidP="004C600E">
      <w:pPr>
        <w:pStyle w:val="Paragraphedeliste"/>
        <w:numPr>
          <w:ilvl w:val="0"/>
          <w:numId w:val="44"/>
        </w:numPr>
        <w:spacing w:line="276" w:lineRule="auto"/>
        <w:jc w:val="both"/>
        <w:rPr>
          <w:szCs w:val="20"/>
          <w:u w:val="single"/>
          <w:lang w:val="en-US"/>
        </w:rPr>
      </w:pPr>
      <w:proofErr w:type="spellStart"/>
      <w:r w:rsidRPr="004C600E">
        <w:rPr>
          <w:b/>
          <w:szCs w:val="20"/>
          <w:u w:val="single"/>
        </w:rPr>
        <w:t>Futur</w:t>
      </w:r>
      <w:proofErr w:type="spellEnd"/>
      <w:r w:rsidRPr="004C600E">
        <w:rPr>
          <w:b/>
          <w:szCs w:val="20"/>
          <w:u w:val="single"/>
        </w:rPr>
        <w:t xml:space="preserve"> performance scenarios</w:t>
      </w:r>
    </w:p>
    <w:p w:rsidR="004C600E" w:rsidRDefault="004C600E" w:rsidP="004C600E">
      <w:pPr>
        <w:spacing w:line="276" w:lineRule="auto"/>
        <w:jc w:val="both"/>
        <w:rPr>
          <w:b/>
          <w:szCs w:val="20"/>
        </w:rPr>
      </w:pPr>
    </w:p>
    <w:p w:rsidR="006010E8" w:rsidRPr="004C600E" w:rsidRDefault="001919C1" w:rsidP="004C600E">
      <w:pPr>
        <w:spacing w:line="276" w:lineRule="auto"/>
        <w:jc w:val="both"/>
        <w:rPr>
          <w:szCs w:val="20"/>
          <w:lang w:val="en-US"/>
        </w:rPr>
      </w:pPr>
      <w:r w:rsidRPr="004C600E">
        <w:rPr>
          <w:b/>
          <w:szCs w:val="20"/>
        </w:rPr>
        <w:t xml:space="preserve">We have a real concern with the introduction of compulsory future performance scenarios </w:t>
      </w:r>
      <w:r w:rsidR="006010E8" w:rsidRPr="004C600E">
        <w:rPr>
          <w:b/>
          <w:szCs w:val="20"/>
        </w:rPr>
        <w:t>for any kind of PRIIPs</w:t>
      </w:r>
      <w:r w:rsidR="006010E8" w:rsidRPr="004C600E">
        <w:rPr>
          <w:szCs w:val="20"/>
        </w:rPr>
        <w:t xml:space="preserve"> and we consider</w:t>
      </w:r>
      <w:r w:rsidR="006010E8" w:rsidRPr="004C600E">
        <w:rPr>
          <w:szCs w:val="20"/>
          <w:lang w:val="en-US"/>
        </w:rPr>
        <w:t xml:space="preserve"> that a wrong approach has been taken by regulators when r</w:t>
      </w:r>
      <w:r w:rsidR="006010E8" w:rsidRPr="004C600E">
        <w:rPr>
          <w:szCs w:val="20"/>
          <w:lang w:val="en-US"/>
        </w:rPr>
        <w:t>e</w:t>
      </w:r>
      <w:r w:rsidR="006010E8" w:rsidRPr="004C600E">
        <w:rPr>
          <w:szCs w:val="20"/>
          <w:lang w:val="en-US"/>
        </w:rPr>
        <w:t>quiring such scenarios for any PRIIPs: performance scenarios were introduced in UCITS IV Directive for structured UCITS in order to provide adequate illustration for some structured funds based on a ‘formula’ i.e. funds with an expected return linked to the evolution of some indices or to the combin</w:t>
      </w:r>
      <w:r w:rsidR="006010E8" w:rsidRPr="004C600E">
        <w:rPr>
          <w:szCs w:val="20"/>
          <w:lang w:val="en-US"/>
        </w:rPr>
        <w:t>a</w:t>
      </w:r>
      <w:r w:rsidR="006010E8" w:rsidRPr="004C600E">
        <w:rPr>
          <w:szCs w:val="20"/>
          <w:lang w:val="en-US"/>
        </w:rPr>
        <w:t>tion of index and other hypothesis. Applying this to usual funds or to life i</w:t>
      </w:r>
      <w:r w:rsidR="006010E8" w:rsidRPr="004C600E">
        <w:rPr>
          <w:szCs w:val="20"/>
          <w:lang w:val="en-US"/>
        </w:rPr>
        <w:t>n</w:t>
      </w:r>
      <w:r w:rsidR="006010E8" w:rsidRPr="004C600E">
        <w:rPr>
          <w:szCs w:val="20"/>
          <w:lang w:val="en-US"/>
        </w:rPr>
        <w:t>surance products will drive in many cases to irrelevant assumptions which could only provide illusion to investors with very detr</w:t>
      </w:r>
      <w:r w:rsidR="006010E8" w:rsidRPr="004C600E">
        <w:rPr>
          <w:szCs w:val="20"/>
          <w:lang w:val="en-US"/>
        </w:rPr>
        <w:t>i</w:t>
      </w:r>
      <w:r w:rsidR="006010E8" w:rsidRPr="004C600E">
        <w:rPr>
          <w:szCs w:val="20"/>
          <w:lang w:val="en-US"/>
        </w:rPr>
        <w:t xml:space="preserve">mental effects in case of litigation.  </w:t>
      </w:r>
    </w:p>
    <w:p w:rsidR="006010E8" w:rsidRPr="006010E8" w:rsidRDefault="006010E8" w:rsidP="006010E8">
      <w:pPr>
        <w:jc w:val="both"/>
        <w:rPr>
          <w:szCs w:val="20"/>
          <w:lang w:val="en-US"/>
        </w:rPr>
      </w:pPr>
    </w:p>
    <w:p w:rsidR="006010E8" w:rsidRPr="006010E8" w:rsidRDefault="001C672E" w:rsidP="006010E8">
      <w:pPr>
        <w:jc w:val="both"/>
        <w:rPr>
          <w:szCs w:val="20"/>
          <w:lang w:val="en-US"/>
        </w:rPr>
      </w:pPr>
      <w:r>
        <w:rPr>
          <w:szCs w:val="20"/>
          <w:lang w:val="en-US"/>
        </w:rPr>
        <w:t>The draft RTS</w:t>
      </w:r>
      <w:r w:rsidR="006010E8" w:rsidRPr="006010E8">
        <w:rPr>
          <w:szCs w:val="20"/>
          <w:lang w:val="en-US"/>
        </w:rPr>
        <w:t xml:space="preserve"> prohibit</w:t>
      </w:r>
      <w:r>
        <w:rPr>
          <w:szCs w:val="20"/>
          <w:lang w:val="en-US"/>
        </w:rPr>
        <w:t>s</w:t>
      </w:r>
      <w:r w:rsidR="006010E8" w:rsidRPr="006010E8">
        <w:rPr>
          <w:szCs w:val="20"/>
          <w:lang w:val="en-US"/>
        </w:rPr>
        <w:t xml:space="preserve"> the use of past performances in the new KID which in our view is most irrelevant. Past performances have always been the best way in order to compare management skills for funds invested in the same asset class because recurrent return gaps between various funds provide a clear indication about the quality of asset management teams. Therefore they should be maintained for any </w:t>
      </w:r>
      <w:r w:rsidR="006010E8" w:rsidRPr="006010E8">
        <w:rPr>
          <w:szCs w:val="20"/>
          <w:lang w:val="en-US"/>
        </w:rPr>
        <w:lastRenderedPageBreak/>
        <w:t>linear fund (i.e. classical open-ended funds invested in listed securities and providing linear pay off) i</w:t>
      </w:r>
      <w:r w:rsidR="006010E8" w:rsidRPr="006010E8">
        <w:rPr>
          <w:szCs w:val="20"/>
          <w:lang w:val="en-US"/>
        </w:rPr>
        <w:t>n</w:t>
      </w:r>
      <w:r w:rsidR="006010E8" w:rsidRPr="006010E8">
        <w:rPr>
          <w:szCs w:val="20"/>
          <w:lang w:val="en-US"/>
        </w:rPr>
        <w:t xml:space="preserve">stead of being replaced by hypothetical future scenarios. Amundi considers that </w:t>
      </w:r>
      <w:r w:rsidR="006010E8" w:rsidRPr="006010E8">
        <w:rPr>
          <w:b/>
          <w:szCs w:val="20"/>
          <w:lang w:val="en-US"/>
        </w:rPr>
        <w:t>future performance scenarios are not appropriate</w:t>
      </w:r>
      <w:r w:rsidR="006010E8" w:rsidRPr="006010E8">
        <w:rPr>
          <w:szCs w:val="20"/>
          <w:lang w:val="en-US"/>
        </w:rPr>
        <w:t xml:space="preserve"> at all for these funds and that they should not be required in line with the level one text. </w:t>
      </w:r>
    </w:p>
    <w:p w:rsidR="006010E8" w:rsidRPr="006010E8" w:rsidRDefault="006010E8" w:rsidP="006010E8">
      <w:pPr>
        <w:jc w:val="both"/>
        <w:rPr>
          <w:szCs w:val="20"/>
          <w:lang w:val="en-US"/>
        </w:rPr>
      </w:pPr>
    </w:p>
    <w:p w:rsidR="006010E8" w:rsidRPr="006010E8" w:rsidRDefault="006010E8" w:rsidP="006010E8">
      <w:pPr>
        <w:jc w:val="both"/>
        <w:rPr>
          <w:szCs w:val="20"/>
          <w:lang w:val="en-US"/>
        </w:rPr>
      </w:pPr>
      <w:r w:rsidRPr="006010E8">
        <w:rPr>
          <w:szCs w:val="20"/>
          <w:lang w:val="en-US"/>
        </w:rPr>
        <w:t>For that same reason, any unit linked insurance contract, i.e. contract invested in linear UCITS or AIF should not be subject to these performance scenarios.</w:t>
      </w:r>
    </w:p>
    <w:p w:rsidR="006010E8" w:rsidRPr="006010E8" w:rsidRDefault="006010E8" w:rsidP="006010E8">
      <w:pPr>
        <w:jc w:val="both"/>
        <w:rPr>
          <w:szCs w:val="20"/>
          <w:lang w:val="en-US"/>
        </w:rPr>
      </w:pPr>
    </w:p>
    <w:p w:rsidR="006010E8" w:rsidRPr="006010E8" w:rsidRDefault="006010E8" w:rsidP="006010E8">
      <w:pPr>
        <w:jc w:val="both"/>
        <w:rPr>
          <w:szCs w:val="20"/>
          <w:lang w:val="en-US"/>
        </w:rPr>
      </w:pPr>
      <w:r w:rsidRPr="006010E8">
        <w:rPr>
          <w:szCs w:val="20"/>
          <w:lang w:val="en-US"/>
        </w:rPr>
        <w:t>Conversely, for non-linear funds as structured funds or life-cycle funds and also for some closed-ended funds, ‘what if’ scenarios may be relevant all the more when past performances are not available.</w:t>
      </w:r>
    </w:p>
    <w:p w:rsidR="00E14FBC" w:rsidRDefault="00E14FBC" w:rsidP="00E14FBC">
      <w:pPr>
        <w:jc w:val="both"/>
      </w:pPr>
      <w:r>
        <w:t xml:space="preserve">If performance scenarios were to remain compulsory for any kind of products and funds we consider that </w:t>
      </w:r>
      <w:r w:rsidRPr="007E45FA">
        <w:rPr>
          <w:b/>
        </w:rPr>
        <w:t xml:space="preserve">ESAs </w:t>
      </w:r>
      <w:r>
        <w:rPr>
          <w:b/>
        </w:rPr>
        <w:t>should</w:t>
      </w:r>
      <w:r w:rsidRPr="00F64C49">
        <w:rPr>
          <w:b/>
        </w:rPr>
        <w:t xml:space="preserve"> provide the methods of calculation of these scenarios for each kind of PRIIPs and of asset class</w:t>
      </w:r>
      <w:r>
        <w:rPr>
          <w:b/>
        </w:rPr>
        <w:t>es in order to avoid any misleading or abusive use of these scenarios from manufa</w:t>
      </w:r>
      <w:r>
        <w:rPr>
          <w:b/>
        </w:rPr>
        <w:t>c</w:t>
      </w:r>
      <w:r>
        <w:rPr>
          <w:b/>
        </w:rPr>
        <w:t>turers as well as from clients.</w:t>
      </w:r>
    </w:p>
    <w:p w:rsidR="00E14FBC" w:rsidRDefault="00E14FBC" w:rsidP="000F0B2B">
      <w:pPr>
        <w:jc w:val="both"/>
      </w:pPr>
    </w:p>
    <w:p w:rsidR="004C600E" w:rsidRPr="004C600E" w:rsidRDefault="004C600E" w:rsidP="004C600E">
      <w:pPr>
        <w:pStyle w:val="Paragraphedeliste"/>
        <w:numPr>
          <w:ilvl w:val="0"/>
          <w:numId w:val="44"/>
        </w:numPr>
        <w:jc w:val="both"/>
        <w:rPr>
          <w:b/>
          <w:u w:val="single"/>
        </w:rPr>
      </w:pPr>
      <w:r>
        <w:rPr>
          <w:b/>
          <w:u w:val="single"/>
        </w:rPr>
        <w:t>UCITS KIIDs and m</w:t>
      </w:r>
      <w:r w:rsidRPr="004C600E">
        <w:rPr>
          <w:b/>
          <w:u w:val="single"/>
        </w:rPr>
        <w:t>ulti option products</w:t>
      </w:r>
    </w:p>
    <w:p w:rsidR="004C600E" w:rsidRDefault="004C600E" w:rsidP="004C600E">
      <w:pPr>
        <w:jc w:val="both"/>
      </w:pPr>
    </w:p>
    <w:p w:rsidR="000F0B2B" w:rsidRPr="000F0B2B" w:rsidRDefault="007018A2" w:rsidP="004C600E">
      <w:pPr>
        <w:jc w:val="both"/>
      </w:pPr>
      <w:r>
        <w:t xml:space="preserve">Last but not least, </w:t>
      </w:r>
      <w:r w:rsidR="004C600E">
        <w:t xml:space="preserve">the exemption of the level 1 text for UCITS KIIDs is of utmost importance </w:t>
      </w:r>
      <w:proofErr w:type="spellStart"/>
      <w:r w:rsidR="004C600E">
        <w:t>i</w:t>
      </w:r>
      <w:proofErr w:type="spellEnd"/>
      <w:r w:rsidR="004C600E">
        <w:t>) because the investments required by the production of thousands of KIIDs have been huge and ii) because we do believe that KIID will prove to be much more efficient than the PRIIPs KID in the next five years. In this perspective w</w:t>
      </w:r>
      <w:r w:rsidR="000F0B2B">
        <w:t>e</w:t>
      </w:r>
      <w:r w:rsidR="000F0B2B" w:rsidRPr="000F0B2B">
        <w:t xml:space="preserve"> do not agree with the analysis concerning MOPs in page 6 (1</w:t>
      </w:r>
      <w:r w:rsidR="000F0B2B" w:rsidRPr="004C600E">
        <w:rPr>
          <w:vertAlign w:val="superscript"/>
        </w:rPr>
        <w:t>st</w:t>
      </w:r>
      <w:r w:rsidR="000F0B2B" w:rsidRPr="000F0B2B">
        <w:t xml:space="preserve"> and 2</w:t>
      </w:r>
      <w:r w:rsidR="000F0B2B" w:rsidRPr="004C600E">
        <w:rPr>
          <w:vertAlign w:val="superscript"/>
        </w:rPr>
        <w:t>nd</w:t>
      </w:r>
      <w:r w:rsidR="00B50F95">
        <w:t xml:space="preserve"> §)</w:t>
      </w:r>
      <w:r w:rsidR="00024054">
        <w:t xml:space="preserve"> </w:t>
      </w:r>
      <w:r w:rsidR="000F0B2B" w:rsidRPr="000F0B2B">
        <w:t>which contr</w:t>
      </w:r>
      <w:r w:rsidR="000F0B2B" w:rsidRPr="000F0B2B">
        <w:t>a</w:t>
      </w:r>
      <w:r w:rsidR="000F0B2B" w:rsidRPr="000F0B2B">
        <w:t>dicts article 6 (3) of the level 1 text</w:t>
      </w:r>
      <w:r w:rsidR="00B50F95">
        <w:t xml:space="preserve"> as explained in our response to Q</w:t>
      </w:r>
      <w:r w:rsidR="00E621EE">
        <w:t>1</w:t>
      </w:r>
      <w:r w:rsidR="000F0B2B" w:rsidRPr="000F0B2B">
        <w:t>. In the way this article is written we consider, for exa</w:t>
      </w:r>
      <w:r w:rsidR="000F0B2B" w:rsidRPr="000F0B2B">
        <w:t>m</w:t>
      </w:r>
      <w:r w:rsidR="000F0B2B" w:rsidRPr="000F0B2B">
        <w:t>ple, that the KID of a unit linked insurance contract could only mention where KIIDs of eligible UCITS to the contract may be found</w:t>
      </w:r>
      <w:r w:rsidR="004C600E">
        <w:t xml:space="preserve"> (i.e. on asset managers’ websites)</w:t>
      </w:r>
      <w:r w:rsidR="000F0B2B" w:rsidRPr="000F0B2B">
        <w:t>, and nothing more</w:t>
      </w:r>
      <w:r w:rsidR="004C600E">
        <w:t xml:space="preserve"> as far as additional information needed by insurers for their KIDs will be provided separatly</w:t>
      </w:r>
      <w:bookmarkStart w:id="3" w:name="_GoBack"/>
      <w:bookmarkEnd w:id="3"/>
      <w:r w:rsidR="000F0B2B" w:rsidRPr="000F0B2B">
        <w:t>. We provide further analysis on this point in our comment below referring to art</w:t>
      </w:r>
      <w:r w:rsidR="000F0B2B" w:rsidRPr="000F0B2B">
        <w:t>i</w:t>
      </w:r>
      <w:r w:rsidR="000F0B2B" w:rsidRPr="000F0B2B">
        <w:t>cles 12-15.</w:t>
      </w:r>
    </w:p>
    <w:permEnd w:id="730544599"/>
    <w:p w:rsidR="00D34282" w:rsidRPr="00C25863" w:rsidRDefault="00D34282" w:rsidP="00D34282">
      <w:r w:rsidRPr="00C25863">
        <w:t>&lt;</w:t>
      </w:r>
      <w:r>
        <w:t>ESMA_COMMENT</w:t>
      </w:r>
      <w:r w:rsidRPr="00C25863">
        <w:t>_</w:t>
      </w:r>
      <w:r w:rsidR="000E35CB" w:rsidRPr="000E35CB">
        <w:rPr>
          <w:rFonts w:cs="Arial"/>
        </w:rPr>
        <w:t xml:space="preserve"> </w:t>
      </w:r>
      <w:r w:rsidR="000E35CB">
        <w:rPr>
          <w:rFonts w:cs="Arial"/>
        </w:rPr>
        <w:t>PRIIPS</w:t>
      </w:r>
      <w:r w:rsidRPr="00C25863">
        <w:t>_1&gt;</w:t>
      </w:r>
    </w:p>
    <w:p w:rsidR="00580880" w:rsidRDefault="00F32462" w:rsidP="00580880">
      <w:pPr>
        <w:pStyle w:val="QUESTIONSESMA"/>
      </w:pPr>
      <w:r>
        <w:rPr>
          <w:rFonts w:cs="Arial"/>
        </w:rPr>
        <w:br w:type="page"/>
      </w:r>
    </w:p>
    <w:p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rsidR="00580880" w:rsidRDefault="00580880" w:rsidP="00750796"/>
    <w:p w:rsidR="00750796" w:rsidRDefault="00750796" w:rsidP="00750796">
      <w:r>
        <w:t>&lt;ESMA_QUESTION_</w:t>
      </w:r>
      <w:r w:rsidR="003E4B00">
        <w:t>PRIIPS</w:t>
      </w:r>
      <w:r>
        <w:t>_1&gt;</w:t>
      </w:r>
    </w:p>
    <w:p w:rsidR="00C64B5A" w:rsidRDefault="00094FC9" w:rsidP="00750796">
      <w:permStart w:id="355410896" w:edGrp="everyone"/>
      <w:r>
        <w:t xml:space="preserve">Criteria that are set out in Recital 18 diverge from those of </w:t>
      </w:r>
      <w:proofErr w:type="spellStart"/>
      <w:r>
        <w:t>MiFID</w:t>
      </w:r>
      <w:proofErr w:type="spellEnd"/>
      <w:r>
        <w:t xml:space="preserve"> II and we do believe that they would introduce further confusion in this </w:t>
      </w:r>
      <w:r w:rsidR="0032057D">
        <w:t>topic which is already tricky.</w:t>
      </w:r>
      <w:r>
        <w:t xml:space="preserve"> </w:t>
      </w:r>
      <w:r w:rsidR="00C64B5A">
        <w:t xml:space="preserve">We consider that the comprehension alert should </w:t>
      </w:r>
      <w:r w:rsidR="0032057D">
        <w:t xml:space="preserve">only </w:t>
      </w:r>
      <w:r w:rsidR="00C64B5A">
        <w:t xml:space="preserve">be required for products which are considered as complex through </w:t>
      </w:r>
      <w:proofErr w:type="spellStart"/>
      <w:r w:rsidR="00C64B5A">
        <w:t>MiFID</w:t>
      </w:r>
      <w:proofErr w:type="spellEnd"/>
      <w:r w:rsidR="00C64B5A">
        <w:t xml:space="preserve"> criteria.</w:t>
      </w:r>
    </w:p>
    <w:p w:rsidR="00C64B5A" w:rsidRDefault="0032057D" w:rsidP="00750796">
      <w:r>
        <w:t>In any case, PRIIPs that invest in or that are exposed to underlying assets which are eligible to UCITS must be considered as non-complex.</w:t>
      </w:r>
    </w:p>
    <w:p w:rsidR="006F7844" w:rsidRDefault="006F7844" w:rsidP="00E621EE">
      <w:pPr>
        <w:pStyle w:val="Default"/>
        <w:rPr>
          <w:rFonts w:ascii="Arial" w:hAnsi="Arial" w:cs="Arial"/>
          <w:sz w:val="20"/>
          <w:szCs w:val="20"/>
          <w:lang w:val="en-US"/>
        </w:rPr>
      </w:pPr>
    </w:p>
    <w:p w:rsidR="00E621EE" w:rsidRDefault="00E621EE" w:rsidP="00E621EE">
      <w:pPr>
        <w:pStyle w:val="Default"/>
        <w:rPr>
          <w:rFonts w:ascii="Arial" w:hAnsi="Arial" w:cs="Arial"/>
          <w:sz w:val="20"/>
          <w:szCs w:val="20"/>
          <w:lang w:val="en-US"/>
        </w:rPr>
      </w:pPr>
      <w:r w:rsidRPr="006F7844">
        <w:rPr>
          <w:rFonts w:ascii="Arial" w:hAnsi="Arial" w:cs="Arial"/>
          <w:b/>
          <w:sz w:val="20"/>
          <w:szCs w:val="20"/>
          <w:lang w:val="en-US"/>
        </w:rPr>
        <w:t>Besides</w:t>
      </w:r>
      <w:r w:rsidR="006F7844" w:rsidRPr="006F7844">
        <w:rPr>
          <w:rFonts w:ascii="Arial" w:hAnsi="Arial" w:cs="Arial"/>
          <w:b/>
          <w:sz w:val="20"/>
          <w:szCs w:val="20"/>
          <w:lang w:val="en-US"/>
        </w:rPr>
        <w:t xml:space="preserve"> for what is of MOPs</w:t>
      </w:r>
      <w:r w:rsidR="006F7844">
        <w:rPr>
          <w:rFonts w:ascii="Arial" w:hAnsi="Arial" w:cs="Arial"/>
          <w:sz w:val="20"/>
          <w:szCs w:val="20"/>
          <w:lang w:val="en-US"/>
        </w:rPr>
        <w:t xml:space="preserve"> </w:t>
      </w:r>
      <w:r w:rsidRPr="00E621EE">
        <w:rPr>
          <w:rFonts w:ascii="Arial" w:hAnsi="Arial" w:cs="Arial"/>
          <w:sz w:val="20"/>
          <w:szCs w:val="20"/>
          <w:lang w:val="en-US"/>
        </w:rPr>
        <w:t xml:space="preserve">, as mentioned in our introduction, we consider that the requirement </w:t>
      </w:r>
      <w:r w:rsidR="006F7844">
        <w:rPr>
          <w:rFonts w:ascii="Arial" w:hAnsi="Arial" w:cs="Arial"/>
          <w:sz w:val="20"/>
          <w:szCs w:val="20"/>
          <w:lang w:val="en-US"/>
        </w:rPr>
        <w:t>i</w:t>
      </w:r>
      <w:r w:rsidR="006F7844">
        <w:rPr>
          <w:rFonts w:ascii="Arial" w:hAnsi="Arial" w:cs="Arial"/>
          <w:sz w:val="20"/>
          <w:szCs w:val="20"/>
          <w:lang w:val="en-US"/>
        </w:rPr>
        <w:t>m</w:t>
      </w:r>
      <w:r w:rsidR="006F7844">
        <w:rPr>
          <w:rFonts w:ascii="Arial" w:hAnsi="Arial" w:cs="Arial"/>
          <w:sz w:val="20"/>
          <w:szCs w:val="20"/>
          <w:lang w:val="en-US"/>
        </w:rPr>
        <w:t>posed for the second option (</w:t>
      </w:r>
      <w:r w:rsidR="0032057D">
        <w:rPr>
          <w:rFonts w:ascii="Arial" w:hAnsi="Arial" w:cs="Arial"/>
          <w:sz w:val="20"/>
          <w:szCs w:val="20"/>
          <w:lang w:val="en-US"/>
        </w:rPr>
        <w:t xml:space="preserve">in </w:t>
      </w:r>
      <w:r w:rsidR="006F7844">
        <w:rPr>
          <w:rFonts w:ascii="Arial" w:hAnsi="Arial" w:cs="Arial"/>
          <w:sz w:val="20"/>
          <w:szCs w:val="20"/>
          <w:lang w:val="en-US"/>
        </w:rPr>
        <w:t xml:space="preserve">pages 5 &amp; 6) </w:t>
      </w:r>
      <w:r w:rsidRPr="00E621EE">
        <w:rPr>
          <w:rFonts w:ascii="Arial" w:hAnsi="Arial" w:cs="Arial"/>
          <w:sz w:val="20"/>
          <w:szCs w:val="20"/>
          <w:lang w:val="en-US"/>
        </w:rPr>
        <w:t>for the PRIIP manufactur</w:t>
      </w:r>
      <w:r w:rsidR="006F7844">
        <w:rPr>
          <w:rFonts w:ascii="Arial" w:hAnsi="Arial" w:cs="Arial"/>
          <w:sz w:val="20"/>
          <w:szCs w:val="20"/>
          <w:lang w:val="en-US"/>
        </w:rPr>
        <w:t>er to</w:t>
      </w:r>
      <w:r w:rsidRPr="00E621EE">
        <w:rPr>
          <w:rFonts w:ascii="Arial" w:hAnsi="Arial" w:cs="Arial"/>
          <w:sz w:val="20"/>
          <w:szCs w:val="20"/>
          <w:lang w:val="en-US"/>
        </w:rPr>
        <w:t xml:space="preserve"> “produce a generic KID for the PRIIP in general, and then provide specific information about the options (including on their description, their risks and rewards, and their specific costs) within a separate document or documents</w:t>
      </w:r>
      <w:r>
        <w:rPr>
          <w:rFonts w:ascii="Arial" w:hAnsi="Arial" w:cs="Arial"/>
          <w:sz w:val="20"/>
          <w:szCs w:val="20"/>
          <w:lang w:val="en-US"/>
        </w:rPr>
        <w:t>” overrides the requirement set in article 6 (3) which states that:</w:t>
      </w:r>
    </w:p>
    <w:p w:rsidR="00E621EE" w:rsidRDefault="00E621EE" w:rsidP="00E621EE">
      <w:pPr>
        <w:pStyle w:val="Default"/>
        <w:rPr>
          <w:rFonts w:ascii="Arial" w:hAnsi="Arial" w:cs="Arial"/>
          <w:sz w:val="20"/>
          <w:szCs w:val="20"/>
          <w:lang w:val="en-US"/>
        </w:rPr>
      </w:pPr>
      <w:r>
        <w:rPr>
          <w:rFonts w:ascii="Arial" w:hAnsi="Arial" w:cs="Arial"/>
          <w:sz w:val="20"/>
          <w:szCs w:val="20"/>
          <w:lang w:val="en-US"/>
        </w:rPr>
        <w:t>“</w:t>
      </w:r>
      <w:r w:rsidRPr="00E621EE">
        <w:rPr>
          <w:rFonts w:ascii="Arial" w:hAnsi="Arial" w:cs="Arial"/>
          <w:sz w:val="20"/>
          <w:szCs w:val="20"/>
          <w:lang w:val="en-US"/>
        </w:rPr>
        <w:t>By way of derogation from paragraph 2, where a PRIIP offers the retail investor a range of options for investments, such that all information required in Article 8(3) with regard to each underlying investment option cannot be provided within a single, concise stand-alone document, the key information document shall provide at least a generic description of the underlying investment options and state where and how more detailed pre-contractual information documentation relating to the investment products backing the underlying investment options can be found.</w:t>
      </w:r>
      <w:r>
        <w:rPr>
          <w:rFonts w:ascii="Arial" w:hAnsi="Arial" w:cs="Arial"/>
          <w:sz w:val="20"/>
          <w:szCs w:val="20"/>
          <w:lang w:val="en-US"/>
        </w:rPr>
        <w:t>”</w:t>
      </w:r>
    </w:p>
    <w:p w:rsidR="00E621EE" w:rsidRDefault="00E621EE" w:rsidP="00E621EE">
      <w:pPr>
        <w:pStyle w:val="Default"/>
        <w:rPr>
          <w:rFonts w:ascii="Arial" w:hAnsi="Arial" w:cs="Arial"/>
          <w:b/>
          <w:sz w:val="20"/>
          <w:szCs w:val="20"/>
          <w:lang w:val="en-US"/>
        </w:rPr>
      </w:pPr>
      <w:r w:rsidRPr="006F7844">
        <w:rPr>
          <w:rFonts w:ascii="Arial" w:hAnsi="Arial" w:cs="Arial"/>
          <w:b/>
          <w:sz w:val="20"/>
          <w:szCs w:val="20"/>
          <w:lang w:val="en-US"/>
        </w:rPr>
        <w:t xml:space="preserve">For insurance unit linked contracts this article </w:t>
      </w:r>
      <w:r w:rsidR="006F7844" w:rsidRPr="006F7844">
        <w:rPr>
          <w:rFonts w:ascii="Arial" w:hAnsi="Arial" w:cs="Arial"/>
          <w:b/>
          <w:sz w:val="20"/>
          <w:szCs w:val="20"/>
          <w:lang w:val="en-US"/>
        </w:rPr>
        <w:t xml:space="preserve">of the level 1 text </w:t>
      </w:r>
      <w:r w:rsidRPr="006F7844">
        <w:rPr>
          <w:rFonts w:ascii="Arial" w:hAnsi="Arial" w:cs="Arial"/>
          <w:b/>
          <w:sz w:val="20"/>
          <w:szCs w:val="20"/>
          <w:lang w:val="en-US"/>
        </w:rPr>
        <w:t>clearly allow</w:t>
      </w:r>
      <w:r w:rsidR="006F7844" w:rsidRPr="006F7844">
        <w:rPr>
          <w:rFonts w:ascii="Arial" w:hAnsi="Arial" w:cs="Arial"/>
          <w:b/>
          <w:sz w:val="20"/>
          <w:szCs w:val="20"/>
          <w:lang w:val="en-US"/>
        </w:rPr>
        <w:t>s</w:t>
      </w:r>
      <w:r w:rsidRPr="006F7844">
        <w:rPr>
          <w:rFonts w:ascii="Arial" w:hAnsi="Arial" w:cs="Arial"/>
          <w:b/>
          <w:sz w:val="20"/>
          <w:szCs w:val="20"/>
          <w:lang w:val="en-US"/>
        </w:rPr>
        <w:t xml:space="preserve"> for only providing in the KID asset managers’ websites where the investor will find UCITS KIID.</w:t>
      </w:r>
    </w:p>
    <w:p w:rsidR="006F7844" w:rsidRDefault="006F7844" w:rsidP="00E621EE">
      <w:pPr>
        <w:pStyle w:val="Default"/>
        <w:rPr>
          <w:rFonts w:ascii="Arial" w:hAnsi="Arial" w:cs="Arial"/>
          <w:b/>
          <w:sz w:val="20"/>
          <w:szCs w:val="20"/>
          <w:lang w:val="en-US"/>
        </w:rPr>
      </w:pPr>
      <w:r>
        <w:rPr>
          <w:rFonts w:ascii="Arial" w:hAnsi="Arial" w:cs="Arial"/>
          <w:b/>
          <w:sz w:val="20"/>
          <w:szCs w:val="20"/>
          <w:lang w:val="en-US"/>
        </w:rPr>
        <w:t>In fact, any other provision would lead to unworkable requirements and to overwhelming the retail investor with unnecessary documents and information.</w:t>
      </w:r>
    </w:p>
    <w:p w:rsidR="006F7844" w:rsidRDefault="006F7844" w:rsidP="00E621EE">
      <w:pPr>
        <w:pStyle w:val="Default"/>
        <w:rPr>
          <w:rFonts w:ascii="Arial" w:hAnsi="Arial" w:cs="Arial"/>
          <w:b/>
          <w:sz w:val="20"/>
          <w:szCs w:val="20"/>
          <w:lang w:val="en-US"/>
        </w:rPr>
      </w:pPr>
      <w:r>
        <w:rPr>
          <w:rFonts w:ascii="Arial" w:hAnsi="Arial" w:cs="Arial"/>
          <w:b/>
          <w:sz w:val="20"/>
          <w:szCs w:val="20"/>
          <w:lang w:val="en-US"/>
        </w:rPr>
        <w:t>For what is of cost dis</w:t>
      </w:r>
      <w:r w:rsidR="003F63D1">
        <w:rPr>
          <w:rFonts w:ascii="Arial" w:hAnsi="Arial" w:cs="Arial"/>
          <w:b/>
          <w:sz w:val="20"/>
          <w:szCs w:val="20"/>
          <w:lang w:val="en-US"/>
        </w:rPr>
        <w:t>closure described in page 123 of the consultation, we also consider that these conclusion override the same article of the level one text, cancel the UCITS KIID exemption and would lead to unworkable requirements.</w:t>
      </w:r>
    </w:p>
    <w:p w:rsidR="003F63D1" w:rsidRPr="006F7844" w:rsidRDefault="003F63D1" w:rsidP="00E621EE">
      <w:pPr>
        <w:pStyle w:val="Default"/>
        <w:rPr>
          <w:rFonts w:ascii="Arial" w:hAnsi="Arial" w:cs="Arial"/>
          <w:b/>
          <w:sz w:val="20"/>
          <w:szCs w:val="20"/>
          <w:lang w:val="en-US"/>
        </w:rPr>
      </w:pPr>
      <w:r>
        <w:rPr>
          <w:rFonts w:ascii="Arial" w:hAnsi="Arial" w:cs="Arial"/>
          <w:b/>
          <w:sz w:val="20"/>
          <w:szCs w:val="20"/>
          <w:lang w:val="en-US"/>
        </w:rPr>
        <w:t>A solution would probably be to allow disclosing a price range based on the costs disclosed in the KIIDs of eligible UCITS to the contract, with the addition of transaction costs.</w:t>
      </w:r>
    </w:p>
    <w:permEnd w:id="355410896"/>
    <w:p w:rsidR="00750796" w:rsidRDefault="00750796" w:rsidP="00750796">
      <w:r>
        <w:t>&lt;ESMA_QUESTION_</w:t>
      </w:r>
      <w:r w:rsidR="003E4B00">
        <w:t>PRIIPS</w:t>
      </w:r>
      <w:r>
        <w:t>_1&gt;</w:t>
      </w:r>
    </w:p>
    <w:p w:rsidR="00580880" w:rsidRDefault="00580880" w:rsidP="00750796"/>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w:t>
      </w:r>
      <w:r w:rsidRPr="00580880">
        <w:rPr>
          <w:rFonts w:ascii="Calibri" w:hAnsi="Calibri"/>
          <w:i/>
          <w:sz w:val="22"/>
          <w:lang w:eastAsia="en-US"/>
        </w:rPr>
        <w:t>p</w:t>
      </w:r>
      <w:r w:rsidRPr="00580880">
        <w:rPr>
          <w:rFonts w:ascii="Calibri" w:hAnsi="Calibri"/>
          <w:i/>
          <w:sz w:val="22"/>
          <w:lang w:eastAsia="en-US"/>
        </w:rPr>
        <w:t>tion, unless the PRIIP has a known required investment amount and price which can be used i</w:t>
      </w:r>
      <w:r w:rsidRPr="00580880">
        <w:rPr>
          <w:rFonts w:ascii="Calibri" w:hAnsi="Calibri"/>
          <w:i/>
          <w:sz w:val="22"/>
          <w:lang w:eastAsia="en-US"/>
        </w:rPr>
        <w:t>n</w:t>
      </w:r>
      <w:r w:rsidRPr="00580880">
        <w:rPr>
          <w:rFonts w:ascii="Calibri" w:hAnsi="Calibri"/>
          <w:i/>
          <w:sz w:val="22"/>
          <w:lang w:eastAsia="en-US"/>
        </w:rPr>
        <w:t>stead?</w:t>
      </w:r>
    </w:p>
    <w:p w:rsidR="00580880" w:rsidRDefault="00580880" w:rsidP="00750796">
      <w:pPr>
        <w:rPr>
          <w:rFonts w:cstheme="minorBidi"/>
          <w:b/>
          <w:szCs w:val="22"/>
          <w:lang w:eastAsia="en-US"/>
        </w:rPr>
      </w:pPr>
    </w:p>
    <w:p w:rsidR="00750796" w:rsidRDefault="00750796" w:rsidP="00750796">
      <w:r>
        <w:t>&lt;ESMA_QUESTION_</w:t>
      </w:r>
      <w:r w:rsidR="003E4B00">
        <w:t>PRIIPS</w:t>
      </w:r>
      <w:r>
        <w:t>_2&gt;</w:t>
      </w:r>
    </w:p>
    <w:p w:rsidR="00750796" w:rsidRDefault="000F0B2B" w:rsidP="00750796">
      <w:permStart w:id="1062297210" w:edGrp="everyone"/>
      <w:r>
        <w:t xml:space="preserve">We strongly support the possibility of expressing </w:t>
      </w:r>
      <w:r w:rsidR="008B024A">
        <w:t>costs in relation with a standard investment amount because it will simplify the provision of information on cost</w:t>
      </w:r>
      <w:r w:rsidR="00C64B5A">
        <w:t>s</w:t>
      </w:r>
      <w:r w:rsidR="008B024A">
        <w:t xml:space="preserve">. Conversely, we deplore the fact that this possibility has not been introduced in the current draft delegated acts of the Commission for the discloser of costs and of retrocession on management fees (‘inducements’) in </w:t>
      </w:r>
      <w:proofErr w:type="spellStart"/>
      <w:r w:rsidR="008B024A">
        <w:t>MiFID</w:t>
      </w:r>
      <w:proofErr w:type="spellEnd"/>
      <w:r w:rsidR="008B024A">
        <w:t xml:space="preserve"> II.</w:t>
      </w:r>
    </w:p>
    <w:p w:rsidR="008B024A" w:rsidRDefault="008B024A" w:rsidP="00750796">
      <w:r>
        <w:t>The default amount of 1000 € is appropriate; perhaps would it be better to take 10 000 € for insurance contracts instead of 15 000 € in order to facilitate checking the related percentage.</w:t>
      </w:r>
    </w:p>
    <w:permEnd w:id="1062297210"/>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_2&gt;</w:t>
      </w:r>
    </w:p>
    <w:p w:rsidR="00855D9F" w:rsidRDefault="00855D9F" w:rsidP="00750796">
      <w:pPr>
        <w:rPr>
          <w:lang w:val="fr-FR"/>
        </w:rPr>
      </w:pPr>
    </w:p>
    <w:p w:rsidR="00580880" w:rsidRPr="00580880" w:rsidRDefault="00580880" w:rsidP="00750796">
      <w:pPr>
        <w:rPr>
          <w:lang w:val="fr-FR"/>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lastRenderedPageBreak/>
        <w:t>Question 3</w:t>
      </w:r>
    </w:p>
    <w:p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rsidR="00580880" w:rsidRDefault="00580880" w:rsidP="00750796"/>
    <w:p w:rsidR="00750796" w:rsidRDefault="00750796" w:rsidP="00750796">
      <w:r>
        <w:t>&lt;ESMA_QUESTION_</w:t>
      </w:r>
      <w:r w:rsidR="003E4B00">
        <w:t>PRIIPS</w:t>
      </w:r>
      <w:r>
        <w:t>_3&gt;</w:t>
      </w:r>
    </w:p>
    <w:p w:rsidR="00750796" w:rsidRDefault="00136D88" w:rsidP="00750796">
      <w:permStart w:id="1164137408" w:edGrp="everyone"/>
      <w:r>
        <w:t>Amundi agrees with the use of the Cornish Fisher expansion for any open ended UCITS or AIF. For category III which – as far as we have understood – covers mainly struct</w:t>
      </w:r>
      <w:r w:rsidR="003F63D1">
        <w:t xml:space="preserve">ured products, Cornish Fischer could </w:t>
      </w:r>
      <w:r>
        <w:t xml:space="preserve">be </w:t>
      </w:r>
      <w:r w:rsidR="003F63D1">
        <w:t>difficult</w:t>
      </w:r>
      <w:r>
        <w:t xml:space="preserve"> </w:t>
      </w:r>
      <w:r w:rsidR="003F63D1">
        <w:t xml:space="preserve">to apply </w:t>
      </w:r>
      <w:r>
        <w:t>because it requires 5 years of historical returns of the PRIIPs itself. By essence, structured products do not have historical track record.</w:t>
      </w:r>
    </w:p>
    <w:permEnd w:id="1164137408"/>
    <w:p w:rsidR="00750796" w:rsidRDefault="00750796" w:rsidP="00750796">
      <w:pPr>
        <w:rPr>
          <w:lang w:val="fr-FR"/>
        </w:rPr>
      </w:pPr>
      <w:r w:rsidRPr="00580880">
        <w:rPr>
          <w:lang w:val="fr-FR"/>
        </w:rPr>
        <w:t>&lt;ESMA_QUESTION_</w:t>
      </w:r>
      <w:r w:rsidR="003E4B00">
        <w:rPr>
          <w:lang w:val="fr-FR"/>
        </w:rPr>
        <w:t>PRIIPS</w:t>
      </w:r>
      <w:r w:rsidRPr="00580880">
        <w:rPr>
          <w:lang w:val="fr-FR"/>
        </w:rPr>
        <w:t>_3&gt;</w:t>
      </w:r>
    </w:p>
    <w:p w:rsidR="00580880" w:rsidRDefault="00580880" w:rsidP="00750796">
      <w:pPr>
        <w:rPr>
          <w:lang w:val="fr-FR"/>
        </w:rPr>
      </w:pPr>
    </w:p>
    <w:p w:rsidR="00580880" w:rsidRPr="00580880" w:rsidRDefault="0058088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a different confidence interval to compute the VaR? If so, please explain which conf</w:t>
      </w:r>
      <w:r w:rsidRPr="00580880">
        <w:rPr>
          <w:rFonts w:ascii="Calibri" w:hAnsi="Calibri"/>
          <w:i/>
          <w:sz w:val="22"/>
          <w:lang w:eastAsia="en-US"/>
        </w:rPr>
        <w:t>i</w:t>
      </w:r>
      <w:r w:rsidRPr="00580880">
        <w:rPr>
          <w:rFonts w:ascii="Calibri" w:hAnsi="Calibri"/>
          <w:i/>
          <w:sz w:val="22"/>
          <w:lang w:eastAsia="en-US"/>
        </w:rPr>
        <w:t xml:space="preserve">dence interval you would use and state your reasons why. </w:t>
      </w:r>
    </w:p>
    <w:p w:rsidR="00580880" w:rsidRDefault="00580880" w:rsidP="00750796">
      <w:pPr>
        <w:rPr>
          <w:rFonts w:cstheme="minorBidi"/>
          <w:b/>
          <w:szCs w:val="22"/>
          <w:lang w:eastAsia="en-US"/>
        </w:rPr>
      </w:pPr>
    </w:p>
    <w:p w:rsidR="00750796" w:rsidRDefault="00750796" w:rsidP="00750796">
      <w:r>
        <w:t>&lt;ESMA_QUESTION_</w:t>
      </w:r>
      <w:r w:rsidR="003E4B00">
        <w:t>PRIIPS</w:t>
      </w:r>
      <w:r>
        <w:t>_4&gt;</w:t>
      </w:r>
    </w:p>
    <w:p w:rsidR="00750796" w:rsidRPr="00090304" w:rsidRDefault="00750796" w:rsidP="00750796">
      <w:pPr>
        <w:rPr>
          <w:b/>
          <w:color w:val="FF0000"/>
          <w:lang w:val="fr-FR"/>
        </w:rPr>
      </w:pPr>
      <w:permStart w:id="2094280296" w:edGrp="everyone"/>
    </w:p>
    <w:permEnd w:id="2094280296"/>
    <w:p w:rsidR="00750796" w:rsidRDefault="00750796" w:rsidP="00750796">
      <w:r>
        <w:t>&lt;ESMA_QUESTION_</w:t>
      </w:r>
      <w:r w:rsidR="003E4B00">
        <w:t>PRIIPS</w:t>
      </w:r>
      <w:r>
        <w:t>_4&gt;</w:t>
      </w:r>
    </w:p>
    <w:p w:rsidR="00580880" w:rsidRDefault="00580880" w:rsidP="00750796">
      <w:pPr>
        <w:rPr>
          <w:rFonts w:cstheme="minorBidi"/>
          <w:b/>
          <w:szCs w:val="22"/>
          <w:lang w:eastAsia="en-US"/>
        </w:rPr>
      </w:pPr>
    </w:p>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rsidR="00580880" w:rsidRDefault="00580880" w:rsidP="00750796">
      <w:pPr>
        <w:rPr>
          <w:rFonts w:cstheme="minorBidi"/>
          <w:b/>
          <w:szCs w:val="22"/>
          <w:lang w:eastAsia="en-US"/>
        </w:rPr>
      </w:pPr>
    </w:p>
    <w:p w:rsidR="00750796" w:rsidRDefault="00750796" w:rsidP="00750796">
      <w:r>
        <w:t>&lt;ESMA_QUESTION_</w:t>
      </w:r>
      <w:r w:rsidR="003E4B00">
        <w:t>PRIIPS</w:t>
      </w:r>
      <w:r>
        <w:t>_5&gt;</w:t>
      </w:r>
    </w:p>
    <w:p w:rsidR="00750796" w:rsidRDefault="00750796" w:rsidP="00750796">
      <w:permStart w:id="216077276" w:edGrp="everyone"/>
      <w:r>
        <w:t>TYPE YOUR TEXT HERE</w:t>
      </w:r>
    </w:p>
    <w:permEnd w:id="216077276"/>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_5&gt;</w:t>
      </w:r>
    </w:p>
    <w:p w:rsidR="00855D9F" w:rsidRDefault="00855D9F" w:rsidP="00750796">
      <w:pPr>
        <w:rPr>
          <w:lang w:val="fr-FR"/>
        </w:rPr>
      </w:pPr>
    </w:p>
    <w:p w:rsidR="00847BB0" w:rsidRPr="00580880" w:rsidRDefault="00847BB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6</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PRIIP manufacturers having the option to voluntarily increase the disclosed SRI? In which circumstances? Would such an approach entail unintended consequences?</w:t>
      </w:r>
    </w:p>
    <w:p w:rsidR="00580880" w:rsidRDefault="00580880" w:rsidP="00580880">
      <w:pPr>
        <w:rPr>
          <w:rFonts w:ascii="Calibri" w:hAnsi="Calibri"/>
          <w:b/>
          <w:sz w:val="22"/>
          <w:lang w:eastAsia="en-US"/>
        </w:rPr>
      </w:pPr>
    </w:p>
    <w:p w:rsidR="003E4B00" w:rsidRDefault="003E4B00" w:rsidP="003E4B00">
      <w:r>
        <w:t>&lt;ESMA_QUESTION_PRIIPS_6&gt;</w:t>
      </w:r>
    </w:p>
    <w:p w:rsidR="003E4B00" w:rsidRDefault="003E4B00" w:rsidP="003E4B00">
      <w:permStart w:id="114704131" w:edGrp="everyone"/>
      <w:r>
        <w:t>TYPE YOUR TEXT HERE</w:t>
      </w:r>
    </w:p>
    <w:permEnd w:id="114704131"/>
    <w:p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rsidR="003E4B00" w:rsidRDefault="003E4B00" w:rsidP="00580880">
      <w:pPr>
        <w:rPr>
          <w:rFonts w:ascii="Calibri" w:hAnsi="Calibri"/>
          <w:b/>
          <w:sz w:val="22"/>
          <w:lang w:eastAsia="en-US"/>
        </w:rPr>
      </w:pPr>
    </w:p>
    <w:p w:rsidR="003E4B00" w:rsidRPr="00580880" w:rsidRDefault="003E4B00" w:rsidP="00580880">
      <w:pPr>
        <w:rPr>
          <w:rFonts w:ascii="Calibri" w:hAnsi="Calibri"/>
          <w:b/>
          <w:sz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rsidR="003E4B00" w:rsidRDefault="003E4B00" w:rsidP="003E4B00"/>
    <w:p w:rsidR="003E4B00" w:rsidRDefault="003E4B00" w:rsidP="003E4B00">
      <w:r>
        <w:t>&lt;ESMA_QUESTION_PRIIPS_7&gt;</w:t>
      </w:r>
    </w:p>
    <w:p w:rsidR="003E4B00" w:rsidRDefault="003E4B00" w:rsidP="003E4B00">
      <w:permStart w:id="223704515" w:edGrp="everyone"/>
      <w:r>
        <w:t>TYPE YOUR TEXT HERE</w:t>
      </w:r>
    </w:p>
    <w:permEnd w:id="223704515"/>
    <w:p w:rsidR="003E4B00" w:rsidRPr="00580880" w:rsidRDefault="003E4B00" w:rsidP="003E4B00">
      <w:pPr>
        <w:rPr>
          <w:lang w:val="fr-FR"/>
        </w:rPr>
      </w:pPr>
      <w:r w:rsidRPr="00580880">
        <w:rPr>
          <w:lang w:val="fr-FR"/>
        </w:rPr>
        <w:t>&lt;ESMA_QUESTION_</w:t>
      </w:r>
      <w:r>
        <w:rPr>
          <w:lang w:val="fr-FR"/>
        </w:rPr>
        <w:t>PRIIPS_7</w:t>
      </w:r>
      <w:r w:rsidRPr="00580880">
        <w:rPr>
          <w:lang w:val="fr-FR"/>
        </w:rPr>
        <w:t>&gt;</w:t>
      </w:r>
    </w:p>
    <w:p w:rsidR="00F32462" w:rsidRDefault="00F32462"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lastRenderedPageBreak/>
        <w:t xml:space="preserve">Do you agree with the scales of the classes MRM, CRM and SRI? If not, please specify your alternative proposal and include your reasoning. </w:t>
      </w:r>
    </w:p>
    <w:p w:rsidR="003E4B00" w:rsidRDefault="003E4B00" w:rsidP="003E4B00"/>
    <w:p w:rsidR="003E4B00" w:rsidRDefault="003E4B00" w:rsidP="003E4B00">
      <w:r>
        <w:t>&lt;ESMA_QUESTION_PRIIPS_8&gt;</w:t>
      </w:r>
    </w:p>
    <w:p w:rsidR="00965A87" w:rsidRDefault="00D34300" w:rsidP="00965A87">
      <w:pPr>
        <w:jc w:val="both"/>
      </w:pPr>
      <w:permStart w:id="478882532" w:edGrp="everyone"/>
      <w:r>
        <w:t>Generally speaking, we have the feeling</w:t>
      </w:r>
      <w:r w:rsidR="00965A87">
        <w:t xml:space="preserve"> that when aggregating </w:t>
      </w:r>
      <w:r w:rsidR="00965A87" w:rsidRPr="005A2A28">
        <w:t>market and credit risk into the summary risk indicator</w:t>
      </w:r>
      <w:r w:rsidR="00965A87">
        <w:t xml:space="preserve">, credit risk is </w:t>
      </w:r>
      <w:r>
        <w:t>underweigh</w:t>
      </w:r>
      <w:r w:rsidR="00965A87" w:rsidRPr="00F26228">
        <w:t>ted</w:t>
      </w:r>
      <w:r w:rsidR="00965A87">
        <w:t xml:space="preserve"> when compared to market risk</w:t>
      </w:r>
      <w:r w:rsidR="008771FC">
        <w:t>.</w:t>
      </w:r>
    </w:p>
    <w:p w:rsidR="00965A87" w:rsidRDefault="00D34300" w:rsidP="00965A87">
      <w:pPr>
        <w:jc w:val="both"/>
        <w:rPr>
          <w:b/>
        </w:rPr>
      </w:pPr>
      <w:r>
        <w:t>In addition, as expressed in our introduction,</w:t>
      </w:r>
      <w:r w:rsidR="00965A87">
        <w:t xml:space="preserve"> we consider that this aggregation does not make sense as far as far MRM and CRM are completely different. Aggregating them in such a fine tune scale of seven </w:t>
      </w:r>
      <w:r w:rsidR="0047779A">
        <w:t>levels</w:t>
      </w:r>
      <w:r w:rsidR="00965A87">
        <w:t xml:space="preserve"> gives </w:t>
      </w:r>
      <w:r>
        <w:t>an</w:t>
      </w:r>
      <w:r w:rsidR="00965A87">
        <w:t xml:space="preserve"> illusion of certainty </w:t>
      </w:r>
      <w:r>
        <w:t>which does not exist and which</w:t>
      </w:r>
      <w:r w:rsidR="00965A87">
        <w:t xml:space="preserve"> is misleading because the matrix of aggregation is completely empiric. </w:t>
      </w:r>
      <w:r w:rsidR="00965A87" w:rsidRPr="00922203">
        <w:rPr>
          <w:b/>
        </w:rPr>
        <w:t xml:space="preserve">We would rather be in favour of the classical 3 </w:t>
      </w:r>
      <w:r w:rsidR="0047779A">
        <w:rPr>
          <w:b/>
        </w:rPr>
        <w:t>levels</w:t>
      </w:r>
      <w:r w:rsidR="00965A87" w:rsidRPr="00922203">
        <w:rPr>
          <w:b/>
        </w:rPr>
        <w:t xml:space="preserve"> approach (low risk, medium risk, high risk) which would not be confusing, all the more if MRM and CRM notation are </w:t>
      </w:r>
      <w:r w:rsidR="00940AC2" w:rsidRPr="00922203">
        <w:rPr>
          <w:b/>
        </w:rPr>
        <w:t xml:space="preserve">also disclosed </w:t>
      </w:r>
      <w:r w:rsidR="00965A87" w:rsidRPr="00922203">
        <w:rPr>
          <w:b/>
        </w:rPr>
        <w:t xml:space="preserve">separately </w:t>
      </w:r>
      <w:r w:rsidR="00940AC2" w:rsidRPr="00922203">
        <w:rPr>
          <w:b/>
        </w:rPr>
        <w:t>which would be much more relevant</w:t>
      </w:r>
      <w:r w:rsidR="00965A87" w:rsidRPr="00922203">
        <w:rPr>
          <w:b/>
        </w:rPr>
        <w:t>.</w:t>
      </w:r>
      <w:r w:rsidR="003F63D1">
        <w:rPr>
          <w:b/>
        </w:rPr>
        <w:t xml:space="preserve"> Such an approach could ease the implementation of the target market for each product required by </w:t>
      </w:r>
      <w:proofErr w:type="spellStart"/>
      <w:r w:rsidR="003F63D1">
        <w:rPr>
          <w:b/>
        </w:rPr>
        <w:t>MiFID</w:t>
      </w:r>
      <w:proofErr w:type="spellEnd"/>
      <w:r w:rsidR="003F63D1">
        <w:rPr>
          <w:b/>
        </w:rPr>
        <w:t xml:space="preserve"> 2.</w:t>
      </w:r>
    </w:p>
    <w:p w:rsidR="003F63D1" w:rsidRPr="00922203" w:rsidRDefault="003F63D1" w:rsidP="00965A87">
      <w:pPr>
        <w:jc w:val="both"/>
        <w:rPr>
          <w:b/>
        </w:rPr>
      </w:pPr>
    </w:p>
    <w:p w:rsidR="008771FC" w:rsidRDefault="008771FC" w:rsidP="00965A87">
      <w:pPr>
        <w:jc w:val="both"/>
      </w:pPr>
      <w:r>
        <w:t>ESAs explained that investors wish to have a single risk indicator</w:t>
      </w:r>
      <w:r w:rsidR="00FF2884">
        <w:t>, which we may understand. Neverth</w:t>
      </w:r>
      <w:r w:rsidR="00FF2884">
        <w:t>e</w:t>
      </w:r>
      <w:r w:rsidR="00FF2884">
        <w:t>less, it would be much better to provide them with some kind of financial education through the disclosure of both market and credit ris</w:t>
      </w:r>
      <w:r w:rsidR="00922203">
        <w:t xml:space="preserve">k </w:t>
      </w:r>
      <w:r w:rsidR="00FF2884">
        <w:t>indicators</w:t>
      </w:r>
      <w:r w:rsidR="00922203">
        <w:t>. Indeed, a</w:t>
      </w:r>
      <w:r w:rsidR="00FF2884">
        <w:t>ny financial advisor</w:t>
      </w:r>
      <w:r w:rsidR="00922203">
        <w:t xml:space="preserve"> could easily explain their meaning</w:t>
      </w:r>
      <w:r w:rsidR="00FF2884">
        <w:t>.</w:t>
      </w:r>
    </w:p>
    <w:p w:rsidR="00E14DF9" w:rsidRDefault="00E14DF9" w:rsidP="00965A87">
      <w:pPr>
        <w:jc w:val="both"/>
      </w:pPr>
    </w:p>
    <w:p w:rsidR="008771FC" w:rsidRDefault="0047779A" w:rsidP="00965A87">
      <w:pPr>
        <w:jc w:val="both"/>
      </w:pPr>
      <w:r>
        <w:t>If this 3 levels</w:t>
      </w:r>
      <w:r w:rsidR="008771FC">
        <w:t xml:space="preserve"> approach were not adopted, we would favour an arithmetic approach i.e. sum of both not</w:t>
      </w:r>
      <w:r w:rsidR="008771FC">
        <w:t>a</w:t>
      </w:r>
      <w:r w:rsidR="008771FC">
        <w:t xml:space="preserve">tion divided by 2. But in order not to overweight the market risk, the scale of credit risk should have 7 </w:t>
      </w:r>
      <w:r>
        <w:t>levels</w:t>
      </w:r>
      <w:r w:rsidR="008771FC">
        <w:t xml:space="preserve">. </w:t>
      </w:r>
    </w:p>
    <w:p w:rsidR="003F63D1" w:rsidRDefault="003F63D1" w:rsidP="00965A87">
      <w:pPr>
        <w:jc w:val="both"/>
      </w:pPr>
    </w:p>
    <w:p w:rsidR="00940AC2" w:rsidRDefault="00940AC2" w:rsidP="00965A87">
      <w:pPr>
        <w:jc w:val="both"/>
      </w:pPr>
      <w:r>
        <w:t xml:space="preserve">For PRIIPs in which investor may lose more than the initial investment, we think that an additional scale should be introduced i.e. they should be attributed a special notation – 8 – which would not be included in the usual scale but specifically mentioned as an extra notation for these type of products. This would avoid to set in the same range more risky products with products </w:t>
      </w:r>
      <w:r w:rsidR="008771FC">
        <w:t>that may have this exceptional</w:t>
      </w:r>
      <w:r w:rsidR="00AE7D1C">
        <w:t xml:space="preserve"> </w:t>
      </w:r>
      <w:r w:rsidR="008771FC">
        <w:t xml:space="preserve">and </w:t>
      </w:r>
      <w:r w:rsidR="00AE7D1C">
        <w:t>detrimental outcome.</w:t>
      </w:r>
      <w:r w:rsidR="00CA7C5A">
        <w:t xml:space="preserve"> In case the arithmetic approach were adopted, </w:t>
      </w:r>
      <w:r w:rsidR="008771FC">
        <w:t xml:space="preserve">market risk should have a double weight </w:t>
      </w:r>
      <w:r w:rsidR="00CA7C5A">
        <w:t xml:space="preserve">for products with a notation 8 </w:t>
      </w:r>
      <w:r w:rsidR="008771FC">
        <w:t>and the sum should be divided by 3.</w:t>
      </w:r>
    </w:p>
    <w:p w:rsidR="008771FC" w:rsidRDefault="008771FC" w:rsidP="00965A87">
      <w:pPr>
        <w:jc w:val="both"/>
      </w:pPr>
    </w:p>
    <w:permEnd w:id="478882532"/>
    <w:p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9</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for PRIIPs that offer a capital protection during their whole lifespan and can be redeemed against their initial investment at any time over the life of the PRIIP a qualitatively asses</w:t>
      </w:r>
      <w:r w:rsidRPr="00580880">
        <w:rPr>
          <w:rFonts w:ascii="Calibri" w:hAnsi="Calibri"/>
          <w:i/>
          <w:sz w:val="22"/>
          <w:lang w:eastAsia="en-US"/>
        </w:rPr>
        <w:t>s</w:t>
      </w:r>
      <w:r w:rsidRPr="00580880">
        <w:rPr>
          <w:rFonts w:ascii="Calibri" w:hAnsi="Calibri"/>
          <w:i/>
          <w:sz w:val="22"/>
          <w:lang w:eastAsia="en-US"/>
        </w:rPr>
        <w:t xml:space="preserve">ment and automatic allocation to MRM class 1 should be permitted? </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the criteria of the 5 year tenor is relevant, irrespective of the redemption characteristics?</w:t>
      </w:r>
    </w:p>
    <w:p w:rsidR="003E4B00" w:rsidRDefault="003E4B00" w:rsidP="003E4B00"/>
    <w:p w:rsidR="003E4B00" w:rsidRDefault="003E4B00" w:rsidP="003E4B00">
      <w:r>
        <w:t>&lt;ESMA_QUESTION_PRIIPS_9&gt;</w:t>
      </w:r>
    </w:p>
    <w:p w:rsidR="003E4B00" w:rsidRDefault="003E4B00" w:rsidP="003E4B00">
      <w:permStart w:id="628378182" w:edGrp="everyone"/>
      <w:r>
        <w:t>TYPE YOUR TEXT HERE</w:t>
      </w:r>
    </w:p>
    <w:permEnd w:id="628378182"/>
    <w:p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10</w:t>
      </w: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aware of other circumstances in which the credit risk assessment should be assumed to be mit</w:t>
      </w:r>
      <w:r w:rsidRPr="00580880">
        <w:rPr>
          <w:rFonts w:ascii="Calibri" w:hAnsi="Calibri"/>
          <w:i/>
          <w:sz w:val="22"/>
          <w:lang w:eastAsia="en-US"/>
        </w:rPr>
        <w:t>i</w:t>
      </w:r>
      <w:r w:rsidRPr="00580880">
        <w:rPr>
          <w:rFonts w:ascii="Calibri" w:hAnsi="Calibri"/>
          <w:i/>
          <w:sz w:val="22"/>
          <w:lang w:eastAsia="en-US"/>
        </w:rPr>
        <w:t xml:space="preserve">gated? If so, please explain why and to what degree it should be assumed to be mitigated? </w:t>
      </w:r>
    </w:p>
    <w:p w:rsidR="003E4B00" w:rsidRDefault="003E4B00" w:rsidP="003E4B00"/>
    <w:p w:rsidR="003E4B00" w:rsidRDefault="003E4B00" w:rsidP="003E4B00">
      <w:r>
        <w:t>&lt;ESMA_QUESTION_PRIIPS_10&gt;</w:t>
      </w:r>
    </w:p>
    <w:p w:rsidR="00AE7D1C" w:rsidRDefault="00AE7D1C" w:rsidP="00AE7D1C">
      <w:pPr>
        <w:jc w:val="both"/>
      </w:pPr>
      <w:permStart w:id="1611990064" w:edGrp="everyone"/>
      <w:r>
        <w:t>Amundi welcomes paragraph 54 (p. 40) stating that the credit risk shall not be assessed for AIFs and UCITS. Nonetheless, a statement is missing that these UCITS/AIFs are therefore automatically categ</w:t>
      </w:r>
      <w:r>
        <w:t>o</w:t>
      </w:r>
      <w:r>
        <w:lastRenderedPageBreak/>
        <w:t>rised as CR1. Additionally, to properly inform investors, the KID should then include a short remark that these UCITS/AIFs do not carry Credit Risk (CR).</w:t>
      </w:r>
    </w:p>
    <w:p w:rsidR="00ED01BD" w:rsidRDefault="00ED01BD" w:rsidP="00AE7D1C">
      <w:pPr>
        <w:jc w:val="both"/>
      </w:pPr>
    </w:p>
    <w:p w:rsidR="00AE7D1C" w:rsidRDefault="00AE7D1C" w:rsidP="00AE7D1C">
      <w:pPr>
        <w:jc w:val="both"/>
      </w:pPr>
      <w:r w:rsidRPr="008039B6">
        <w:t>Structured funds seem</w:t>
      </w:r>
      <w:r>
        <w:t xml:space="preserve"> however</w:t>
      </w:r>
      <w:r w:rsidRPr="008039B6">
        <w:t xml:space="preserve"> to fall within the scope of paragraph 55(c). The consequence for these funds is that credit risk has to be assessed on a look-through basi</w:t>
      </w:r>
      <w:r>
        <w:t xml:space="preserve">s. This approach is surprising: </w:t>
      </w:r>
      <w:r w:rsidRPr="00AE7D1C">
        <w:rPr>
          <w:b/>
        </w:rPr>
        <w:t xml:space="preserve">we do not understand why a structured fund should be treated differently from a classical bond fund investing in the same portfolio of bonds. </w:t>
      </w:r>
      <w:r w:rsidRPr="008039B6">
        <w:t>At the very least, ESAs should recognize in paragraph 65 that in the case where the fund benefits from a third party guarantee of the whole payoff, the credit asses</w:t>
      </w:r>
      <w:r w:rsidRPr="008039B6">
        <w:t>s</w:t>
      </w:r>
      <w:r w:rsidRPr="008039B6">
        <w:t>ment can be decreased by 1 credit risk class. Because in that case, there is a double layer of protection: the fund’s investments and the third party guarantee. Some conditions could be put on the third party, like being a regulated financial institution.</w:t>
      </w:r>
    </w:p>
    <w:permEnd w:id="1611990064"/>
    <w:p w:rsidR="003E4B00" w:rsidRPr="00580880" w:rsidRDefault="003E4B00" w:rsidP="003E4B00">
      <w:pPr>
        <w:rPr>
          <w:lang w:val="fr-FR"/>
        </w:rPr>
      </w:pPr>
      <w:r w:rsidRPr="00580880">
        <w:rPr>
          <w:lang w:val="fr-FR"/>
        </w:rPr>
        <w:t>&lt;ESMA_QUESTION_</w:t>
      </w:r>
      <w:r>
        <w:rPr>
          <w:lang w:val="fr-FR"/>
        </w:rPr>
        <w:t>PRIIPS_10</w:t>
      </w:r>
      <w:r w:rsidRPr="00580880">
        <w:rPr>
          <w:lang w:val="fr-FR"/>
        </w:rPr>
        <w:t>&gt;</w:t>
      </w:r>
    </w:p>
    <w:p w:rsidR="00580880" w:rsidRDefault="00580880"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rsidR="003E4B00" w:rsidRDefault="003E4B00" w:rsidP="003E4B00"/>
    <w:p w:rsidR="003E4B00" w:rsidRDefault="003E4B00" w:rsidP="003E4B00">
      <w:r>
        <w:t>&lt;ESMA_QUESTION_PRIIPS_11&gt;</w:t>
      </w:r>
    </w:p>
    <w:p w:rsidR="003E4B00" w:rsidRDefault="003E4B00" w:rsidP="003E4B00">
      <w:permStart w:id="1546799954" w:edGrp="everyone"/>
      <w:r>
        <w:t>TYPE YOUR TEXT HERE</w:t>
      </w:r>
    </w:p>
    <w:permEnd w:id="1546799954"/>
    <w:p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rsidR="00580880" w:rsidRDefault="00580880" w:rsidP="00750796">
      <w:pPr>
        <w:pStyle w:val="CPQuestions"/>
        <w:numPr>
          <w:ilvl w:val="0"/>
          <w:numId w:val="0"/>
        </w:numPr>
        <w:rPr>
          <w:rFonts w:cs="Arial"/>
          <w:b w:val="0"/>
          <w:szCs w:val="22"/>
        </w:rPr>
      </w:pPr>
    </w:p>
    <w:p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rsidR="003E4B00" w:rsidRDefault="003E4B00" w:rsidP="003E4B00"/>
    <w:p w:rsidR="003E4B00" w:rsidRDefault="003E4B00" w:rsidP="003E4B00">
      <w:r>
        <w:t>&lt;ESMA_QUESTION_PRIIPS_12&gt;</w:t>
      </w:r>
    </w:p>
    <w:p w:rsidR="003E4B00" w:rsidRDefault="0082312F" w:rsidP="003E4B00">
      <w:permStart w:id="1649681996" w:edGrp="everyone"/>
      <w:r>
        <w:t xml:space="preserve">We agree with the fact that currency risk may be a real one for retail investor. Nevertheless, in order to avoid </w:t>
      </w:r>
      <w:r w:rsidR="002F0BB4">
        <w:t xml:space="preserve">the requirement of a different KID for each country of commercialisation, </w:t>
      </w:r>
      <w:r w:rsidR="002F0BB4" w:rsidRPr="002F0BB4">
        <w:rPr>
          <w:b/>
        </w:rPr>
        <w:t>we strongly support the proposal of EFAMA in favour of a generic statement.</w:t>
      </w:r>
    </w:p>
    <w:permEnd w:id="1649681996"/>
    <w:p w:rsidR="003E4B00" w:rsidRPr="00580880" w:rsidRDefault="003E4B00" w:rsidP="003E4B00">
      <w:pPr>
        <w:rPr>
          <w:lang w:val="fr-FR"/>
        </w:rPr>
      </w:pPr>
      <w:r w:rsidRPr="00580880">
        <w:rPr>
          <w:lang w:val="fr-FR"/>
        </w:rPr>
        <w:t>&lt;ESMA_QUESTION_</w:t>
      </w:r>
      <w:r>
        <w:rPr>
          <w:lang w:val="fr-FR"/>
        </w:rPr>
        <w:t>PRIIPS_12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13</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rsidR="00A2049D" w:rsidRPr="00A2049D" w:rsidRDefault="00A2049D" w:rsidP="00A2049D">
      <w:pPr>
        <w:rPr>
          <w:rFonts w:ascii="Calibri" w:hAnsi="Calibri"/>
          <w:color w:val="1F497D"/>
          <w:sz w:val="22"/>
          <w:lang w:eastAsia="en-US"/>
        </w:rPr>
      </w:pPr>
    </w:p>
    <w:p w:rsidR="003E4B00" w:rsidRDefault="003E4B00" w:rsidP="003E4B00">
      <w:r>
        <w:t>&lt;ESMA_QUESTION_PRIIPS_13&gt;</w:t>
      </w:r>
    </w:p>
    <w:p w:rsidR="002F0BB4" w:rsidRPr="00563FD5" w:rsidRDefault="002F0BB4" w:rsidP="002F0BB4">
      <w:pPr>
        <w:jc w:val="both"/>
      </w:pPr>
      <w:permStart w:id="515705893" w:edGrp="everyone"/>
      <w:r>
        <w:t>The SRI should clearly indicate</w:t>
      </w:r>
      <w:r w:rsidRPr="00563FD5">
        <w:t xml:space="preserve"> that it is computed </w:t>
      </w:r>
      <w:r>
        <w:t>on the assumption that</w:t>
      </w:r>
      <w:r w:rsidRPr="00563FD5">
        <w:t xml:space="preserve"> the investor keeps </w:t>
      </w:r>
      <w:r>
        <w:t>the PRIIP</w:t>
      </w:r>
      <w:r w:rsidRPr="00563FD5">
        <w:t xml:space="preserve"> until maturity</w:t>
      </w:r>
      <w:r>
        <w:t>,</w:t>
      </w:r>
      <w:r w:rsidRPr="00563FD5">
        <w:t xml:space="preserve"> and</w:t>
      </w:r>
      <w:r>
        <w:t xml:space="preserve"> therefore that it</w:t>
      </w:r>
      <w:r w:rsidRPr="00563FD5">
        <w:t xml:space="preserve"> does not cover risk associated </w:t>
      </w:r>
      <w:r>
        <w:t>with</w:t>
      </w:r>
      <w:r w:rsidRPr="00563FD5">
        <w:t xml:space="preserve"> early redemptions by investors or secondary market transa</w:t>
      </w:r>
      <w:r>
        <w:t>c</w:t>
      </w:r>
      <w:r w:rsidRPr="00563FD5">
        <w:t>tions. A warning should be required for capital guaranteed PRIIP</w:t>
      </w:r>
      <w:r>
        <w:t>s,</w:t>
      </w:r>
      <w:r w:rsidRPr="00563FD5">
        <w:t xml:space="preserve"> stating that the value of the PRIIP could be significantly lower than the guaranteed value during the life of the PRIIP due to market and liquidity risk and fluctuations of market prices.</w:t>
      </w:r>
    </w:p>
    <w:permEnd w:id="515705893"/>
    <w:p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lastRenderedPageBreak/>
        <w:t>Question 14</w:t>
      </w: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w:t>
      </w:r>
      <w:r w:rsidRPr="00A2049D">
        <w:rPr>
          <w:rFonts w:ascii="Calibri" w:hAnsi="Calibri"/>
          <w:i/>
          <w:sz w:val="22"/>
          <w:lang w:eastAsia="en-US"/>
        </w:rPr>
        <w:t>a</w:t>
      </w:r>
      <w:r w:rsidRPr="00A2049D">
        <w:rPr>
          <w:rFonts w:ascii="Calibri" w:hAnsi="Calibri"/>
          <w:i/>
          <w:sz w:val="22"/>
          <w:lang w:eastAsia="en-US"/>
        </w:rPr>
        <w:t>vourable scenarios, or would you propose another approach, for instance automatically setting the pe</w:t>
      </w:r>
      <w:r w:rsidRPr="00A2049D">
        <w:rPr>
          <w:rFonts w:ascii="Calibri" w:hAnsi="Calibri"/>
          <w:i/>
          <w:sz w:val="22"/>
          <w:lang w:eastAsia="en-US"/>
        </w:rPr>
        <w:t>r</w:t>
      </w:r>
      <w:r w:rsidRPr="00A2049D">
        <w:rPr>
          <w:rFonts w:ascii="Calibri" w:hAnsi="Calibri"/>
          <w:i/>
          <w:sz w:val="22"/>
          <w:lang w:eastAsia="en-US"/>
        </w:rPr>
        <w:t>formance fees to zero for the unfavourable scenario? Please justify your proposal.</w:t>
      </w:r>
    </w:p>
    <w:p w:rsidR="003E4B00" w:rsidRDefault="003E4B00" w:rsidP="003E4B00"/>
    <w:p w:rsidR="003E4B00" w:rsidRDefault="003E4B00" w:rsidP="003E4B00">
      <w:r>
        <w:t>&lt;ESMA_QUESTION_PRIIPS_14&gt;</w:t>
      </w:r>
    </w:p>
    <w:p w:rsidR="00FC78E2" w:rsidRPr="00FC78E2" w:rsidRDefault="00FC78E2" w:rsidP="00FC78E2">
      <w:pPr>
        <w:spacing w:line="276" w:lineRule="auto"/>
        <w:jc w:val="both"/>
        <w:rPr>
          <w:szCs w:val="20"/>
          <w:lang w:val="en-US"/>
        </w:rPr>
      </w:pPr>
      <w:permStart w:id="1395025021" w:edGrp="everyone"/>
      <w:r w:rsidRPr="00FC78E2">
        <w:rPr>
          <w:szCs w:val="20"/>
        </w:rPr>
        <w:t>Before answering this question, we want to stress on the fact</w:t>
      </w:r>
      <w:r w:rsidRPr="00FC78E2">
        <w:rPr>
          <w:szCs w:val="20"/>
          <w:lang w:val="en-US"/>
        </w:rPr>
        <w:t xml:space="preserve"> that a misleading approach has been taken by regulators when requiring such scenarios for any PRIIPs: performance scenarios were introduced in UCITS IV Directive for structured UCITS in order to provide adequate illustration for some structured funds based on a ‘formula’ i.e. funds with an expected return linked to the evolution of some indices or to the combination of index and other hypothesis. Applying this to usual funds or to life insurance products will drive in many cases to irrelevant assumptions which could only provide illusion to investors with very detrimental effects in case of litigation.  </w:t>
      </w:r>
    </w:p>
    <w:p w:rsidR="00FC78E2" w:rsidRPr="00FC78E2" w:rsidRDefault="00FC78E2" w:rsidP="00FC78E2">
      <w:pPr>
        <w:jc w:val="both"/>
        <w:rPr>
          <w:szCs w:val="20"/>
          <w:lang w:val="en-US"/>
        </w:rPr>
      </w:pPr>
      <w:r w:rsidRPr="00FC78E2">
        <w:rPr>
          <w:szCs w:val="20"/>
          <w:lang w:val="en-US"/>
        </w:rPr>
        <w:t>PRIIPs Regulation prohibit the use of past performances in the new KID which in our view is most irrel</w:t>
      </w:r>
      <w:r w:rsidRPr="00FC78E2">
        <w:rPr>
          <w:szCs w:val="20"/>
          <w:lang w:val="en-US"/>
        </w:rPr>
        <w:t>e</w:t>
      </w:r>
      <w:r w:rsidRPr="00FC78E2">
        <w:rPr>
          <w:szCs w:val="20"/>
          <w:lang w:val="en-US"/>
        </w:rPr>
        <w:t>vant. Past performances have always been the best way in order to compare management skills for funds invested in the same asset class because recurrent return gaps between various funds provide a clear indication about the quality of asset management teams. Therefore they should be maintained for any linear fund (i.e. classical open-ended funds invested in listed securities and providing linear pay off) i</w:t>
      </w:r>
      <w:r w:rsidRPr="00FC78E2">
        <w:rPr>
          <w:szCs w:val="20"/>
          <w:lang w:val="en-US"/>
        </w:rPr>
        <w:t>n</w:t>
      </w:r>
      <w:r w:rsidRPr="00FC78E2">
        <w:rPr>
          <w:szCs w:val="20"/>
          <w:lang w:val="en-US"/>
        </w:rPr>
        <w:t>stead of being replaced by hypo</w:t>
      </w:r>
      <w:r w:rsidR="00ED01BD">
        <w:rPr>
          <w:szCs w:val="20"/>
          <w:lang w:val="en-US"/>
        </w:rPr>
        <w:t>thetical future scenarios. Amundi</w:t>
      </w:r>
      <w:r w:rsidRPr="00FC78E2">
        <w:rPr>
          <w:szCs w:val="20"/>
          <w:lang w:val="en-US"/>
        </w:rPr>
        <w:t xml:space="preserve"> considers that </w:t>
      </w:r>
      <w:r w:rsidRPr="00FC78E2">
        <w:rPr>
          <w:b/>
          <w:szCs w:val="20"/>
          <w:lang w:val="en-US"/>
        </w:rPr>
        <w:t>future performance scenarios are not appropriate</w:t>
      </w:r>
      <w:r w:rsidRPr="00FC78E2">
        <w:rPr>
          <w:szCs w:val="20"/>
          <w:lang w:val="en-US"/>
        </w:rPr>
        <w:t xml:space="preserve"> at all for these funds and that they should not be required in line with the level 1 text. In fact, article 8 (3),d) states that the investment firm should give:</w:t>
      </w:r>
    </w:p>
    <w:p w:rsidR="00FC78E2" w:rsidRPr="00FC78E2" w:rsidRDefault="00FC78E2" w:rsidP="00FC78E2">
      <w:pPr>
        <w:jc w:val="both"/>
        <w:rPr>
          <w:szCs w:val="20"/>
          <w:lang w:val="en-US"/>
        </w:rPr>
      </w:pPr>
      <w:r w:rsidRPr="00FC78E2">
        <w:rPr>
          <w:szCs w:val="20"/>
          <w:lang w:val="en-US"/>
        </w:rPr>
        <w:t>“under a section titled "What are the risks and what could I get in return?", a brief description of the risk-reward profile comprising the following elements:</w:t>
      </w:r>
    </w:p>
    <w:p w:rsidR="00FC78E2" w:rsidRPr="002F1D5C" w:rsidRDefault="00FC78E2" w:rsidP="00FC78E2">
      <w:pPr>
        <w:jc w:val="both"/>
        <w:rPr>
          <w:lang w:val="en-US"/>
        </w:rPr>
      </w:pPr>
      <w:r w:rsidRPr="002F1D5C">
        <w:rPr>
          <w:lang w:val="en-US"/>
        </w:rPr>
        <w:t>(…)</w:t>
      </w:r>
    </w:p>
    <w:p w:rsidR="00FC78E2" w:rsidRPr="00FC78E2" w:rsidRDefault="00FC78E2" w:rsidP="00FC78E2">
      <w:pPr>
        <w:jc w:val="both"/>
        <w:rPr>
          <w:szCs w:val="20"/>
          <w:lang w:val="en-US"/>
        </w:rPr>
      </w:pPr>
      <w:r w:rsidRPr="00FC78E2">
        <w:rPr>
          <w:szCs w:val="20"/>
          <w:lang w:val="en-US"/>
        </w:rPr>
        <w:t xml:space="preserve">(iii) </w:t>
      </w:r>
      <w:r w:rsidRPr="00FC78E2">
        <w:rPr>
          <w:b/>
          <w:szCs w:val="20"/>
          <w:u w:val="single"/>
          <w:lang w:val="en-US"/>
        </w:rPr>
        <w:t>appropriate</w:t>
      </w:r>
      <w:r w:rsidRPr="00FC78E2">
        <w:rPr>
          <w:szCs w:val="20"/>
          <w:lang w:val="en-US"/>
        </w:rPr>
        <w:t xml:space="preserve"> performance scenarios, and the assumptions made to produce them;”</w:t>
      </w:r>
    </w:p>
    <w:p w:rsidR="00FC78E2" w:rsidRPr="00FC78E2" w:rsidRDefault="00FC78E2" w:rsidP="00FC78E2">
      <w:pPr>
        <w:jc w:val="both"/>
        <w:rPr>
          <w:szCs w:val="20"/>
          <w:lang w:val="en-US"/>
        </w:rPr>
      </w:pPr>
      <w:r w:rsidRPr="00FC78E2">
        <w:rPr>
          <w:szCs w:val="20"/>
          <w:lang w:val="en-US"/>
        </w:rPr>
        <w:t>When performance scenarios cannot be appropriate, they should not be required.</w:t>
      </w:r>
    </w:p>
    <w:p w:rsidR="00FC78E2" w:rsidRPr="00FC78E2" w:rsidRDefault="00FC78E2" w:rsidP="00FC78E2">
      <w:pPr>
        <w:jc w:val="both"/>
        <w:rPr>
          <w:szCs w:val="20"/>
          <w:lang w:val="en-US"/>
        </w:rPr>
      </w:pPr>
      <w:r w:rsidRPr="00FC78E2">
        <w:rPr>
          <w:szCs w:val="20"/>
          <w:lang w:val="en-US"/>
        </w:rPr>
        <w:t>For that same reason, any unit linked insurance contract, i.e. contract invested in linear UCITS or AIF should not be subject to these performance scenarios.</w:t>
      </w:r>
    </w:p>
    <w:p w:rsidR="00FC78E2" w:rsidRPr="00F64C49" w:rsidRDefault="00FC78E2" w:rsidP="00FC78E2">
      <w:pPr>
        <w:jc w:val="both"/>
        <w:rPr>
          <w:lang w:val="en-US"/>
        </w:rPr>
      </w:pPr>
    </w:p>
    <w:p w:rsidR="00FC78E2" w:rsidRPr="00FC78E2" w:rsidRDefault="00FC78E2" w:rsidP="00FC78E2">
      <w:pPr>
        <w:jc w:val="both"/>
        <w:rPr>
          <w:szCs w:val="20"/>
        </w:rPr>
      </w:pPr>
      <w:r w:rsidRPr="00FC78E2">
        <w:rPr>
          <w:szCs w:val="20"/>
        </w:rPr>
        <w:t xml:space="preserve">When these scenarios will be appropriate, i.e. </w:t>
      </w:r>
      <w:r w:rsidRPr="00FC78E2">
        <w:rPr>
          <w:szCs w:val="20"/>
          <w:lang w:val="en-US"/>
        </w:rPr>
        <w:t>for non-linear funds as structured funds or life-cycle funds and also for some closed-ended funds,</w:t>
      </w:r>
      <w:r w:rsidR="00ED01BD">
        <w:rPr>
          <w:szCs w:val="20"/>
        </w:rPr>
        <w:t xml:space="preserve"> we generally agree with the</w:t>
      </w:r>
      <w:r w:rsidRPr="00FC78E2">
        <w:rPr>
          <w:szCs w:val="20"/>
        </w:rPr>
        <w:t xml:space="preserve"> use </w:t>
      </w:r>
      <w:r w:rsidR="00ED01BD">
        <w:rPr>
          <w:szCs w:val="20"/>
        </w:rPr>
        <w:t>of</w:t>
      </w:r>
      <w:r w:rsidRPr="00FC78E2">
        <w:rPr>
          <w:szCs w:val="20"/>
        </w:rPr>
        <w:t xml:space="preserve"> performance fee, as prescribed in the cost section, as a basis for the calculations in the performance section. </w:t>
      </w:r>
    </w:p>
    <w:p w:rsidR="00FC78E2" w:rsidRDefault="00FC78E2" w:rsidP="00FC78E2">
      <w:pPr>
        <w:jc w:val="both"/>
        <w:rPr>
          <w:szCs w:val="20"/>
        </w:rPr>
      </w:pPr>
      <w:r w:rsidRPr="00FC78E2">
        <w:rPr>
          <w:szCs w:val="20"/>
        </w:rPr>
        <w:t>In principle, a performance fee normally applies when superior performance arises and it may be appr</w:t>
      </w:r>
      <w:r w:rsidRPr="00FC78E2">
        <w:rPr>
          <w:szCs w:val="20"/>
        </w:rPr>
        <w:t>o</w:t>
      </w:r>
      <w:r w:rsidRPr="00FC78E2">
        <w:rPr>
          <w:szCs w:val="20"/>
        </w:rPr>
        <w:t xml:space="preserve">priate to demonstrate it </w:t>
      </w:r>
      <w:r w:rsidR="00F729F4">
        <w:rPr>
          <w:szCs w:val="20"/>
        </w:rPr>
        <w:t>only kicks</w:t>
      </w:r>
      <w:r w:rsidRPr="00FC78E2">
        <w:rPr>
          <w:szCs w:val="20"/>
        </w:rPr>
        <w:t xml:space="preserve"> in the favourable scenario. The moderate scenario should represent achieving the target performance, whereby no “over” performance arises and the unfavourable scenario should represent underperformance of the target.</w:t>
      </w:r>
    </w:p>
    <w:p w:rsidR="00FC78E2" w:rsidRPr="00036AEC" w:rsidRDefault="00FC78E2" w:rsidP="00FC78E2">
      <w:pPr>
        <w:jc w:val="both"/>
      </w:pPr>
    </w:p>
    <w:p w:rsidR="00FC78E2" w:rsidRDefault="00FC78E2" w:rsidP="00FC78E2">
      <w:pPr>
        <w:jc w:val="both"/>
        <w:rPr>
          <w:b/>
        </w:rPr>
      </w:pPr>
      <w:r>
        <w:t>Besides, the ESAs are considering to use the past performance of the last five years as the benchmark (Annex VI, para. 9, page 63) of the moderate scenario. This approach would lead to assume that the past performance of the last five years’ could always be considered a moderate performance, which may not be the case. For example, if a PRIIP substantially outperformed its benchmark during the past five years, this outperformance would now be considered as the normally expected return under the moderate sc</w:t>
      </w:r>
      <w:r>
        <w:t>e</w:t>
      </w:r>
      <w:r w:rsidR="0014017D">
        <w:t xml:space="preserve">nario. </w:t>
      </w:r>
      <w:r w:rsidRPr="00F64C49">
        <w:rPr>
          <w:b/>
        </w:rPr>
        <w:t>This point is an additional argument in fa</w:t>
      </w:r>
      <w:r w:rsidR="0014017D">
        <w:rPr>
          <w:b/>
        </w:rPr>
        <w:t>vour of banning future performance scenarios</w:t>
      </w:r>
      <w:r w:rsidRPr="00F64C49">
        <w:rPr>
          <w:b/>
        </w:rPr>
        <w:t xml:space="preserve"> for linear products.</w:t>
      </w:r>
    </w:p>
    <w:p w:rsidR="009A0F4E" w:rsidRDefault="00F729F4" w:rsidP="009A0F4E">
      <w:pPr>
        <w:jc w:val="both"/>
      </w:pPr>
      <w:r>
        <w:t xml:space="preserve">Whenever </w:t>
      </w:r>
      <w:r w:rsidR="009A0F4E">
        <w:t xml:space="preserve">performance scenarios were to remain compulsory for any kind of products and funds </w:t>
      </w:r>
      <w:r>
        <w:t xml:space="preserve">– despite all detrimental effects this will entail – </w:t>
      </w:r>
      <w:r w:rsidR="009A0F4E">
        <w:t xml:space="preserve">we consider that </w:t>
      </w:r>
      <w:r w:rsidR="009A0F4E" w:rsidRPr="007E45FA">
        <w:rPr>
          <w:b/>
        </w:rPr>
        <w:t xml:space="preserve">ESAs </w:t>
      </w:r>
      <w:r w:rsidR="009A0F4E">
        <w:rPr>
          <w:b/>
        </w:rPr>
        <w:t>should</w:t>
      </w:r>
      <w:r w:rsidR="009A0F4E" w:rsidRPr="00F64C49">
        <w:rPr>
          <w:b/>
        </w:rPr>
        <w:t xml:space="preserve"> provide the methods of calcul</w:t>
      </w:r>
      <w:r w:rsidR="009A0F4E" w:rsidRPr="00F64C49">
        <w:rPr>
          <w:b/>
        </w:rPr>
        <w:t>a</w:t>
      </w:r>
      <w:r w:rsidR="009A0F4E" w:rsidRPr="00F64C49">
        <w:rPr>
          <w:b/>
        </w:rPr>
        <w:t>tion of these scenarios for each kind of PRIIPs and of asset class</w:t>
      </w:r>
      <w:r w:rsidR="009A0F4E">
        <w:rPr>
          <w:b/>
        </w:rPr>
        <w:t>es in order to avoid any mislea</w:t>
      </w:r>
      <w:r w:rsidR="009A0F4E">
        <w:rPr>
          <w:b/>
        </w:rPr>
        <w:t>d</w:t>
      </w:r>
      <w:r w:rsidR="009A0F4E">
        <w:rPr>
          <w:b/>
        </w:rPr>
        <w:t>ing or abusive use of these scenarios from manufacturers as well as from clients.</w:t>
      </w:r>
    </w:p>
    <w:p w:rsidR="009A0F4E" w:rsidRPr="00F64C49" w:rsidRDefault="009A0F4E" w:rsidP="00FC78E2">
      <w:pPr>
        <w:jc w:val="both"/>
        <w:rPr>
          <w:b/>
        </w:rPr>
      </w:pPr>
    </w:p>
    <w:p w:rsidR="00FC78E2" w:rsidRPr="00FC78E2" w:rsidRDefault="009A0F4E" w:rsidP="00FC78E2">
      <w:pPr>
        <w:jc w:val="both"/>
        <w:rPr>
          <w:szCs w:val="20"/>
        </w:rPr>
      </w:pPr>
      <w:r>
        <w:rPr>
          <w:szCs w:val="20"/>
        </w:rPr>
        <w:t xml:space="preserve">This being said, we agree with </w:t>
      </w:r>
      <w:r w:rsidR="00F729F4">
        <w:rPr>
          <w:szCs w:val="20"/>
        </w:rPr>
        <w:t xml:space="preserve">the other aspects of the proposal </w:t>
      </w:r>
      <w:r>
        <w:rPr>
          <w:szCs w:val="20"/>
        </w:rPr>
        <w:t>for performance fees; let us mention that they are a very thin topic in comparison with the problem developed in this answer.</w:t>
      </w:r>
    </w:p>
    <w:permEnd w:id="1395025021"/>
    <w:p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rsidR="003E4B00" w:rsidRDefault="003E4B00" w:rsidP="003E4B00"/>
    <w:p w:rsidR="003E4B00" w:rsidRDefault="003E4B00" w:rsidP="003E4B00">
      <w:r>
        <w:t>&lt;ESMA_QUESTION_PRIIPS_15&gt;</w:t>
      </w:r>
    </w:p>
    <w:p w:rsidR="003E4B00" w:rsidRDefault="003E4B00" w:rsidP="003E4B00">
      <w:permStart w:id="1376399992" w:edGrp="everyone"/>
      <w:r>
        <w:t>TYPE YOUR TEXT HERE</w:t>
      </w:r>
    </w:p>
    <w:permEnd w:id="1376399992"/>
    <w:p w:rsidR="003E4B00" w:rsidRPr="003E4B00" w:rsidRDefault="003E4B00" w:rsidP="003E4B00">
      <w:pPr>
        <w:rPr>
          <w:lang w:val="fr-FR"/>
        </w:rPr>
      </w:pPr>
      <w:r w:rsidRPr="00580880">
        <w:rPr>
          <w:lang w:val="fr-FR"/>
        </w:rPr>
        <w:t>&lt;ESMA_QUESTION_</w:t>
      </w:r>
      <w:r>
        <w:rPr>
          <w:lang w:val="fr-FR"/>
        </w:rPr>
        <w:t>PRIIPS_15</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16</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rsidR="00A2049D" w:rsidRDefault="00A2049D" w:rsidP="00A2049D">
      <w:pPr>
        <w:rPr>
          <w:rFonts w:ascii="Times New Roman" w:hAnsi="Times New Roman"/>
          <w:i/>
          <w:sz w:val="22"/>
          <w:szCs w:val="22"/>
          <w:lang w:eastAsia="en-US"/>
        </w:rPr>
      </w:pPr>
    </w:p>
    <w:p w:rsidR="003E4B00" w:rsidRDefault="003E4B00" w:rsidP="003E4B00">
      <w:r>
        <w:t>&lt;ESMA_QUESTION_PRIIPS_16&gt;</w:t>
      </w:r>
    </w:p>
    <w:p w:rsidR="00A64680" w:rsidRDefault="00A64680" w:rsidP="00A64680">
      <w:permStart w:id="250749467" w:edGrp="everyone"/>
      <w:r>
        <w:t xml:space="preserve">Amundi clearly disagrees with the method proposed by ESAs (based on the arrival price) because it would be very complex or impossible to implement (the arrival price is often not observable in the market) and also most inappropriate. In fact, there is no reason to include market impact as far as </w:t>
      </w:r>
      <w:proofErr w:type="spellStart"/>
      <w:r>
        <w:t>MiFID</w:t>
      </w:r>
      <w:proofErr w:type="spellEnd"/>
      <w:r>
        <w:t xml:space="preserve"> II provisions do not take it on board; in addition it could result in negative amounts i.e. profits instead of transaction costs.</w:t>
      </w:r>
    </w:p>
    <w:p w:rsidR="00A64680" w:rsidRDefault="00A64680" w:rsidP="00A64680">
      <w:r>
        <w:t>For non-equity instruments we propose another methodology, close to the one which is applied by Dutch pension funds, replacing paragraphs 14 to 18(a) on page 61:</w:t>
      </w:r>
    </w:p>
    <w:p w:rsidR="00A64680" w:rsidRDefault="00A64680" w:rsidP="00A64680">
      <w:r>
        <w:t>-           Explicit transaction costs are to be used where available ;</w:t>
      </w:r>
    </w:p>
    <w:p w:rsidR="00A64680" w:rsidRDefault="00A64680" w:rsidP="00A64680">
      <w:r>
        <w:t>-           Implicit transaction costs are to be estimated using the following formula: Transaction value x bid-ask spread / 2</w:t>
      </w:r>
    </w:p>
    <w:p w:rsidR="00A64680" w:rsidRDefault="00A64680" w:rsidP="00A64680">
      <w:r>
        <w:t>-           Where the spread is the effective spread observed in the market at the time of the transaction.</w:t>
      </w:r>
    </w:p>
    <w:p w:rsidR="00A64680" w:rsidRDefault="00A64680" w:rsidP="00A64680">
      <w:r>
        <w:t>-           When the spread is not observable in the market at the time of the transaction, the figure which has to be taken is the one contained in the table of §25 p62.</w:t>
      </w:r>
    </w:p>
    <w:p w:rsidR="00A64680" w:rsidRDefault="00A64680" w:rsidP="00A64680">
      <w:r>
        <w:t>For customised derivatives §18(b), the transaction cost is the margin disclosed by the counterparty of the derivative (note that for this methodology to be applicable, regulation should oblige counterparties to disclose their margins).</w:t>
      </w:r>
    </w:p>
    <w:p w:rsidR="00A64680" w:rsidRDefault="00A64680" w:rsidP="00A64680"/>
    <w:p w:rsidR="00A64680" w:rsidRDefault="00A64680" w:rsidP="00A64680">
      <w:r>
        <w:t>This method is simple and would be less inaccurate than others – let us remind that up to now transaction costs were not included in the UCITS KIID because they do not exist as such for bonds and derivatives.</w:t>
      </w:r>
    </w:p>
    <w:p w:rsidR="00A64680" w:rsidRDefault="00A64680" w:rsidP="00A64680">
      <w:pPr>
        <w:pStyle w:val="Commentaire"/>
      </w:pPr>
      <w:r>
        <w:t>During the first 3 years of existence of the fund, the table of §25 would apply as well as during the first 3 years following entry into force of the RTS.</w:t>
      </w:r>
    </w:p>
    <w:p w:rsidR="00A64680" w:rsidRDefault="00A64680" w:rsidP="00A64680">
      <w:r>
        <w:t>This being said, we consider that the present table in §25 should be moved to level 3 guidelines and amended because some values are questionable.</w:t>
      </w:r>
    </w:p>
    <w:p w:rsidR="00F83292" w:rsidRDefault="00F83292" w:rsidP="003E4B00">
      <w:r>
        <w:t xml:space="preserve"> </w:t>
      </w:r>
    </w:p>
    <w:permEnd w:id="250749467"/>
    <w:p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rsidR="00A2049D" w:rsidRDefault="00A2049D" w:rsidP="00A2049D">
      <w:pPr>
        <w:rPr>
          <w:rFonts w:ascii="Times New Roman" w:hAnsi="Times New Roman"/>
          <w:i/>
          <w:sz w:val="22"/>
          <w:szCs w:val="22"/>
          <w:lang w:eastAsia="en-US"/>
        </w:rPr>
      </w:pPr>
    </w:p>
    <w:p w:rsidR="00A2049D" w:rsidRPr="00A2049D" w:rsidRDefault="00A2049D" w:rsidP="00A2049D">
      <w:pPr>
        <w:rPr>
          <w:rFonts w:ascii="Times New Roman" w:hAnsi="Times New Roman"/>
          <w:i/>
          <w:sz w:val="22"/>
          <w:szCs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17</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rsidR="003E4B00" w:rsidRDefault="003E4B00" w:rsidP="003E4B00"/>
    <w:p w:rsidR="003E4B00" w:rsidRDefault="003E4B00" w:rsidP="003E4B00">
      <w:r>
        <w:t>&lt;ESMA_QUESTION_PRIIPS_17&gt;</w:t>
      </w:r>
    </w:p>
    <w:p w:rsidR="003E4B00" w:rsidRDefault="00A1467C" w:rsidP="003E4B00">
      <w:permStart w:id="2070616215" w:edGrp="everyone"/>
      <w:r>
        <w:lastRenderedPageBreak/>
        <w:t xml:space="preserve">We agree with the idea of setting this table in </w:t>
      </w:r>
      <w:r w:rsidR="00E85F96">
        <w:t>guidelines to allow more flexibility and reg</w:t>
      </w:r>
      <w:r w:rsidR="00973F1F">
        <w:t>ular reviewing and we would of course willingly contribute in defining a methodology for assessing these values.</w:t>
      </w:r>
    </w:p>
    <w:permEnd w:id="2070616215"/>
    <w:p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w:t>
      </w:r>
      <w:r w:rsidRPr="00A2049D">
        <w:rPr>
          <w:rFonts w:ascii="Calibri" w:hAnsi="Calibri"/>
          <w:i/>
          <w:sz w:val="22"/>
          <w:lang w:eastAsia="en-US"/>
        </w:rPr>
        <w:t>s</w:t>
      </w:r>
      <w:r w:rsidRPr="00A2049D">
        <w:rPr>
          <w:rFonts w:ascii="Calibri" w:hAnsi="Calibri"/>
          <w:i/>
          <w:sz w:val="22"/>
          <w:lang w:eastAsia="en-US"/>
        </w:rPr>
        <w:t>counting effects)?</w:t>
      </w:r>
    </w:p>
    <w:p w:rsidR="003E4B00" w:rsidRDefault="003E4B00" w:rsidP="003E4B00"/>
    <w:p w:rsidR="003E4B00" w:rsidRDefault="003E4B00" w:rsidP="003E4B00">
      <w:r>
        <w:t>&lt;ESMA_QUESTION_PRIIPS_18&gt;</w:t>
      </w:r>
    </w:p>
    <w:p w:rsidR="003E4B00" w:rsidRDefault="004738B0" w:rsidP="003E4B00">
      <w:permStart w:id="1963133554" w:edGrp="everyone"/>
      <w:r>
        <w:t xml:space="preserve">We consider that annualized amounts provide better information </w:t>
      </w:r>
      <w:r w:rsidR="00E85F96">
        <w:t xml:space="preserve">to </w:t>
      </w:r>
      <w:r>
        <w:t>the client. Arithmetic average is pre</w:t>
      </w:r>
      <w:r>
        <w:t>f</w:t>
      </w:r>
      <w:r>
        <w:t>erable in order to avoid gaps which could derive from the use of different discounting rates.</w:t>
      </w:r>
    </w:p>
    <w:permEnd w:id="1963133554"/>
    <w:p w:rsidR="003E4B00" w:rsidRPr="003E4B00" w:rsidRDefault="003E4B00" w:rsidP="003E4B00">
      <w:pPr>
        <w:rPr>
          <w:lang w:val="fr-FR"/>
        </w:rPr>
      </w:pPr>
      <w:r w:rsidRPr="00580880">
        <w:rPr>
          <w:lang w:val="fr-FR"/>
        </w:rPr>
        <w:t>&lt;ESMA_QUESTION_</w:t>
      </w:r>
      <w:r>
        <w:rPr>
          <w:lang w:val="fr-FR"/>
        </w:rPr>
        <w:t>PRIIPS_18</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19</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rsidR="00A2049D" w:rsidRDefault="00A2049D" w:rsidP="00A2049D">
      <w:pPr>
        <w:jc w:val="both"/>
        <w:rPr>
          <w:rFonts w:ascii="Times New Roman" w:hAnsi="Times New Roman"/>
          <w:sz w:val="22"/>
          <w:lang w:eastAsia="en-US"/>
        </w:rPr>
      </w:pPr>
    </w:p>
    <w:p w:rsidR="003E4B00" w:rsidRDefault="003E4B00" w:rsidP="003E4B00">
      <w:r>
        <w:t>&lt;ESMA_QUESTION_PRIIPS_1</w:t>
      </w:r>
      <w:r w:rsidR="00491E49">
        <w:t>9</w:t>
      </w:r>
      <w:r>
        <w:t>&gt;</w:t>
      </w:r>
    </w:p>
    <w:p w:rsidR="003E4B00" w:rsidRPr="00C64B5A" w:rsidRDefault="003E4B00" w:rsidP="003E4B00">
      <w:pPr>
        <w:rPr>
          <w:b/>
          <w:color w:val="FF0000"/>
          <w:lang w:val="fr-FR"/>
        </w:rPr>
      </w:pPr>
      <w:permStart w:id="1822905011" w:edGrp="everyone"/>
    </w:p>
    <w:permEnd w:id="1822905011"/>
    <w:p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rsidR="003E4B00" w:rsidRDefault="003E4B00" w:rsidP="00A2049D">
      <w:pPr>
        <w:jc w:val="both"/>
        <w:rPr>
          <w:rFonts w:ascii="Times New Roman" w:hAnsi="Times New Roman"/>
          <w:sz w:val="22"/>
          <w:lang w:eastAsia="en-US"/>
        </w:rPr>
      </w:pPr>
    </w:p>
    <w:p w:rsidR="003E4B00" w:rsidRDefault="003E4B00"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w:t>
      </w:r>
      <w:r w:rsidRPr="00A2049D">
        <w:rPr>
          <w:rFonts w:ascii="Calibri" w:hAnsi="Calibri"/>
          <w:i/>
          <w:sz w:val="22"/>
          <w:lang w:eastAsia="en-US"/>
        </w:rPr>
        <w:t>d</w:t>
      </w:r>
      <w:r w:rsidRPr="00A2049D">
        <w:rPr>
          <w:rFonts w:ascii="Calibri" w:hAnsi="Calibri"/>
          <w:i/>
          <w:sz w:val="22"/>
          <w:lang w:eastAsia="en-US"/>
        </w:rPr>
        <w:t>uct?” section, where the draft RTS currently disclose biometric risk premiums in total, and/or in the pe</w:t>
      </w:r>
      <w:r w:rsidRPr="00A2049D">
        <w:rPr>
          <w:rFonts w:ascii="Calibri" w:hAnsi="Calibri"/>
          <w:i/>
          <w:sz w:val="22"/>
          <w:lang w:eastAsia="en-US"/>
        </w:rPr>
        <w:t>r</w:t>
      </w:r>
      <w:r w:rsidRPr="00A2049D">
        <w:rPr>
          <w:rFonts w:ascii="Calibri" w:hAnsi="Calibri"/>
          <w:i/>
          <w:sz w:val="22"/>
          <w:lang w:eastAsia="en-US"/>
        </w:rPr>
        <w:t xml:space="preserve">formance section)? What accompanying narrative text do you think is needed, and where should this be placed, including specifically narrative text in the cost section? </w:t>
      </w:r>
    </w:p>
    <w:p w:rsidR="00491E49" w:rsidRDefault="00491E49" w:rsidP="00491E49"/>
    <w:p w:rsidR="00491E49" w:rsidRDefault="00491E49" w:rsidP="00491E49">
      <w:r>
        <w:t>&lt;ESMA_QUESTION_PRIIPS_20&gt;</w:t>
      </w:r>
    </w:p>
    <w:p w:rsidR="001F1924" w:rsidRPr="00C64B5A" w:rsidRDefault="001F1924" w:rsidP="001F1924">
      <w:pPr>
        <w:rPr>
          <w:b/>
          <w:color w:val="FF0000"/>
          <w:lang w:val="fr-FR"/>
        </w:rPr>
      </w:pPr>
      <w:permStart w:id="170659577" w:edGrp="everyone"/>
    </w:p>
    <w:permEnd w:id="170659577"/>
    <w:p w:rsidR="00491E49" w:rsidRPr="003E4B00" w:rsidRDefault="00491E49" w:rsidP="00491E49">
      <w:pPr>
        <w:rPr>
          <w:lang w:val="fr-FR"/>
        </w:rPr>
      </w:pPr>
      <w:r w:rsidRPr="00580880">
        <w:rPr>
          <w:lang w:val="fr-FR"/>
        </w:rPr>
        <w:t>&lt;ESMA_QUESTION_</w:t>
      </w:r>
      <w:r>
        <w:rPr>
          <w:lang w:val="fr-FR"/>
        </w:rPr>
        <w:t>PRIIPS_20</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21</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rsidR="00A2049D" w:rsidRDefault="00A2049D" w:rsidP="00A2049D">
      <w:pPr>
        <w:jc w:val="both"/>
        <w:rPr>
          <w:rFonts w:ascii="Calibri" w:hAnsi="Calibri"/>
          <w:b/>
          <w:sz w:val="22"/>
          <w:lang w:eastAsia="en-US"/>
        </w:rPr>
      </w:pPr>
    </w:p>
    <w:p w:rsidR="00491E49" w:rsidRDefault="00491E49" w:rsidP="00491E49">
      <w:r>
        <w:lastRenderedPageBreak/>
        <w:t>&lt;ESMA_QUESTION_PRIIPS_21&gt;</w:t>
      </w:r>
    </w:p>
    <w:p w:rsidR="00491E49" w:rsidRDefault="001F1924" w:rsidP="00491E49">
      <w:permStart w:id="1595765429" w:edGrp="everyone"/>
      <w:r>
        <w:t>We clearly prefer the use of percentage figures in order to remain in line with the UCITS KIID.</w:t>
      </w:r>
    </w:p>
    <w:permEnd w:id="1595765429"/>
    <w:p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rsidR="00491E49" w:rsidRDefault="00491E49" w:rsidP="00A2049D">
      <w:pPr>
        <w:jc w:val="both"/>
        <w:rPr>
          <w:rFonts w:ascii="Calibri" w:hAnsi="Calibri"/>
          <w:b/>
          <w:sz w:val="22"/>
          <w:lang w:eastAsia="en-US"/>
        </w:rPr>
      </w:pPr>
    </w:p>
    <w:p w:rsidR="00491E49" w:rsidRPr="00A2049D" w:rsidRDefault="00491E49" w:rsidP="00A2049D">
      <w:pPr>
        <w:jc w:val="both"/>
        <w:rPr>
          <w:rFonts w:ascii="Calibri" w:hAnsi="Calibri"/>
          <w:b/>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rsidR="00491E49" w:rsidRDefault="00491E49" w:rsidP="00491E49"/>
    <w:p w:rsidR="00491E49" w:rsidRDefault="00491E49" w:rsidP="00491E49">
      <w:r>
        <w:t>&lt;ESMA_QUESTION_PRIIPS_22&gt;</w:t>
      </w:r>
    </w:p>
    <w:p w:rsidR="00491E49" w:rsidRDefault="00E14FBC" w:rsidP="00491E49">
      <w:permStart w:id="715533916" w:edGrp="everyone"/>
      <w:r>
        <w:t>We share the views and proposals of EFAMA on this point.</w:t>
      </w:r>
    </w:p>
    <w:permEnd w:id="715533916"/>
    <w:p w:rsidR="00491E49" w:rsidRPr="003E4B00" w:rsidRDefault="00491E49" w:rsidP="00491E49">
      <w:pPr>
        <w:rPr>
          <w:lang w:val="fr-FR"/>
        </w:rPr>
      </w:pPr>
      <w:r w:rsidRPr="00580880">
        <w:rPr>
          <w:lang w:val="fr-FR"/>
        </w:rPr>
        <w:t>&lt;ESMA_QUESTION_</w:t>
      </w:r>
      <w:r>
        <w:rPr>
          <w:lang w:val="fr-FR"/>
        </w:rPr>
        <w:t>PRIIPS_22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23</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rsidR="00A2049D" w:rsidRDefault="00A2049D" w:rsidP="00A2049D">
      <w:pPr>
        <w:jc w:val="both"/>
        <w:rPr>
          <w:rFonts w:ascii="Times New Roman" w:hAnsi="Times New Roman"/>
          <w:sz w:val="22"/>
          <w:lang w:eastAsia="en-US"/>
        </w:rPr>
      </w:pPr>
    </w:p>
    <w:p w:rsidR="00491E49" w:rsidRDefault="00491E49" w:rsidP="00491E49">
      <w:r>
        <w:t>&lt;ESMA_QUESTION_PRIIPS_23&gt;</w:t>
      </w:r>
    </w:p>
    <w:p w:rsidR="00E14FBC" w:rsidRDefault="00E14FBC" w:rsidP="00E14FBC">
      <w:permStart w:id="2112052960" w:edGrp="everyone"/>
      <w:r>
        <w:t>We share the views and proposals of EFAMA on this point.</w:t>
      </w:r>
    </w:p>
    <w:permEnd w:id="2112052960"/>
    <w:p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rsidR="00491E49" w:rsidRDefault="00491E49" w:rsidP="00A2049D">
      <w:pPr>
        <w:jc w:val="both"/>
        <w:rPr>
          <w:rFonts w:ascii="Times New Roman" w:hAnsi="Times New Roman"/>
          <w:sz w:val="22"/>
          <w:lang w:eastAsia="en-US"/>
        </w:rPr>
      </w:pPr>
    </w:p>
    <w:p w:rsidR="00491E49" w:rsidRDefault="00491E49"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rsidR="00491E49" w:rsidRDefault="00491E49" w:rsidP="00491E49"/>
    <w:p w:rsidR="00491E49" w:rsidRDefault="00491E49" w:rsidP="00491E49">
      <w:r>
        <w:t>&lt;ESMA_QUESTION_PRIIPS_24&gt;</w:t>
      </w:r>
    </w:p>
    <w:p w:rsidR="00E14FBC" w:rsidRDefault="00E14FBC" w:rsidP="00E14FBC">
      <w:permStart w:id="943537637" w:edGrp="everyone"/>
      <w:r>
        <w:t>We share the views and proposals of EFAMA on this point.</w:t>
      </w:r>
    </w:p>
    <w:permEnd w:id="943537637"/>
    <w:p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25</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rsidR="00491E49" w:rsidRDefault="00491E49" w:rsidP="00491E49"/>
    <w:p w:rsidR="00491E49" w:rsidRDefault="00491E49" w:rsidP="00491E49">
      <w:r>
        <w:t>&lt;ESMA_QUESTION_PRIIPS_25&gt;</w:t>
      </w:r>
    </w:p>
    <w:p w:rsidR="00E14FBC" w:rsidRDefault="00E14FBC" w:rsidP="00E14FBC">
      <w:permStart w:id="175516874" w:edGrp="everyone"/>
      <w:r>
        <w:t>We share the views and proposals of EFAMA on this point.</w:t>
      </w:r>
    </w:p>
    <w:permEnd w:id="175516874"/>
    <w:p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rsidR="00A2049D" w:rsidRDefault="00A2049D" w:rsidP="00750796">
      <w:pPr>
        <w:pStyle w:val="CPQuestions"/>
        <w:numPr>
          <w:ilvl w:val="0"/>
          <w:numId w:val="0"/>
        </w:numPr>
        <w:rPr>
          <w:rFonts w:cs="Arial"/>
          <w:b w:val="0"/>
          <w:szCs w:val="22"/>
        </w:rPr>
      </w:pP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26</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t>Regarding the first table of the cost section presented in Annex VII, would you favour a detailed present</w:t>
      </w:r>
      <w:r w:rsidRPr="00847BB0">
        <w:rPr>
          <w:rFonts w:ascii="Calibri" w:hAnsi="Calibri"/>
          <w:i/>
          <w:iCs/>
          <w:sz w:val="22"/>
          <w:lang w:eastAsia="en-US"/>
        </w:rPr>
        <w:t>a</w:t>
      </w:r>
      <w:r w:rsidRPr="00847BB0">
        <w:rPr>
          <w:rFonts w:ascii="Calibri" w:hAnsi="Calibri"/>
          <w:i/>
          <w:iCs/>
          <w:sz w:val="22"/>
          <w:lang w:eastAsia="en-US"/>
        </w:rPr>
        <w:t xml:space="preserve">tion of the different types of costs, as suggested in the Annex, including a split between one-off, recurring </w:t>
      </w:r>
      <w:r w:rsidRPr="00847BB0">
        <w:rPr>
          <w:rFonts w:ascii="Calibri" w:hAnsi="Calibri"/>
          <w:i/>
          <w:iCs/>
          <w:sz w:val="22"/>
          <w:lang w:eastAsia="en-US"/>
        </w:rPr>
        <w:lastRenderedPageBreak/>
        <w:t>and incidental costs? Alternatively, would you favour a shorter presentation of costs showing only the total costs and the RIY?</w:t>
      </w:r>
    </w:p>
    <w:p w:rsidR="00847BB0" w:rsidRDefault="00847BB0" w:rsidP="00847BB0"/>
    <w:p w:rsidR="00847BB0" w:rsidRDefault="00847BB0" w:rsidP="00847BB0">
      <w:r>
        <w:t>&lt;ESMA_QUESTION_PRIIPS_26&gt;</w:t>
      </w:r>
    </w:p>
    <w:p w:rsidR="00E14FBC" w:rsidRDefault="00E14FBC" w:rsidP="00E14FBC">
      <w:permStart w:id="1435860945" w:edGrp="everyone"/>
      <w:r>
        <w:t>We share the views and proposals of EFAMA on this point.</w:t>
      </w:r>
    </w:p>
    <w:permEnd w:id="1435860945"/>
    <w:p w:rsidR="00847BB0" w:rsidRPr="00847BB0" w:rsidRDefault="00847BB0" w:rsidP="00847BB0">
      <w:r w:rsidRPr="00847BB0">
        <w:t>&lt;ESMA_QUESTION_PRIIPS_26&gt;</w:t>
      </w:r>
    </w:p>
    <w:p w:rsidR="00847BB0" w:rsidRDefault="00847BB0" w:rsidP="00750796">
      <w:pPr>
        <w:pStyle w:val="CPQuestions"/>
        <w:numPr>
          <w:ilvl w:val="0"/>
          <w:numId w:val="0"/>
        </w:numPr>
        <w:rPr>
          <w:rFonts w:cs="Arial"/>
          <w:b w:val="0"/>
          <w:szCs w:val="22"/>
        </w:rPr>
      </w:pPr>
    </w:p>
    <w:p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27</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w:t>
      </w:r>
      <w:r w:rsidRPr="00847BB0">
        <w:rPr>
          <w:rFonts w:ascii="Calibri" w:hAnsi="Calibri"/>
          <w:i/>
          <w:iCs/>
          <w:sz w:val="22"/>
          <w:lang w:eastAsia="en-US"/>
        </w:rPr>
        <w:t>n</w:t>
      </w:r>
      <w:r w:rsidRPr="00847BB0">
        <w:rPr>
          <w:rFonts w:ascii="Calibri" w:hAnsi="Calibri"/>
          <w:i/>
          <w:iCs/>
          <w:sz w:val="22"/>
          <w:lang w:eastAsia="en-US"/>
        </w:rPr>
        <w:t>tation of costs under which each type of costs line would be expressed differently, and not as a RIY figure -expressed as a percentage of the initial invested amount, NAV, etc.?</w:t>
      </w:r>
    </w:p>
    <w:p w:rsidR="00847BB0" w:rsidRDefault="00847BB0" w:rsidP="00847BB0"/>
    <w:p w:rsidR="00847BB0" w:rsidRDefault="00847BB0" w:rsidP="00847BB0">
      <w:r>
        <w:t>&lt;ESMA_QUESTION_PRIIPS_27&gt;</w:t>
      </w:r>
    </w:p>
    <w:p w:rsidR="00E14FBC" w:rsidRDefault="00E14FBC" w:rsidP="00E14FBC">
      <w:permStart w:id="1088292184" w:edGrp="everyone"/>
      <w:r>
        <w:t>We share the views and proposals of EFAMA on this point.</w:t>
      </w:r>
    </w:p>
    <w:permEnd w:id="1088292184"/>
    <w:p w:rsidR="00847BB0" w:rsidRPr="00847BB0" w:rsidRDefault="00847BB0" w:rsidP="00847BB0">
      <w:r w:rsidRPr="00847BB0">
        <w:t>&lt;ESMA_QUESTION_PRIIPS_2</w:t>
      </w:r>
      <w:r>
        <w:t>7</w:t>
      </w:r>
      <w:r w:rsidRPr="00847BB0">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 policy issues that have been highlighted, in your view, the correct ones? If not, what issues would you highlight?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there significant impacts you are aware of that have not been addressed in the Impact Assessment? Please provide data on their scale and extent as far as possible.</w:t>
      </w:r>
    </w:p>
    <w:p w:rsidR="00491E49" w:rsidRDefault="00491E49" w:rsidP="00491E49"/>
    <w:p w:rsidR="00491E49" w:rsidRDefault="00491E49" w:rsidP="00491E49">
      <w:r>
        <w:t>&lt;ESMA_QUESTION_PRIIPS_28&gt;</w:t>
      </w:r>
    </w:p>
    <w:p w:rsidR="00491E49" w:rsidRDefault="008C1090" w:rsidP="00491E49">
      <w:permStart w:id="1238443832" w:edGrp="everyone"/>
      <w:r>
        <w:t>W</w:t>
      </w:r>
      <w:r w:rsidR="00C2569A">
        <w:t xml:space="preserve">e have some further </w:t>
      </w:r>
      <w:r>
        <w:t xml:space="preserve">technical </w:t>
      </w:r>
      <w:r w:rsidR="00C2569A">
        <w:t>comments on various points</w:t>
      </w:r>
      <w:r>
        <w:t xml:space="preserve"> of the Consultation Paper</w:t>
      </w:r>
      <w:r w:rsidR="00C2569A">
        <w:t>:</w:t>
      </w:r>
    </w:p>
    <w:p w:rsidR="009B30F3" w:rsidRDefault="009B30F3" w:rsidP="009B30F3">
      <w:pPr>
        <w:jc w:val="both"/>
        <w:rPr>
          <w:b/>
          <w:caps/>
          <w:color w:val="4F81BD" w:themeColor="accent1"/>
          <w:u w:val="single"/>
        </w:rPr>
      </w:pPr>
    </w:p>
    <w:p w:rsidR="009B30F3" w:rsidRDefault="009B30F3" w:rsidP="009B30F3">
      <w:pPr>
        <w:jc w:val="both"/>
      </w:pPr>
      <w:r>
        <w:rPr>
          <w:b/>
          <w:u w:val="single"/>
        </w:rPr>
        <w:t xml:space="preserve">Technical comments: </w:t>
      </w:r>
      <w:r w:rsidRPr="006D1E6F">
        <w:t>The Cornish-Fisher methodology could be presented in more comprehensive way by adopting a standard notations used in statistics and also by improving the quality of the estimators used in the calculations.</w:t>
      </w:r>
    </w:p>
    <w:p w:rsidR="009B30F3" w:rsidRPr="0007654D" w:rsidRDefault="009B30F3" w:rsidP="004C600E">
      <w:pPr>
        <w:pStyle w:val="Paragraphedeliste"/>
        <w:numPr>
          <w:ilvl w:val="1"/>
          <w:numId w:val="39"/>
        </w:numPr>
        <w:jc w:val="both"/>
        <w:rPr>
          <w:rFonts w:ascii="Times New Roman" w:hAnsi="Times New Roman"/>
        </w:rPr>
      </w:pPr>
      <w:r w:rsidRPr="0007654D">
        <w:rPr>
          <w:rFonts w:ascii="Times New Roman" w:hAnsi="Times New Roman"/>
          <w:b/>
          <w:u w:val="single"/>
        </w:rPr>
        <w:t>Notations :</w:t>
      </w:r>
    </w:p>
    <w:p w:rsidR="009B30F3" w:rsidRPr="0007654D" w:rsidRDefault="009B30F3" w:rsidP="004C600E">
      <w:pPr>
        <w:pStyle w:val="Paragraphedeliste"/>
        <w:numPr>
          <w:ilvl w:val="2"/>
          <w:numId w:val="39"/>
        </w:numPr>
        <w:jc w:val="both"/>
        <w:rPr>
          <w:rFonts w:ascii="Times New Roman" w:hAnsi="Times New Roman"/>
        </w:rPr>
      </w:pPr>
      <m:oMath>
        <m:r>
          <w:rPr>
            <w:rFonts w:ascii="Cambria Math" w:hAnsi="Cambria Math"/>
          </w:rPr>
          <m:t>n</m:t>
        </m:r>
      </m:oMath>
      <w:r w:rsidRPr="0007654D">
        <w:rPr>
          <w:rFonts w:ascii="Times New Roman" w:hAnsi="Times New Roman"/>
        </w:rPr>
        <w:t xml:space="preserve"> : The size of the sample.</w:t>
      </w:r>
    </w:p>
    <w:p w:rsidR="009B30F3" w:rsidRPr="0007654D" w:rsidRDefault="004C600E" w:rsidP="004C600E">
      <w:pPr>
        <w:pStyle w:val="Paragraphedeliste"/>
        <w:numPr>
          <w:ilvl w:val="2"/>
          <w:numId w:val="39"/>
        </w:numPr>
        <w:jc w:val="both"/>
        <w:rPr>
          <w:rFonts w:ascii="Times New Roman" w:hAnsi="Times New Roman"/>
        </w:rPr>
      </w:pP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9B30F3" w:rsidRPr="0007654D">
        <w:rPr>
          <w:rFonts w:ascii="Times New Roman" w:hAnsi="Times New Roman"/>
        </w:rPr>
        <w:t xml:space="preserve"> : The price at market close on day </w:t>
      </w:r>
      <m:oMath>
        <m:r>
          <w:rPr>
            <w:rFonts w:ascii="Cambria Math" w:hAnsi="Cambria Math"/>
          </w:rPr>
          <m:t>i</m:t>
        </m:r>
      </m:oMath>
    </w:p>
    <w:p w:rsidR="009B30F3" w:rsidRPr="0007654D" w:rsidRDefault="004C600E" w:rsidP="004C600E">
      <w:pPr>
        <w:pStyle w:val="Paragraphedeliste"/>
        <w:numPr>
          <w:ilvl w:val="2"/>
          <w:numId w:val="39"/>
        </w:numPr>
        <w:jc w:val="both"/>
        <w:rPr>
          <w:rFonts w:ascii="Times New Roman" w:hAnsi="Times New Roman"/>
        </w:rPr>
      </w:pP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9B30F3" w:rsidRPr="0007654D">
        <w:rPr>
          <w:rFonts w:ascii="Times New Roman" w:hAnsi="Times New Roman"/>
        </w:rPr>
        <w:t xml:space="preserve"> : Log-return of the period </w:t>
      </w:r>
      <m:oMath>
        <m:r>
          <w:rPr>
            <w:rFonts w:ascii="Cambria Math" w:hAnsi="Cambria Math"/>
          </w:rPr>
          <m:t>i-1</m:t>
        </m:r>
      </m:oMath>
      <w:r w:rsidR="009B30F3" w:rsidRPr="0007654D">
        <w:rPr>
          <w:rFonts w:ascii="Times New Roman" w:hAnsi="Times New Roman"/>
        </w:rPr>
        <w:t xml:space="preserve"> and  </w:t>
      </w:r>
      <m:oMath>
        <m:r>
          <w:rPr>
            <w:rFonts w:ascii="Cambria Math" w:hAnsi="Cambria Math"/>
          </w:rPr>
          <m:t>i</m:t>
        </m:r>
      </m:oMath>
    </w:p>
    <w:p w:rsidR="009B30F3" w:rsidRPr="0007654D" w:rsidRDefault="004C600E" w:rsidP="009B30F3">
      <w:pPr>
        <w:pStyle w:val="Paragraphedeliste"/>
        <w:ind w:left="2160"/>
        <w:jc w:val="both"/>
        <w:rPr>
          <w:rFonts w:ascii="Times New Roman" w:hAnsi="Times New Roman"/>
        </w:rPr>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sSub>
                        <m:sSubPr>
                          <m:ctrlPr>
                            <w:rPr>
                              <w:rFonts w:ascii="Cambria Math" w:hAnsi="Cambria Math"/>
                              <w:i/>
                            </w:rPr>
                          </m:ctrlPr>
                        </m:sSubPr>
                        <m:e>
                          <m:r>
                            <w:rPr>
                              <w:rFonts w:ascii="Cambria Math" w:hAnsi="Cambria Math"/>
                            </w:rPr>
                            <m:t>P</m:t>
                          </m:r>
                        </m:e>
                        <m:sub>
                          <m:r>
                            <w:rPr>
                              <w:rFonts w:ascii="Cambria Math" w:hAnsi="Cambria Math"/>
                            </w:rPr>
                            <m:t>i-1</m:t>
                          </m:r>
                        </m:sub>
                      </m:sSub>
                    </m:den>
                  </m:f>
                </m:e>
              </m:d>
            </m:e>
          </m:func>
        </m:oMath>
      </m:oMathPara>
    </w:p>
    <w:p w:rsidR="009B30F3" w:rsidRPr="0007654D" w:rsidRDefault="009B30F3" w:rsidP="004C600E">
      <w:pPr>
        <w:pStyle w:val="Paragraphedeliste"/>
        <w:numPr>
          <w:ilvl w:val="2"/>
          <w:numId w:val="39"/>
        </w:numPr>
        <w:jc w:val="both"/>
        <w:rPr>
          <w:rFonts w:ascii="Times New Roman" w:hAnsi="Times New Roman"/>
        </w:rPr>
      </w:pPr>
      <m:oMath>
        <m:r>
          <w:rPr>
            <w:rFonts w:ascii="Cambria Math" w:hAnsi="Cambria Math"/>
          </w:rPr>
          <m:t>μ</m:t>
        </m:r>
      </m:oMath>
      <w:r w:rsidRPr="0007654D">
        <w:rPr>
          <w:rFonts w:ascii="Times New Roman" w:hAnsi="Times New Roman"/>
        </w:rPr>
        <w:t xml:space="preserve"> : The empirical </w:t>
      </w:r>
      <w:r w:rsidRPr="0007654D">
        <w:rPr>
          <w:rFonts w:ascii="Times New Roman" w:hAnsi="Times New Roman"/>
          <w:b/>
          <w:i/>
        </w:rPr>
        <w:t>Mean</w:t>
      </w:r>
      <w:r w:rsidRPr="0007654D">
        <w:rPr>
          <w:rFonts w:ascii="Times New Roman" w:hAnsi="Times New Roman"/>
        </w:rPr>
        <w:t xml:space="preserve"> of the sample of log-returns.</w:t>
      </w:r>
    </w:p>
    <w:p w:rsidR="009B30F3" w:rsidRPr="0007654D" w:rsidRDefault="009B30F3" w:rsidP="009B30F3">
      <w:pPr>
        <w:pStyle w:val="Paragraphedeliste"/>
        <w:ind w:left="2160"/>
        <w:jc w:val="both"/>
        <w:rPr>
          <w:rFonts w:ascii="Times New Roman" w:hAnsi="Times New Roman"/>
        </w:rPr>
      </w:pPr>
      <m:oMathPara>
        <m:oMath>
          <m:r>
            <w:rPr>
              <w:rFonts w:ascii="Cambria Math" w:hAnsi="Cambria Math"/>
            </w:rPr>
            <w:lastRenderedPageBreak/>
            <m:t>μ=</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r</m:t>
                  </m:r>
                </m:e>
                <m:sub>
                  <m:r>
                    <w:rPr>
                      <w:rFonts w:ascii="Cambria Math" w:hAnsi="Cambria Math"/>
                    </w:rPr>
                    <m:t>i</m:t>
                  </m:r>
                </m:sub>
              </m:sSub>
            </m:e>
          </m:nary>
        </m:oMath>
      </m:oMathPara>
    </w:p>
    <w:p w:rsidR="009B30F3" w:rsidRPr="0007654D" w:rsidRDefault="009B30F3" w:rsidP="004C600E">
      <w:pPr>
        <w:pStyle w:val="Paragraphedeliste"/>
        <w:numPr>
          <w:ilvl w:val="2"/>
          <w:numId w:val="39"/>
        </w:numPr>
        <w:jc w:val="both"/>
        <w:rPr>
          <w:rFonts w:ascii="Times New Roman" w:hAnsi="Times New Roman"/>
        </w:rPr>
      </w:pPr>
      <m:oMath>
        <m:r>
          <m:rPr>
            <m:sty m:val="bi"/>
          </m:rPr>
          <w:rPr>
            <w:rFonts w:ascii="Cambria Math" w:hAnsi="Cambria Math"/>
          </w:rPr>
          <m:t>σ</m:t>
        </m:r>
      </m:oMath>
      <w:r w:rsidRPr="0007654D">
        <w:rPr>
          <w:rFonts w:ascii="Times New Roman" w:hAnsi="Times New Roman"/>
        </w:rPr>
        <w:t xml:space="preserve"> : The unbiased estimator of the </w:t>
      </w:r>
      <w:r w:rsidRPr="0007654D">
        <w:rPr>
          <w:rFonts w:ascii="Times New Roman" w:hAnsi="Times New Roman"/>
          <w:b/>
          <w:i/>
        </w:rPr>
        <w:t xml:space="preserve">Standard Deviation </w:t>
      </w:r>
      <w:r w:rsidRPr="0007654D">
        <w:rPr>
          <w:rFonts w:ascii="Times New Roman" w:hAnsi="Times New Roman"/>
        </w:rPr>
        <w:t>of the sample of log-returns:</w:t>
      </w:r>
    </w:p>
    <w:p w:rsidR="009B30F3" w:rsidRPr="0007654D" w:rsidRDefault="009B30F3" w:rsidP="009B30F3">
      <w:pPr>
        <w:pStyle w:val="Paragraphedeliste"/>
        <w:ind w:left="2160"/>
        <w:jc w:val="both"/>
        <w:rPr>
          <w:rFonts w:ascii="Times New Roman" w:hAnsi="Times New Roman"/>
        </w:rPr>
      </w:pPr>
      <m:oMathPara>
        <m:oMath>
          <m:r>
            <m:rPr>
              <m:sty m:val="bi"/>
            </m:rPr>
            <w:rPr>
              <w:rFonts w:ascii="Cambria Math" w:hAnsi="Cambria Math"/>
            </w:rPr>
            <m:t>σ</m:t>
          </m:r>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-μ</m:t>
                          </m:r>
                        </m:e>
                      </m:d>
                    </m:e>
                    <m:sup>
                      <m:r>
                        <w:rPr>
                          <w:rFonts w:ascii="Cambria Math" w:hAnsi="Cambria Math"/>
                        </w:rPr>
                        <m:t>2</m:t>
                      </m:r>
                    </m:sup>
                  </m:sSup>
                </m:e>
              </m:nary>
            </m:e>
          </m:rad>
        </m:oMath>
      </m:oMathPara>
    </w:p>
    <w:p w:rsidR="009B30F3" w:rsidRPr="0007654D" w:rsidRDefault="009B30F3" w:rsidP="009B30F3">
      <w:pPr>
        <w:pStyle w:val="Paragraphedeliste"/>
        <w:ind w:left="2160"/>
        <w:jc w:val="both"/>
        <w:rPr>
          <w:rFonts w:ascii="Times New Roman" w:hAnsi="Times New Roman"/>
        </w:rPr>
      </w:pPr>
    </w:p>
    <w:p w:rsidR="009B30F3" w:rsidRPr="0007654D" w:rsidRDefault="009B30F3" w:rsidP="004C600E">
      <w:pPr>
        <w:pStyle w:val="Paragraphedeliste"/>
        <w:numPr>
          <w:ilvl w:val="2"/>
          <w:numId w:val="39"/>
        </w:numPr>
        <w:jc w:val="both"/>
        <w:rPr>
          <w:rFonts w:ascii="Times New Roman" w:hAnsi="Times New Roman"/>
        </w:rPr>
      </w:pPr>
      <m:oMath>
        <m:r>
          <m:rPr>
            <m:sty m:val="bi"/>
          </m:rPr>
          <w:rPr>
            <w:rFonts w:ascii="Cambria Math" w:hAnsi="Cambria Math"/>
          </w:rPr>
          <m:t>S</m:t>
        </m:r>
      </m:oMath>
      <w:r w:rsidRPr="0007654D">
        <w:rPr>
          <w:rFonts w:ascii="Times New Roman" w:hAnsi="Times New Roman"/>
        </w:rPr>
        <w:t xml:space="preserve"> : The unbiased estimator of the </w:t>
      </w:r>
      <w:proofErr w:type="spellStart"/>
      <w:r w:rsidRPr="0007654D">
        <w:rPr>
          <w:rFonts w:ascii="Times New Roman" w:hAnsi="Times New Roman"/>
          <w:b/>
          <w:i/>
        </w:rPr>
        <w:t>Skewness</w:t>
      </w:r>
      <w:proofErr w:type="spellEnd"/>
      <w:r w:rsidRPr="0007654D">
        <w:rPr>
          <w:rFonts w:ascii="Times New Roman" w:hAnsi="Times New Roman"/>
        </w:rPr>
        <w:t xml:space="preserve"> of the sample of log-returns:</w:t>
      </w:r>
    </w:p>
    <w:p w:rsidR="009B30F3" w:rsidRPr="0007654D" w:rsidRDefault="009B30F3" w:rsidP="009B30F3">
      <w:pPr>
        <w:pStyle w:val="Paragraphedeliste"/>
        <w:ind w:left="2160"/>
        <w:jc w:val="both"/>
        <w:rPr>
          <w:rFonts w:ascii="Times New Roman" w:hAnsi="Times New Roman"/>
        </w:rPr>
      </w:pPr>
    </w:p>
    <w:p w:rsidR="009B30F3" w:rsidRPr="0007654D" w:rsidRDefault="009B30F3" w:rsidP="009B30F3">
      <w:pPr>
        <w:pStyle w:val="Paragraphedeliste"/>
        <w:ind w:left="2160"/>
        <w:jc w:val="both"/>
        <w:rPr>
          <w:rFonts w:ascii="Times New Roman" w:hAnsi="Times New Roman"/>
        </w:rPr>
      </w:pPr>
      <m:oMathPara>
        <m:oMath>
          <m:r>
            <m:rPr>
              <m:sty m:val="bi"/>
            </m:rPr>
            <w:rPr>
              <w:rFonts w:ascii="Cambria Math" w:hAnsi="Cambria Math"/>
            </w:rPr>
            <m:t>S</m:t>
          </m:r>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n(n-1)</m:t>
                  </m:r>
                </m:e>
              </m:rad>
            </m:num>
            <m:den>
              <m:r>
                <w:rPr>
                  <w:rFonts w:ascii="Cambria Math" w:hAnsi="Cambria Math"/>
                </w:rPr>
                <m:t>n-2</m:t>
              </m:r>
            </m:den>
          </m:f>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-μ</m:t>
                              </m:r>
                            </m:e>
                          </m:d>
                        </m:e>
                        <m:sup>
                          <m:r>
                            <w:rPr>
                              <w:rFonts w:ascii="Cambria Math" w:hAnsi="Cambria Math"/>
                            </w:rPr>
                            <m:t>3</m:t>
                          </m:r>
                        </m:sup>
                      </m:sSup>
                    </m:e>
                  </m:nary>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-μ</m:t>
                                  </m:r>
                                </m:e>
                              </m:d>
                            </m:e>
                            <m:sup>
                              <m:r>
                                <w:rPr>
                                  <w:rFonts w:ascii="Cambria Math" w:hAnsi="Cambria Math"/>
                                </w:rPr>
                                <m:t>2</m:t>
                              </m:r>
                            </m:sup>
                          </m:sSup>
                        </m:e>
                      </m:nary>
                    </m:e>
                  </m:d>
                </m:e>
                <m:sup>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sup>
              </m:sSup>
            </m:e>
          </m:d>
        </m:oMath>
      </m:oMathPara>
    </w:p>
    <w:p w:rsidR="009B30F3" w:rsidRPr="0007654D" w:rsidRDefault="009B30F3" w:rsidP="009B30F3">
      <w:pPr>
        <w:pStyle w:val="Paragraphedeliste"/>
        <w:ind w:left="2160"/>
        <w:jc w:val="both"/>
        <w:rPr>
          <w:rFonts w:ascii="Times New Roman" w:hAnsi="Times New Roman"/>
        </w:rPr>
      </w:pPr>
      <w:r w:rsidRPr="0007654D">
        <w:rPr>
          <w:rFonts w:ascii="Times New Roman" w:hAnsi="Times New Roman"/>
        </w:rPr>
        <w:t>Or equivalently :</w:t>
      </w:r>
    </w:p>
    <w:p w:rsidR="009B30F3" w:rsidRPr="0007654D" w:rsidRDefault="009B30F3" w:rsidP="009B30F3">
      <w:pPr>
        <w:pStyle w:val="Paragraphedeliste"/>
        <w:ind w:left="2160"/>
        <w:jc w:val="both"/>
        <w:rPr>
          <w:rFonts w:ascii="Times New Roman" w:hAnsi="Times New Roman"/>
        </w:rPr>
      </w:pPr>
      <m:oMathPara>
        <m:oMath>
          <m:r>
            <m:rPr>
              <m:sty m:val="bi"/>
            </m:rPr>
            <w:rPr>
              <w:rFonts w:ascii="Cambria Math" w:hAnsi="Cambria Math"/>
            </w:rPr>
            <m:t>S</m:t>
          </m:r>
          <m:r>
            <w:rPr>
              <w:rFonts w:ascii="Cambria Math" w:hAnsi="Cambria Math"/>
            </w:rPr>
            <m:t>=</m:t>
          </m:r>
          <m:f>
            <m:fPr>
              <m:ctrlPr>
                <w:rPr>
                  <w:rFonts w:ascii="Cambria Math" w:hAnsi="Cambria Math"/>
                  <w:i/>
                </w:rPr>
              </m:ctrlPr>
            </m:fPr>
            <m:num>
              <m:r>
                <w:rPr>
                  <w:rFonts w:ascii="Cambria Math" w:hAnsi="Cambria Math"/>
                </w:rPr>
                <m:t>n</m:t>
              </m:r>
            </m:num>
            <m:den>
              <m:d>
                <m:dPr>
                  <m:ctrlPr>
                    <w:rPr>
                      <w:rFonts w:ascii="Cambria Math" w:hAnsi="Cambria Math"/>
                      <w:i/>
                    </w:rPr>
                  </m:ctrlPr>
                </m:dPr>
                <m:e>
                  <m:r>
                    <w:rPr>
                      <w:rFonts w:ascii="Cambria Math" w:hAnsi="Cambria Math"/>
                    </w:rPr>
                    <m:t>n-1</m:t>
                  </m:r>
                </m:e>
              </m:d>
              <m:d>
                <m:dPr>
                  <m:ctrlPr>
                    <w:rPr>
                      <w:rFonts w:ascii="Cambria Math" w:hAnsi="Cambria Math"/>
                      <w:i/>
                    </w:rPr>
                  </m:ctrlPr>
                </m:dPr>
                <m:e>
                  <m:r>
                    <w:rPr>
                      <w:rFonts w:ascii="Cambria Math" w:hAnsi="Cambria Math"/>
                    </w:rPr>
                    <m:t>n-2</m:t>
                  </m:r>
                </m:e>
              </m:d>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-μ</m:t>
                      </m:r>
                    </m:e>
                  </m:d>
                </m:e>
                <m:sup>
                  <m:r>
                    <w:rPr>
                      <w:rFonts w:ascii="Cambria Math" w:hAnsi="Cambria Math"/>
                    </w:rPr>
                    <m:t>3</m:t>
                  </m:r>
                </m:sup>
              </m:sSup>
            </m:e>
          </m:nary>
        </m:oMath>
      </m:oMathPara>
    </w:p>
    <w:p w:rsidR="009B30F3" w:rsidRPr="0007654D" w:rsidRDefault="009B30F3" w:rsidP="009B30F3">
      <w:pPr>
        <w:pStyle w:val="Paragraphedeliste"/>
        <w:ind w:left="2160"/>
        <w:jc w:val="both"/>
        <w:rPr>
          <w:rFonts w:ascii="Times New Roman" w:hAnsi="Times New Roman"/>
        </w:rPr>
      </w:pPr>
    </w:p>
    <w:p w:rsidR="009B30F3" w:rsidRPr="0007654D" w:rsidRDefault="009B30F3" w:rsidP="004C600E">
      <w:pPr>
        <w:pStyle w:val="Paragraphedeliste"/>
        <w:numPr>
          <w:ilvl w:val="2"/>
          <w:numId w:val="39"/>
        </w:numPr>
        <w:jc w:val="both"/>
        <w:rPr>
          <w:rFonts w:ascii="Times New Roman" w:hAnsi="Times New Roman"/>
        </w:rPr>
      </w:pPr>
      <m:oMath>
        <m:r>
          <m:rPr>
            <m:sty m:val="bi"/>
          </m:rPr>
          <w:rPr>
            <w:rFonts w:ascii="Cambria Math" w:hAnsi="Cambria Math"/>
          </w:rPr>
          <m:t>K</m:t>
        </m:r>
      </m:oMath>
      <w:r w:rsidRPr="0007654D">
        <w:rPr>
          <w:rFonts w:ascii="Times New Roman" w:hAnsi="Times New Roman"/>
        </w:rPr>
        <w:t xml:space="preserve"> : The unbiased estimator of the </w:t>
      </w:r>
      <w:r w:rsidRPr="0007654D">
        <w:rPr>
          <w:rFonts w:ascii="Times New Roman" w:hAnsi="Times New Roman"/>
          <w:b/>
          <w:i/>
        </w:rPr>
        <w:t>Excess Kurtosis</w:t>
      </w:r>
      <w:r w:rsidRPr="0007654D">
        <w:rPr>
          <w:rFonts w:ascii="Times New Roman" w:hAnsi="Times New Roman"/>
        </w:rPr>
        <w:t xml:space="preserve"> of the sample of log-returns:</w:t>
      </w:r>
    </w:p>
    <w:p w:rsidR="009B30F3" w:rsidRPr="0007654D" w:rsidRDefault="009B30F3" w:rsidP="009B30F3">
      <w:pPr>
        <w:pStyle w:val="Paragraphedeliste"/>
        <w:ind w:left="2160"/>
        <w:jc w:val="both"/>
        <w:rPr>
          <w:rFonts w:ascii="Times New Roman" w:hAnsi="Times New Roman"/>
        </w:rPr>
      </w:pPr>
      <m:oMathPara>
        <m:oMath>
          <m:r>
            <m:rPr>
              <m:sty m:val="bi"/>
            </m:rPr>
            <w:rPr>
              <w:rFonts w:ascii="Cambria Math" w:hAnsi="Cambria Math"/>
            </w:rPr>
            <m:t>K</m:t>
          </m:r>
          <m:r>
            <w:rPr>
              <w:rFonts w:ascii="Cambria Math" w:hAnsi="Cambria Math"/>
            </w:rPr>
            <m:t>=</m:t>
          </m:r>
          <m:f>
            <m:fPr>
              <m:ctrlPr>
                <w:rPr>
                  <w:rFonts w:ascii="Cambria Math" w:hAnsi="Cambria Math"/>
                  <w:i/>
                </w:rPr>
              </m:ctrlPr>
            </m:fPr>
            <m:num>
              <m:r>
                <w:rPr>
                  <w:rFonts w:ascii="Cambria Math" w:hAnsi="Cambria Math"/>
                </w:rPr>
                <m:t>n-1</m:t>
              </m:r>
            </m:num>
            <m:den>
              <m:d>
                <m:dPr>
                  <m:ctrlPr>
                    <w:rPr>
                      <w:rFonts w:ascii="Cambria Math" w:hAnsi="Cambria Math"/>
                      <w:i/>
                    </w:rPr>
                  </m:ctrlPr>
                </m:dPr>
                <m:e>
                  <m:r>
                    <w:rPr>
                      <w:rFonts w:ascii="Cambria Math" w:hAnsi="Cambria Math"/>
                    </w:rPr>
                    <m:t>n-1</m:t>
                  </m:r>
                </m:e>
              </m:d>
              <m:d>
                <m:dPr>
                  <m:ctrlPr>
                    <w:rPr>
                      <w:rFonts w:ascii="Cambria Math" w:hAnsi="Cambria Math"/>
                      <w:i/>
                    </w:rPr>
                  </m:ctrlPr>
                </m:dPr>
                <m:e>
                  <m:r>
                    <w:rPr>
                      <w:rFonts w:ascii="Cambria Math" w:hAnsi="Cambria Math"/>
                    </w:rPr>
                    <m:t>n-2</m:t>
                  </m:r>
                </m:e>
              </m:d>
            </m:den>
          </m:f>
          <m:d>
            <m:dPr>
              <m:begChr m:val="["/>
              <m:endChr m:val="]"/>
              <m:ctrlPr>
                <w:rPr>
                  <w:rFonts w:ascii="Cambria Math" w:hAnsi="Cambria Math"/>
                  <w:i/>
                </w:rPr>
              </m:ctrlPr>
            </m:dPr>
            <m:e>
              <m:d>
                <m:dPr>
                  <m:ctrlPr>
                    <w:rPr>
                      <w:rFonts w:ascii="Cambria Math" w:hAnsi="Cambria Math"/>
                      <w:i/>
                    </w:rPr>
                  </m:ctrlPr>
                </m:dPr>
                <m:e>
                  <m:d>
                    <m:dPr>
                      <m:ctrlPr>
                        <w:rPr>
                          <w:rFonts w:ascii="Cambria Math" w:hAnsi="Cambria Math"/>
                          <w:i/>
                        </w:rPr>
                      </m:ctrlPr>
                    </m:dPr>
                    <m:e>
                      <m:r>
                        <w:rPr>
                          <w:rFonts w:ascii="Cambria Math" w:hAnsi="Cambria Math"/>
                        </w:rPr>
                        <m:t>n+1</m:t>
                      </m:r>
                    </m:e>
                  </m:d>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sSup>
                            <m:sSupPr>
                              <m:ctrlPr>
                                <w:rPr>
                                  <w:rFonts w:ascii="Cambria Math" w:hAnsi="Cambria Math"/>
                                  <w:i/>
                                </w:rPr>
                              </m:ctrlPr>
                            </m:sSupPr>
                            <m:e>
                              <m:r>
                                <w:rPr>
                                  <w:rFonts w:ascii="Cambria Math" w:hAnsi="Cambria Math"/>
                                </w:rPr>
                                <m:t>σ</m:t>
                              </m:r>
                            </m:e>
                            <m:sup>
                              <m:r>
                                <w:rPr>
                                  <w:rFonts w:ascii="Cambria Math" w:hAnsi="Cambria Math"/>
                                </w:rPr>
                                <m:t>4</m:t>
                              </m:r>
                            </m:sup>
                          </m:sSup>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-μ</m:t>
                                  </m:r>
                                </m:e>
                              </m:d>
                            </m:e>
                            <m:sup>
                              <m:r>
                                <w:rPr>
                                  <w:rFonts w:ascii="Cambria Math" w:hAnsi="Cambria Math"/>
                                </w:rPr>
                                <m:t>4</m:t>
                              </m:r>
                            </m:sup>
                          </m:sSup>
                        </m:e>
                      </m:nary>
                      <m:r>
                        <w:rPr>
                          <w:rFonts w:ascii="Cambria Math" w:hAnsi="Cambria Math"/>
                        </w:rPr>
                        <m:t>-3</m:t>
                      </m:r>
                    </m:e>
                  </m:d>
                  <m:r>
                    <w:rPr>
                      <w:rFonts w:ascii="Cambria Math" w:hAnsi="Cambria Math"/>
                    </w:rPr>
                    <m:t>+6</m:t>
                  </m:r>
                </m:e>
              </m:d>
            </m:e>
          </m:d>
        </m:oMath>
      </m:oMathPara>
    </w:p>
    <w:p w:rsidR="009B30F3" w:rsidRPr="0007654D" w:rsidRDefault="004C600E" w:rsidP="004C600E">
      <w:pPr>
        <w:pStyle w:val="Paragraphedeliste"/>
        <w:numPr>
          <w:ilvl w:val="2"/>
          <w:numId w:val="39"/>
        </w:numPr>
        <w:jc w:val="both"/>
        <w:rPr>
          <w:rFonts w:ascii="Times New Roman" w:hAnsi="Times New Roman"/>
        </w:rPr>
      </w:pP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r</m:t>
                </m:r>
              </m:e>
            </m:bar>
          </m:e>
          <m:sub>
            <m:r>
              <w:rPr>
                <w:rFonts w:ascii="Cambria Math" w:hAnsi="Cambria Math"/>
              </w:rPr>
              <m:t>i</m:t>
            </m:r>
          </m:sub>
        </m:sSub>
      </m:oMath>
      <w:r w:rsidR="009B30F3" w:rsidRPr="0007654D">
        <w:rPr>
          <w:rFonts w:ascii="Times New Roman" w:hAnsi="Times New Roman"/>
        </w:rPr>
        <w:t xml:space="preserve">  : Log-return of the period </w:t>
      </w:r>
      <m:oMath>
        <m:r>
          <w:rPr>
            <w:rFonts w:ascii="Cambria Math" w:hAnsi="Cambria Math"/>
          </w:rPr>
          <m:t>i-1</m:t>
        </m:r>
      </m:oMath>
      <w:r w:rsidR="009B30F3" w:rsidRPr="0007654D">
        <w:rPr>
          <w:rFonts w:ascii="Times New Roman" w:hAnsi="Times New Roman"/>
        </w:rPr>
        <w:t xml:space="preserve"> and  </w:t>
      </w:r>
      <m:oMath>
        <m:r>
          <w:rPr>
            <w:rFonts w:ascii="Cambria Math" w:hAnsi="Cambria Math"/>
          </w:rPr>
          <m:t>i</m:t>
        </m:r>
      </m:oMath>
      <w:r w:rsidR="009B30F3" w:rsidRPr="0007654D">
        <w:rPr>
          <w:rFonts w:ascii="Times New Roman" w:hAnsi="Times New Roman"/>
        </w:rPr>
        <w:t xml:space="preserve"> adjusted by removing the impact of the mean.</w:t>
      </w:r>
    </w:p>
    <w:p w:rsidR="009B30F3" w:rsidRPr="0007654D" w:rsidRDefault="009B30F3" w:rsidP="009B30F3">
      <w:pPr>
        <w:ind w:left="1800"/>
        <w:jc w:val="both"/>
        <w:rPr>
          <w:rFonts w:ascii="Times New Roman" w:hAnsi="Times New Roman"/>
          <w:lang w:val="en-US"/>
        </w:rPr>
      </w:pPr>
    </w:p>
    <w:p w:rsidR="009B30F3" w:rsidRPr="0007654D" w:rsidRDefault="009B30F3" w:rsidP="004C600E">
      <w:pPr>
        <w:pStyle w:val="Paragraphedeliste"/>
        <w:numPr>
          <w:ilvl w:val="1"/>
          <w:numId w:val="39"/>
        </w:numPr>
        <w:jc w:val="both"/>
        <w:rPr>
          <w:rFonts w:ascii="Times New Roman" w:hAnsi="Times New Roman"/>
        </w:rPr>
      </w:pPr>
      <w:r w:rsidRPr="0007654D">
        <w:rPr>
          <w:rFonts w:ascii="Times New Roman" w:hAnsi="Times New Roman"/>
          <w:b/>
          <w:u w:val="single"/>
        </w:rPr>
        <w:t>Formulas :</w:t>
      </w:r>
    </w:p>
    <w:p w:rsidR="009B30F3" w:rsidRPr="0007654D" w:rsidRDefault="009B30F3" w:rsidP="009B30F3">
      <w:pPr>
        <w:pStyle w:val="Paragraphedeliste"/>
        <w:ind w:left="2160"/>
        <w:jc w:val="both"/>
        <w:rPr>
          <w:rFonts w:ascii="Times New Roman" w:hAnsi="Times New Roman"/>
        </w:rPr>
      </w:pPr>
    </w:p>
    <w:p w:rsidR="009B30F3" w:rsidRPr="0007654D" w:rsidRDefault="009B30F3" w:rsidP="004C600E">
      <w:pPr>
        <w:pStyle w:val="Paragraphedeliste"/>
        <w:numPr>
          <w:ilvl w:val="0"/>
          <w:numId w:val="40"/>
        </w:numPr>
        <w:jc w:val="both"/>
        <w:rPr>
          <w:rFonts w:ascii="Times New Roman" w:hAnsi="Times New Roman"/>
        </w:rPr>
      </w:pPr>
      <w:r w:rsidRPr="0007654D">
        <w:rPr>
          <w:rFonts w:ascii="Times New Roman" w:hAnsi="Times New Roman"/>
        </w:rPr>
        <w:t>The Cornish-Fisher formula for approximating,</w:t>
      </w:r>
      <m:oMath>
        <m:r>
          <w:rPr>
            <w:rFonts w:ascii="Cambria Math" w:hAnsi="Cambria Math"/>
          </w:rPr>
          <m:t xml:space="preserve"> </m:t>
        </m:r>
        <m:sSubSup>
          <m:sSubSupPr>
            <m:ctrlPr>
              <w:rPr>
                <w:rFonts w:ascii="Cambria Math" w:hAnsi="Cambria Math"/>
                <w:i/>
              </w:rPr>
            </m:ctrlPr>
          </m:sSubSupPr>
          <m:e>
            <m:r>
              <w:rPr>
                <w:rFonts w:ascii="Cambria Math" w:hAnsi="Cambria Math"/>
              </w:rPr>
              <m:t>VaR</m:t>
            </m:r>
          </m:e>
          <m:sub>
            <m:r>
              <w:rPr>
                <w:rFonts w:ascii="Cambria Math" w:hAnsi="Cambria Math"/>
              </w:rPr>
              <m:t>p</m:t>
            </m:r>
          </m:sub>
          <m:sup>
            <m:r>
              <w:rPr>
                <w:rFonts w:ascii="Cambria Math" w:hAnsi="Cambria Math"/>
              </w:rPr>
              <m:t>RAS</m:t>
            </m:r>
          </m:sup>
        </m:sSubSup>
      </m:oMath>
      <w:r w:rsidRPr="0007654D">
        <w:rPr>
          <w:rFonts w:ascii="Times New Roman" w:hAnsi="Times New Roman"/>
        </w:rPr>
        <w:t xml:space="preserve">, the Value At Risk, on the return adjusted space </w:t>
      </w:r>
      <m:oMath>
        <m:bar>
          <m:barPr>
            <m:pos m:val="top"/>
            <m:ctrlPr>
              <w:rPr>
                <w:rFonts w:ascii="Cambria Math" w:hAnsi="Cambria Math"/>
                <w:i/>
              </w:rPr>
            </m:ctrlPr>
          </m:barPr>
          <m:e>
            <m:r>
              <w:rPr>
                <w:rFonts w:ascii="Cambria Math" w:hAnsi="Cambria Math"/>
              </w:rPr>
              <m:t>r</m:t>
            </m:r>
          </m:e>
        </m:bar>
      </m:oMath>
      <w:r w:rsidRPr="0007654D">
        <w:rPr>
          <w:rFonts w:ascii="Times New Roman" w:hAnsi="Times New Roman"/>
        </w:rPr>
        <w:t xml:space="preserve"> for the Recommended Holding Period T with confidence level </w:t>
      </w:r>
      <m:oMath>
        <m:r>
          <w:rPr>
            <w:rFonts w:ascii="Cambria Math" w:hAnsi="Cambria Math"/>
          </w:rPr>
          <m:t>p</m:t>
        </m:r>
      </m:oMath>
      <w:r w:rsidRPr="0007654D">
        <w:rPr>
          <w:rFonts w:ascii="Times New Roman" w:hAnsi="Times New Roman"/>
        </w:rPr>
        <w:t xml:space="preserve"> can be writt</w:t>
      </w:r>
      <w:proofErr w:type="spellStart"/>
      <w:r w:rsidRPr="0007654D">
        <w:rPr>
          <w:rFonts w:ascii="Times New Roman" w:hAnsi="Times New Roman"/>
        </w:rPr>
        <w:t>en</w:t>
      </w:r>
      <w:proofErr w:type="spellEnd"/>
      <w:r w:rsidRPr="0007654D">
        <w:rPr>
          <w:rFonts w:ascii="Times New Roman" w:hAnsi="Times New Roman"/>
        </w:rPr>
        <w:t xml:space="preserve"> as follows:</w:t>
      </w:r>
    </w:p>
    <w:p w:rsidR="009B30F3" w:rsidRPr="0007654D" w:rsidRDefault="004C600E" w:rsidP="009B30F3">
      <w:pPr>
        <w:ind w:left="1276"/>
        <w:jc w:val="both"/>
        <w:rPr>
          <w:rFonts w:ascii="Times New Roman" w:hAnsi="Times New Roman"/>
        </w:rPr>
      </w:pPr>
      <m:oMathPara>
        <m:oMath>
          <m:sSubSup>
            <m:sSubSupPr>
              <m:ctrlPr>
                <w:rPr>
                  <w:rFonts w:ascii="Cambria Math" w:hAnsi="Cambria Math"/>
                  <w:i/>
                </w:rPr>
              </m:ctrlPr>
            </m:sSubSupPr>
            <m:e>
              <m:r>
                <w:rPr>
                  <w:rFonts w:ascii="Cambria Math" w:hAnsi="Cambria Math"/>
                </w:rPr>
                <m:t>VaR</m:t>
              </m:r>
            </m:e>
            <m:sub>
              <m:r>
                <w:rPr>
                  <w:rFonts w:ascii="Cambria Math" w:hAnsi="Cambria Math"/>
                </w:rPr>
                <m:t>p</m:t>
              </m:r>
            </m:sub>
            <m:sup>
              <m:r>
                <w:rPr>
                  <w:rFonts w:ascii="Cambria Math" w:hAnsi="Cambria Math"/>
                </w:rPr>
                <m:t>RAS</m:t>
              </m:r>
            </m:sup>
          </m:sSubSup>
          <m:r>
            <w:rPr>
              <w:rFonts w:ascii="Cambria Math" w:hAnsi="Cambria Math"/>
            </w:rPr>
            <m:t>=</m:t>
          </m:r>
          <m:r>
            <m:rPr>
              <m:sty m:val="bi"/>
            </m:rPr>
            <w:rPr>
              <w:rFonts w:ascii="Cambria Math" w:hAnsi="Cambria Math"/>
            </w:rPr>
            <m:t>σ</m:t>
          </m:r>
          <m:rad>
            <m:radPr>
              <m:degHide m:val="1"/>
              <m:ctrlPr>
                <w:rPr>
                  <w:rFonts w:ascii="Cambria Math" w:hAnsi="Cambria Math"/>
                  <w:i/>
                </w:rPr>
              </m:ctrlPr>
            </m:radPr>
            <m:deg/>
            <m:e>
              <m:r>
                <w:rPr>
                  <w:rFonts w:ascii="Cambria Math" w:hAnsi="Cambria Math"/>
                </w:rPr>
                <m:t>252</m:t>
              </m:r>
            </m:e>
          </m:rad>
          <m:rad>
            <m:radPr>
              <m:degHide m:val="1"/>
              <m:ctrlPr>
                <w:rPr>
                  <w:rFonts w:ascii="Cambria Math" w:hAnsi="Cambria Math"/>
                  <w:i/>
                </w:rPr>
              </m:ctrlPr>
            </m:radPr>
            <m:deg/>
            <m:e>
              <m:r>
                <w:rPr>
                  <w:rFonts w:ascii="Cambria Math" w:hAnsi="Cambria Math"/>
                </w:rPr>
                <m:t>T</m:t>
              </m:r>
            </m:e>
          </m:ra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p</m:t>
                  </m:r>
                </m:sub>
              </m:sSub>
              <m:r>
                <w:rPr>
                  <w:rFonts w:ascii="Cambria Math" w:hAnsi="Cambria Math"/>
                </w:rPr>
                <m:t>+</m:t>
              </m:r>
              <m:f>
                <m:fPr>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p</m:t>
                          </m:r>
                        </m:sub>
                        <m:sup>
                          <m:r>
                            <w:rPr>
                              <w:rFonts w:ascii="Cambria Math" w:hAnsi="Cambria Math"/>
                            </w:rPr>
                            <m:t>2</m:t>
                          </m:r>
                        </m:sup>
                      </m:sSubSup>
                      <m:r>
                        <w:rPr>
                          <w:rFonts w:ascii="Cambria Math" w:hAnsi="Cambria Math"/>
                        </w:rPr>
                        <m:t>-1</m:t>
                      </m:r>
                    </m:e>
                  </m:d>
                </m:num>
                <m:den>
                  <m:r>
                    <w:rPr>
                      <w:rFonts w:ascii="Cambria Math" w:hAnsi="Cambria Math"/>
                    </w:rPr>
                    <m:t>6</m:t>
                  </m:r>
                </m:den>
              </m:f>
              <m:r>
                <m:rPr>
                  <m:sty m:val="bi"/>
                </m:rPr>
                <w:rPr>
                  <w:rFonts w:ascii="Cambria Math" w:hAnsi="Cambria Math"/>
                </w:rPr>
                <m:t>S</m:t>
              </m:r>
              <m:r>
                <w:rPr>
                  <w:rFonts w:ascii="Cambria Math" w:hAnsi="Cambria Math"/>
                </w:rPr>
                <m:t>+</m:t>
              </m:r>
              <m:f>
                <m:fPr>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p</m:t>
                          </m:r>
                        </m:sub>
                        <m:sup>
                          <m:r>
                            <w:rPr>
                              <w:rFonts w:ascii="Cambria Math" w:hAnsi="Cambria Math"/>
                            </w:rPr>
                            <m:t>3</m:t>
                          </m:r>
                        </m:sup>
                      </m:sSubSup>
                      <m:r>
                        <w:rPr>
                          <w:rFonts w:ascii="Cambria Math" w:hAnsi="Cambria Math"/>
                        </w:rPr>
                        <m:t>-3</m:t>
                      </m:r>
                      <m:sSub>
                        <m:sSubPr>
                          <m:ctrlPr>
                            <w:rPr>
                              <w:rFonts w:ascii="Cambria Math" w:hAnsi="Cambria Math"/>
                              <w:i/>
                            </w:rPr>
                          </m:ctrlPr>
                        </m:sSubPr>
                        <m:e>
                          <m:r>
                            <w:rPr>
                              <w:rFonts w:ascii="Cambria Math" w:hAnsi="Cambria Math"/>
                            </w:rPr>
                            <m:t>z</m:t>
                          </m:r>
                        </m:e>
                        <m:sub>
                          <m:r>
                            <w:rPr>
                              <w:rFonts w:ascii="Cambria Math" w:hAnsi="Cambria Math"/>
                            </w:rPr>
                            <m:t>p</m:t>
                          </m:r>
                        </m:sub>
                      </m:sSub>
                    </m:e>
                  </m:d>
                </m:num>
                <m:den>
                  <m:r>
                    <w:rPr>
                      <w:rFonts w:ascii="Cambria Math" w:hAnsi="Cambria Math"/>
                    </w:rPr>
                    <m:t>24</m:t>
                  </m:r>
                </m:den>
              </m:f>
              <m:r>
                <m:rPr>
                  <m:sty m:val="bi"/>
                </m:rPr>
                <w:rPr>
                  <w:rFonts w:ascii="Cambria Math" w:hAnsi="Cambria Math"/>
                </w:rPr>
                <m:t>K</m:t>
              </m:r>
              <m:r>
                <w:rPr>
                  <w:rFonts w:ascii="Cambria Math" w:hAnsi="Cambria Math"/>
                </w:rPr>
                <m:t>-</m:t>
              </m:r>
              <m:f>
                <m:fPr>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2z</m:t>
                          </m:r>
                        </m:e>
                        <m:sub>
                          <m:r>
                            <w:rPr>
                              <w:rFonts w:ascii="Cambria Math" w:hAnsi="Cambria Math"/>
                            </w:rPr>
                            <m:t>p</m:t>
                          </m:r>
                        </m:sub>
                        <m:sup>
                          <m:r>
                            <w:rPr>
                              <w:rFonts w:ascii="Cambria Math" w:hAnsi="Cambria Math"/>
                            </w:rPr>
                            <m:t>3</m:t>
                          </m:r>
                        </m:sup>
                      </m:sSubSup>
                      <m:r>
                        <w:rPr>
                          <w:rFonts w:ascii="Cambria Math" w:hAnsi="Cambria Math"/>
                        </w:rPr>
                        <m:t>-5</m:t>
                      </m:r>
                      <m:sSub>
                        <m:sSubPr>
                          <m:ctrlPr>
                            <w:rPr>
                              <w:rFonts w:ascii="Cambria Math" w:hAnsi="Cambria Math"/>
                              <w:i/>
                            </w:rPr>
                          </m:ctrlPr>
                        </m:sSubPr>
                        <m:e>
                          <m:r>
                            <w:rPr>
                              <w:rFonts w:ascii="Cambria Math" w:hAnsi="Cambria Math"/>
                            </w:rPr>
                            <m:t>z</m:t>
                          </m:r>
                        </m:e>
                        <m:sub>
                          <m:r>
                            <w:rPr>
                              <w:rFonts w:ascii="Cambria Math" w:hAnsi="Cambria Math"/>
                            </w:rPr>
                            <m:t>p</m:t>
                          </m:r>
                        </m:sub>
                      </m:sSub>
                    </m:e>
                  </m:d>
                </m:num>
                <m:den>
                  <m:r>
                    <w:rPr>
                      <w:rFonts w:ascii="Cambria Math" w:hAnsi="Cambria Math"/>
                    </w:rPr>
                    <m:t>24</m:t>
                  </m:r>
                </m:den>
              </m:f>
              <m:r>
                <m:rPr>
                  <m:sty m:val="bi"/>
                </m:rPr>
                <w:rPr>
                  <w:rFonts w:ascii="Cambria Math" w:hAnsi="Cambria Math"/>
                </w:rPr>
                <m:t>S</m:t>
              </m:r>
            </m:e>
          </m:d>
        </m:oMath>
      </m:oMathPara>
    </w:p>
    <w:p w:rsidR="009B30F3" w:rsidRPr="0007654D" w:rsidRDefault="009B30F3" w:rsidP="009B30F3">
      <w:pPr>
        <w:ind w:left="2160"/>
        <w:jc w:val="both"/>
        <w:rPr>
          <w:rFonts w:ascii="Times New Roman" w:hAnsi="Times New Roman"/>
        </w:rPr>
      </w:pPr>
      <w:r w:rsidRPr="0007654D">
        <w:rPr>
          <w:rFonts w:ascii="Times New Roman" w:hAnsi="Times New Roman"/>
          <w:lang w:val="en-US"/>
        </w:rPr>
        <w:t xml:space="preserve">Where </w:t>
      </w:r>
      <m:oMath>
        <m:sSub>
          <m:sSubPr>
            <m:ctrlPr>
              <w:rPr>
                <w:rFonts w:ascii="Cambria Math" w:hAnsi="Cambria Math"/>
                <w:i/>
              </w:rPr>
            </m:ctrlPr>
          </m:sSubPr>
          <m:e>
            <m:r>
              <w:rPr>
                <w:rFonts w:ascii="Cambria Math" w:hAnsi="Cambria Math"/>
              </w:rPr>
              <m:t>z</m:t>
            </m:r>
          </m:e>
          <m:sub>
            <m:r>
              <w:rPr>
                <w:rFonts w:ascii="Cambria Math" w:hAnsi="Cambria Math"/>
              </w:rPr>
              <m:t>p</m:t>
            </m:r>
          </m:sub>
        </m:sSub>
      </m:oMath>
      <w:r w:rsidRPr="0007654D">
        <w:rPr>
          <w:rFonts w:ascii="Times New Roman" w:hAnsi="Times New Roman"/>
          <w:lang w:val="en-US"/>
        </w:rPr>
        <w:t xml:space="preserve">is the parametric VaR critical value for the confidence level </w:t>
      </w:r>
      <m:oMath>
        <m:r>
          <w:rPr>
            <w:rFonts w:ascii="Cambria Math" w:hAnsi="Cambria Math"/>
          </w:rPr>
          <m:t>p</m:t>
        </m:r>
      </m:oMath>
      <w:r w:rsidRPr="0007654D">
        <w:rPr>
          <w:rFonts w:ascii="Times New Roman" w:hAnsi="Times New Roman"/>
          <w:lang w:val="en-US"/>
        </w:rPr>
        <w:t xml:space="preserve">. </w:t>
      </w:r>
      <w:r w:rsidRPr="0007654D">
        <w:rPr>
          <w:rFonts w:ascii="Times New Roman" w:hAnsi="Times New Roman"/>
        </w:rPr>
        <w:t xml:space="preserve">For  </w:t>
      </w:r>
      <m:oMath>
        <m:r>
          <w:rPr>
            <w:rFonts w:ascii="Cambria Math" w:hAnsi="Cambria Math"/>
          </w:rPr>
          <m:t>p=97.5%</m:t>
        </m:r>
      </m:oMath>
      <w:r w:rsidRPr="0007654D">
        <w:rPr>
          <w:rFonts w:ascii="Times New Roman" w:hAnsi="Times New Roman"/>
        </w:rPr>
        <w:t xml:space="preserve">.we have </w:t>
      </w:r>
      <m:oMath>
        <m:sSub>
          <m:sSubPr>
            <m:ctrlPr>
              <w:rPr>
                <w:rFonts w:ascii="Cambria Math" w:hAnsi="Cambria Math"/>
                <w:i/>
              </w:rPr>
            </m:ctrlPr>
          </m:sSubPr>
          <m:e>
            <m:r>
              <w:rPr>
                <w:rFonts w:ascii="Cambria Math" w:hAnsi="Cambria Math"/>
              </w:rPr>
              <m:t>z</m:t>
            </m:r>
          </m:e>
          <m:sub>
            <m:r>
              <w:rPr>
                <w:rFonts w:ascii="Cambria Math" w:hAnsi="Cambria Math"/>
              </w:rPr>
              <m:t>p</m:t>
            </m:r>
          </m:sub>
        </m:sSub>
        <m:r>
          <w:rPr>
            <w:rFonts w:ascii="Cambria Math" w:hAnsi="Cambria Math"/>
          </w:rPr>
          <m:t>≈-1.96</m:t>
        </m:r>
      </m:oMath>
    </w:p>
    <w:p w:rsidR="009B30F3" w:rsidRPr="0007654D" w:rsidRDefault="009B30F3" w:rsidP="009B30F3">
      <w:pPr>
        <w:ind w:left="2160"/>
        <w:jc w:val="both"/>
        <w:rPr>
          <w:rFonts w:ascii="Times New Roman" w:hAnsi="Times New Roman"/>
        </w:rPr>
      </w:pPr>
    </w:p>
    <w:p w:rsidR="009B30F3" w:rsidRPr="0007654D" w:rsidRDefault="009B30F3" w:rsidP="004C600E">
      <w:pPr>
        <w:pStyle w:val="Paragraphedeliste"/>
        <w:numPr>
          <w:ilvl w:val="0"/>
          <w:numId w:val="40"/>
        </w:numPr>
        <w:jc w:val="both"/>
        <w:rPr>
          <w:rFonts w:ascii="Times New Roman" w:hAnsi="Times New Roman"/>
        </w:rPr>
      </w:pPr>
      <w:r w:rsidRPr="0007654D">
        <w:rPr>
          <w:rFonts w:ascii="Times New Roman" w:hAnsi="Times New Roman"/>
        </w:rPr>
        <w:t xml:space="preserve">The formula of the </w:t>
      </w:r>
      <w:proofErr w:type="spellStart"/>
      <w:r w:rsidRPr="0007654D">
        <w:rPr>
          <w:rFonts w:ascii="Times New Roman" w:hAnsi="Times New Roman"/>
        </w:rPr>
        <w:t>VaR</w:t>
      </w:r>
      <w:proofErr w:type="spellEnd"/>
      <w:r w:rsidRPr="0007654D">
        <w:rPr>
          <w:rFonts w:ascii="Times New Roman" w:hAnsi="Times New Roman"/>
        </w:rPr>
        <w:t xml:space="preserve"> on the Price Space </w:t>
      </w:r>
      <w:r w:rsidRPr="0007654D">
        <w:rPr>
          <w:rFonts w:ascii="Times New Roman" w:hAnsi="Times New Roman"/>
          <w:b/>
          <w:u w:val="single"/>
        </w:rPr>
        <w:t>should not be adjusted</w:t>
      </w:r>
      <w:r w:rsidRPr="0007654D">
        <w:rPr>
          <w:rFonts w:ascii="Times New Roman" w:hAnsi="Times New Roman"/>
        </w:rPr>
        <w:t xml:space="preserve"> by the quadratic term</w:t>
      </w:r>
      <m:oMath>
        <m:d>
          <m:dPr>
            <m:ctrlPr>
              <w:rPr>
                <w:rFonts w:ascii="Cambria Math" w:hAnsi="Cambria Math"/>
                <w:i/>
              </w:rPr>
            </m:ctrlPr>
          </m:dPr>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r>
              <w:rPr>
                <w:rFonts w:ascii="Cambria Math" w:hAnsi="Cambria Math"/>
              </w:rPr>
              <m:t>T</m:t>
            </m:r>
          </m:e>
        </m:d>
      </m:oMath>
      <w:r w:rsidRPr="0007654D">
        <w:rPr>
          <w:rFonts w:ascii="Times New Roman" w:hAnsi="Times New Roman"/>
        </w:rPr>
        <w:t xml:space="preserve">. The correct formula of the VaR on the Price Space </w:t>
      </w:r>
      <m:oMath>
        <m:sSubSup>
          <m:sSubSupPr>
            <m:ctrlPr>
              <w:rPr>
                <w:rFonts w:ascii="Cambria Math" w:hAnsi="Cambria Math"/>
                <w:i/>
              </w:rPr>
            </m:ctrlPr>
          </m:sSubSupPr>
          <m:e>
            <m:r>
              <w:rPr>
                <w:rFonts w:ascii="Cambria Math" w:hAnsi="Cambria Math"/>
              </w:rPr>
              <m:t>VaR</m:t>
            </m:r>
          </m:e>
          <m:sub>
            <m:r>
              <w:rPr>
                <w:rFonts w:ascii="Cambria Math" w:hAnsi="Cambria Math"/>
              </w:rPr>
              <m:t>p</m:t>
            </m:r>
          </m:sub>
          <m:sup>
            <m:r>
              <w:rPr>
                <w:rFonts w:ascii="Cambria Math" w:hAnsi="Cambria Math"/>
              </w:rPr>
              <m:t>PS</m:t>
            </m:r>
          </m:sup>
        </m:sSubSup>
      </m:oMath>
      <w:r w:rsidRPr="0007654D">
        <w:rPr>
          <w:rFonts w:ascii="Times New Roman" w:hAnsi="Times New Roman"/>
        </w:rPr>
        <w:t xml:space="preserve"> adjusted from the sample mean effect :</w:t>
      </w:r>
    </w:p>
    <w:p w:rsidR="009B30F3" w:rsidRPr="0007654D" w:rsidRDefault="004C600E" w:rsidP="009B30F3">
      <w:pPr>
        <w:pStyle w:val="Paragraphedeliste"/>
        <w:ind w:left="2220"/>
        <w:jc w:val="both"/>
        <w:rPr>
          <w:rFonts w:ascii="Times New Roman" w:hAnsi="Times New Roman"/>
        </w:rPr>
      </w:pPr>
      <m:oMathPara>
        <m:oMath>
          <m:sSubSup>
            <m:sSubSupPr>
              <m:ctrlPr>
                <w:rPr>
                  <w:rFonts w:ascii="Cambria Math" w:hAnsi="Cambria Math"/>
                  <w:i/>
                </w:rPr>
              </m:ctrlPr>
            </m:sSubSupPr>
            <m:e>
              <m:r>
                <w:rPr>
                  <w:rFonts w:ascii="Cambria Math" w:hAnsi="Cambria Math"/>
                </w:rPr>
                <m:t>VaR</m:t>
              </m:r>
            </m:e>
            <m:sub>
              <m:r>
                <w:rPr>
                  <w:rFonts w:ascii="Cambria Math" w:hAnsi="Cambria Math"/>
                </w:rPr>
                <m:t>p</m:t>
              </m:r>
            </m:sub>
            <m:sup>
              <m:r>
                <w:rPr>
                  <w:rFonts w:ascii="Cambria Math" w:hAnsi="Cambria Math"/>
                </w:rPr>
                <m:t>PS</m:t>
              </m:r>
            </m:sup>
          </m:sSub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Spot Price</m:t>
              </m:r>
            </m:sub>
          </m:sSub>
          <m:r>
            <m:rPr>
              <m:sty m:val="p"/>
            </m:rPr>
            <w:rPr>
              <w:rFonts w:ascii="Cambria Math" w:hAnsi="Cambria Math"/>
            </w:rPr>
            <m:t>exp⁡</m:t>
          </m:r>
          <m:r>
            <w:rPr>
              <w:rFonts w:ascii="Cambria Math" w:hAnsi="Cambria Math"/>
            </w:rPr>
            <m:t>(</m:t>
          </m:r>
          <m:sSubSup>
            <m:sSubSupPr>
              <m:ctrlPr>
                <w:rPr>
                  <w:rFonts w:ascii="Cambria Math" w:hAnsi="Cambria Math"/>
                  <w:i/>
                </w:rPr>
              </m:ctrlPr>
            </m:sSubSupPr>
            <m:e>
              <m:r>
                <w:rPr>
                  <w:rFonts w:ascii="Cambria Math" w:hAnsi="Cambria Math"/>
                </w:rPr>
                <m:t>VaR</m:t>
              </m:r>
            </m:e>
            <m:sub>
              <m:r>
                <w:rPr>
                  <w:rFonts w:ascii="Cambria Math" w:hAnsi="Cambria Math"/>
                </w:rPr>
                <m:t>p</m:t>
              </m:r>
            </m:sub>
            <m:sup>
              <m:r>
                <w:rPr>
                  <w:rFonts w:ascii="Cambria Math" w:hAnsi="Cambria Math"/>
                </w:rPr>
                <m:t>RAS</m:t>
              </m:r>
            </m:sup>
          </m:sSubSup>
          <m:r>
            <w:rPr>
              <w:rFonts w:ascii="Cambria Math" w:hAnsi="Cambria Math"/>
            </w:rPr>
            <m:t>)</m:t>
          </m:r>
        </m:oMath>
      </m:oMathPara>
    </w:p>
    <w:p w:rsidR="009B30F3" w:rsidRPr="0007654D" w:rsidRDefault="009B30F3" w:rsidP="009B30F3">
      <w:pPr>
        <w:ind w:left="1860"/>
        <w:jc w:val="both"/>
        <w:rPr>
          <w:rFonts w:ascii="Times New Roman" w:hAnsi="Times New Roman"/>
          <w:lang w:val="en-US"/>
        </w:rPr>
      </w:pPr>
      <w:r w:rsidRPr="0007654D">
        <w:rPr>
          <w:rFonts w:ascii="Times New Roman" w:hAnsi="Times New Roman"/>
          <w:lang w:val="en-US"/>
        </w:rPr>
        <w:t>In this formulation, we have purposely remove the risk free rate as we deal with discounted quantities .</w:t>
      </w:r>
    </w:p>
    <w:p w:rsidR="009B30F3" w:rsidRPr="0007654D" w:rsidRDefault="009B30F3" w:rsidP="004C600E">
      <w:pPr>
        <w:pStyle w:val="Paragraphedeliste"/>
        <w:numPr>
          <w:ilvl w:val="0"/>
          <w:numId w:val="40"/>
        </w:numPr>
        <w:jc w:val="both"/>
        <w:rPr>
          <w:rFonts w:ascii="Times New Roman" w:hAnsi="Times New Roman"/>
        </w:rPr>
      </w:pPr>
      <w:r w:rsidRPr="0007654D">
        <w:rPr>
          <w:rFonts w:ascii="Times New Roman" w:hAnsi="Times New Roman"/>
        </w:rPr>
        <w:t>The VEV is given by :</w:t>
      </w:r>
    </w:p>
    <w:p w:rsidR="009B30F3" w:rsidRPr="0007654D" w:rsidRDefault="009B30F3" w:rsidP="009B30F3">
      <w:pPr>
        <w:pStyle w:val="Paragraphedeliste"/>
        <w:ind w:left="2220"/>
        <w:jc w:val="both"/>
        <w:rPr>
          <w:rFonts w:ascii="Times New Roman" w:hAnsi="Times New Roman"/>
        </w:rPr>
      </w:pPr>
      <m:oMathPara>
        <m:oMath>
          <m:r>
            <w:rPr>
              <w:rFonts w:ascii="Cambria Math" w:hAnsi="Cambria Math"/>
            </w:rPr>
            <m:t>VEV=</m:t>
          </m:r>
          <m:f>
            <m:fPr>
              <m:ctrlPr>
                <w:rPr>
                  <w:rFonts w:ascii="Cambria Math" w:hAnsi="Cambria Math"/>
                  <w:i/>
                </w:rPr>
              </m:ctrlPr>
            </m:fPr>
            <m:num>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z</m:t>
                      </m:r>
                    </m:e>
                    <m:sub>
                      <m:r>
                        <w:rPr>
                          <w:rFonts w:ascii="Cambria Math" w:hAnsi="Cambria Math"/>
                        </w:rPr>
                        <m:t>p</m:t>
                      </m:r>
                    </m:sub>
                    <m:sup>
                      <m:r>
                        <w:rPr>
                          <w:rFonts w:ascii="Cambria Math" w:hAnsi="Cambria Math"/>
                        </w:rPr>
                        <m:t>2</m:t>
                      </m:r>
                    </m:sup>
                  </m:sSubSup>
                  <m:r>
                    <w:rPr>
                      <w:rFonts w:ascii="Cambria Math" w:hAnsi="Cambria Math"/>
                    </w:rPr>
                    <m:t>-2</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VaR</m:t>
                                  </m:r>
                                </m:e>
                                <m:sub>
                                  <m:r>
                                    <w:rPr>
                                      <w:rFonts w:ascii="Cambria Math" w:hAnsi="Cambria Math"/>
                                    </w:rPr>
                                    <m:t>p</m:t>
                                  </m:r>
                                </m:sub>
                                <m:sup>
                                  <m:r>
                                    <w:rPr>
                                      <w:rFonts w:ascii="Cambria Math" w:hAnsi="Cambria Math"/>
                                    </w:rPr>
                                    <m:t>PS</m:t>
                                  </m:r>
                                </m:sup>
                              </m:sSubSup>
                            </m:num>
                            <m:den>
                              <m:sSub>
                                <m:sSubPr>
                                  <m:ctrlPr>
                                    <w:rPr>
                                      <w:rFonts w:ascii="Cambria Math" w:hAnsi="Cambria Math"/>
                                      <w:i/>
                                    </w:rPr>
                                  </m:ctrlPr>
                                </m:sSubPr>
                                <m:e>
                                  <m:r>
                                    <w:rPr>
                                      <w:rFonts w:ascii="Cambria Math" w:hAnsi="Cambria Math"/>
                                    </w:rPr>
                                    <m:t>P</m:t>
                                  </m:r>
                                </m:e>
                                <m:sub>
                                  <m:r>
                                    <w:rPr>
                                      <w:rFonts w:ascii="Cambria Math" w:hAnsi="Cambria Math"/>
                                    </w:rPr>
                                    <m:t>Spot Price</m:t>
                                  </m:r>
                                </m:sub>
                              </m:sSub>
                            </m:den>
                          </m:f>
                        </m:e>
                      </m:d>
                    </m:e>
                  </m:func>
                </m:e>
              </m:ra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p</m:t>
                  </m:r>
                </m:sub>
              </m:sSub>
            </m:num>
            <m:den>
              <m:rad>
                <m:radPr>
                  <m:degHide m:val="1"/>
                  <m:ctrlPr>
                    <w:rPr>
                      <w:rFonts w:ascii="Cambria Math" w:hAnsi="Cambria Math"/>
                      <w:i/>
                    </w:rPr>
                  </m:ctrlPr>
                </m:radPr>
                <m:deg/>
                <m:e>
                  <m:r>
                    <w:rPr>
                      <w:rFonts w:ascii="Cambria Math" w:hAnsi="Cambria Math"/>
                    </w:rPr>
                    <m:t>T</m:t>
                  </m:r>
                </m:e>
              </m:rad>
            </m:den>
          </m:f>
        </m:oMath>
      </m:oMathPara>
    </w:p>
    <w:p w:rsidR="009B30F3" w:rsidRPr="0007654D" w:rsidRDefault="009B30F3" w:rsidP="009B30F3">
      <w:pPr>
        <w:pStyle w:val="Paragraphedeliste"/>
        <w:ind w:left="2220"/>
        <w:jc w:val="both"/>
        <w:rPr>
          <w:rFonts w:ascii="Times New Roman" w:hAnsi="Times New Roman"/>
        </w:rPr>
      </w:pPr>
      <w:r w:rsidRPr="0007654D">
        <w:rPr>
          <w:rFonts w:ascii="Times New Roman" w:hAnsi="Times New Roman"/>
        </w:rPr>
        <w:t>Or alternatively :</w:t>
      </w:r>
    </w:p>
    <w:p w:rsidR="009B30F3" w:rsidRPr="0007654D" w:rsidRDefault="009B30F3" w:rsidP="009B30F3">
      <w:pPr>
        <w:pStyle w:val="Paragraphedeliste"/>
        <w:ind w:left="2220"/>
        <w:jc w:val="both"/>
        <w:rPr>
          <w:rFonts w:ascii="Times New Roman" w:hAnsi="Times New Roman"/>
        </w:rPr>
      </w:pPr>
      <m:oMathPara>
        <m:oMath>
          <m:r>
            <w:rPr>
              <w:rFonts w:ascii="Cambria Math" w:hAnsi="Cambria Math"/>
            </w:rPr>
            <m:t>VEV=</m:t>
          </m:r>
          <m:f>
            <m:fPr>
              <m:ctrlPr>
                <w:rPr>
                  <w:rFonts w:ascii="Cambria Math" w:hAnsi="Cambria Math"/>
                  <w:i/>
                </w:rPr>
              </m:ctrlPr>
            </m:fPr>
            <m:num>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z</m:t>
                      </m:r>
                    </m:e>
                    <m:sub>
                      <m:r>
                        <w:rPr>
                          <w:rFonts w:ascii="Cambria Math" w:hAnsi="Cambria Math"/>
                        </w:rPr>
                        <m:t>p</m:t>
                      </m:r>
                    </m:sub>
                    <m:sup>
                      <m:r>
                        <w:rPr>
                          <w:rFonts w:ascii="Cambria Math" w:hAnsi="Cambria Math"/>
                        </w:rPr>
                        <m:t>2</m:t>
                      </m:r>
                    </m:sup>
                  </m:sSubSup>
                  <m:r>
                    <w:rPr>
                      <w:rFonts w:ascii="Cambria Math" w:hAnsi="Cambria Math"/>
                    </w:rPr>
                    <m:t>-2</m:t>
                  </m:r>
                  <m:sSubSup>
                    <m:sSubSupPr>
                      <m:ctrlPr>
                        <w:rPr>
                          <w:rFonts w:ascii="Cambria Math" w:hAnsi="Cambria Math"/>
                          <w:i/>
                        </w:rPr>
                      </m:ctrlPr>
                    </m:sSubSupPr>
                    <m:e>
                      <m:r>
                        <w:rPr>
                          <w:rFonts w:ascii="Cambria Math" w:hAnsi="Cambria Math"/>
                        </w:rPr>
                        <m:t>VaR</m:t>
                      </m:r>
                    </m:e>
                    <m:sub>
                      <m:r>
                        <w:rPr>
                          <w:rFonts w:ascii="Cambria Math" w:hAnsi="Cambria Math"/>
                        </w:rPr>
                        <m:t>p</m:t>
                      </m:r>
                    </m:sub>
                    <m:sup>
                      <m:r>
                        <w:rPr>
                          <w:rFonts w:ascii="Cambria Math" w:hAnsi="Cambria Math"/>
                        </w:rPr>
                        <m:t>RAS</m:t>
                      </m:r>
                    </m:sup>
                  </m:sSubSup>
                </m:e>
              </m:ra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p</m:t>
                  </m:r>
                </m:sub>
              </m:sSub>
            </m:num>
            <m:den>
              <m:rad>
                <m:radPr>
                  <m:degHide m:val="1"/>
                  <m:ctrlPr>
                    <w:rPr>
                      <w:rFonts w:ascii="Cambria Math" w:hAnsi="Cambria Math"/>
                      <w:i/>
                    </w:rPr>
                  </m:ctrlPr>
                </m:radPr>
                <m:deg/>
                <m:e>
                  <m:r>
                    <w:rPr>
                      <w:rFonts w:ascii="Cambria Math" w:hAnsi="Cambria Math"/>
                    </w:rPr>
                    <m:t>T</m:t>
                  </m:r>
                </m:e>
              </m:rad>
            </m:den>
          </m:f>
        </m:oMath>
      </m:oMathPara>
    </w:p>
    <w:p w:rsidR="009B30F3" w:rsidRDefault="009B30F3" w:rsidP="009B30F3">
      <w:pPr>
        <w:jc w:val="both"/>
        <w:rPr>
          <w:b/>
          <w:caps/>
          <w:u w:val="single"/>
        </w:rPr>
      </w:pPr>
    </w:p>
    <w:p w:rsidR="009B30F3" w:rsidRPr="0007654D" w:rsidRDefault="009B30F3" w:rsidP="009B30F3">
      <w:pPr>
        <w:jc w:val="both"/>
        <w:rPr>
          <w:sz w:val="21"/>
        </w:rPr>
      </w:pPr>
      <w:r w:rsidRPr="0007654D">
        <w:rPr>
          <w:rFonts w:ascii="Times New Roman" w:hAnsi="Times New Roman"/>
        </w:rPr>
        <w:t xml:space="preserve">Without questioning the appropriateness of the bootstrapping methodology, there are some general points to be clarified , </w:t>
      </w:r>
    </w:p>
    <w:p w:rsidR="009B30F3" w:rsidRPr="0007654D" w:rsidRDefault="009B30F3" w:rsidP="004C600E">
      <w:pPr>
        <w:pStyle w:val="Paragraphedeliste"/>
        <w:numPr>
          <w:ilvl w:val="2"/>
          <w:numId w:val="41"/>
        </w:numPr>
        <w:ind w:left="1134"/>
        <w:jc w:val="both"/>
        <w:rPr>
          <w:rFonts w:ascii="Times New Roman" w:hAnsi="Times New Roman"/>
        </w:rPr>
      </w:pPr>
      <w:r w:rsidRPr="0007654D">
        <w:rPr>
          <w:rFonts w:ascii="Times New Roman" w:hAnsi="Times New Roman"/>
          <w:i/>
        </w:rPr>
        <w:t>The Bootstrapping Technic</w:t>
      </w:r>
      <w:r w:rsidRPr="0007654D">
        <w:rPr>
          <w:rFonts w:ascii="Times New Roman" w:hAnsi="Times New Roman"/>
        </w:rPr>
        <w:t xml:space="preserve"> :even if it implicitly suggested that the Bootstrapping sampling should be performed with replacement, we recommend using the following sentence:</w:t>
      </w:r>
    </w:p>
    <w:p w:rsidR="009B30F3" w:rsidRPr="0007654D" w:rsidRDefault="009B30F3" w:rsidP="009B30F3">
      <w:pPr>
        <w:pStyle w:val="Paragraphedeliste"/>
        <w:ind w:left="1134"/>
        <w:jc w:val="both"/>
        <w:rPr>
          <w:rFonts w:ascii="Times New Roman" w:hAnsi="Times New Roman"/>
        </w:rPr>
      </w:pPr>
    </w:p>
    <w:p w:rsidR="009B30F3" w:rsidRPr="0007654D" w:rsidRDefault="009B30F3" w:rsidP="004C600E">
      <w:pPr>
        <w:pStyle w:val="Paragraphedeliste"/>
        <w:numPr>
          <w:ilvl w:val="3"/>
          <w:numId w:val="41"/>
        </w:numPr>
        <w:rPr>
          <w:rFonts w:ascii="Times New Roman" w:hAnsi="Times New Roman"/>
        </w:rPr>
      </w:pPr>
      <w:r w:rsidRPr="0007654D">
        <w:rPr>
          <w:rFonts w:ascii="Times New Roman" w:hAnsi="Times New Roman"/>
          <w:b/>
          <w:i/>
        </w:rPr>
        <w:t>“Bootstrapping with Replacement”</w:t>
      </w:r>
      <w:r w:rsidRPr="0007654D">
        <w:rPr>
          <w:rFonts w:ascii="Times New Roman" w:hAnsi="Times New Roman"/>
          <w:i/>
        </w:rPr>
        <w:t xml:space="preserve"> </w:t>
      </w:r>
    </w:p>
    <w:p w:rsidR="009B30F3" w:rsidRPr="0007654D" w:rsidRDefault="009B30F3" w:rsidP="009B30F3">
      <w:pPr>
        <w:pStyle w:val="Paragraphedeliste"/>
        <w:ind w:left="1134"/>
        <w:jc w:val="both"/>
        <w:rPr>
          <w:rFonts w:ascii="Times New Roman" w:hAnsi="Times New Roman"/>
        </w:rPr>
      </w:pPr>
    </w:p>
    <w:p w:rsidR="009B30F3" w:rsidRPr="0007654D" w:rsidRDefault="009B30F3" w:rsidP="004C600E">
      <w:pPr>
        <w:pStyle w:val="Paragraphedeliste"/>
        <w:numPr>
          <w:ilvl w:val="2"/>
          <w:numId w:val="41"/>
        </w:numPr>
        <w:ind w:left="1134"/>
        <w:jc w:val="both"/>
        <w:rPr>
          <w:rFonts w:ascii="Times New Roman" w:hAnsi="Times New Roman"/>
        </w:rPr>
      </w:pPr>
      <w:r w:rsidRPr="0007654D">
        <w:rPr>
          <w:rFonts w:ascii="Times New Roman" w:hAnsi="Times New Roman"/>
          <w:i/>
        </w:rPr>
        <w:t>The Methodology</w:t>
      </w:r>
      <w:r w:rsidRPr="0007654D">
        <w:rPr>
          <w:rFonts w:ascii="Times New Roman" w:hAnsi="Times New Roman"/>
        </w:rPr>
        <w:t xml:space="preserve"> : the description of the methodology in  </w:t>
      </w:r>
      <w:r w:rsidRPr="0007654D">
        <w:rPr>
          <w:rFonts w:ascii="Times New Roman" w:hAnsi="Times New Roman"/>
          <w:b/>
        </w:rPr>
        <w:t>Point 32</w:t>
      </w:r>
      <w:r w:rsidRPr="0007654D">
        <w:rPr>
          <w:rFonts w:ascii="Times New Roman" w:hAnsi="Times New Roman"/>
        </w:rPr>
        <w:t xml:space="preserve"> may be misleading as it suggests that the sum of log returns should be adjusted in order to remove the impact of the Mean, which is co</w:t>
      </w:r>
      <w:r w:rsidRPr="0007654D">
        <w:rPr>
          <w:rFonts w:ascii="Times New Roman" w:hAnsi="Times New Roman"/>
        </w:rPr>
        <w:t>r</w:t>
      </w:r>
      <w:r w:rsidRPr="0007654D">
        <w:rPr>
          <w:rFonts w:ascii="Times New Roman" w:hAnsi="Times New Roman"/>
        </w:rPr>
        <w:t xml:space="preserve">rect, and also the </w:t>
      </w:r>
      <w:r w:rsidRPr="0007654D">
        <w:rPr>
          <w:rFonts w:ascii="Times New Roman" w:hAnsi="Times New Roman"/>
          <w:b/>
        </w:rPr>
        <w:t>Variance</w:t>
      </w:r>
      <w:r w:rsidRPr="0007654D">
        <w:rPr>
          <w:rFonts w:ascii="Times New Roman" w:hAnsi="Times New Roman"/>
        </w:rPr>
        <w:t xml:space="preserve">, which is not correct. This point should be reworded differently in order to avoid any ambiguity. </w:t>
      </w:r>
    </w:p>
    <w:p w:rsidR="009B30F3" w:rsidRPr="0007654D" w:rsidRDefault="009B30F3" w:rsidP="009B30F3">
      <w:pPr>
        <w:pStyle w:val="Paragraphedeliste"/>
        <w:ind w:left="1134"/>
        <w:jc w:val="both"/>
        <w:rPr>
          <w:rFonts w:ascii="Times New Roman" w:hAnsi="Times New Roman"/>
        </w:rPr>
      </w:pPr>
    </w:p>
    <w:p w:rsidR="009B30F3" w:rsidRPr="0007654D" w:rsidRDefault="009B30F3" w:rsidP="004C600E">
      <w:pPr>
        <w:pStyle w:val="Paragraphedeliste"/>
        <w:numPr>
          <w:ilvl w:val="3"/>
          <w:numId w:val="41"/>
        </w:numPr>
        <w:rPr>
          <w:rFonts w:ascii="Times New Roman" w:hAnsi="Times New Roman"/>
        </w:rPr>
      </w:pPr>
      <w:r w:rsidRPr="0007654D">
        <w:rPr>
          <w:rFonts w:ascii="Times New Roman" w:hAnsi="Times New Roman"/>
        </w:rPr>
        <w:t>We suggest to remove the word</w:t>
      </w:r>
      <w:r w:rsidRPr="0007654D">
        <w:rPr>
          <w:rFonts w:ascii="Times New Roman" w:hAnsi="Times New Roman"/>
          <w:i/>
        </w:rPr>
        <w:t xml:space="preserve"> </w:t>
      </w:r>
      <w:r w:rsidRPr="0007654D">
        <w:rPr>
          <w:rFonts w:ascii="Times New Roman" w:hAnsi="Times New Roman"/>
          <w:b/>
          <w:i/>
        </w:rPr>
        <w:t>“Variance”</w:t>
      </w:r>
      <w:r w:rsidRPr="0007654D">
        <w:rPr>
          <w:rFonts w:ascii="Times New Roman" w:hAnsi="Times New Roman"/>
          <w:i/>
        </w:rPr>
        <w:t xml:space="preserve"> </w:t>
      </w:r>
    </w:p>
    <w:p w:rsidR="009B30F3" w:rsidRPr="0007654D" w:rsidRDefault="009B30F3" w:rsidP="009B30F3">
      <w:pPr>
        <w:pStyle w:val="Paragraphedeliste"/>
        <w:ind w:left="1134"/>
        <w:rPr>
          <w:rFonts w:ascii="Times New Roman" w:hAnsi="Times New Roman"/>
        </w:rPr>
      </w:pPr>
    </w:p>
    <w:p w:rsidR="009B30F3" w:rsidRPr="008C1090" w:rsidRDefault="009B30F3" w:rsidP="004C600E">
      <w:pPr>
        <w:pStyle w:val="Paragraphedeliste"/>
        <w:numPr>
          <w:ilvl w:val="2"/>
          <w:numId w:val="42"/>
        </w:numPr>
        <w:ind w:left="1134"/>
        <w:jc w:val="both"/>
        <w:rPr>
          <w:rFonts w:ascii="Times New Roman" w:hAnsi="Times New Roman"/>
          <w:b/>
          <w:u w:val="single"/>
        </w:rPr>
      </w:pPr>
      <w:r w:rsidRPr="0007654D">
        <w:rPr>
          <w:rFonts w:ascii="Times New Roman" w:hAnsi="Times New Roman"/>
          <w:i/>
        </w:rPr>
        <w:t>The Expected Value</w:t>
      </w:r>
      <w:r w:rsidRPr="0007654D">
        <w:rPr>
          <w:rFonts w:ascii="Times New Roman" w:hAnsi="Times New Roman"/>
        </w:rPr>
        <w:t xml:space="preserve"> : all the described methodology assumes that the structured PRIIPS underlying’s and the structured PRIIS have the same currency. In order to be coherent, we should adjust the forward with </w:t>
      </w:r>
      <w:proofErr w:type="spellStart"/>
      <w:r w:rsidRPr="0007654D">
        <w:rPr>
          <w:rFonts w:ascii="Times New Roman" w:hAnsi="Times New Roman"/>
        </w:rPr>
        <w:t>Quanto</w:t>
      </w:r>
      <w:proofErr w:type="spellEnd"/>
      <w:r w:rsidRPr="0007654D">
        <w:rPr>
          <w:rFonts w:ascii="Times New Roman" w:hAnsi="Times New Roman"/>
        </w:rPr>
        <w:t xml:space="preserve"> effect and the risk free of the natural currency of the PRIIPS underlying’s. The methodo</w:t>
      </w:r>
      <w:r w:rsidRPr="0007654D">
        <w:rPr>
          <w:rFonts w:ascii="Times New Roman" w:hAnsi="Times New Roman"/>
        </w:rPr>
        <w:t>l</w:t>
      </w:r>
      <w:r w:rsidRPr="0007654D">
        <w:rPr>
          <w:rFonts w:ascii="Times New Roman" w:hAnsi="Times New Roman"/>
        </w:rPr>
        <w:t>ogy should also specify how to calculate the Expected Value of FX and Credit underlying’s.</w:t>
      </w:r>
    </w:p>
    <w:p w:rsidR="009B30F3" w:rsidRPr="0007654D" w:rsidRDefault="009B30F3" w:rsidP="009B30F3">
      <w:pPr>
        <w:pStyle w:val="Paragraphedeliste"/>
        <w:ind w:left="1134"/>
        <w:jc w:val="both"/>
        <w:rPr>
          <w:rFonts w:ascii="Times New Roman" w:hAnsi="Times New Roman"/>
          <w:b/>
          <w:u w:val="single"/>
        </w:rPr>
      </w:pPr>
    </w:p>
    <w:p w:rsidR="009B30F3" w:rsidRPr="0007654D" w:rsidRDefault="009B30F3" w:rsidP="004C600E">
      <w:pPr>
        <w:pStyle w:val="Paragraphedeliste"/>
        <w:numPr>
          <w:ilvl w:val="2"/>
          <w:numId w:val="41"/>
        </w:numPr>
        <w:ind w:left="1134"/>
        <w:jc w:val="both"/>
        <w:rPr>
          <w:rFonts w:ascii="Times New Roman" w:hAnsi="Times New Roman"/>
        </w:rPr>
      </w:pPr>
      <w:r w:rsidRPr="0007654D">
        <w:rPr>
          <w:rFonts w:ascii="Times New Roman" w:hAnsi="Times New Roman"/>
          <w:i/>
        </w:rPr>
        <w:t>Correlation products</w:t>
      </w:r>
      <w:r w:rsidRPr="0007654D">
        <w:rPr>
          <w:rFonts w:ascii="Times New Roman" w:hAnsi="Times New Roman"/>
        </w:rPr>
        <w:t xml:space="preserve"> : the described methodology didn’t address the issue of simulating correlated paths for multi-underlying’s product by Bootstrapping. </w:t>
      </w:r>
    </w:p>
    <w:p w:rsidR="009B30F3" w:rsidRPr="0007654D" w:rsidRDefault="009B30F3" w:rsidP="009B30F3">
      <w:pPr>
        <w:pStyle w:val="Paragraphedeliste"/>
        <w:ind w:left="1134"/>
        <w:jc w:val="both"/>
        <w:rPr>
          <w:rFonts w:ascii="Times New Roman" w:hAnsi="Times New Roman"/>
        </w:rPr>
      </w:pPr>
      <w:r w:rsidRPr="0007654D">
        <w:rPr>
          <w:rFonts w:ascii="Times New Roman" w:hAnsi="Times New Roman"/>
        </w:rPr>
        <w:t>In order to not completely destroy the cross correlation structure in multi-dimensional setting, we su</w:t>
      </w:r>
      <w:r w:rsidRPr="0007654D">
        <w:rPr>
          <w:rFonts w:ascii="Times New Roman" w:hAnsi="Times New Roman"/>
        </w:rPr>
        <w:t>g</w:t>
      </w:r>
      <w:r w:rsidRPr="0007654D">
        <w:rPr>
          <w:rFonts w:ascii="Times New Roman" w:hAnsi="Times New Roman"/>
        </w:rPr>
        <w:t>gest the following method:</w:t>
      </w:r>
    </w:p>
    <w:p w:rsidR="009B30F3" w:rsidRPr="0007654D" w:rsidRDefault="009B30F3" w:rsidP="009B30F3">
      <w:pPr>
        <w:pStyle w:val="Paragraphedeliste"/>
        <w:ind w:left="1134"/>
        <w:jc w:val="both"/>
        <w:rPr>
          <w:rFonts w:ascii="Times New Roman" w:hAnsi="Times New Roman"/>
        </w:rPr>
      </w:pPr>
      <w:r w:rsidRPr="0007654D">
        <w:rPr>
          <w:rFonts w:ascii="Times New Roman" w:hAnsi="Times New Roman"/>
        </w:rPr>
        <w:t xml:space="preserve">Assume that the PRIIPS payoff depends explicitly on </w:t>
      </w:r>
      <m:oMath>
        <m:r>
          <m:rPr>
            <m:sty m:val="bi"/>
          </m:rPr>
          <w:rPr>
            <w:rFonts w:ascii="Cambria Math" w:hAnsi="Cambria Math"/>
          </w:rPr>
          <m:t>m</m:t>
        </m:r>
      </m:oMath>
      <w:r w:rsidRPr="0007654D">
        <w:rPr>
          <w:rFonts w:ascii="Times New Roman" w:hAnsi="Times New Roman"/>
        </w:rPr>
        <w:t xml:space="preserve"> market factors, denoted by </w:t>
      </w:r>
      <m:oMath>
        <m:sSub>
          <m:sSubPr>
            <m:ctrlPr>
              <w:rPr>
                <w:rFonts w:ascii="Cambria Math" w:hAnsi="Cambria Math"/>
                <w:i/>
                <w:lang w:val="en-US"/>
              </w:rPr>
            </m:ctrlPr>
          </m:sSub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F</m:t>
                    </m:r>
                  </m:e>
                  <m:sub>
                    <m:r>
                      <w:rPr>
                        <w:rFonts w:ascii="Cambria Math" w:hAnsi="Cambria Math"/>
                      </w:rPr>
                      <m:t>j</m:t>
                    </m:r>
                  </m:sub>
                </m:sSub>
              </m:e>
            </m:d>
          </m:e>
          <m:sub>
            <m:r>
              <w:rPr>
                <w:rFonts w:ascii="Cambria Math" w:hAnsi="Cambria Math"/>
              </w:rPr>
              <m:t>1≤j≤m</m:t>
            </m:r>
          </m:sub>
        </m:sSub>
      </m:oMath>
      <w:r w:rsidRPr="0007654D">
        <w:rPr>
          <w:rFonts w:ascii="Times New Roman" w:hAnsi="Times New Roman"/>
        </w:rPr>
        <w:t>,. Fu</w:t>
      </w:r>
      <w:r w:rsidRPr="0007654D">
        <w:rPr>
          <w:rFonts w:ascii="Times New Roman" w:hAnsi="Times New Roman"/>
        </w:rPr>
        <w:t>r</w:t>
      </w:r>
      <w:r w:rsidRPr="0007654D">
        <w:rPr>
          <w:rFonts w:ascii="Times New Roman" w:hAnsi="Times New Roman"/>
        </w:rPr>
        <w:t xml:space="preserve">thermore we assume that we have synchronized data of the daily returns of these factors. Each factor </w:t>
      </w:r>
      <m:oMath>
        <m:sSub>
          <m:sSubPr>
            <m:ctrlPr>
              <w:rPr>
                <w:rFonts w:ascii="Cambria Math" w:hAnsi="Cambria Math"/>
                <w:i/>
                <w:lang w:val="en-US"/>
              </w:rPr>
            </m:ctrlPr>
          </m:sSubPr>
          <m:e>
            <m:r>
              <w:rPr>
                <w:rFonts w:ascii="Cambria Math" w:hAnsi="Cambria Math"/>
              </w:rPr>
              <m:t>F</m:t>
            </m:r>
          </m:e>
          <m:sub>
            <m:r>
              <w:rPr>
                <w:rFonts w:ascii="Cambria Math" w:hAnsi="Cambria Math"/>
              </w:rPr>
              <m:t>j</m:t>
            </m:r>
          </m:sub>
        </m:sSub>
      </m:oMath>
      <w:r w:rsidRPr="0007654D">
        <w:rPr>
          <w:rFonts w:ascii="Times New Roman" w:hAnsi="Times New Roman"/>
        </w:rPr>
        <w:t xml:space="preserve">has the same returns sample size </w:t>
      </w:r>
      <m:oMath>
        <m:r>
          <m:rPr>
            <m:sty m:val="bi"/>
          </m:rPr>
          <w:rPr>
            <w:rFonts w:ascii="Cambria Math" w:hAnsi="Cambria Math"/>
          </w:rPr>
          <m:t>n</m:t>
        </m:r>
      </m:oMath>
      <w:r w:rsidRPr="0007654D">
        <w:rPr>
          <w:rFonts w:ascii="Times New Roman" w:hAnsi="Times New Roman"/>
        </w:rPr>
        <w:t xml:space="preserve"> so that </w:t>
      </w:r>
      <m:oMath>
        <m:sSub>
          <m:sSubPr>
            <m:ctrlPr>
              <w:rPr>
                <w:rFonts w:ascii="Cambria Math" w:hAnsi="Cambria Math"/>
                <w:i/>
                <w:lang w:val="en-US"/>
              </w:rPr>
            </m:ctrlPr>
          </m:sSubPr>
          <m:e>
            <m:r>
              <w:rPr>
                <w:rFonts w:ascii="Cambria Math" w:hAnsi="Cambria Math"/>
              </w:rPr>
              <m:t>F</m:t>
            </m:r>
          </m:e>
          <m:sub>
            <m:r>
              <w:rPr>
                <w:rFonts w:ascii="Cambria Math" w:hAnsi="Cambria Math"/>
              </w:rPr>
              <m:t>j</m:t>
            </m:r>
          </m:sub>
        </m:sSub>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rPr>
                  <m:t>r</m:t>
                </m:r>
              </m:e>
              <m:sub>
                <m:r>
                  <w:rPr>
                    <w:rFonts w:ascii="Cambria Math" w:hAnsi="Cambria Math"/>
                  </w:rPr>
                  <m:t>1</m:t>
                </m:r>
              </m:sub>
              <m:sup>
                <m:r>
                  <w:rPr>
                    <w:rFonts w:ascii="Cambria Math" w:hAnsi="Cambria Math"/>
                  </w:rPr>
                  <m:t>j</m:t>
                </m:r>
              </m:sup>
            </m:sSubSup>
            <m:r>
              <w:rPr>
                <w:rFonts w:ascii="Cambria Math" w:hAnsi="Cambria Math"/>
              </w:rPr>
              <m:t>,…….,</m:t>
            </m:r>
            <m:sSubSup>
              <m:sSubSupPr>
                <m:ctrlPr>
                  <w:rPr>
                    <w:rFonts w:ascii="Cambria Math" w:hAnsi="Cambria Math"/>
                    <w:i/>
                    <w:lang w:val="en-US"/>
                  </w:rPr>
                </m:ctrlPr>
              </m:sSubSupPr>
              <m:e>
                <m:r>
                  <w:rPr>
                    <w:rFonts w:ascii="Cambria Math" w:hAnsi="Cambria Math"/>
                  </w:rPr>
                  <m:t>r</m:t>
                </m:r>
              </m:e>
              <m:sub>
                <m:r>
                  <w:rPr>
                    <w:rFonts w:ascii="Cambria Math" w:hAnsi="Cambria Math"/>
                  </w:rPr>
                  <m:t>n</m:t>
                </m:r>
              </m:sub>
              <m:sup>
                <m:r>
                  <w:rPr>
                    <w:rFonts w:ascii="Cambria Math" w:hAnsi="Cambria Math"/>
                  </w:rPr>
                  <m:t>j</m:t>
                </m:r>
              </m:sup>
            </m:sSubSup>
          </m:e>
        </m:d>
      </m:oMath>
    </w:p>
    <w:p w:rsidR="009B30F3" w:rsidRPr="0007654D" w:rsidRDefault="009B30F3" w:rsidP="004C600E">
      <w:pPr>
        <w:pStyle w:val="Paragraphedeliste"/>
        <w:numPr>
          <w:ilvl w:val="2"/>
          <w:numId w:val="41"/>
        </w:numPr>
        <w:jc w:val="both"/>
        <w:rPr>
          <w:rFonts w:ascii="Times New Roman" w:hAnsi="Times New Roman"/>
        </w:rPr>
      </w:pPr>
      <w:r w:rsidRPr="0007654D">
        <w:rPr>
          <w:rFonts w:ascii="Times New Roman" w:hAnsi="Times New Roman"/>
          <w:b/>
          <w:i/>
        </w:rPr>
        <w:t xml:space="preserve">Step 1 : </w:t>
      </w:r>
      <w:r w:rsidRPr="0007654D">
        <w:rPr>
          <w:rFonts w:ascii="Times New Roman" w:hAnsi="Times New Roman"/>
        </w:rPr>
        <w:t xml:space="preserve">Create a m-tuple </w:t>
      </w:r>
      <m:oMath>
        <m:sSub>
          <m:sSubPr>
            <m:ctrlPr>
              <w:rPr>
                <w:rFonts w:ascii="Cambria Math" w:hAnsi="Cambria Math"/>
                <w:i/>
                <w:lang w:val="en-US"/>
              </w:rPr>
            </m:ctrlPr>
          </m:sSub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X</m:t>
                    </m:r>
                  </m:e>
                  <m:sub>
                    <m:r>
                      <w:rPr>
                        <w:rFonts w:ascii="Cambria Math" w:hAnsi="Cambria Math"/>
                      </w:rPr>
                      <m:t>i</m:t>
                    </m:r>
                  </m:sub>
                </m:sSub>
              </m:e>
            </m:d>
          </m:e>
          <m:sub>
            <m:r>
              <w:rPr>
                <w:rFonts w:ascii="Cambria Math" w:hAnsi="Cambria Math"/>
              </w:rPr>
              <m:t>1≤i≤n</m:t>
            </m:r>
          </m:sub>
        </m:sSub>
      </m:oMath>
      <w:r w:rsidRPr="0007654D">
        <w:rPr>
          <w:rFonts w:ascii="Times New Roman" w:hAnsi="Times New Roman"/>
        </w:rPr>
        <w:t xml:space="preserve">, which is a sequence of </w:t>
      </w:r>
      <m:oMath>
        <m:r>
          <m:rPr>
            <m:sty m:val="bi"/>
          </m:rPr>
          <w:rPr>
            <w:rFonts w:ascii="Cambria Math" w:hAnsi="Cambria Math"/>
          </w:rPr>
          <m:t>m</m:t>
        </m:r>
      </m:oMath>
      <w:r w:rsidRPr="0007654D">
        <w:rPr>
          <w:rFonts w:ascii="Times New Roman" w:hAnsi="Times New Roman"/>
        </w:rPr>
        <w:t xml:space="preserve">  returns, where : for each sample date </w:t>
      </w:r>
      <m:oMath>
        <m:r>
          <w:rPr>
            <w:rFonts w:ascii="Cambria Math" w:hAnsi="Cambria Math"/>
          </w:rPr>
          <m:t>i</m:t>
        </m:r>
      </m:oMath>
      <w:r w:rsidRPr="0007654D">
        <w:rPr>
          <w:rFonts w:ascii="Times New Roman" w:hAnsi="Times New Roman"/>
        </w:rPr>
        <w:t xml:space="preserve"> we have :</w:t>
      </w:r>
    </w:p>
    <w:p w:rsidR="009B30F3" w:rsidRPr="0007654D" w:rsidRDefault="004C600E" w:rsidP="009B30F3">
      <w:pPr>
        <w:pStyle w:val="Paragraphedeliste"/>
        <w:ind w:left="1134"/>
        <w:jc w:val="both"/>
        <w:rPr>
          <w:rFonts w:ascii="Times New Roman" w:hAnsi="Times New Roman"/>
        </w:rPr>
      </w:pPr>
      <m:oMathPara>
        <m:oMath>
          <m:sSub>
            <m:sSubPr>
              <m:ctrlPr>
                <w:rPr>
                  <w:rFonts w:ascii="Cambria Math" w:hAnsi="Cambria Math"/>
                  <w:i/>
                  <w:lang w:val="en-US"/>
                </w:rPr>
              </m:ctrlPr>
            </m:sSubPr>
            <m:e>
              <m:r>
                <w:rPr>
                  <w:rFonts w:ascii="Cambria Math" w:hAnsi="Cambria Math"/>
                </w:rPr>
                <m:t>X</m:t>
              </m:r>
            </m:e>
            <m:sub>
              <m:r>
                <w:rPr>
                  <w:rFonts w:ascii="Cambria Math" w:hAnsi="Cambria Math"/>
                </w:rPr>
                <m:t>i</m:t>
              </m:r>
            </m:sub>
          </m:sSub>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rPr>
                    <m:t>r</m:t>
                  </m:r>
                </m:e>
                <m:sub>
                  <m:r>
                    <w:rPr>
                      <w:rFonts w:ascii="Cambria Math" w:hAnsi="Cambria Math"/>
                    </w:rPr>
                    <m:t>i</m:t>
                  </m:r>
                </m:sub>
                <m:sup>
                  <m:r>
                    <w:rPr>
                      <w:rFonts w:ascii="Cambria Math" w:hAnsi="Cambria Math"/>
                    </w:rPr>
                    <m:t>j</m:t>
                  </m:r>
                </m:sup>
              </m:sSubSup>
              <m:r>
                <w:rPr>
                  <w:rFonts w:ascii="Cambria Math" w:hAnsi="Cambria Math"/>
                </w:rPr>
                <m:t>,……,</m:t>
              </m:r>
              <m:sSubSup>
                <m:sSubSupPr>
                  <m:ctrlPr>
                    <w:rPr>
                      <w:rFonts w:ascii="Cambria Math" w:hAnsi="Cambria Math"/>
                      <w:i/>
                      <w:lang w:val="en-US"/>
                    </w:rPr>
                  </m:ctrlPr>
                </m:sSubSupPr>
                <m:e>
                  <m:r>
                    <w:rPr>
                      <w:rFonts w:ascii="Cambria Math" w:hAnsi="Cambria Math"/>
                    </w:rPr>
                    <m:t>r</m:t>
                  </m:r>
                </m:e>
                <m:sub>
                  <m:r>
                    <w:rPr>
                      <w:rFonts w:ascii="Cambria Math" w:hAnsi="Cambria Math"/>
                    </w:rPr>
                    <m:t>i</m:t>
                  </m:r>
                </m:sub>
                <m:sup>
                  <m:r>
                    <w:rPr>
                      <w:rFonts w:ascii="Cambria Math" w:hAnsi="Cambria Math"/>
                    </w:rPr>
                    <m:t>m</m:t>
                  </m:r>
                </m:sup>
              </m:sSubSup>
            </m:e>
          </m:d>
        </m:oMath>
      </m:oMathPara>
    </w:p>
    <w:p w:rsidR="009B30F3" w:rsidRPr="0007654D" w:rsidRDefault="009B30F3" w:rsidP="004C600E">
      <w:pPr>
        <w:pStyle w:val="Paragraphedeliste"/>
        <w:numPr>
          <w:ilvl w:val="2"/>
          <w:numId w:val="41"/>
        </w:numPr>
        <w:jc w:val="both"/>
        <w:rPr>
          <w:rFonts w:ascii="Times New Roman" w:hAnsi="Times New Roman"/>
        </w:rPr>
      </w:pPr>
      <w:r w:rsidRPr="0007654D">
        <w:rPr>
          <w:rFonts w:ascii="Times New Roman" w:hAnsi="Times New Roman"/>
          <w:b/>
          <w:i/>
        </w:rPr>
        <w:t>Step 2</w:t>
      </w:r>
      <w:r w:rsidRPr="0007654D">
        <w:rPr>
          <w:rFonts w:ascii="Times New Roman" w:hAnsi="Times New Roman"/>
        </w:rPr>
        <w:t xml:space="preserve">: Simulate a set of </w:t>
      </w:r>
      <m:oMath>
        <m:r>
          <m:rPr>
            <m:sty m:val="bi"/>
          </m:rPr>
          <w:rPr>
            <w:rFonts w:ascii="Cambria Math" w:hAnsi="Cambria Math"/>
          </w:rPr>
          <m:t>N</m:t>
        </m:r>
        <m:r>
          <w:rPr>
            <w:rFonts w:ascii="Cambria Math" w:hAnsi="Cambria Math"/>
          </w:rPr>
          <m:t>=RHP×252</m:t>
        </m:r>
        <m:r>
          <w:rPr>
            <w:rStyle w:val="Appelnotedebasdep"/>
            <w:rFonts w:ascii="Cambria Math" w:hAnsi="Cambria Math"/>
            <w:i/>
          </w:rPr>
          <w:footnoteReference w:id="2"/>
        </m:r>
      </m:oMath>
      <w:r w:rsidRPr="0007654D">
        <w:rPr>
          <w:rFonts w:ascii="Times New Roman" w:hAnsi="Times New Roman"/>
        </w:rPr>
        <w:t xml:space="preserve"> i.i.d. uniform random integers </w:t>
      </w:r>
      <m:oMath>
        <m:sSub>
          <m:sSubPr>
            <m:ctrlPr>
              <w:rPr>
                <w:rFonts w:ascii="Cambria Math" w:hAnsi="Cambria Math"/>
                <w:i/>
                <w:lang w:val="en-US"/>
              </w:rPr>
            </m:ctrlPr>
          </m:sSub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U</m:t>
                    </m:r>
                  </m:e>
                  <m:sub>
                    <m:r>
                      <w:rPr>
                        <w:rFonts w:ascii="Cambria Math" w:hAnsi="Cambria Math"/>
                      </w:rPr>
                      <m:t>l</m:t>
                    </m:r>
                  </m:sub>
                </m:sSub>
              </m:e>
            </m:d>
          </m:e>
          <m:sub>
            <m:r>
              <w:rPr>
                <w:rFonts w:ascii="Cambria Math" w:hAnsi="Cambria Math"/>
              </w:rPr>
              <m:t>1≤l≤</m:t>
            </m:r>
            <m:r>
              <m:rPr>
                <m:sty m:val="bi"/>
              </m:rPr>
              <w:rPr>
                <w:rFonts w:ascii="Cambria Math" w:hAnsi="Cambria Math"/>
              </w:rPr>
              <m:t>N</m:t>
            </m:r>
          </m:sub>
        </m:sSub>
      </m:oMath>
      <w:r w:rsidRPr="0007654D">
        <w:rPr>
          <w:rFonts w:ascii="Times New Roman" w:hAnsi="Times New Roman"/>
        </w:rPr>
        <w:t xml:space="preserve"> from the range </w:t>
      </w:r>
      <m:oMath>
        <m:d>
          <m:dPr>
            <m:begChr m:val="{"/>
            <m:endChr m:val="}"/>
            <m:ctrlPr>
              <w:rPr>
                <w:rFonts w:ascii="Cambria Math" w:hAnsi="Cambria Math"/>
                <w:i/>
                <w:lang w:val="en-US"/>
              </w:rPr>
            </m:ctrlPr>
          </m:dPr>
          <m:e>
            <m:r>
              <w:rPr>
                <w:rFonts w:ascii="Cambria Math" w:hAnsi="Cambria Math"/>
              </w:rPr>
              <m:t>1,……,</m:t>
            </m:r>
            <m:r>
              <m:rPr>
                <m:sty m:val="bi"/>
              </m:rPr>
              <w:rPr>
                <w:rFonts w:ascii="Cambria Math" w:hAnsi="Cambria Math"/>
              </w:rPr>
              <m:t>n</m:t>
            </m:r>
          </m:e>
        </m:d>
      </m:oMath>
      <w:r w:rsidRPr="0007654D">
        <w:rPr>
          <w:rFonts w:ascii="Times New Roman" w:hAnsi="Times New Roman"/>
        </w:rPr>
        <w:t xml:space="preserve">,(with replacement). </w:t>
      </w:r>
    </w:p>
    <w:p w:rsidR="009B30F3" w:rsidRPr="0007654D" w:rsidRDefault="009B30F3" w:rsidP="004C600E">
      <w:pPr>
        <w:pStyle w:val="Paragraphedeliste"/>
        <w:numPr>
          <w:ilvl w:val="2"/>
          <w:numId w:val="41"/>
        </w:numPr>
        <w:jc w:val="both"/>
        <w:rPr>
          <w:rFonts w:ascii="Times New Roman" w:hAnsi="Times New Roman"/>
        </w:rPr>
      </w:pPr>
      <w:r w:rsidRPr="0007654D">
        <w:rPr>
          <w:rFonts w:ascii="Times New Roman" w:hAnsi="Times New Roman"/>
          <w:b/>
          <w:i/>
        </w:rPr>
        <w:t xml:space="preserve">Step 3 : </w:t>
      </w:r>
      <w:r w:rsidRPr="0007654D">
        <w:rPr>
          <w:rFonts w:ascii="Times New Roman" w:hAnsi="Times New Roman"/>
        </w:rPr>
        <w:t xml:space="preserve">Construct the Bootstrap sample </w:t>
      </w:r>
      <m:oMath>
        <m:sSub>
          <m:sSubPr>
            <m:ctrlPr>
              <w:rPr>
                <w:rFonts w:ascii="Cambria Math" w:hAnsi="Cambria Math"/>
                <w:i/>
                <w:lang w:val="en-US"/>
              </w:rPr>
            </m:ctrlPr>
          </m:sSubPr>
          <m:e>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rPr>
                      <m:t>X</m:t>
                    </m:r>
                  </m:e>
                  <m:sub>
                    <m:r>
                      <w:rPr>
                        <w:rFonts w:ascii="Cambria Math" w:hAnsi="Cambria Math"/>
                      </w:rPr>
                      <m:t>i</m:t>
                    </m:r>
                  </m:sub>
                  <m:sup>
                    <m:r>
                      <w:rPr>
                        <w:rFonts w:ascii="Cambria Math" w:hAnsi="Cambria Math"/>
                      </w:rPr>
                      <m:t>b</m:t>
                    </m:r>
                  </m:sup>
                </m:sSubSup>
              </m:e>
            </m:d>
          </m:e>
          <m:sub>
            <m:r>
              <w:rPr>
                <w:rFonts w:ascii="Cambria Math" w:hAnsi="Cambria Math"/>
              </w:rPr>
              <m:t>1≤l≤</m:t>
            </m:r>
            <m:r>
              <m:rPr>
                <m:sty m:val="bi"/>
              </m:rPr>
              <w:rPr>
                <w:rFonts w:ascii="Cambria Math" w:hAnsi="Cambria Math"/>
              </w:rPr>
              <m:t>N</m:t>
            </m:r>
          </m:sub>
        </m:sSub>
      </m:oMath>
      <w:r w:rsidRPr="0007654D">
        <w:rPr>
          <w:rFonts w:ascii="Times New Roman" w:hAnsi="Times New Roman"/>
        </w:rPr>
        <w:t>and perform the calculations detailed in page 37 from Point 30 to 38:</w:t>
      </w:r>
    </w:p>
    <w:p w:rsidR="009B30F3" w:rsidRPr="0007654D" w:rsidRDefault="009B30F3" w:rsidP="004C600E">
      <w:pPr>
        <w:pStyle w:val="Paragraphedeliste"/>
        <w:numPr>
          <w:ilvl w:val="2"/>
          <w:numId w:val="41"/>
        </w:numPr>
        <w:jc w:val="both"/>
        <w:rPr>
          <w:rFonts w:ascii="Times New Roman" w:hAnsi="Times New Roman"/>
        </w:rPr>
      </w:pPr>
      <w:r w:rsidRPr="0007654D">
        <w:rPr>
          <w:rFonts w:ascii="Times New Roman" w:hAnsi="Times New Roman"/>
          <w:b/>
          <w:i/>
        </w:rPr>
        <w:t>Step 4 :</w:t>
      </w:r>
      <w:r w:rsidRPr="0007654D">
        <w:rPr>
          <w:rFonts w:ascii="Times New Roman" w:hAnsi="Times New Roman"/>
        </w:rPr>
        <w:t xml:space="preserve"> Repeat the procedure to achieve desired number of paths.</w:t>
      </w:r>
    </w:p>
    <w:p w:rsidR="009B30F3" w:rsidRPr="0007654D" w:rsidRDefault="009B30F3" w:rsidP="009B30F3">
      <w:pPr>
        <w:pStyle w:val="Paragraphedeliste"/>
        <w:ind w:left="4320"/>
        <w:jc w:val="both"/>
        <w:rPr>
          <w:rFonts w:ascii="Times New Roman" w:hAnsi="Times New Roman"/>
        </w:rPr>
      </w:pPr>
    </w:p>
    <w:p w:rsidR="009B30F3" w:rsidRPr="0007654D" w:rsidRDefault="009B30F3" w:rsidP="009B30F3">
      <w:pPr>
        <w:pStyle w:val="Paragraphedeliste"/>
        <w:ind w:left="1134"/>
        <w:jc w:val="both"/>
        <w:rPr>
          <w:rFonts w:ascii="Times New Roman" w:hAnsi="Times New Roman"/>
        </w:rPr>
      </w:pPr>
      <w:r w:rsidRPr="0007654D">
        <w:rPr>
          <w:rFonts w:ascii="Times New Roman" w:hAnsi="Times New Roman"/>
        </w:rPr>
        <w:t>Alternatively, other Bootstrapping methods for dependent data can be used such as:</w:t>
      </w:r>
    </w:p>
    <w:p w:rsidR="009B30F3" w:rsidRPr="0007654D" w:rsidRDefault="009B30F3" w:rsidP="004C600E">
      <w:pPr>
        <w:pStyle w:val="Paragraphedeliste"/>
        <w:numPr>
          <w:ilvl w:val="0"/>
          <w:numId w:val="43"/>
        </w:numPr>
        <w:jc w:val="both"/>
        <w:rPr>
          <w:rFonts w:ascii="Times New Roman" w:hAnsi="Times New Roman"/>
        </w:rPr>
      </w:pPr>
      <w:r w:rsidRPr="0007654D">
        <w:rPr>
          <w:rFonts w:ascii="Times New Roman" w:hAnsi="Times New Roman"/>
        </w:rPr>
        <w:t>Block Bootstrapping.</w:t>
      </w:r>
    </w:p>
    <w:p w:rsidR="009B30F3" w:rsidRPr="0007654D" w:rsidRDefault="009B30F3" w:rsidP="004C600E">
      <w:pPr>
        <w:pStyle w:val="Paragraphedeliste"/>
        <w:numPr>
          <w:ilvl w:val="0"/>
          <w:numId w:val="43"/>
        </w:numPr>
        <w:jc w:val="both"/>
        <w:rPr>
          <w:rFonts w:ascii="Times New Roman" w:hAnsi="Times New Roman"/>
        </w:rPr>
      </w:pPr>
      <w:r w:rsidRPr="0007654D">
        <w:rPr>
          <w:rFonts w:ascii="Times New Roman" w:hAnsi="Times New Roman"/>
        </w:rPr>
        <w:t>Parametric Bootstrapping :Regression Residuals Resampling.</w:t>
      </w:r>
    </w:p>
    <w:p w:rsidR="009B30F3" w:rsidRDefault="009B30F3" w:rsidP="009B30F3">
      <w:pPr>
        <w:jc w:val="both"/>
        <w:rPr>
          <w:b/>
          <w:caps/>
          <w:u w:val="single"/>
        </w:rPr>
      </w:pPr>
    </w:p>
    <w:p w:rsidR="009B30F3" w:rsidRDefault="009B30F3" w:rsidP="009B30F3">
      <w:r>
        <w:rPr>
          <w:b/>
          <w:u w:val="single"/>
        </w:rPr>
        <w:t xml:space="preserve">Page 39 from §39 to §41: </w:t>
      </w:r>
      <w:r>
        <w:t>the methodology is overly detailed. More flexibility should be left to the man</w:t>
      </w:r>
      <w:r>
        <w:t>u</w:t>
      </w:r>
      <w:r>
        <w:t>facturer to model interest rates curves. At least, the description of bootstrapping methodology needs to be reviewed and enhanced by:</w:t>
      </w:r>
    </w:p>
    <w:p w:rsidR="009B30F3" w:rsidRDefault="009B30F3" w:rsidP="004C600E">
      <w:pPr>
        <w:pStyle w:val="Paragraphedeliste"/>
        <w:numPr>
          <w:ilvl w:val="1"/>
          <w:numId w:val="41"/>
        </w:numPr>
        <w:jc w:val="both"/>
        <w:rPr>
          <w:rFonts w:ascii="Times New Roman" w:hAnsi="Times New Roman"/>
          <w:sz w:val="24"/>
          <w:lang w:val="en-US"/>
        </w:rPr>
      </w:pPr>
      <w:r>
        <w:rPr>
          <w:rFonts w:ascii="Times New Roman" w:hAnsi="Times New Roman"/>
          <w:sz w:val="24"/>
        </w:rPr>
        <w:t>Defining the notion of Curves : which interest rate curve? Curve derived from 6Months, 3Months or 1M  frequency IRS? Those variables are zero-coupons rates?</w:t>
      </w:r>
    </w:p>
    <w:p w:rsidR="009B30F3" w:rsidRDefault="009B30F3" w:rsidP="004C600E">
      <w:pPr>
        <w:pStyle w:val="Paragraphedeliste"/>
        <w:numPr>
          <w:ilvl w:val="1"/>
          <w:numId w:val="41"/>
        </w:numPr>
        <w:jc w:val="both"/>
        <w:rPr>
          <w:rFonts w:ascii="Times New Roman" w:hAnsi="Times New Roman"/>
          <w:sz w:val="24"/>
        </w:rPr>
      </w:pPr>
      <w:r>
        <w:rPr>
          <w:rFonts w:ascii="Times New Roman" w:hAnsi="Times New Roman"/>
          <w:sz w:val="24"/>
        </w:rPr>
        <w:t>Reformulating the Equations : All the methodology steps should be reworded clearly to avoid any misunderstanding.</w:t>
      </w:r>
    </w:p>
    <w:p w:rsidR="009B30F3" w:rsidRPr="009B30F3" w:rsidRDefault="009B30F3" w:rsidP="009B30F3">
      <w:pPr>
        <w:jc w:val="both"/>
        <w:rPr>
          <w:rFonts w:ascii="Times New Roman" w:hAnsi="Times New Roman"/>
          <w:sz w:val="24"/>
        </w:rPr>
      </w:pPr>
    </w:p>
    <w:p w:rsidR="009B30F3" w:rsidRDefault="009B30F3" w:rsidP="009B30F3">
      <w:r w:rsidRPr="009B30F3">
        <w:rPr>
          <w:b/>
          <w:u w:val="single"/>
        </w:rPr>
        <w:t>Page 40, §55(c):</w:t>
      </w:r>
      <w:r>
        <w:t xml:space="preserve"> Structured funds seem to fall within the scope of this paragraph, which is surprising, because we do not understand why a structured fund should be treated differently from a classical bond fund investing in the same portfolio of bonds. At the very least, ESAs should recognize in paragraph 65 that </w:t>
      </w:r>
      <w:r w:rsidRPr="009B30F3">
        <w:rPr>
          <w:u w:val="single"/>
        </w:rPr>
        <w:t>in the case where the fund benefits from a third party guarantee</w:t>
      </w:r>
      <w:r>
        <w:t xml:space="preserve"> of the whole payoff, the credit a</w:t>
      </w:r>
      <w:r>
        <w:t>s</w:t>
      </w:r>
      <w:r>
        <w:t>sessment can be decreased by 1 credit risk class.  Because in that case, there is a double layer of prote</w:t>
      </w:r>
      <w:r>
        <w:t>c</w:t>
      </w:r>
      <w:r>
        <w:t>tion: the fund’s investments and the third party guarantee. Some conditions could be put on the third party, like being a regulated financial institution.</w:t>
      </w:r>
    </w:p>
    <w:p w:rsidR="009B30F3" w:rsidRDefault="009B30F3" w:rsidP="009B30F3">
      <w:pPr>
        <w:jc w:val="both"/>
        <w:rPr>
          <w:b/>
          <w:caps/>
          <w:u w:val="single"/>
        </w:rPr>
      </w:pPr>
    </w:p>
    <w:p w:rsidR="009B30F3" w:rsidRDefault="009B30F3" w:rsidP="009B30F3">
      <w:pPr>
        <w:jc w:val="both"/>
        <w:rPr>
          <w:b/>
          <w:caps/>
          <w:u w:val="single"/>
        </w:rPr>
      </w:pPr>
    </w:p>
    <w:p w:rsidR="009B30F3" w:rsidRPr="009B30F3" w:rsidRDefault="009B30F3" w:rsidP="009B30F3">
      <w:pPr>
        <w:jc w:val="both"/>
        <w:rPr>
          <w:b/>
          <w:caps/>
          <w:u w:val="single"/>
        </w:rPr>
      </w:pPr>
      <w:r w:rsidRPr="009B30F3">
        <w:rPr>
          <w:b/>
          <w:caps/>
          <w:u w:val="single"/>
        </w:rPr>
        <w:t>Annex VI: Methodology for calculation of costs</w:t>
      </w:r>
    </w:p>
    <w:p w:rsidR="00C2569A" w:rsidRDefault="00C2569A" w:rsidP="00491E49"/>
    <w:p w:rsidR="00C2569A" w:rsidRPr="00C2569A" w:rsidRDefault="00C2569A" w:rsidP="00C2569A">
      <w:pPr>
        <w:spacing w:before="240" w:after="240"/>
        <w:jc w:val="both"/>
        <w:rPr>
          <w:b/>
          <w:u w:val="single"/>
        </w:rPr>
      </w:pPr>
      <w:r w:rsidRPr="00C2569A">
        <w:rPr>
          <w:b/>
          <w:u w:val="single"/>
        </w:rPr>
        <w:t>Part 1: List of costs of the different types of PRIIPs</w:t>
      </w:r>
    </w:p>
    <w:p w:rsidR="00C2569A" w:rsidRPr="00C2569A" w:rsidRDefault="00C2569A" w:rsidP="00C2569A">
      <w:pPr>
        <w:spacing w:before="240" w:after="240"/>
        <w:jc w:val="both"/>
        <w:rPr>
          <w:b/>
        </w:rPr>
      </w:pPr>
      <w:r w:rsidRPr="00C2569A">
        <w:rPr>
          <w:b/>
        </w:rPr>
        <w:t>Section I: List of Costs of investments funds (AIFs and UCITS)</w:t>
      </w:r>
    </w:p>
    <w:p w:rsidR="00C2569A" w:rsidRPr="00C82B26" w:rsidRDefault="00C2569A" w:rsidP="00C2569A">
      <w:r>
        <w:t>With regard to para. 6(</w:t>
      </w:r>
      <w:proofErr w:type="spellStart"/>
      <w:r>
        <w:t>i</w:t>
      </w:r>
      <w:proofErr w:type="spellEnd"/>
      <w:r>
        <w:t xml:space="preserve">), </w:t>
      </w:r>
      <w:r w:rsidRPr="00C82B26">
        <w:t xml:space="preserve">we agree on the wording, but we strongly disagree with </w:t>
      </w:r>
      <w:r w:rsidR="008C1090">
        <w:t>the explanatory text on page 79:</w:t>
      </w:r>
      <w:r w:rsidRPr="00C82B26">
        <w:t xml:space="preserve"> </w:t>
      </w:r>
      <w:r w:rsidR="008C1090">
        <w:rPr>
          <w:b/>
          <w:u w:val="single"/>
        </w:rPr>
        <w:t>o</w:t>
      </w:r>
      <w:r w:rsidRPr="008C1090">
        <w:rPr>
          <w:b/>
          <w:u w:val="single"/>
        </w:rPr>
        <w:t>ption premiums are not costs</w:t>
      </w:r>
      <w:r w:rsidRPr="00C82B26">
        <w:t>. Generally speaking, the total price paid to invest</w:t>
      </w:r>
      <w:r w:rsidRPr="00C2569A">
        <w:t xml:space="preserve"> </w:t>
      </w:r>
      <w:r w:rsidRPr="00C82B26">
        <w:t>into an asset (whether it be a stock, a bond or an option) is not a cost. Only a little part of the total price is cost (like brokerage fee). Furthermore, this explanatory text contradicts §18(c) on page 61.</w:t>
      </w:r>
    </w:p>
    <w:p w:rsidR="00C2569A" w:rsidRDefault="00C2569A" w:rsidP="00C2569A">
      <w:r>
        <w:t>Lastly, we believe that para. 6(q) contains a drafting error: it should</w:t>
      </w:r>
      <w:r w:rsidRPr="00044B0D">
        <w:t xml:space="preserve"> </w:t>
      </w:r>
      <w:r>
        <w:t>referencing either</w:t>
      </w:r>
      <w:r w:rsidRPr="00044B0D">
        <w:t xml:space="preserve"> “section II” not “paragraph 2”, or</w:t>
      </w:r>
      <w:r>
        <w:t xml:space="preserve"> para. 37 (page 65) which discusses “implicit costs of PRIIPs other than investments funds”. </w:t>
      </w:r>
      <w:r w:rsidRPr="00C82B26">
        <w:t>This seems to refer to implicit costs of derivatives entered into by funds. Those derivatives often do not qualify as PRIIPs, so their implicit costs will not be disclosed by counterparties. §37 and following could not be applied, because asset managers are not able to compute the “fair value” with the same accuracy as investment banks. If the implicit costs incurred by funds have to be disclosed, then regulation should oblige counterparties (investment banks) to disclose them to asset managers.</w:t>
      </w:r>
    </w:p>
    <w:p w:rsidR="009B30F3" w:rsidRPr="009B30F3" w:rsidRDefault="009B30F3" w:rsidP="009B30F3">
      <w:pPr>
        <w:spacing w:before="240" w:after="240"/>
        <w:jc w:val="both"/>
        <w:rPr>
          <w:b/>
        </w:rPr>
      </w:pPr>
      <w:r w:rsidRPr="009B30F3">
        <w:rPr>
          <w:b/>
        </w:rPr>
        <w:t>Section II: List of costs of PRIPs other than investment funds – including structured products, derivatives and contracts for difference (CFDs)</w:t>
      </w:r>
    </w:p>
    <w:p w:rsidR="009B30F3" w:rsidRPr="00C82B26" w:rsidRDefault="009B30F3" w:rsidP="009B30F3">
      <w:r w:rsidRPr="00BE3827">
        <w:rPr>
          <w:b/>
          <w:u w:val="single"/>
        </w:rPr>
        <w:t>Page 65, §32:</w:t>
      </w:r>
      <w:r>
        <w:t xml:space="preserve"> we suggest adding the following item : “</w:t>
      </w:r>
      <w:r w:rsidRPr="00BE3827">
        <w:t xml:space="preserve">direct or indirect costs associated to the structure of the product in relation </w:t>
      </w:r>
      <w:r>
        <w:t>to</w:t>
      </w:r>
      <w:r w:rsidRPr="00BE3827">
        <w:t xml:space="preserve"> </w:t>
      </w:r>
      <w:r>
        <w:t>prudential</w:t>
      </w:r>
      <w:r w:rsidRPr="00BE3827">
        <w:t xml:space="preserve"> requirements</w:t>
      </w:r>
      <w:r>
        <w:t xml:space="preserve"> (own funds, liquidity,…)”. </w:t>
      </w:r>
      <w:r w:rsidR="008C1090">
        <w:rPr>
          <w:b/>
          <w:u w:val="single"/>
        </w:rPr>
        <w:t>And then i</w:t>
      </w:r>
      <w:r w:rsidRPr="00BE3827">
        <w:rPr>
          <w:b/>
          <w:u w:val="single"/>
        </w:rPr>
        <w:t>n §36</w:t>
      </w:r>
      <w:r>
        <w:t>, we suggest adding the following item: “any recurring cost similar to those listed in paragraph 32”.</w:t>
      </w:r>
    </w:p>
    <w:p w:rsidR="009B30F3" w:rsidRPr="00C82B26" w:rsidRDefault="009B30F3" w:rsidP="00C2569A"/>
    <w:p w:rsidR="00C2569A" w:rsidRDefault="00C2569A" w:rsidP="00491E49"/>
    <w:permEnd w:id="1238443832"/>
    <w:p w:rsidR="00491E49" w:rsidRPr="00491E49" w:rsidRDefault="00491E49" w:rsidP="00491E49">
      <w:pPr>
        <w:rPr>
          <w:lang w:val="fr-FR"/>
        </w:rPr>
      </w:pPr>
      <w:r w:rsidRPr="00580880">
        <w:rPr>
          <w:lang w:val="fr-FR"/>
        </w:rPr>
        <w:t>&lt;ESMA_QUESTION_</w:t>
      </w:r>
      <w:r>
        <w:rPr>
          <w:lang w:val="fr-FR"/>
        </w:rPr>
        <w:t>PRIIPS_28</w:t>
      </w:r>
      <w:r w:rsidRPr="00580880">
        <w:rPr>
          <w:lang w:val="fr-FR"/>
        </w:rPr>
        <w:t>&gt;</w:t>
      </w: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sectPr w:rsidR="00A2049D"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C8" w:rsidRDefault="002A14C8">
      <w:r>
        <w:separator/>
      </w:r>
    </w:p>
    <w:p w:rsidR="002A14C8" w:rsidRDefault="002A14C8"/>
  </w:endnote>
  <w:endnote w:type="continuationSeparator" w:id="0">
    <w:p w:rsidR="002A14C8" w:rsidRDefault="002A14C8">
      <w:r>
        <w:continuationSeparator/>
      </w:r>
    </w:p>
    <w:p w:rsidR="002A14C8" w:rsidRDefault="002A14C8"/>
  </w:endnote>
  <w:endnote w:type="continuationNotice" w:id="1">
    <w:p w:rsidR="002A14C8" w:rsidRDefault="002A1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F5C3E" w:rsidRPr="00616B9B" w:rsidTr="00315E96">
      <w:trPr>
        <w:trHeight w:val="284"/>
      </w:trPr>
      <w:tc>
        <w:tcPr>
          <w:tcW w:w="8460" w:type="dxa"/>
        </w:tcPr>
        <w:p w:rsidR="00EF5C3E" w:rsidRPr="00315E96" w:rsidRDefault="00EF5C3E" w:rsidP="00315E96">
          <w:pPr>
            <w:pStyle w:val="00Footer"/>
            <w:rPr>
              <w:lang w:val="fr-FR"/>
            </w:rPr>
          </w:pPr>
        </w:p>
      </w:tc>
      <w:tc>
        <w:tcPr>
          <w:tcW w:w="952" w:type="dxa"/>
        </w:tcPr>
        <w:p w:rsidR="00EF5C3E" w:rsidRPr="00616B9B" w:rsidRDefault="00EF5C3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C600E">
            <w:rPr>
              <w:rFonts w:cs="Arial"/>
              <w:noProof/>
              <w:sz w:val="22"/>
              <w:szCs w:val="22"/>
            </w:rPr>
            <w:t>5</w:t>
          </w:r>
          <w:r w:rsidRPr="00616B9B">
            <w:rPr>
              <w:rFonts w:cs="Arial"/>
              <w:noProof/>
              <w:sz w:val="22"/>
              <w:szCs w:val="22"/>
            </w:rPr>
            <w:fldChar w:fldCharType="end"/>
          </w:r>
        </w:p>
      </w:tc>
    </w:tr>
  </w:tbl>
  <w:p w:rsidR="00EF5C3E" w:rsidRDefault="00EF5C3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3E" w:rsidRDefault="00EF5C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C8" w:rsidRDefault="002A14C8">
      <w:r>
        <w:separator/>
      </w:r>
    </w:p>
    <w:p w:rsidR="002A14C8" w:rsidRDefault="002A14C8"/>
  </w:footnote>
  <w:footnote w:type="continuationSeparator" w:id="0">
    <w:p w:rsidR="002A14C8" w:rsidRDefault="002A14C8">
      <w:r>
        <w:continuationSeparator/>
      </w:r>
    </w:p>
    <w:p w:rsidR="002A14C8" w:rsidRDefault="002A14C8"/>
  </w:footnote>
  <w:footnote w:type="continuationNotice" w:id="1">
    <w:p w:rsidR="002A14C8" w:rsidRDefault="002A14C8"/>
  </w:footnote>
  <w:footnote w:id="2">
    <w:p w:rsidR="00EF5C3E" w:rsidRDefault="00EF5C3E" w:rsidP="009B30F3">
      <w:pPr>
        <w:pStyle w:val="Notedebasdepage"/>
        <w:rPr>
          <w:rFonts w:eastAsiaTheme="minorEastAsia"/>
        </w:rPr>
      </w:pPr>
      <w:r>
        <w:rPr>
          <w:rStyle w:val="Appelnotedebasdep"/>
        </w:rPr>
        <w:footnoteRef/>
      </w:r>
      <w:r>
        <w:t xml:space="preserve"> </w:t>
      </w:r>
      <m:oMath>
        <m:r>
          <m:rPr>
            <m:sty m:val="bi"/>
          </m:rPr>
          <w:rPr>
            <w:rFonts w:ascii="Cambria Math" w:hAnsi="Cambria Math"/>
            <w:sz w:val="21"/>
            <w:szCs w:val="24"/>
          </w:rPr>
          <m:t>RHP</m:t>
        </m:r>
      </m:oMath>
      <w:r>
        <w:rPr>
          <w:rFonts w:asciiTheme="majorHAnsi" w:hAnsiTheme="majorHAnsi"/>
        </w:rPr>
        <w:t xml:space="preserve"> </w:t>
      </w:r>
      <w:r>
        <w:rPr>
          <w:rFonts w:ascii="Times New Roman" w:hAnsi="Times New Roman"/>
        </w:rPr>
        <w:t xml:space="preserve">is the Recommend Holding Period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3E" w:rsidRDefault="00EF5C3E">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3E" w:rsidRDefault="00EF5C3E"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3E" w:rsidRDefault="00EF5C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F5C3E" w:rsidRPr="002F4496" w:rsidTr="000C06C9">
      <w:trPr>
        <w:trHeight w:val="284"/>
      </w:trPr>
      <w:tc>
        <w:tcPr>
          <w:tcW w:w="8460" w:type="dxa"/>
        </w:tcPr>
        <w:p w:rsidR="00EF5C3E" w:rsidRPr="000C3B6D" w:rsidRDefault="00EF5C3E" w:rsidP="000C06C9">
          <w:pPr>
            <w:pStyle w:val="00Footer"/>
            <w:rPr>
              <w:lang w:val="fr-FR"/>
            </w:rPr>
          </w:pPr>
        </w:p>
      </w:tc>
      <w:tc>
        <w:tcPr>
          <w:tcW w:w="952" w:type="dxa"/>
        </w:tcPr>
        <w:p w:rsidR="00EF5C3E" w:rsidRPr="00146B34" w:rsidRDefault="00EF5C3E" w:rsidP="000C06C9">
          <w:pPr>
            <w:pStyle w:val="00aPagenumber"/>
            <w:rPr>
              <w:lang w:val="fr-FR"/>
            </w:rPr>
          </w:pPr>
        </w:p>
      </w:tc>
    </w:tr>
  </w:tbl>
  <w:p w:rsidR="00EF5C3E" w:rsidRPr="00DB46C3" w:rsidRDefault="00EF5C3E">
    <w:pPr>
      <w:rPr>
        <w:lang w:val="fr-FR"/>
      </w:rPr>
    </w:pPr>
  </w:p>
  <w:p w:rsidR="00EF5C3E" w:rsidRPr="002F4496" w:rsidRDefault="00EF5C3E">
    <w:pPr>
      <w:pStyle w:val="En-tte"/>
      <w:rPr>
        <w:lang w:val="fr-FR"/>
      </w:rPr>
    </w:pPr>
  </w:p>
  <w:p w:rsidR="00EF5C3E" w:rsidRPr="002F4496" w:rsidRDefault="00EF5C3E" w:rsidP="000C06C9">
    <w:pPr>
      <w:pStyle w:val="En-tte"/>
      <w:tabs>
        <w:tab w:val="clear" w:pos="4536"/>
        <w:tab w:val="clear" w:pos="9072"/>
        <w:tab w:val="left" w:pos="8227"/>
      </w:tabs>
      <w:rPr>
        <w:lang w:val="fr-FR"/>
      </w:rPr>
    </w:pPr>
  </w:p>
  <w:p w:rsidR="00EF5C3E" w:rsidRPr="002F4496" w:rsidRDefault="00EF5C3E" w:rsidP="000C06C9">
    <w:pPr>
      <w:pStyle w:val="En-tte"/>
      <w:tabs>
        <w:tab w:val="clear" w:pos="4536"/>
        <w:tab w:val="clear" w:pos="9072"/>
        <w:tab w:val="left" w:pos="8227"/>
      </w:tabs>
      <w:rPr>
        <w:lang w:val="fr-FR"/>
      </w:rPr>
    </w:pPr>
  </w:p>
  <w:p w:rsidR="00EF5C3E" w:rsidRPr="002F4496" w:rsidRDefault="00EF5C3E">
    <w:pPr>
      <w:pStyle w:val="En-tte"/>
      <w:rPr>
        <w:lang w:val="fr-FR"/>
      </w:rPr>
    </w:pPr>
  </w:p>
  <w:p w:rsidR="00EF5C3E" w:rsidRPr="002F4496" w:rsidRDefault="00EF5C3E">
    <w:pPr>
      <w:pStyle w:val="En-tte"/>
      <w:rPr>
        <w:lang w:val="fr-FR"/>
      </w:rPr>
    </w:pPr>
  </w:p>
  <w:p w:rsidR="00EF5C3E" w:rsidRPr="002F4496" w:rsidRDefault="00EF5C3E">
    <w:pPr>
      <w:pStyle w:val="En-tte"/>
      <w:rPr>
        <w:lang w:val="fr-FR"/>
      </w:rPr>
    </w:pPr>
  </w:p>
  <w:p w:rsidR="00EF5C3E" w:rsidRPr="002F4496" w:rsidRDefault="00EF5C3E">
    <w:pPr>
      <w:pStyle w:val="En-tte"/>
      <w:rPr>
        <w:lang w:val="fr-FR"/>
      </w:rPr>
    </w:pPr>
  </w:p>
  <w:p w:rsidR="00EF5C3E" w:rsidRPr="002F4496" w:rsidRDefault="00EF5C3E">
    <w:pPr>
      <w:pStyle w:val="En-tte"/>
      <w:rPr>
        <w:highlight w:val="yellow"/>
        <w:lang w:val="fr-FR"/>
      </w:rPr>
    </w:pPr>
  </w:p>
  <w:p w:rsidR="00EF5C3E" w:rsidRDefault="00EF5C3E">
    <w:pPr>
      <w:pStyle w:val="En-tte"/>
    </w:pPr>
    <w:r>
      <w:rPr>
        <w:noProof/>
        <w:lang w:val="fr-FR" w:eastAsia="fr-FR"/>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5C225C"/>
    <w:multiLevelType w:val="hybridMultilevel"/>
    <w:tmpl w:val="A9F0D31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1894E32"/>
    <w:multiLevelType w:val="hybridMultilevel"/>
    <w:tmpl w:val="377287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1F778F"/>
    <w:multiLevelType w:val="hybridMultilevel"/>
    <w:tmpl w:val="83166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F2A11C">
      <w:start w:val="1"/>
      <w:numFmt w:val="bullet"/>
      <w:lvlText w:val=""/>
      <w:lvlJc w:val="left"/>
      <w:pPr>
        <w:ind w:left="2880" w:hanging="360"/>
      </w:pPr>
      <w:rPr>
        <w:rFonts w:ascii="Wingdings" w:eastAsia="Times New Roman" w:hAnsi="Wingdings"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6FA2A92"/>
    <w:multiLevelType w:val="hybridMultilevel"/>
    <w:tmpl w:val="928A4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9ED5453"/>
    <w:multiLevelType w:val="hybridMultilevel"/>
    <w:tmpl w:val="4E10330E"/>
    <w:lvl w:ilvl="0" w:tplc="040C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4">
    <w:nsid w:val="7C41301D"/>
    <w:multiLevelType w:val="hybridMultilevel"/>
    <w:tmpl w:val="22E03FCE"/>
    <w:lvl w:ilvl="0" w:tplc="040C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4"/>
  </w:num>
  <w:num w:numId="4">
    <w:abstractNumId w:val="27"/>
  </w:num>
  <w:num w:numId="5">
    <w:abstractNumId w:val="29"/>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6"/>
  </w:num>
  <w:num w:numId="15">
    <w:abstractNumId w:val="13"/>
  </w:num>
  <w:num w:numId="16">
    <w:abstractNumId w:val="1"/>
  </w:num>
  <w:num w:numId="17">
    <w:abstractNumId w:val="17"/>
  </w:num>
  <w:num w:numId="18">
    <w:abstractNumId w:val="18"/>
  </w:num>
  <w:num w:numId="19">
    <w:abstractNumId w:val="20"/>
  </w:num>
  <w:num w:numId="20">
    <w:abstractNumId w:val="30"/>
  </w:num>
  <w:num w:numId="21">
    <w:abstractNumId w:val="39"/>
  </w:num>
  <w:num w:numId="22">
    <w:abstractNumId w:val="28"/>
  </w:num>
  <w:num w:numId="23">
    <w:abstractNumId w:val="12"/>
  </w:num>
  <w:num w:numId="24">
    <w:abstractNumId w:val="33"/>
  </w:num>
  <w:num w:numId="25">
    <w:abstractNumId w:val="32"/>
  </w:num>
  <w:num w:numId="26">
    <w:abstractNumId w:val="22"/>
  </w:num>
  <w:num w:numId="27">
    <w:abstractNumId w:val="36"/>
  </w:num>
  <w:num w:numId="28">
    <w:abstractNumId w:val="43"/>
  </w:num>
  <w:num w:numId="29">
    <w:abstractNumId w:val="10"/>
  </w:num>
  <w:num w:numId="30">
    <w:abstractNumId w:val="4"/>
  </w:num>
  <w:num w:numId="31">
    <w:abstractNumId w:val="25"/>
  </w:num>
  <w:num w:numId="32">
    <w:abstractNumId w:val="2"/>
  </w:num>
  <w:num w:numId="33">
    <w:abstractNumId w:val="8"/>
  </w:num>
  <w:num w:numId="34">
    <w:abstractNumId w:val="23"/>
  </w:num>
  <w:num w:numId="35">
    <w:abstractNumId w:val="38"/>
  </w:num>
  <w:num w:numId="36">
    <w:abstractNumId w:val="37"/>
  </w:num>
  <w:num w:numId="37">
    <w:abstractNumId w:val="15"/>
  </w:num>
  <w:num w:numId="38">
    <w:abstractNumId w:val="24"/>
  </w:num>
  <w:num w:numId="39">
    <w:abstractNumId w:val="44"/>
  </w:num>
  <w:num w:numId="40">
    <w:abstractNumId w:val="42"/>
  </w:num>
  <w:num w:numId="41">
    <w:abstractNumId w:val="9"/>
  </w:num>
  <w:num w:numId="42">
    <w:abstractNumId w:val="40"/>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4054"/>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0304"/>
    <w:rsid w:val="000921AE"/>
    <w:rsid w:val="000921D7"/>
    <w:rsid w:val="000925FF"/>
    <w:rsid w:val="000932E0"/>
    <w:rsid w:val="00094C4C"/>
    <w:rsid w:val="00094FC9"/>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4080"/>
    <w:rsid w:val="000B55C0"/>
    <w:rsid w:val="000B5DF2"/>
    <w:rsid w:val="000C06C9"/>
    <w:rsid w:val="000C1DCC"/>
    <w:rsid w:val="000C1FBC"/>
    <w:rsid w:val="000C2B68"/>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0B2B"/>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6D88"/>
    <w:rsid w:val="001372DD"/>
    <w:rsid w:val="0014017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9C1"/>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665"/>
    <w:rsid w:val="001B6D68"/>
    <w:rsid w:val="001B6F2E"/>
    <w:rsid w:val="001C0344"/>
    <w:rsid w:val="001C0F2A"/>
    <w:rsid w:val="001C1A59"/>
    <w:rsid w:val="001C270F"/>
    <w:rsid w:val="001C4679"/>
    <w:rsid w:val="001C5770"/>
    <w:rsid w:val="001C6195"/>
    <w:rsid w:val="001C672E"/>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1924"/>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6E16"/>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14C8"/>
    <w:rsid w:val="002A35EF"/>
    <w:rsid w:val="002A3DE0"/>
    <w:rsid w:val="002A40EA"/>
    <w:rsid w:val="002A46E8"/>
    <w:rsid w:val="002A491C"/>
    <w:rsid w:val="002B1FEF"/>
    <w:rsid w:val="002B2DF8"/>
    <w:rsid w:val="002B354F"/>
    <w:rsid w:val="002B3614"/>
    <w:rsid w:val="002B45D1"/>
    <w:rsid w:val="002B4ED8"/>
    <w:rsid w:val="002B4FAA"/>
    <w:rsid w:val="002B52C2"/>
    <w:rsid w:val="002B5C09"/>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BB4"/>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057D"/>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B00"/>
    <w:rsid w:val="003E50EA"/>
    <w:rsid w:val="003E68C7"/>
    <w:rsid w:val="003E79B0"/>
    <w:rsid w:val="003F0403"/>
    <w:rsid w:val="003F0F59"/>
    <w:rsid w:val="003F1094"/>
    <w:rsid w:val="003F2E45"/>
    <w:rsid w:val="003F3EFE"/>
    <w:rsid w:val="003F40B8"/>
    <w:rsid w:val="003F5C06"/>
    <w:rsid w:val="003F63D1"/>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3515"/>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8B0"/>
    <w:rsid w:val="00473E74"/>
    <w:rsid w:val="00473FEF"/>
    <w:rsid w:val="00475B8E"/>
    <w:rsid w:val="0047779A"/>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5EF"/>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00E"/>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162"/>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880"/>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E7B3A"/>
    <w:rsid w:val="005F028E"/>
    <w:rsid w:val="005F04B4"/>
    <w:rsid w:val="005F11A4"/>
    <w:rsid w:val="005F19F8"/>
    <w:rsid w:val="005F3FB1"/>
    <w:rsid w:val="005F5ACF"/>
    <w:rsid w:val="005F60DC"/>
    <w:rsid w:val="006000DD"/>
    <w:rsid w:val="00600F63"/>
    <w:rsid w:val="006010E8"/>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678A"/>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844"/>
    <w:rsid w:val="00700247"/>
    <w:rsid w:val="00701051"/>
    <w:rsid w:val="007018A2"/>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7636"/>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0EC1"/>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312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67642"/>
    <w:rsid w:val="00871F04"/>
    <w:rsid w:val="008746C1"/>
    <w:rsid w:val="008771FC"/>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A15"/>
    <w:rsid w:val="008A2585"/>
    <w:rsid w:val="008A2718"/>
    <w:rsid w:val="008A4CF6"/>
    <w:rsid w:val="008A4E42"/>
    <w:rsid w:val="008A51AA"/>
    <w:rsid w:val="008A6A12"/>
    <w:rsid w:val="008B024A"/>
    <w:rsid w:val="008B0DC6"/>
    <w:rsid w:val="008B2B9E"/>
    <w:rsid w:val="008B31F5"/>
    <w:rsid w:val="008B4C79"/>
    <w:rsid w:val="008B5D2D"/>
    <w:rsid w:val="008B6361"/>
    <w:rsid w:val="008C0320"/>
    <w:rsid w:val="008C109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1BE8"/>
    <w:rsid w:val="008F2413"/>
    <w:rsid w:val="008F248D"/>
    <w:rsid w:val="008F4B2C"/>
    <w:rsid w:val="008F4C08"/>
    <w:rsid w:val="008F6399"/>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203"/>
    <w:rsid w:val="009223BB"/>
    <w:rsid w:val="00922491"/>
    <w:rsid w:val="00923BCF"/>
    <w:rsid w:val="00925AEC"/>
    <w:rsid w:val="0092751A"/>
    <w:rsid w:val="009305C4"/>
    <w:rsid w:val="00931FAF"/>
    <w:rsid w:val="009360F6"/>
    <w:rsid w:val="009371DC"/>
    <w:rsid w:val="0093759D"/>
    <w:rsid w:val="00940239"/>
    <w:rsid w:val="00940AC2"/>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5A87"/>
    <w:rsid w:val="009661DF"/>
    <w:rsid w:val="009667BD"/>
    <w:rsid w:val="00967CE2"/>
    <w:rsid w:val="00971DA3"/>
    <w:rsid w:val="00972161"/>
    <w:rsid w:val="0097261B"/>
    <w:rsid w:val="00973F1F"/>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0F4E"/>
    <w:rsid w:val="009A31B9"/>
    <w:rsid w:val="009A4D4F"/>
    <w:rsid w:val="009A53D8"/>
    <w:rsid w:val="009A597F"/>
    <w:rsid w:val="009A7B72"/>
    <w:rsid w:val="009A7F49"/>
    <w:rsid w:val="009B03C4"/>
    <w:rsid w:val="009B0AA2"/>
    <w:rsid w:val="009B1D02"/>
    <w:rsid w:val="009B30F3"/>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230E"/>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467C"/>
    <w:rsid w:val="00A160D3"/>
    <w:rsid w:val="00A16DC9"/>
    <w:rsid w:val="00A20225"/>
    <w:rsid w:val="00A2049D"/>
    <w:rsid w:val="00A24269"/>
    <w:rsid w:val="00A243E4"/>
    <w:rsid w:val="00A25ED4"/>
    <w:rsid w:val="00A26C5C"/>
    <w:rsid w:val="00A27092"/>
    <w:rsid w:val="00A30BDE"/>
    <w:rsid w:val="00A3131C"/>
    <w:rsid w:val="00A31F14"/>
    <w:rsid w:val="00A324DC"/>
    <w:rsid w:val="00A32B5A"/>
    <w:rsid w:val="00A33CCC"/>
    <w:rsid w:val="00A33ECB"/>
    <w:rsid w:val="00A34DE0"/>
    <w:rsid w:val="00A35728"/>
    <w:rsid w:val="00A36EE3"/>
    <w:rsid w:val="00A37435"/>
    <w:rsid w:val="00A4173D"/>
    <w:rsid w:val="00A41A95"/>
    <w:rsid w:val="00A41EB6"/>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680"/>
    <w:rsid w:val="00A65805"/>
    <w:rsid w:val="00A66BEE"/>
    <w:rsid w:val="00A66BF6"/>
    <w:rsid w:val="00A671C9"/>
    <w:rsid w:val="00A67DFD"/>
    <w:rsid w:val="00A74F9F"/>
    <w:rsid w:val="00A750B3"/>
    <w:rsid w:val="00A75559"/>
    <w:rsid w:val="00A7623D"/>
    <w:rsid w:val="00A77258"/>
    <w:rsid w:val="00A824A7"/>
    <w:rsid w:val="00A83644"/>
    <w:rsid w:val="00A83C07"/>
    <w:rsid w:val="00A83F40"/>
    <w:rsid w:val="00A84945"/>
    <w:rsid w:val="00A85543"/>
    <w:rsid w:val="00A8728B"/>
    <w:rsid w:val="00A90381"/>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1D52"/>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D1C"/>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0F95"/>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CAB"/>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69A"/>
    <w:rsid w:val="00C264C7"/>
    <w:rsid w:val="00C271C4"/>
    <w:rsid w:val="00C274F3"/>
    <w:rsid w:val="00C27F40"/>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4B5A"/>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04"/>
    <w:rsid w:val="00C94D4C"/>
    <w:rsid w:val="00C95702"/>
    <w:rsid w:val="00CA012C"/>
    <w:rsid w:val="00CA0AA6"/>
    <w:rsid w:val="00CA2897"/>
    <w:rsid w:val="00CA44F3"/>
    <w:rsid w:val="00CA582C"/>
    <w:rsid w:val="00CA6077"/>
    <w:rsid w:val="00CA715B"/>
    <w:rsid w:val="00CA7988"/>
    <w:rsid w:val="00CA7BA2"/>
    <w:rsid w:val="00CA7C5A"/>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4300"/>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580"/>
    <w:rsid w:val="00DF595C"/>
    <w:rsid w:val="00DF7EA7"/>
    <w:rsid w:val="00E04548"/>
    <w:rsid w:val="00E0484E"/>
    <w:rsid w:val="00E063F8"/>
    <w:rsid w:val="00E114D6"/>
    <w:rsid w:val="00E1166E"/>
    <w:rsid w:val="00E11DBD"/>
    <w:rsid w:val="00E13211"/>
    <w:rsid w:val="00E14DF9"/>
    <w:rsid w:val="00E14FB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21EE"/>
    <w:rsid w:val="00E6344A"/>
    <w:rsid w:val="00E64E69"/>
    <w:rsid w:val="00E64FB7"/>
    <w:rsid w:val="00E669A1"/>
    <w:rsid w:val="00E679BA"/>
    <w:rsid w:val="00E70243"/>
    <w:rsid w:val="00E72CC6"/>
    <w:rsid w:val="00E73D44"/>
    <w:rsid w:val="00E7494A"/>
    <w:rsid w:val="00E74BE2"/>
    <w:rsid w:val="00E74C66"/>
    <w:rsid w:val="00E75376"/>
    <w:rsid w:val="00E75933"/>
    <w:rsid w:val="00E77A1B"/>
    <w:rsid w:val="00E808BE"/>
    <w:rsid w:val="00E81E36"/>
    <w:rsid w:val="00E81E40"/>
    <w:rsid w:val="00E82ECE"/>
    <w:rsid w:val="00E85F96"/>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1BD"/>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C3E"/>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4D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29F4"/>
    <w:rsid w:val="00F739D4"/>
    <w:rsid w:val="00F77D43"/>
    <w:rsid w:val="00F80953"/>
    <w:rsid w:val="00F80E20"/>
    <w:rsid w:val="00F81312"/>
    <w:rsid w:val="00F81B90"/>
    <w:rsid w:val="00F81E6F"/>
    <w:rsid w:val="00F82FF3"/>
    <w:rsid w:val="00F83292"/>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E2"/>
    <w:rsid w:val="00FD13EA"/>
    <w:rsid w:val="00FD5EC4"/>
    <w:rsid w:val="00FD7858"/>
    <w:rsid w:val="00FD7A8D"/>
    <w:rsid w:val="00FE1330"/>
    <w:rsid w:val="00FE1CE5"/>
    <w:rsid w:val="00FE2832"/>
    <w:rsid w:val="00FE2D38"/>
    <w:rsid w:val="00FE3929"/>
    <w:rsid w:val="00FF097B"/>
    <w:rsid w:val="00FF0B6E"/>
    <w:rsid w:val="00FF1C1B"/>
    <w:rsid w:val="00FF2067"/>
    <w:rsid w:val="00FF28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uiPriority w:val="99"/>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Paragraphedeliste"/>
    <w:link w:val="QUESTIONSESMAChar"/>
    <w:qFormat/>
    <w:rsid w:val="002E2BC1"/>
    <w:pPr>
      <w:numPr>
        <w:numId w:val="37"/>
      </w:numPr>
      <w:spacing w:after="250" w:line="276" w:lineRule="auto"/>
      <w:contextualSpacing w:val="0"/>
      <w:jc w:val="both"/>
    </w:pPr>
    <w:rPr>
      <w:rFonts w:cstheme="minorBidi"/>
      <w:b/>
      <w:szCs w:val="22"/>
      <w:lang w:eastAsia="en-US"/>
    </w:rPr>
  </w:style>
  <w:style w:type="character" w:customStyle="1" w:styleId="QUESTIONSESMAChar">
    <w:name w:val="QUESTIONS_ESMA Char"/>
    <w:basedOn w:val="Policepardfaut"/>
    <w:link w:val="QUESTIONSESMA"/>
    <w:rsid w:val="002E2BC1"/>
    <w:rPr>
      <w:rFonts w:ascii="Arial" w:hAnsi="Arial" w:cstheme="minorBid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uiPriority w:val="99"/>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Paragraphedeliste"/>
    <w:link w:val="QUESTIONSESMAChar"/>
    <w:qFormat/>
    <w:rsid w:val="002E2BC1"/>
    <w:pPr>
      <w:numPr>
        <w:numId w:val="37"/>
      </w:numPr>
      <w:spacing w:after="250" w:line="276" w:lineRule="auto"/>
      <w:contextualSpacing w:val="0"/>
      <w:jc w:val="both"/>
    </w:pPr>
    <w:rPr>
      <w:rFonts w:cstheme="minorBidi"/>
      <w:b/>
      <w:szCs w:val="22"/>
      <w:lang w:eastAsia="en-US"/>
    </w:rPr>
  </w:style>
  <w:style w:type="character" w:customStyle="1" w:styleId="QUESTIONSESMAChar">
    <w:name w:val="QUESTIONS_ESMA Char"/>
    <w:basedOn w:val="Policepardfaut"/>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2498097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0A8A-8CF8-4AE7-B4F7-86000E93E23F}">
  <ds:schemaRefs>
    <ds:schemaRef ds:uri="http://schemas.openxmlformats.org/officeDocument/2006/bibliography"/>
  </ds:schemaRefs>
</ds:datastoreItem>
</file>

<file path=customXml/itemProps2.xml><?xml version="1.0" encoding="utf-8"?>
<ds:datastoreItem xmlns:ds="http://schemas.openxmlformats.org/officeDocument/2006/customXml" ds:itemID="{669A5FF4-9C60-496B-9CFD-80097B3D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18</Pages>
  <Words>6259</Words>
  <Characters>33855</Characters>
  <Application>Microsoft Office Word</Application>
  <DocSecurity>8</DocSecurity>
  <Lines>282</Lines>
  <Paragraphs>80</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40034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agulhon</cp:lastModifiedBy>
  <cp:revision>11</cp:revision>
  <cp:lastPrinted>2016-01-15T13:26:00Z</cp:lastPrinted>
  <dcterms:created xsi:type="dcterms:W3CDTF">2016-01-15T14:22:00Z</dcterms:created>
  <dcterms:modified xsi:type="dcterms:W3CDTF">2016-01-15T17:06:00Z</dcterms:modified>
</cp:coreProperties>
</file>