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p>
    <w:p w:rsidR="00C33ACE" w:rsidRPr="00C33ACE" w:rsidRDefault="00C33ACE" w:rsidP="00C33ACE"/>
    <w:p w:rsidR="00D34282" w:rsidRDefault="00D34282" w:rsidP="00D34282">
      <w:pPr>
        <w:rPr>
          <w:rStyle w:val="IntenseEmphasis"/>
        </w:rPr>
      </w:pPr>
      <w:r w:rsidRPr="001D47A5">
        <w:rPr>
          <w:rStyle w:val="IntenseEmphasis"/>
        </w:rPr>
        <w:t>Please make your introductory comments below, if any:</w:t>
      </w:r>
    </w:p>
    <w:p w:rsidR="002E2BC1" w:rsidRPr="001D47A5" w:rsidRDefault="002E2BC1" w:rsidP="00D34282">
      <w:pPr>
        <w:rPr>
          <w:rStyle w:val="IntenseEmphasis"/>
        </w:rPr>
      </w:pPr>
    </w:p>
    <w:p w:rsidR="00D34282" w:rsidRPr="00C25863" w:rsidRDefault="00D34282" w:rsidP="00D34282">
      <w:r w:rsidRPr="00C25863">
        <w:t>&lt;</w:t>
      </w:r>
      <w:r>
        <w:t>ESMA_COMMENT</w:t>
      </w:r>
      <w:r w:rsidRPr="00C25863">
        <w:t>_</w:t>
      </w:r>
      <w:r w:rsidR="000E35CB">
        <w:rPr>
          <w:rFonts w:cs="Arial"/>
        </w:rPr>
        <w:t>PRIIPS</w:t>
      </w:r>
      <w:r w:rsidRPr="00C25863">
        <w:t>_1&gt;</w:t>
      </w:r>
    </w:p>
    <w:p w:rsidR="001F7DEE" w:rsidRPr="001F7DEE" w:rsidRDefault="001F7DEE" w:rsidP="001F7DEE">
      <w:pPr>
        <w:jc w:val="both"/>
        <w:rPr>
          <w:b/>
        </w:rPr>
      </w:pPr>
      <w:permStart w:id="1332951385" w:edGrp="everyone"/>
      <w:r>
        <w:rPr>
          <w:b/>
        </w:rPr>
        <w:t>Introduction</w:t>
      </w:r>
    </w:p>
    <w:p w:rsidR="001F7DEE" w:rsidRDefault="000137FB" w:rsidP="001F7DEE">
      <w:pPr>
        <w:jc w:val="both"/>
      </w:pPr>
      <w:r>
        <w:t xml:space="preserve">The Federation of European Securities Exchanges (FESE) represents 36 exchanges in equities, bonds, derivatives and commodities through 19 Full Members from 30 countries, as well as 1 Affiliate Member and 1 Observer Member. </w:t>
      </w:r>
      <w:r w:rsidR="001F7DEE">
        <w:t>FESE is a keen defender of the Internal Market and many of its members have become multi-jurisdictional exchanges, providing market access across multiple investor communities. FESE represents public Regulated Markets. Regulated Markets provide both institutional and retail investors with transparent and neutral price-formation. Securities admitted to trading on our markets have to comply with stringent initial and ongoing disclosure requirements and accounting and auditing standards imposed by EU laws.</w:t>
      </w:r>
    </w:p>
    <w:p w:rsidR="001F7DEE" w:rsidRDefault="001F7DEE" w:rsidP="001F7DEE">
      <w:pPr>
        <w:jc w:val="both"/>
      </w:pPr>
    </w:p>
    <w:p w:rsidR="001F7DEE" w:rsidRDefault="001F7DEE" w:rsidP="001F7DEE">
      <w:pPr>
        <w:jc w:val="both"/>
      </w:pPr>
      <w:r>
        <w:t>At the end of 2014, FESE members had up to 9,051 companies listed on their markets, of which 7% are foreign companies contributing towards the European integration and providing broad and liquid access to Europe’s capital markets. Many of our members also organise specialised markets that allow small and medium sized companies across Europe to access the capital markets; 1,442 companies were listed in these specialised markets/segments in equity, increasing choice for investors and issuers. Through their RM and MTF operations, FESE members are keen to support the European Commission’s objective of creating a single market in capital markets.</w:t>
      </w:r>
    </w:p>
    <w:p w:rsidR="001F7DEE" w:rsidRDefault="001F7DEE" w:rsidP="001F7DEE">
      <w:pPr>
        <w:jc w:val="both"/>
      </w:pPr>
    </w:p>
    <w:p w:rsidR="000137FB" w:rsidRDefault="000137FB" w:rsidP="001F7DEE">
      <w:pPr>
        <w:jc w:val="both"/>
      </w:pPr>
      <w:r>
        <w:t>FESE is registered in the European Union Transparency Register with number 71488206456-23.</w:t>
      </w:r>
    </w:p>
    <w:p w:rsidR="000137FB" w:rsidRDefault="000137FB" w:rsidP="001F7DEE">
      <w:pPr>
        <w:jc w:val="both"/>
      </w:pPr>
    </w:p>
    <w:p w:rsidR="001B06CF" w:rsidRDefault="001B06CF" w:rsidP="001F7DEE">
      <w:pPr>
        <w:jc w:val="both"/>
        <w:rPr>
          <w:b/>
        </w:rPr>
      </w:pPr>
    </w:p>
    <w:p w:rsidR="001F7DEE" w:rsidRPr="001F7DEE" w:rsidRDefault="001F7DEE" w:rsidP="001F7DEE">
      <w:pPr>
        <w:jc w:val="both"/>
        <w:rPr>
          <w:b/>
        </w:rPr>
      </w:pPr>
      <w:r w:rsidRPr="001F7DEE">
        <w:rPr>
          <w:b/>
        </w:rPr>
        <w:t>Summary of response</w:t>
      </w:r>
    </w:p>
    <w:p w:rsidR="003441F6" w:rsidRDefault="003441F6" w:rsidP="003441F6">
      <w:pPr>
        <w:jc w:val="both"/>
      </w:pPr>
      <w:r>
        <w:t>FESE welcomes the opportunity to respond to the ESAs joint consultation on ‘</w:t>
      </w:r>
      <w:r w:rsidRPr="000137FB">
        <w:t>PRIIPs Key Information Documents</w:t>
      </w:r>
      <w:r>
        <w:t xml:space="preserve">’. </w:t>
      </w:r>
    </w:p>
    <w:p w:rsidR="003441F6" w:rsidRDefault="003441F6" w:rsidP="003441F6">
      <w:pPr>
        <w:jc w:val="both"/>
      </w:pPr>
    </w:p>
    <w:p w:rsidR="003441F6" w:rsidRDefault="003441F6" w:rsidP="003441F6">
      <w:pPr>
        <w:jc w:val="both"/>
        <w:rPr>
          <w:rFonts w:cs="Arial"/>
          <w:b/>
          <w:i/>
        </w:rPr>
      </w:pPr>
      <w:r>
        <w:rPr>
          <w:rFonts w:cs="Arial"/>
          <w:b/>
          <w:i/>
        </w:rPr>
        <w:t xml:space="preserve">In this response we </w:t>
      </w:r>
      <w:r w:rsidRPr="00025D7F">
        <w:rPr>
          <w:rFonts w:cs="Arial"/>
          <w:b/>
          <w:i/>
        </w:rPr>
        <w:t xml:space="preserve">present our reasoning, why exchanges and exchange traded derivatives are out of scope </w:t>
      </w:r>
      <w:r>
        <w:rPr>
          <w:rFonts w:cs="Arial"/>
          <w:b/>
          <w:i/>
        </w:rPr>
        <w:t xml:space="preserve">of the PRIIPs Regulation, </w:t>
      </w:r>
      <w:r w:rsidRPr="00025D7F">
        <w:rPr>
          <w:rFonts w:cs="Arial"/>
          <w:b/>
          <w:i/>
        </w:rPr>
        <w:t xml:space="preserve">and hereby confirm the understanding </w:t>
      </w:r>
      <w:r>
        <w:rPr>
          <w:rFonts w:cs="Arial"/>
          <w:b/>
          <w:i/>
        </w:rPr>
        <w:t>based on</w:t>
      </w:r>
      <w:r w:rsidRPr="00025D7F">
        <w:rPr>
          <w:rFonts w:cs="Arial"/>
          <w:b/>
          <w:i/>
        </w:rPr>
        <w:t xml:space="preserve"> </w:t>
      </w:r>
      <w:r>
        <w:rPr>
          <w:rFonts w:cs="Arial"/>
          <w:b/>
          <w:i/>
        </w:rPr>
        <w:t xml:space="preserve">the </w:t>
      </w:r>
      <w:r w:rsidRPr="00025D7F">
        <w:rPr>
          <w:rFonts w:cs="Arial"/>
          <w:b/>
          <w:i/>
        </w:rPr>
        <w:t xml:space="preserve">Level 1 </w:t>
      </w:r>
      <w:r>
        <w:rPr>
          <w:rFonts w:cs="Arial"/>
          <w:b/>
          <w:i/>
        </w:rPr>
        <w:t xml:space="preserve">text </w:t>
      </w:r>
      <w:r w:rsidRPr="00025D7F">
        <w:rPr>
          <w:rFonts w:cs="Arial"/>
          <w:b/>
          <w:i/>
        </w:rPr>
        <w:t xml:space="preserve">and the reasoning in this consultation that regulated markets and ETD contracts are not in scope of this </w:t>
      </w:r>
      <w:r>
        <w:rPr>
          <w:rFonts w:cs="Arial"/>
          <w:b/>
          <w:i/>
        </w:rPr>
        <w:t>R</w:t>
      </w:r>
      <w:r w:rsidRPr="00025D7F">
        <w:rPr>
          <w:rFonts w:cs="Arial"/>
          <w:b/>
          <w:i/>
        </w:rPr>
        <w:t>egulation.</w:t>
      </w:r>
    </w:p>
    <w:p w:rsidR="003441F6" w:rsidRDefault="003441F6" w:rsidP="003441F6">
      <w:pPr>
        <w:jc w:val="both"/>
        <w:rPr>
          <w:rFonts w:cs="Calibri"/>
          <w:lang w:val="en-US"/>
        </w:rPr>
      </w:pPr>
    </w:p>
    <w:p w:rsidR="003441F6" w:rsidRDefault="003441F6" w:rsidP="003441F6">
      <w:pPr>
        <w:jc w:val="both"/>
        <w:rPr>
          <w:rFonts w:cs="Calibri"/>
          <w:lang w:val="en-US"/>
        </w:rPr>
      </w:pPr>
      <w:r>
        <w:rPr>
          <w:rFonts w:cs="Calibri"/>
          <w:lang w:val="en-US"/>
        </w:rPr>
        <w:t>From our assessment of EU legislative texts, explanatory memorandum, impact assessments as well as Commission Communications, we find no explicit reference to the fact that listed derivatives are automatically and necessarily captured within the scope of the PRIIPs Regulation.</w:t>
      </w:r>
    </w:p>
    <w:p w:rsidR="003441F6" w:rsidRDefault="003441F6" w:rsidP="003441F6">
      <w:pPr>
        <w:jc w:val="both"/>
        <w:rPr>
          <w:rFonts w:cs="Calibri"/>
          <w:lang w:val="en-US"/>
        </w:rPr>
      </w:pPr>
    </w:p>
    <w:p w:rsidR="003441F6" w:rsidRDefault="003441F6" w:rsidP="003441F6">
      <w:pPr>
        <w:jc w:val="both"/>
        <w:rPr>
          <w:rFonts w:cs="Calibri"/>
          <w:lang w:val="en-US"/>
        </w:rPr>
      </w:pPr>
      <w:r>
        <w:rPr>
          <w:rFonts w:cs="Calibri"/>
          <w:lang w:val="en-US"/>
        </w:rPr>
        <w:t>An important initial reference can be found in Section 3.4.1 of the Commission Proposal’s Explanatory Memorandum which states that:</w:t>
      </w:r>
    </w:p>
    <w:p w:rsidR="003441F6" w:rsidRDefault="003441F6" w:rsidP="003441F6">
      <w:pPr>
        <w:jc w:val="both"/>
        <w:rPr>
          <w:rFonts w:cs="Calibri"/>
          <w:lang w:val="en-US"/>
        </w:rPr>
      </w:pPr>
    </w:p>
    <w:p w:rsidR="003441F6" w:rsidRPr="007077CB" w:rsidRDefault="003441F6" w:rsidP="003441F6">
      <w:pPr>
        <w:ind w:left="720"/>
        <w:jc w:val="both"/>
        <w:rPr>
          <w:rFonts w:cs="Calibri"/>
          <w:i/>
          <w:sz w:val="18"/>
          <w:szCs w:val="18"/>
          <w:lang w:val="en-US"/>
        </w:rPr>
      </w:pPr>
      <w:r w:rsidRPr="007077CB">
        <w:rPr>
          <w:rFonts w:cs="Calibri"/>
          <w:i/>
          <w:sz w:val="18"/>
          <w:szCs w:val="18"/>
          <w:lang w:val="en-US"/>
        </w:rPr>
        <w:t xml:space="preserve">“Such investment products expose the investor to fluctuations in the market value of assets or in the payouts to be achieved from assets. But this exposure is not of the direct kind, as for instance when an investor buys specific assets themselves. </w:t>
      </w:r>
      <w:r w:rsidRPr="007077CB">
        <w:rPr>
          <w:rFonts w:cs="Calibri"/>
          <w:i/>
          <w:sz w:val="18"/>
          <w:szCs w:val="18"/>
          <w:u w:val="single"/>
          <w:lang w:val="en-US"/>
        </w:rPr>
        <w:t>Instead these products and those that manufacture them intercede between the investor and the markets</w:t>
      </w:r>
      <w:r w:rsidRPr="007077CB">
        <w:rPr>
          <w:rFonts w:cs="Calibri"/>
          <w:i/>
          <w:sz w:val="18"/>
          <w:szCs w:val="18"/>
          <w:lang w:val="en-US"/>
        </w:rPr>
        <w:t xml:space="preserve">, </w:t>
      </w:r>
      <w:r w:rsidRPr="007077CB">
        <w:rPr>
          <w:rFonts w:cs="Calibri"/>
          <w:i/>
          <w:sz w:val="18"/>
          <w:szCs w:val="18"/>
          <w:u w:val="single"/>
          <w:lang w:val="en-US"/>
        </w:rPr>
        <w:t xml:space="preserve">through a combination of wrapping of those assets, or other mechanisms that differ from a direct holding </w:t>
      </w:r>
      <w:r w:rsidRPr="007077CB">
        <w:rPr>
          <w:rFonts w:cs="Calibri"/>
          <w:i/>
          <w:sz w:val="18"/>
          <w:szCs w:val="18"/>
          <w:lang w:val="en-US"/>
        </w:rPr>
        <w:t xml:space="preserve">("packaging"). </w:t>
      </w:r>
    </w:p>
    <w:p w:rsidR="003441F6" w:rsidRDefault="003441F6" w:rsidP="003441F6">
      <w:pPr>
        <w:jc w:val="both"/>
        <w:rPr>
          <w:rFonts w:cstheme="minorBidi"/>
          <w:lang w:val="en-US"/>
        </w:rPr>
      </w:pPr>
    </w:p>
    <w:p w:rsidR="003441F6" w:rsidRDefault="003441F6" w:rsidP="003441F6">
      <w:pPr>
        <w:jc w:val="both"/>
        <w:rPr>
          <w:lang w:val="en-US"/>
        </w:rPr>
      </w:pPr>
    </w:p>
    <w:p w:rsidR="003441F6" w:rsidRDefault="003441F6" w:rsidP="003441F6">
      <w:pPr>
        <w:jc w:val="both"/>
        <w:rPr>
          <w:rFonts w:cs="Calibri"/>
          <w:lang w:val="en-US"/>
        </w:rPr>
      </w:pPr>
      <w:r>
        <w:rPr>
          <w:lang w:val="en-US"/>
        </w:rPr>
        <w:t xml:space="preserve">Listed derivatives such as options and futures do not match this description and therefore do not fulfill the criteria established in the PRIIPs Regulation. They are contracts, the </w:t>
      </w:r>
      <w:r w:rsidRPr="00507963">
        <w:rPr>
          <w:lang w:val="en-US"/>
        </w:rPr>
        <w:t xml:space="preserve">conditions of which are designed by Regulated Markets. In no way does a Regulated Market intercede between the market and the investors, as we are the market. </w:t>
      </w:r>
      <w:r w:rsidRPr="00507963">
        <w:rPr>
          <w:rFonts w:cs="Calibri"/>
          <w:lang w:val="en-US"/>
        </w:rPr>
        <w:t>Regulated Markets publish the conditions for their contracts on their website (which lists all of the information on the products and is available for everyone to read) and the traders (be it</w:t>
      </w:r>
      <w:r>
        <w:rPr>
          <w:rFonts w:cs="Calibri"/>
          <w:lang w:val="en-US"/>
        </w:rPr>
        <w:t xml:space="preserve"> professional or brokers acting on behalf of their clients) buy and sell these products. </w:t>
      </w:r>
    </w:p>
    <w:p w:rsidR="003441F6" w:rsidRPr="0060678F" w:rsidRDefault="003441F6" w:rsidP="003441F6">
      <w:pPr>
        <w:pStyle w:val="Default"/>
        <w:jc w:val="both"/>
        <w:rPr>
          <w:rFonts w:ascii="Arial" w:hAnsi="Arial" w:cs="Arial"/>
          <w:sz w:val="20"/>
          <w:szCs w:val="20"/>
          <w:lang w:val="en-GB"/>
        </w:rPr>
      </w:pPr>
    </w:p>
    <w:p w:rsidR="003441F6" w:rsidRPr="0060678F" w:rsidRDefault="003441F6" w:rsidP="003441F6">
      <w:pPr>
        <w:pStyle w:val="Default"/>
        <w:jc w:val="both"/>
        <w:rPr>
          <w:rFonts w:ascii="Arial" w:hAnsi="Arial" w:cs="Arial"/>
          <w:bCs/>
          <w:sz w:val="20"/>
          <w:szCs w:val="20"/>
          <w:lang w:val="en-GB"/>
        </w:rPr>
      </w:pPr>
      <w:r w:rsidRPr="0060678F">
        <w:rPr>
          <w:rFonts w:ascii="Arial" w:hAnsi="Arial" w:cs="Arial"/>
          <w:sz w:val="20"/>
          <w:szCs w:val="20"/>
          <w:lang w:val="en-GB"/>
        </w:rPr>
        <w:t>A ‘Packaged Retail Investment Product’ (‘PRIP’) is defined in Article 4(1) of the PRIIPs Regulation (</w:t>
      </w:r>
      <w:r w:rsidRPr="0060678F">
        <w:rPr>
          <w:rFonts w:ascii="Arial" w:hAnsi="Arial" w:cs="Arial"/>
          <w:bCs/>
          <w:sz w:val="20"/>
          <w:szCs w:val="20"/>
          <w:lang w:val="en-GB"/>
        </w:rPr>
        <w:t>Regulation (EU) No 1286/2014):</w:t>
      </w:r>
    </w:p>
    <w:p w:rsidR="003441F6" w:rsidRPr="0060678F" w:rsidRDefault="003441F6" w:rsidP="003441F6">
      <w:pPr>
        <w:pStyle w:val="Default"/>
        <w:jc w:val="both"/>
        <w:rPr>
          <w:rFonts w:ascii="Arial" w:hAnsi="Arial" w:cs="Arial"/>
          <w:sz w:val="20"/>
          <w:szCs w:val="20"/>
          <w:lang w:val="en-GB"/>
        </w:rPr>
      </w:pPr>
    </w:p>
    <w:p w:rsidR="003441F6" w:rsidRPr="0060678F" w:rsidRDefault="003441F6" w:rsidP="003441F6">
      <w:pPr>
        <w:pStyle w:val="CM4"/>
        <w:jc w:val="both"/>
        <w:rPr>
          <w:rFonts w:ascii="Arial" w:hAnsi="Arial" w:cs="Arial"/>
          <w:i/>
          <w:color w:val="000000"/>
          <w:sz w:val="18"/>
          <w:szCs w:val="18"/>
          <w:lang w:val="en-GB"/>
        </w:rPr>
      </w:pPr>
      <w:r w:rsidRPr="0060678F">
        <w:rPr>
          <w:rFonts w:ascii="Arial" w:hAnsi="Arial" w:cs="Arial"/>
          <w:i/>
          <w:color w:val="000000"/>
          <w:sz w:val="18"/>
          <w:szCs w:val="18"/>
          <w:lang w:val="en-GB"/>
        </w:rPr>
        <w:t xml:space="preserve">For the purposes of this Regulation, the following definitions apply: </w:t>
      </w:r>
    </w:p>
    <w:p w:rsidR="003441F6" w:rsidRPr="00507963" w:rsidRDefault="003441F6" w:rsidP="003441F6">
      <w:pPr>
        <w:rPr>
          <w:lang w:val="en-US" w:eastAsia="en-US"/>
        </w:rPr>
      </w:pPr>
    </w:p>
    <w:p w:rsidR="003441F6" w:rsidRPr="0060678F" w:rsidRDefault="003441F6" w:rsidP="003129E0">
      <w:pPr>
        <w:pStyle w:val="CM4"/>
        <w:numPr>
          <w:ilvl w:val="0"/>
          <w:numId w:val="40"/>
        </w:numPr>
        <w:jc w:val="both"/>
        <w:rPr>
          <w:rFonts w:ascii="Arial" w:hAnsi="Arial" w:cs="Arial"/>
          <w:i/>
          <w:color w:val="000000"/>
          <w:sz w:val="18"/>
          <w:szCs w:val="18"/>
          <w:lang w:val="en-GB"/>
        </w:rPr>
      </w:pPr>
      <w:r w:rsidRPr="0060678F">
        <w:rPr>
          <w:rFonts w:ascii="Arial" w:hAnsi="Arial" w:cs="Arial"/>
          <w:i/>
          <w:color w:val="000000"/>
          <w:sz w:val="18"/>
          <w:szCs w:val="18"/>
          <w:lang w:val="en-GB"/>
        </w:rPr>
        <w:t xml:space="preserve">‘packaged retail investment product’ or </w:t>
      </w:r>
      <w:r w:rsidRPr="0060678F">
        <w:rPr>
          <w:rFonts w:ascii="Arial" w:hAnsi="Arial" w:cs="Arial"/>
          <w:b/>
          <w:i/>
          <w:color w:val="000000"/>
          <w:sz w:val="18"/>
          <w:szCs w:val="18"/>
          <w:lang w:val="en-GB"/>
        </w:rPr>
        <w:t xml:space="preserve">‘PRIP’ </w:t>
      </w:r>
      <w:r w:rsidRPr="0060678F">
        <w:rPr>
          <w:rFonts w:ascii="Arial" w:hAnsi="Arial" w:cs="Arial"/>
          <w:i/>
          <w:color w:val="000000"/>
          <w:sz w:val="18"/>
          <w:szCs w:val="18"/>
          <w:lang w:val="en-GB"/>
        </w:rPr>
        <w:t xml:space="preserve">means </w:t>
      </w:r>
      <w:r w:rsidRPr="0060678F">
        <w:rPr>
          <w:rFonts w:ascii="Arial" w:hAnsi="Arial" w:cs="Arial"/>
          <w:b/>
          <w:i/>
          <w:color w:val="000000"/>
          <w:sz w:val="18"/>
          <w:szCs w:val="18"/>
          <w:lang w:val="en-GB"/>
        </w:rPr>
        <w:t xml:space="preserve">an investment, including instruments issued by special purpose vehicles </w:t>
      </w:r>
      <w:r w:rsidRPr="0060678F">
        <w:rPr>
          <w:rFonts w:ascii="Arial" w:hAnsi="Arial" w:cs="Arial"/>
          <w:i/>
          <w:color w:val="000000"/>
          <w:sz w:val="18"/>
          <w:szCs w:val="18"/>
          <w:lang w:val="en-GB"/>
        </w:rPr>
        <w:t xml:space="preserve">as defined in point (26) of Article 13 of Directive 2009/138/EC </w:t>
      </w:r>
      <w:r w:rsidRPr="0060678F">
        <w:rPr>
          <w:rFonts w:ascii="Arial" w:hAnsi="Arial" w:cs="Arial"/>
          <w:b/>
          <w:i/>
          <w:color w:val="000000"/>
          <w:sz w:val="18"/>
          <w:szCs w:val="18"/>
          <w:lang w:val="en-GB"/>
        </w:rPr>
        <w:t xml:space="preserve">or securitisation special purpose entities </w:t>
      </w:r>
      <w:r w:rsidRPr="0060678F">
        <w:rPr>
          <w:rFonts w:ascii="Arial" w:hAnsi="Arial" w:cs="Arial"/>
          <w:i/>
          <w:color w:val="000000"/>
          <w:sz w:val="18"/>
          <w:szCs w:val="18"/>
          <w:lang w:val="en-GB"/>
        </w:rPr>
        <w:t xml:space="preserve">as defined in point (an) of Article 4(1) of the Directive 2011/61/EU of the European Parliament and of the Council ( 2 ), where, regardless of the legal form of the investment, the amount repayable to the retail investor is subject to fluctuations because of exposure to reference values or to the performance of one or more assets which are not directly purchased by the retail investor; </w:t>
      </w:r>
    </w:p>
    <w:p w:rsidR="003441F6" w:rsidRDefault="003441F6" w:rsidP="003441F6">
      <w:pPr>
        <w:jc w:val="both"/>
        <w:rPr>
          <w:rFonts w:cs="Arial"/>
        </w:rPr>
      </w:pPr>
    </w:p>
    <w:p w:rsidR="003441F6" w:rsidRDefault="003441F6" w:rsidP="003441F6">
      <w:pPr>
        <w:jc w:val="both"/>
        <w:rPr>
          <w:rFonts w:cs="Arial"/>
        </w:rPr>
      </w:pPr>
    </w:p>
    <w:p w:rsidR="003441F6" w:rsidRDefault="003441F6" w:rsidP="003441F6">
      <w:pPr>
        <w:jc w:val="both"/>
        <w:rPr>
          <w:rFonts w:cs="Arial"/>
        </w:rPr>
      </w:pPr>
      <w:r w:rsidRPr="00B72613">
        <w:rPr>
          <w:rFonts w:cs="Arial"/>
        </w:rPr>
        <w:t>As such</w:t>
      </w:r>
      <w:r>
        <w:rPr>
          <w:rFonts w:cs="Arial"/>
        </w:rPr>
        <w:t>, it is clearly laid down</w:t>
      </w:r>
      <w:r w:rsidRPr="00B72613">
        <w:rPr>
          <w:rFonts w:cs="Arial"/>
        </w:rPr>
        <w:t xml:space="preserve"> </w:t>
      </w:r>
      <w:r>
        <w:rPr>
          <w:rFonts w:cs="Arial"/>
        </w:rPr>
        <w:t xml:space="preserve">in the Regulation that when referring to a ‘PRIIP’, what is meant is an investment including instruments issued by a </w:t>
      </w:r>
      <w:r w:rsidRPr="00B72613">
        <w:rPr>
          <w:rFonts w:cs="Arial"/>
        </w:rPr>
        <w:t>special purpose vehicle</w:t>
      </w:r>
      <w:r>
        <w:rPr>
          <w:rFonts w:cs="Arial"/>
        </w:rPr>
        <w:t xml:space="preserve"> or securitized instruments by special purpose entities. </w:t>
      </w:r>
    </w:p>
    <w:p w:rsidR="003441F6" w:rsidRDefault="003441F6" w:rsidP="003441F6">
      <w:pPr>
        <w:jc w:val="both"/>
        <w:rPr>
          <w:rFonts w:cs="Arial"/>
        </w:rPr>
      </w:pPr>
    </w:p>
    <w:p w:rsidR="003441F6" w:rsidRDefault="003441F6" w:rsidP="003441F6">
      <w:pPr>
        <w:jc w:val="both"/>
        <w:rPr>
          <w:rFonts w:cs="Arial"/>
        </w:rPr>
      </w:pPr>
      <w:r>
        <w:rPr>
          <w:rFonts w:cs="Arial"/>
        </w:rPr>
        <w:t>In addition, the definition of a ‘PRIIP manufacturer’ (Article 4(4) of the PRIIPs Regulation) refers back to the PRIP/PRIIP definition:</w:t>
      </w:r>
    </w:p>
    <w:p w:rsidR="003441F6" w:rsidRDefault="003441F6" w:rsidP="003441F6">
      <w:pPr>
        <w:jc w:val="both"/>
        <w:rPr>
          <w:rFonts w:cs="Arial"/>
        </w:rPr>
      </w:pPr>
    </w:p>
    <w:p w:rsidR="003441F6" w:rsidRPr="0060678F" w:rsidRDefault="003441F6" w:rsidP="003129E0">
      <w:pPr>
        <w:pStyle w:val="CM4"/>
        <w:numPr>
          <w:ilvl w:val="0"/>
          <w:numId w:val="41"/>
        </w:numPr>
        <w:jc w:val="both"/>
        <w:rPr>
          <w:rFonts w:ascii="Arial" w:hAnsi="Arial" w:cs="Arial"/>
          <w:i/>
          <w:color w:val="000000"/>
          <w:sz w:val="18"/>
          <w:szCs w:val="18"/>
          <w:lang w:val="en-GB"/>
        </w:rPr>
      </w:pPr>
      <w:r w:rsidRPr="0060678F">
        <w:rPr>
          <w:rFonts w:ascii="Arial" w:hAnsi="Arial" w:cs="Arial"/>
          <w:i/>
          <w:color w:val="000000"/>
          <w:sz w:val="18"/>
          <w:szCs w:val="18"/>
          <w:lang w:val="en-GB"/>
        </w:rPr>
        <w:t xml:space="preserve"> ‘packaged retail and insurance-based investment product manufacturer’ or ‘</w:t>
      </w:r>
      <w:r w:rsidRPr="0060678F">
        <w:rPr>
          <w:rFonts w:ascii="Arial" w:hAnsi="Arial" w:cs="Arial"/>
          <w:b/>
          <w:i/>
          <w:color w:val="000000"/>
          <w:sz w:val="18"/>
          <w:szCs w:val="18"/>
          <w:lang w:val="en-GB"/>
        </w:rPr>
        <w:t>PRIIP manufacturer’</w:t>
      </w:r>
      <w:r w:rsidRPr="0060678F">
        <w:rPr>
          <w:rFonts w:ascii="Arial" w:hAnsi="Arial" w:cs="Arial"/>
          <w:i/>
          <w:color w:val="000000"/>
          <w:sz w:val="18"/>
          <w:szCs w:val="18"/>
          <w:lang w:val="en-GB"/>
        </w:rPr>
        <w:t xml:space="preserve"> means:</w:t>
      </w:r>
    </w:p>
    <w:p w:rsidR="003441F6" w:rsidRPr="00E41415" w:rsidRDefault="003441F6" w:rsidP="003441F6">
      <w:pPr>
        <w:rPr>
          <w:lang w:val="en-US" w:eastAsia="en-US"/>
        </w:rPr>
      </w:pPr>
    </w:p>
    <w:p w:rsidR="003441F6" w:rsidRPr="0060678F" w:rsidRDefault="003441F6" w:rsidP="003441F6">
      <w:pPr>
        <w:pStyle w:val="CM4"/>
        <w:ind w:left="426" w:firstLine="294"/>
        <w:jc w:val="both"/>
        <w:rPr>
          <w:rFonts w:ascii="Arial" w:hAnsi="Arial" w:cs="Arial"/>
          <w:i/>
          <w:color w:val="000000"/>
          <w:sz w:val="18"/>
          <w:szCs w:val="18"/>
          <w:lang w:val="en-GB"/>
        </w:rPr>
      </w:pPr>
      <w:r w:rsidRPr="0060678F">
        <w:rPr>
          <w:rFonts w:ascii="Arial" w:hAnsi="Arial" w:cs="Arial"/>
          <w:i/>
          <w:color w:val="000000"/>
          <w:sz w:val="18"/>
          <w:szCs w:val="18"/>
          <w:lang w:val="en-GB"/>
        </w:rPr>
        <w:t xml:space="preserve">(a) </w:t>
      </w:r>
      <w:proofErr w:type="gramStart"/>
      <w:r w:rsidRPr="0060678F">
        <w:rPr>
          <w:rFonts w:ascii="Arial" w:hAnsi="Arial" w:cs="Arial"/>
          <w:b/>
          <w:i/>
          <w:color w:val="000000"/>
          <w:sz w:val="18"/>
          <w:szCs w:val="18"/>
          <w:lang w:val="en-GB"/>
        </w:rPr>
        <w:t>any</w:t>
      </w:r>
      <w:proofErr w:type="gramEnd"/>
      <w:r w:rsidRPr="0060678F">
        <w:rPr>
          <w:rFonts w:ascii="Arial" w:hAnsi="Arial" w:cs="Arial"/>
          <w:b/>
          <w:i/>
          <w:color w:val="000000"/>
          <w:sz w:val="18"/>
          <w:szCs w:val="18"/>
          <w:lang w:val="en-GB"/>
        </w:rPr>
        <w:t xml:space="preserve"> entity that manufactures PRIIPs;</w:t>
      </w:r>
      <w:r w:rsidRPr="0060678F">
        <w:rPr>
          <w:rFonts w:ascii="Arial" w:hAnsi="Arial" w:cs="Arial"/>
          <w:i/>
          <w:color w:val="000000"/>
          <w:sz w:val="18"/>
          <w:szCs w:val="18"/>
          <w:lang w:val="en-GB"/>
        </w:rPr>
        <w:t xml:space="preserve"> </w:t>
      </w:r>
    </w:p>
    <w:p w:rsidR="003441F6" w:rsidRPr="0060678F" w:rsidRDefault="003441F6" w:rsidP="003441F6">
      <w:pPr>
        <w:pStyle w:val="CM4"/>
        <w:ind w:left="720"/>
        <w:jc w:val="both"/>
        <w:rPr>
          <w:rFonts w:ascii="Arial" w:hAnsi="Arial" w:cs="Arial"/>
          <w:i/>
          <w:color w:val="000000"/>
          <w:sz w:val="18"/>
          <w:szCs w:val="18"/>
          <w:lang w:val="en-GB"/>
        </w:rPr>
      </w:pPr>
    </w:p>
    <w:p w:rsidR="003441F6" w:rsidRPr="0060678F" w:rsidRDefault="003441F6" w:rsidP="003441F6">
      <w:pPr>
        <w:pStyle w:val="CM4"/>
        <w:ind w:left="720"/>
        <w:jc w:val="both"/>
        <w:rPr>
          <w:rFonts w:ascii="Arial" w:hAnsi="Arial" w:cs="Arial"/>
          <w:i/>
          <w:color w:val="000000"/>
          <w:sz w:val="18"/>
          <w:szCs w:val="18"/>
          <w:lang w:val="en-GB"/>
        </w:rPr>
      </w:pPr>
      <w:r w:rsidRPr="0060678F">
        <w:rPr>
          <w:rFonts w:ascii="Arial" w:hAnsi="Arial" w:cs="Arial"/>
          <w:i/>
          <w:color w:val="000000"/>
          <w:sz w:val="18"/>
          <w:szCs w:val="18"/>
          <w:lang w:val="en-GB"/>
        </w:rPr>
        <w:t xml:space="preserve">(b) any entity that makes </w:t>
      </w:r>
      <w:r w:rsidRPr="0060678F">
        <w:rPr>
          <w:rFonts w:ascii="Arial" w:hAnsi="Arial" w:cs="Arial"/>
          <w:b/>
          <w:i/>
          <w:color w:val="000000"/>
          <w:sz w:val="18"/>
          <w:szCs w:val="18"/>
          <w:lang w:val="en-GB"/>
        </w:rPr>
        <w:t>changes to an existing PRIIP</w:t>
      </w:r>
      <w:r w:rsidRPr="0060678F">
        <w:rPr>
          <w:rFonts w:ascii="Arial" w:hAnsi="Arial" w:cs="Arial"/>
          <w:i/>
          <w:color w:val="000000"/>
          <w:sz w:val="18"/>
          <w:szCs w:val="18"/>
          <w:lang w:val="en-GB"/>
        </w:rPr>
        <w:t xml:space="preserve"> including, but not limited to, altering its risk and reward profile or the costs associated with an investment in a PRIIP; </w:t>
      </w:r>
    </w:p>
    <w:p w:rsidR="003441F6" w:rsidRPr="004719AF" w:rsidRDefault="003441F6" w:rsidP="003441F6">
      <w:pPr>
        <w:jc w:val="both"/>
        <w:rPr>
          <w:rFonts w:cs="Arial"/>
          <w:sz w:val="18"/>
          <w:szCs w:val="18"/>
        </w:rPr>
      </w:pPr>
    </w:p>
    <w:p w:rsidR="003441F6" w:rsidRDefault="003441F6" w:rsidP="003441F6">
      <w:pPr>
        <w:jc w:val="both"/>
        <w:rPr>
          <w:rFonts w:cs="Arial"/>
        </w:rPr>
      </w:pPr>
    </w:p>
    <w:p w:rsidR="003441F6" w:rsidRDefault="003441F6" w:rsidP="003441F6">
      <w:pPr>
        <w:jc w:val="both"/>
        <w:rPr>
          <w:rFonts w:cs="Arial"/>
        </w:rPr>
      </w:pPr>
      <w:r>
        <w:rPr>
          <w:rFonts w:cs="Arial"/>
        </w:rPr>
        <w:t>Clearly, regulated markets/exchanges are not issuers, and are not a special purpose vehicle offering an investment, and are also not securitizing instruments. As a consequence, a regulated market is not captured in this definition in Article 4(1). Stemming from this understanding, it is further concluded that a regulated market is also not a manufacturer, since the definition in Article 4(4) describes a manufacturer as an entity that is manufacturing such PRIPs/PRIIPs and thus refers back to Article 4(1). Moreover, Recital 12 of the PRIIPs Regulation gives further guidance on the understanding of who actually would qualify as a PRIIP manufacturer, namely, a fund manager, insurance undertaking, credit institution or investment firm.</w:t>
      </w:r>
    </w:p>
    <w:p w:rsidR="003441F6" w:rsidRDefault="003441F6" w:rsidP="003441F6">
      <w:pPr>
        <w:jc w:val="both"/>
        <w:rPr>
          <w:rFonts w:cs="Arial"/>
        </w:rPr>
      </w:pPr>
    </w:p>
    <w:p w:rsidR="003441F6" w:rsidRPr="00507963" w:rsidRDefault="003441F6" w:rsidP="003441F6">
      <w:pPr>
        <w:jc w:val="both"/>
        <w:rPr>
          <w:lang w:val="en-US"/>
        </w:rPr>
      </w:pPr>
      <w:r>
        <w:t xml:space="preserve">It is also important to recognise </w:t>
      </w:r>
      <w:r w:rsidRPr="00133EAD">
        <w:t xml:space="preserve">that </w:t>
      </w:r>
      <w:r>
        <w:t xml:space="preserve">listed </w:t>
      </w:r>
      <w:r w:rsidRPr="00133EAD">
        <w:t xml:space="preserve">derivatives are financial instruments </w:t>
      </w:r>
      <w:r>
        <w:t>and</w:t>
      </w:r>
      <w:r w:rsidRPr="00133EAD">
        <w:t xml:space="preserve"> </w:t>
      </w:r>
      <w:r w:rsidRPr="00507963">
        <w:t xml:space="preserve">not investments. They are designed for risk management purposes and </w:t>
      </w:r>
      <w:r w:rsidR="006E0B4C">
        <w:t>hedging</w:t>
      </w:r>
      <w:r w:rsidRPr="00507963">
        <w:t xml:space="preserve"> but not ‘investment’ in the generally understood meaning of the word.</w:t>
      </w:r>
    </w:p>
    <w:p w:rsidR="003441F6" w:rsidRPr="00507963" w:rsidRDefault="003441F6" w:rsidP="003441F6">
      <w:pPr>
        <w:jc w:val="both"/>
        <w:rPr>
          <w:rFonts w:cs="Calibri"/>
          <w:lang w:val="en-US"/>
        </w:rPr>
      </w:pPr>
    </w:p>
    <w:p w:rsidR="009D75F1" w:rsidRDefault="003441F6" w:rsidP="009D75F1">
      <w:pPr>
        <w:jc w:val="both"/>
        <w:rPr>
          <w:rFonts w:asciiTheme="minorHAnsi" w:hAnsiTheme="minorHAnsi" w:cs="Calibri"/>
          <w:sz w:val="22"/>
          <w:szCs w:val="22"/>
          <w:lang w:val="en-US" w:eastAsia="en-US"/>
        </w:rPr>
      </w:pPr>
      <w:r w:rsidRPr="00507963">
        <w:rPr>
          <w:rFonts w:cs="Calibri"/>
          <w:lang w:val="en-US"/>
        </w:rPr>
        <w:t>Furthermore, options and futures are not packaged, and do not modify the nature of the exposure of the purchaser to the underlying. In listed derivatives such as Options and Futures, there are no additional layers of complexity, or packaging which would make the investment less transparent. There is no creation or packaging of specifically tailored products that promise or indicate a return on investment</w:t>
      </w:r>
      <w:r>
        <w:rPr>
          <w:rFonts w:cs="Calibri"/>
          <w:lang w:val="en-US"/>
        </w:rPr>
        <w:t>. The opposite is the case: options and futures do not promise any return on investment but simply reflect the direction of the underlying and traders can use that (for instance) as a hedge to their equity investments. In this respect we cannot see how this proposal was ever intended to - and could - legally capture these products.</w:t>
      </w:r>
      <w:r w:rsidR="009D75F1">
        <w:rPr>
          <w:rFonts w:cs="Calibri"/>
          <w:lang w:val="en-US"/>
        </w:rPr>
        <w:t xml:space="preserve"> </w:t>
      </w:r>
      <w:r w:rsidR="009D75F1">
        <w:rPr>
          <w:bCs/>
          <w:lang w:val="en-US"/>
        </w:rPr>
        <w:t>F</w:t>
      </w:r>
      <w:r w:rsidR="009D75F1" w:rsidRPr="000E32DA">
        <w:rPr>
          <w:bCs/>
          <w:lang w:val="en-US"/>
        </w:rPr>
        <w:t xml:space="preserve">urther details </w:t>
      </w:r>
      <w:r w:rsidR="009D75F1">
        <w:rPr>
          <w:bCs/>
          <w:lang w:val="en-US"/>
        </w:rPr>
        <w:t xml:space="preserve">are </w:t>
      </w:r>
      <w:r w:rsidR="009D75F1" w:rsidRPr="00DC6CD0">
        <w:rPr>
          <w:bCs/>
          <w:lang w:val="en-US"/>
        </w:rPr>
        <w:t>provided in Annex I</w:t>
      </w:r>
      <w:r w:rsidR="009D75F1">
        <w:rPr>
          <w:bCs/>
          <w:lang w:val="en-US"/>
        </w:rPr>
        <w:t>.</w:t>
      </w:r>
    </w:p>
    <w:p w:rsidR="003441F6" w:rsidRDefault="003441F6" w:rsidP="003441F6">
      <w:pPr>
        <w:jc w:val="both"/>
        <w:rPr>
          <w:rFonts w:cs="Calibri"/>
          <w:lang w:val="en-US"/>
        </w:rPr>
      </w:pPr>
      <w:bookmarkStart w:id="3" w:name="_GoBack"/>
      <w:bookmarkEnd w:id="3"/>
    </w:p>
    <w:p w:rsidR="003441F6" w:rsidRDefault="003441F6" w:rsidP="003441F6">
      <w:pPr>
        <w:jc w:val="both"/>
        <w:rPr>
          <w:rFonts w:cs="Arial"/>
        </w:rPr>
      </w:pPr>
      <w:r>
        <w:rPr>
          <w:rFonts w:cs="Arial"/>
        </w:rPr>
        <w:t>While it is clear in the Level 1 text that listed derivatives, such as options and futures, are not captured in the scope of the PRIIPs Regulation, this understanding is further strengthened by the ESAs in this consultation paper, where further clarification is provided that the PRIIPs Regulation covers investments or instruments that are issued as securitized instruments or have been issued by special purpose vehicles.</w:t>
      </w:r>
    </w:p>
    <w:p w:rsidR="003441F6" w:rsidRDefault="003441F6" w:rsidP="003441F6">
      <w:pPr>
        <w:jc w:val="both"/>
        <w:rPr>
          <w:rFonts w:cs="Arial"/>
        </w:rPr>
      </w:pPr>
    </w:p>
    <w:p w:rsidR="003441F6" w:rsidRPr="00507963" w:rsidRDefault="003441F6" w:rsidP="003441F6">
      <w:pPr>
        <w:jc w:val="both"/>
        <w:rPr>
          <w:rFonts w:cs="Arial"/>
        </w:rPr>
      </w:pPr>
      <w:r>
        <w:rPr>
          <w:rFonts w:cs="Arial"/>
        </w:rPr>
        <w:t xml:space="preserve">In the context of derivatives, the ESAs clarify in Annex II, Part 1, point 9 of the draft RTS (attached to the consultation paper) which instruments are included. It is specified in sub-point c </w:t>
      </w:r>
      <w:r w:rsidRPr="00507963">
        <w:rPr>
          <w:rFonts w:cs="Arial"/>
        </w:rPr>
        <w:t>that derivatives that qualify as PRIIPs within part C of Annex I of Directive 2014/65/EU are included. That means that not all derivatives are within the scope of the Regulation; only those derivatives that qualify as PRIIPs are in the scope.</w:t>
      </w:r>
    </w:p>
    <w:p w:rsidR="003441F6" w:rsidRDefault="003441F6" w:rsidP="003441F6">
      <w:pPr>
        <w:jc w:val="both"/>
        <w:rPr>
          <w:rFonts w:cs="Arial"/>
        </w:rPr>
      </w:pPr>
    </w:p>
    <w:p w:rsidR="003441F6" w:rsidRDefault="003441F6" w:rsidP="003441F6">
      <w:pPr>
        <w:jc w:val="both"/>
        <w:rPr>
          <w:rFonts w:cs="Arial"/>
        </w:rPr>
      </w:pPr>
      <w:r>
        <w:rPr>
          <w:rFonts w:cs="Arial"/>
        </w:rPr>
        <w:t>A further argument why exchange traded derivatives available for trading on exchanges/regulated markets are not in scope of PRIIPs, is the concept of the KID as proposed by the ESAs and presented in this consultation. The way the KID is designed and the questions and input parameters formulated clearly indicate that the KID is customized towards the entities that offer investments as a special purpose vehicle, issuer or entity that securitizes instruments.</w:t>
      </w:r>
    </w:p>
    <w:p w:rsidR="003441F6" w:rsidRPr="007077CB" w:rsidRDefault="003441F6" w:rsidP="003441F6">
      <w:pPr>
        <w:jc w:val="both"/>
        <w:rPr>
          <w:rFonts w:cs="Arial"/>
        </w:rPr>
      </w:pPr>
    </w:p>
    <w:p w:rsidR="003441F6" w:rsidRDefault="003441F6" w:rsidP="003441F6">
      <w:pPr>
        <w:jc w:val="both"/>
        <w:rPr>
          <w:rFonts w:cs="Arial"/>
        </w:rPr>
      </w:pPr>
      <w:r w:rsidRPr="007077CB">
        <w:rPr>
          <w:rFonts w:cs="Arial"/>
        </w:rPr>
        <w:t>The KID ultimately cannot be appropriately completed by a neutral regulated market, focused on instruments that do not actually qualify as PRIIPs.</w:t>
      </w:r>
      <w:r>
        <w:rPr>
          <w:rFonts w:cs="Arial"/>
        </w:rPr>
        <w:t xml:space="preserve"> In order to support this argument, please find below the proposed draft KID highlighting which sections cannot be in a meaningful way completed by regulated markets for exchange traded derivatives, and why. Further detailed information can also be found in Annex II.</w:t>
      </w:r>
    </w:p>
    <w:p w:rsidR="003441F6" w:rsidRDefault="003441F6" w:rsidP="003441F6">
      <w:pPr>
        <w:jc w:val="both"/>
        <w:rPr>
          <w:rFonts w:cs="Arial"/>
        </w:rPr>
      </w:pPr>
    </w:p>
    <w:p w:rsidR="003441F6" w:rsidRDefault="003441F6" w:rsidP="003441F6">
      <w:pPr>
        <w:jc w:val="both"/>
        <w:rPr>
          <w:rFonts w:cs="Arial"/>
        </w:rPr>
      </w:pPr>
    </w:p>
    <w:p w:rsidR="003441F6" w:rsidRDefault="003441F6" w:rsidP="003441F6">
      <w:pPr>
        <w:jc w:val="both"/>
        <w:rPr>
          <w:rFonts w:cs="Arial"/>
        </w:rPr>
      </w:pPr>
    </w:p>
    <w:p w:rsidR="003441F6" w:rsidRDefault="003441F6" w:rsidP="003441F6">
      <w:pPr>
        <w:jc w:val="both"/>
        <w:rPr>
          <w:rFonts w:cs="Arial"/>
        </w:rPr>
      </w:pPr>
    </w:p>
    <w:p w:rsidR="003441F6" w:rsidRDefault="003441F6" w:rsidP="003441F6">
      <w:pPr>
        <w:jc w:val="both"/>
        <w:rPr>
          <w:rFonts w:cs="Arial"/>
        </w:rPr>
      </w:pPr>
    </w:p>
    <w:p w:rsidR="003441F6" w:rsidRDefault="003441F6" w:rsidP="003441F6">
      <w:pPr>
        <w:jc w:val="both"/>
        <w:rPr>
          <w:rFonts w:cs="Arial"/>
        </w:rPr>
      </w:pPr>
    </w:p>
    <w:p w:rsidR="00F1589C" w:rsidRDefault="00F1589C" w:rsidP="003441F6">
      <w:pPr>
        <w:jc w:val="both"/>
        <w:rPr>
          <w:rFonts w:cs="Arial"/>
        </w:rPr>
      </w:pPr>
    </w:p>
    <w:p w:rsidR="00F1589C" w:rsidRDefault="00F1589C" w:rsidP="003441F6">
      <w:pPr>
        <w:jc w:val="both"/>
        <w:rPr>
          <w:rFonts w:cs="Arial"/>
        </w:rPr>
      </w:pPr>
    </w:p>
    <w:p w:rsidR="00F1589C" w:rsidRDefault="00F1589C" w:rsidP="003441F6">
      <w:pPr>
        <w:jc w:val="both"/>
        <w:rPr>
          <w:rFonts w:cs="Arial"/>
        </w:rPr>
      </w:pPr>
    </w:p>
    <w:p w:rsidR="003441F6" w:rsidRDefault="003441F6" w:rsidP="003441F6">
      <w:pPr>
        <w:jc w:val="both"/>
        <w:rPr>
          <w:rFonts w:cs="Arial"/>
        </w:rPr>
      </w:pPr>
    </w:p>
    <w:p w:rsidR="008965E1" w:rsidRDefault="008965E1">
      <w:pPr>
        <w:rPr>
          <w:b/>
          <w:szCs w:val="20"/>
        </w:rPr>
      </w:pPr>
      <w:r>
        <w:rPr>
          <w:b/>
          <w:szCs w:val="20"/>
        </w:rPr>
        <w:br w:type="page"/>
      </w:r>
    </w:p>
    <w:p w:rsidR="003441F6" w:rsidRDefault="003441F6" w:rsidP="003441F6">
      <w:pPr>
        <w:rPr>
          <w:b/>
          <w:szCs w:val="20"/>
        </w:rPr>
      </w:pPr>
      <w:r w:rsidRPr="00A041B1">
        <w:rPr>
          <w:b/>
          <w:szCs w:val="20"/>
        </w:rPr>
        <w:lastRenderedPageBreak/>
        <w:t>Draft KID (as proposed) from an exchange and ETD perspective</w:t>
      </w:r>
    </w:p>
    <w:p w:rsidR="003441F6" w:rsidRPr="00A041B1" w:rsidRDefault="003441F6" w:rsidP="003441F6">
      <w:pPr>
        <w:rPr>
          <w:b/>
          <w:szCs w:val="20"/>
        </w:rPr>
      </w:pPr>
    </w:p>
    <w:tbl>
      <w:tblPr>
        <w:tblStyle w:val="TableGrid"/>
        <w:tblW w:w="0" w:type="auto"/>
        <w:tblCellMar>
          <w:top w:w="113" w:type="dxa"/>
          <w:bottom w:w="113" w:type="dxa"/>
        </w:tblCellMar>
        <w:tblLook w:val="04A0" w:firstRow="1" w:lastRow="0" w:firstColumn="1" w:lastColumn="0" w:noHBand="0" w:noVBand="1"/>
      </w:tblPr>
      <w:tblGrid>
        <w:gridCol w:w="675"/>
        <w:gridCol w:w="2410"/>
        <w:gridCol w:w="6081"/>
      </w:tblGrid>
      <w:tr w:rsidR="003441F6" w:rsidTr="001B06CF">
        <w:tc>
          <w:tcPr>
            <w:tcW w:w="9166" w:type="dxa"/>
            <w:gridSpan w:val="3"/>
            <w:shd w:val="clear" w:color="auto" w:fill="D9D9D9" w:themeFill="background1" w:themeFillShade="D9"/>
          </w:tcPr>
          <w:p w:rsidR="003441F6" w:rsidRPr="00736B99" w:rsidRDefault="003441F6" w:rsidP="001B06CF">
            <w:pPr>
              <w:jc w:val="both"/>
              <w:rPr>
                <w:b/>
              </w:rPr>
            </w:pPr>
            <w:r w:rsidRPr="00736B99">
              <w:rPr>
                <w:b/>
              </w:rPr>
              <w:t>KID FOR A SINGLE STOCK OPTION</w:t>
            </w:r>
          </w:p>
        </w:tc>
      </w:tr>
      <w:tr w:rsidR="003441F6" w:rsidTr="001B06CF">
        <w:tc>
          <w:tcPr>
            <w:tcW w:w="675" w:type="dxa"/>
          </w:tcPr>
          <w:p w:rsidR="003441F6" w:rsidRPr="002F7F66" w:rsidRDefault="003441F6" w:rsidP="001B06CF">
            <w:pPr>
              <w:jc w:val="both"/>
              <w:rPr>
                <w:b/>
              </w:rPr>
            </w:pPr>
            <w:r w:rsidRPr="002F7F66">
              <w:rPr>
                <w:b/>
              </w:rPr>
              <w:t>1.</w:t>
            </w:r>
          </w:p>
        </w:tc>
        <w:tc>
          <w:tcPr>
            <w:tcW w:w="2410" w:type="dxa"/>
          </w:tcPr>
          <w:p w:rsidR="003441F6" w:rsidRPr="00040F69" w:rsidRDefault="003441F6" w:rsidP="001B06CF">
            <w:pPr>
              <w:jc w:val="both"/>
              <w:rPr>
                <w:b/>
              </w:rPr>
            </w:pPr>
            <w:r w:rsidRPr="00040F69">
              <w:rPr>
                <w:b/>
              </w:rPr>
              <w:t>Purpose</w:t>
            </w:r>
          </w:p>
        </w:tc>
        <w:tc>
          <w:tcPr>
            <w:tcW w:w="6081" w:type="dxa"/>
          </w:tcPr>
          <w:p w:rsidR="003441F6" w:rsidRPr="00A041B1" w:rsidRDefault="003441F6" w:rsidP="001B06CF">
            <w:pPr>
              <w:jc w:val="both"/>
              <w:rPr>
                <w:b/>
                <w:color w:val="00B050"/>
              </w:rPr>
            </w:pPr>
            <w:r w:rsidRPr="00A041B1">
              <w:rPr>
                <w:b/>
                <w:color w:val="00B050"/>
              </w:rPr>
              <w:t>Could be provided by a regulated market</w:t>
            </w:r>
          </w:p>
        </w:tc>
      </w:tr>
      <w:tr w:rsidR="003441F6" w:rsidTr="001B06CF">
        <w:tc>
          <w:tcPr>
            <w:tcW w:w="675" w:type="dxa"/>
          </w:tcPr>
          <w:p w:rsidR="003441F6" w:rsidRPr="002F7F66" w:rsidRDefault="003441F6" w:rsidP="001B06CF">
            <w:pPr>
              <w:jc w:val="both"/>
              <w:rPr>
                <w:b/>
              </w:rPr>
            </w:pPr>
            <w:r w:rsidRPr="002F7F66">
              <w:rPr>
                <w:b/>
              </w:rPr>
              <w:t>2.</w:t>
            </w:r>
          </w:p>
        </w:tc>
        <w:tc>
          <w:tcPr>
            <w:tcW w:w="2410" w:type="dxa"/>
          </w:tcPr>
          <w:p w:rsidR="003441F6" w:rsidRPr="00040F69" w:rsidRDefault="003441F6" w:rsidP="001B06CF">
            <w:pPr>
              <w:jc w:val="both"/>
              <w:rPr>
                <w:b/>
              </w:rPr>
            </w:pPr>
            <w:r w:rsidRPr="00040F69">
              <w:rPr>
                <w:b/>
              </w:rPr>
              <w:t>Product</w:t>
            </w:r>
          </w:p>
        </w:tc>
        <w:tc>
          <w:tcPr>
            <w:tcW w:w="6081" w:type="dxa"/>
          </w:tcPr>
          <w:p w:rsidR="003441F6" w:rsidRPr="00A041B1" w:rsidRDefault="003441F6" w:rsidP="001B06CF">
            <w:pPr>
              <w:jc w:val="both"/>
              <w:rPr>
                <w:b/>
                <w:color w:val="00B050"/>
              </w:rPr>
            </w:pPr>
            <w:r w:rsidRPr="00A041B1">
              <w:rPr>
                <w:b/>
                <w:color w:val="00B050"/>
              </w:rPr>
              <w:t>Could be provided by a regulated market</w:t>
            </w:r>
          </w:p>
        </w:tc>
      </w:tr>
      <w:tr w:rsidR="003441F6" w:rsidTr="001B06CF">
        <w:tc>
          <w:tcPr>
            <w:tcW w:w="675" w:type="dxa"/>
            <w:shd w:val="clear" w:color="auto" w:fill="D9D9D9" w:themeFill="background1" w:themeFillShade="D9"/>
          </w:tcPr>
          <w:p w:rsidR="003441F6" w:rsidRPr="002F7F66" w:rsidRDefault="003441F6" w:rsidP="001B06CF">
            <w:pPr>
              <w:jc w:val="both"/>
              <w:rPr>
                <w:b/>
              </w:rPr>
            </w:pPr>
            <w:r w:rsidRPr="002F7F66">
              <w:rPr>
                <w:b/>
              </w:rPr>
              <w:t>3.</w:t>
            </w:r>
          </w:p>
        </w:tc>
        <w:tc>
          <w:tcPr>
            <w:tcW w:w="8491" w:type="dxa"/>
            <w:gridSpan w:val="2"/>
            <w:shd w:val="clear" w:color="auto" w:fill="D9D9D9" w:themeFill="background1" w:themeFillShade="D9"/>
          </w:tcPr>
          <w:p w:rsidR="003441F6" w:rsidRPr="00040F69" w:rsidRDefault="003441F6" w:rsidP="001B06CF">
            <w:pPr>
              <w:jc w:val="both"/>
              <w:rPr>
                <w:b/>
              </w:rPr>
            </w:pPr>
            <w:r w:rsidRPr="00040F69">
              <w:rPr>
                <w:b/>
              </w:rPr>
              <w:t>What is this product?</w:t>
            </w:r>
          </w:p>
        </w:tc>
      </w:tr>
      <w:tr w:rsidR="003441F6" w:rsidTr="001B06CF">
        <w:tc>
          <w:tcPr>
            <w:tcW w:w="675" w:type="dxa"/>
          </w:tcPr>
          <w:p w:rsidR="003441F6" w:rsidRPr="002F7F66" w:rsidRDefault="003441F6" w:rsidP="001B06CF">
            <w:pPr>
              <w:jc w:val="both"/>
              <w:rPr>
                <w:b/>
              </w:rPr>
            </w:pPr>
            <w:r w:rsidRPr="002F7F66">
              <w:rPr>
                <w:b/>
              </w:rPr>
              <w:t>3.A</w:t>
            </w:r>
          </w:p>
        </w:tc>
        <w:tc>
          <w:tcPr>
            <w:tcW w:w="2410" w:type="dxa"/>
          </w:tcPr>
          <w:p w:rsidR="003441F6" w:rsidRPr="00040F69" w:rsidRDefault="003441F6" w:rsidP="001B06CF">
            <w:pPr>
              <w:jc w:val="both"/>
              <w:rPr>
                <w:b/>
              </w:rPr>
            </w:pPr>
            <w:r w:rsidRPr="00040F69">
              <w:rPr>
                <w:b/>
              </w:rPr>
              <w:t>Type</w:t>
            </w:r>
          </w:p>
        </w:tc>
        <w:tc>
          <w:tcPr>
            <w:tcW w:w="6081" w:type="dxa"/>
          </w:tcPr>
          <w:p w:rsidR="003441F6" w:rsidRPr="00BD5D3A" w:rsidRDefault="003441F6" w:rsidP="001B06CF">
            <w:pPr>
              <w:jc w:val="both"/>
              <w:rPr>
                <w:b/>
              </w:rPr>
            </w:pPr>
            <w:r w:rsidRPr="00A041B1">
              <w:rPr>
                <w:b/>
                <w:color w:val="00B050"/>
              </w:rPr>
              <w:t>Could be provided by a regulated market</w:t>
            </w:r>
          </w:p>
        </w:tc>
      </w:tr>
      <w:tr w:rsidR="003441F6" w:rsidTr="001B06CF">
        <w:tc>
          <w:tcPr>
            <w:tcW w:w="675" w:type="dxa"/>
          </w:tcPr>
          <w:p w:rsidR="003441F6" w:rsidRPr="002F7F66" w:rsidRDefault="003441F6" w:rsidP="001B06CF">
            <w:pPr>
              <w:jc w:val="both"/>
              <w:rPr>
                <w:b/>
              </w:rPr>
            </w:pPr>
            <w:r w:rsidRPr="002F7F66">
              <w:rPr>
                <w:b/>
              </w:rPr>
              <w:t>3.</w:t>
            </w:r>
            <w:r>
              <w:rPr>
                <w:b/>
              </w:rPr>
              <w:t>B</w:t>
            </w:r>
          </w:p>
        </w:tc>
        <w:tc>
          <w:tcPr>
            <w:tcW w:w="2410" w:type="dxa"/>
          </w:tcPr>
          <w:p w:rsidR="003441F6" w:rsidRPr="00040F69" w:rsidRDefault="003441F6" w:rsidP="001B06CF">
            <w:pPr>
              <w:jc w:val="both"/>
              <w:rPr>
                <w:b/>
              </w:rPr>
            </w:pPr>
            <w:r w:rsidRPr="00040F69">
              <w:rPr>
                <w:b/>
              </w:rPr>
              <w:t>Purpose</w:t>
            </w:r>
          </w:p>
        </w:tc>
        <w:tc>
          <w:tcPr>
            <w:tcW w:w="6081" w:type="dxa"/>
          </w:tcPr>
          <w:p w:rsidR="003441F6" w:rsidRPr="00BD5D3A" w:rsidRDefault="003441F6" w:rsidP="001B06CF">
            <w:pPr>
              <w:jc w:val="both"/>
              <w:rPr>
                <w:b/>
                <w:color w:val="FF0000"/>
              </w:rPr>
            </w:pPr>
            <w:r>
              <w:rPr>
                <w:b/>
                <w:color w:val="FF0000"/>
              </w:rPr>
              <w:t>Cannot be provided by a</w:t>
            </w:r>
            <w:r w:rsidRPr="00BD5D3A">
              <w:rPr>
                <w:b/>
                <w:color w:val="FF0000"/>
              </w:rPr>
              <w:t xml:space="preserve"> regulated market:</w:t>
            </w:r>
          </w:p>
          <w:p w:rsidR="003441F6" w:rsidRPr="008427B7" w:rsidRDefault="003441F6" w:rsidP="001B06CF">
            <w:pPr>
              <w:jc w:val="both"/>
            </w:pPr>
            <w:r>
              <w:t>An exchange traded derivative (ETD) contract, such as a</w:t>
            </w:r>
            <w:r w:rsidRPr="008427B7">
              <w:t>n option or future</w:t>
            </w:r>
            <w:r>
              <w:t>,</w:t>
            </w:r>
            <w:r w:rsidRPr="008427B7">
              <w:t xml:space="preserve"> serves a range of purposes and strategies, all of which cannot be described in the given </w:t>
            </w:r>
            <w:r>
              <w:t xml:space="preserve">format of a KID. </w:t>
            </w:r>
            <w:r w:rsidRPr="00D07485">
              <w:rPr>
                <w:b/>
              </w:rPr>
              <w:t>The specific constellation for which an instrument might be sold by an investment firm to a retail investor cannot be described by the regulated market operating markets in ETDs.</w:t>
            </w:r>
            <w:r>
              <w:t xml:space="preserve"> In addition, an </w:t>
            </w:r>
            <w:r w:rsidRPr="009904D4">
              <w:rPr>
                <w:b/>
              </w:rPr>
              <w:t>ETD contract does no</w:t>
            </w:r>
            <w:r>
              <w:rPr>
                <w:b/>
              </w:rPr>
              <w:t>t satisfy the definition of PRI</w:t>
            </w:r>
            <w:r w:rsidRPr="009904D4">
              <w:rPr>
                <w:b/>
              </w:rPr>
              <w:t>Ps</w:t>
            </w:r>
            <w:r>
              <w:t xml:space="preserve"> and second, </w:t>
            </w:r>
            <w:r w:rsidRPr="009904D4">
              <w:rPr>
                <w:b/>
              </w:rPr>
              <w:t>a regulated market has no contractual agreement with a retail investor.</w:t>
            </w:r>
          </w:p>
        </w:tc>
      </w:tr>
      <w:tr w:rsidR="003441F6" w:rsidTr="001B06CF">
        <w:tc>
          <w:tcPr>
            <w:tcW w:w="675" w:type="dxa"/>
          </w:tcPr>
          <w:p w:rsidR="003441F6" w:rsidRPr="002F7F66" w:rsidRDefault="003441F6" w:rsidP="001B06CF">
            <w:pPr>
              <w:jc w:val="both"/>
              <w:rPr>
                <w:b/>
              </w:rPr>
            </w:pPr>
            <w:r w:rsidRPr="002F7F66">
              <w:rPr>
                <w:b/>
              </w:rPr>
              <w:t>3.</w:t>
            </w:r>
            <w:r>
              <w:rPr>
                <w:b/>
              </w:rPr>
              <w:t>C</w:t>
            </w:r>
          </w:p>
        </w:tc>
        <w:tc>
          <w:tcPr>
            <w:tcW w:w="2410" w:type="dxa"/>
          </w:tcPr>
          <w:p w:rsidR="003441F6" w:rsidRPr="00040F69" w:rsidRDefault="003441F6" w:rsidP="001B06CF">
            <w:pPr>
              <w:jc w:val="both"/>
              <w:rPr>
                <w:b/>
              </w:rPr>
            </w:pPr>
            <w:r w:rsidRPr="00040F69">
              <w:rPr>
                <w:b/>
              </w:rPr>
              <w:t>Intended market</w:t>
            </w:r>
          </w:p>
        </w:tc>
        <w:tc>
          <w:tcPr>
            <w:tcW w:w="6081" w:type="dxa"/>
          </w:tcPr>
          <w:p w:rsidR="003441F6" w:rsidRPr="00BD5D3A" w:rsidRDefault="003441F6" w:rsidP="001B06CF">
            <w:pPr>
              <w:jc w:val="both"/>
              <w:rPr>
                <w:b/>
                <w:color w:val="FF0000"/>
              </w:rPr>
            </w:pPr>
            <w:r w:rsidRPr="00BD5D3A">
              <w:rPr>
                <w:b/>
                <w:color w:val="FF0000"/>
              </w:rPr>
              <w:t xml:space="preserve">Cannot be provided by </w:t>
            </w:r>
            <w:r>
              <w:rPr>
                <w:b/>
                <w:color w:val="FF0000"/>
              </w:rPr>
              <w:t>a</w:t>
            </w:r>
            <w:r w:rsidRPr="00BD5D3A">
              <w:rPr>
                <w:b/>
                <w:color w:val="FF0000"/>
              </w:rPr>
              <w:t xml:space="preserve"> regulated market:</w:t>
            </w:r>
          </w:p>
          <w:p w:rsidR="003441F6" w:rsidRDefault="003441F6" w:rsidP="001B06CF">
            <w:pPr>
              <w:jc w:val="both"/>
            </w:pPr>
            <w:r>
              <w:t xml:space="preserve">According to MiFID Article 16 and 24(2) it appears the target group is meant here. For ETD contracts, such as options and futures, no intended market/ target group is specifically declared. Clearly, </w:t>
            </w:r>
            <w:r w:rsidRPr="00EC3D82">
              <w:rPr>
                <w:b/>
              </w:rPr>
              <w:t>a regulated market does not sell instruments</w:t>
            </w:r>
            <w:r>
              <w:t xml:space="preserve">, as much as it also does not buy instruments. No position is assumed as a market operator. MiFID II is very clear that regulated markets cannot engage in any sort of proprietary trading. Moreover, </w:t>
            </w:r>
            <w:r>
              <w:rPr>
                <w:b/>
              </w:rPr>
              <w:t>th</w:t>
            </w:r>
            <w:r w:rsidRPr="00BD5D3A">
              <w:rPr>
                <w:b/>
              </w:rPr>
              <w:t>e admission process under the prevailing Exchange Act describes who can be admitted as an exchange participant</w:t>
            </w:r>
            <w:r>
              <w:rPr>
                <w:b/>
              </w:rPr>
              <w:t xml:space="preserve">, </w:t>
            </w:r>
            <w:r>
              <w:t xml:space="preserve">retail investors have no contractual agreement with a regulated market. The products are not designed specifically for a target audience. </w:t>
            </w:r>
            <w:r w:rsidRPr="00BD5D3A">
              <w:rPr>
                <w:b/>
              </w:rPr>
              <w:t>If investment firms decide to market these products to specific audiences, exchanges would not be involved in that process</w:t>
            </w:r>
            <w:r>
              <w:t xml:space="preserve"> and therefore exchanges cannot include any information on this. </w:t>
            </w:r>
          </w:p>
        </w:tc>
      </w:tr>
      <w:tr w:rsidR="003441F6" w:rsidTr="001B06CF">
        <w:tc>
          <w:tcPr>
            <w:tcW w:w="675" w:type="dxa"/>
            <w:shd w:val="clear" w:color="auto" w:fill="D9D9D9" w:themeFill="background1" w:themeFillShade="D9"/>
          </w:tcPr>
          <w:p w:rsidR="003441F6" w:rsidRPr="002F7F66" w:rsidRDefault="003441F6" w:rsidP="001B06CF">
            <w:pPr>
              <w:jc w:val="both"/>
              <w:rPr>
                <w:b/>
              </w:rPr>
            </w:pPr>
            <w:r w:rsidRPr="002F7F66">
              <w:rPr>
                <w:b/>
              </w:rPr>
              <w:t>4.</w:t>
            </w:r>
          </w:p>
        </w:tc>
        <w:tc>
          <w:tcPr>
            <w:tcW w:w="8491" w:type="dxa"/>
            <w:gridSpan w:val="2"/>
            <w:shd w:val="clear" w:color="auto" w:fill="D9D9D9" w:themeFill="background1" w:themeFillShade="D9"/>
          </w:tcPr>
          <w:p w:rsidR="003441F6" w:rsidRPr="00040F69" w:rsidRDefault="003441F6" w:rsidP="001B06CF">
            <w:pPr>
              <w:jc w:val="both"/>
              <w:rPr>
                <w:b/>
              </w:rPr>
            </w:pPr>
            <w:r w:rsidRPr="00040F69">
              <w:rPr>
                <w:b/>
              </w:rPr>
              <w:t>What are the risks and what could I get in return?</w:t>
            </w:r>
          </w:p>
        </w:tc>
      </w:tr>
      <w:tr w:rsidR="003441F6" w:rsidTr="001B06CF">
        <w:tc>
          <w:tcPr>
            <w:tcW w:w="675" w:type="dxa"/>
          </w:tcPr>
          <w:p w:rsidR="003441F6" w:rsidRPr="002F7F66" w:rsidRDefault="003441F6" w:rsidP="001B06CF">
            <w:pPr>
              <w:jc w:val="both"/>
              <w:rPr>
                <w:b/>
              </w:rPr>
            </w:pPr>
            <w:r w:rsidRPr="002F7F66">
              <w:rPr>
                <w:b/>
              </w:rPr>
              <w:t>4.A</w:t>
            </w:r>
          </w:p>
        </w:tc>
        <w:tc>
          <w:tcPr>
            <w:tcW w:w="2410" w:type="dxa"/>
          </w:tcPr>
          <w:p w:rsidR="003441F6" w:rsidRPr="00040F69" w:rsidRDefault="003441F6" w:rsidP="001B06CF">
            <w:pPr>
              <w:jc w:val="both"/>
              <w:rPr>
                <w:b/>
              </w:rPr>
            </w:pPr>
            <w:r w:rsidRPr="00040F69">
              <w:rPr>
                <w:b/>
              </w:rPr>
              <w:t>Risk indicator</w:t>
            </w:r>
          </w:p>
        </w:tc>
        <w:tc>
          <w:tcPr>
            <w:tcW w:w="6081" w:type="dxa"/>
          </w:tcPr>
          <w:p w:rsidR="003441F6" w:rsidRPr="00BD5D3A" w:rsidRDefault="003441F6" w:rsidP="001B06CF">
            <w:pPr>
              <w:jc w:val="both"/>
              <w:rPr>
                <w:b/>
                <w:color w:val="FF0000"/>
              </w:rPr>
            </w:pPr>
            <w:r>
              <w:rPr>
                <w:b/>
                <w:color w:val="FF0000"/>
              </w:rPr>
              <w:t>Cannot be provided by a</w:t>
            </w:r>
            <w:r w:rsidRPr="00BD5D3A">
              <w:rPr>
                <w:b/>
                <w:color w:val="FF0000"/>
              </w:rPr>
              <w:t xml:space="preserve"> regulated market:</w:t>
            </w:r>
          </w:p>
          <w:p w:rsidR="003441F6" w:rsidRDefault="003441F6" w:rsidP="001B06CF">
            <w:pPr>
              <w:jc w:val="both"/>
            </w:pPr>
            <w:r>
              <w:t xml:space="preserve">The risk indicator as suggested by ESMA focuses on the individual product, purpose and further parameters resulting from the investment advice, such as the ‘recommended holding period’. ESMA suggests that derivatives that qualify as PRIIPs are categorized under the highest risk category. We cannot comment on the entirety of the risk indicator for such derivatives that could qualify as PRIIPs and are sold by the defined entities. </w:t>
            </w:r>
          </w:p>
          <w:p w:rsidR="003441F6" w:rsidRDefault="003441F6" w:rsidP="001B06CF">
            <w:pPr>
              <w:jc w:val="both"/>
            </w:pPr>
            <w:r>
              <w:t xml:space="preserve">What we do know as regulated markets though, is that we do not have a full picture and therefore cannot provide an appropriate risk indicator, and in essence, any advice. Regulated markets do not offer advice. </w:t>
            </w:r>
          </w:p>
          <w:p w:rsidR="003441F6" w:rsidRDefault="003441F6" w:rsidP="001B06CF">
            <w:pPr>
              <w:jc w:val="both"/>
            </w:pPr>
            <w:r>
              <w:t xml:space="preserve">Evidently, the regulation indicates that regulated markets operating neutral, multilaterally organized market places in ETD contracts do not satisfy the definition of a PRIIP manufacturer. </w:t>
            </w:r>
            <w:r w:rsidRPr="00EC3D82">
              <w:rPr>
                <w:b/>
              </w:rPr>
              <w:t xml:space="preserve">Therefore, ETD </w:t>
            </w:r>
            <w:r w:rsidRPr="00EC3D82">
              <w:rPr>
                <w:b/>
              </w:rPr>
              <w:lastRenderedPageBreak/>
              <w:t>contracts do not qualify as PRIIPs, and such a classification into the highest risk category would not do justice to the nature of the product or to the trading environment</w:t>
            </w:r>
            <w:r>
              <w:rPr>
                <w:b/>
              </w:rPr>
              <w:t>.</w:t>
            </w:r>
            <w:r w:rsidRPr="00EC3D82">
              <w:rPr>
                <w:b/>
              </w:rPr>
              <w:t xml:space="preserve"> </w:t>
            </w:r>
            <w:r>
              <w:rPr>
                <w:b/>
              </w:rPr>
              <w:t>It obviously was not an intention to include ETDs.</w:t>
            </w:r>
            <w:r>
              <w:t xml:space="preserve"> </w:t>
            </w:r>
          </w:p>
        </w:tc>
      </w:tr>
      <w:tr w:rsidR="003441F6" w:rsidTr="001B06CF">
        <w:tc>
          <w:tcPr>
            <w:tcW w:w="675" w:type="dxa"/>
          </w:tcPr>
          <w:p w:rsidR="003441F6" w:rsidRPr="002F7F66" w:rsidRDefault="003441F6" w:rsidP="001B06CF">
            <w:pPr>
              <w:jc w:val="both"/>
              <w:rPr>
                <w:b/>
              </w:rPr>
            </w:pPr>
            <w:r w:rsidRPr="002F7F66">
              <w:rPr>
                <w:b/>
              </w:rPr>
              <w:lastRenderedPageBreak/>
              <w:t>4.B</w:t>
            </w:r>
          </w:p>
        </w:tc>
        <w:tc>
          <w:tcPr>
            <w:tcW w:w="2410" w:type="dxa"/>
          </w:tcPr>
          <w:p w:rsidR="003441F6" w:rsidRPr="00040F69" w:rsidRDefault="003441F6" w:rsidP="001B06CF">
            <w:pPr>
              <w:jc w:val="both"/>
              <w:rPr>
                <w:b/>
              </w:rPr>
            </w:pPr>
            <w:r w:rsidRPr="00040F69">
              <w:rPr>
                <w:b/>
              </w:rPr>
              <w:t>Performance scenarios</w:t>
            </w:r>
          </w:p>
        </w:tc>
        <w:tc>
          <w:tcPr>
            <w:tcW w:w="6081" w:type="dxa"/>
          </w:tcPr>
          <w:p w:rsidR="003441F6" w:rsidRPr="00BD5D3A" w:rsidRDefault="003441F6" w:rsidP="001B06CF">
            <w:pPr>
              <w:jc w:val="both"/>
              <w:rPr>
                <w:b/>
                <w:color w:val="FF0000"/>
              </w:rPr>
            </w:pPr>
            <w:r>
              <w:rPr>
                <w:b/>
                <w:color w:val="FF0000"/>
              </w:rPr>
              <w:t>Cannot be provided by a</w:t>
            </w:r>
            <w:r w:rsidRPr="00BD5D3A">
              <w:rPr>
                <w:b/>
                <w:color w:val="FF0000"/>
              </w:rPr>
              <w:t xml:space="preserve"> regulated market:</w:t>
            </w:r>
          </w:p>
          <w:p w:rsidR="003441F6" w:rsidRDefault="003441F6" w:rsidP="001B06CF">
            <w:pPr>
              <w:jc w:val="both"/>
            </w:pPr>
            <w:r>
              <w:t>The performance scenarios required in the draft regulation are not compatible with the practice of ETD contracts, such as listed options and futures and, if provided,</w:t>
            </w:r>
            <w:r w:rsidRPr="00FA431A">
              <w:rPr>
                <w:b/>
              </w:rPr>
              <w:t xml:space="preserve"> will provide meaningless information. </w:t>
            </w:r>
            <w:r>
              <w:t xml:space="preserve">A performance scenario differs </w:t>
            </w:r>
            <w:r>
              <w:rPr>
                <w:b/>
              </w:rPr>
              <w:t xml:space="preserve">per individual trade. </w:t>
            </w:r>
          </w:p>
        </w:tc>
      </w:tr>
      <w:tr w:rsidR="003441F6" w:rsidTr="001B06CF">
        <w:tc>
          <w:tcPr>
            <w:tcW w:w="675" w:type="dxa"/>
          </w:tcPr>
          <w:p w:rsidR="003441F6" w:rsidRPr="002F7F66" w:rsidRDefault="003441F6" w:rsidP="001B06CF">
            <w:pPr>
              <w:jc w:val="both"/>
              <w:rPr>
                <w:b/>
              </w:rPr>
            </w:pPr>
            <w:r w:rsidRPr="002F7F66">
              <w:rPr>
                <w:b/>
              </w:rPr>
              <w:t>5</w:t>
            </w:r>
          </w:p>
        </w:tc>
        <w:tc>
          <w:tcPr>
            <w:tcW w:w="2410" w:type="dxa"/>
          </w:tcPr>
          <w:p w:rsidR="003441F6" w:rsidRPr="00040F69" w:rsidRDefault="003441F6" w:rsidP="001B06CF">
            <w:pPr>
              <w:jc w:val="both"/>
              <w:rPr>
                <w:b/>
              </w:rPr>
            </w:pPr>
            <w:r w:rsidRPr="00040F69">
              <w:rPr>
                <w:b/>
              </w:rPr>
              <w:t>What happens if XYZ Asset Management is unable to pay out</w:t>
            </w:r>
          </w:p>
        </w:tc>
        <w:tc>
          <w:tcPr>
            <w:tcW w:w="6081" w:type="dxa"/>
          </w:tcPr>
          <w:p w:rsidR="003441F6" w:rsidRPr="00BD5D3A" w:rsidRDefault="003441F6" w:rsidP="001B06CF">
            <w:pPr>
              <w:jc w:val="both"/>
              <w:rPr>
                <w:b/>
                <w:color w:val="FF0000"/>
              </w:rPr>
            </w:pPr>
            <w:r>
              <w:rPr>
                <w:b/>
                <w:color w:val="FF0000"/>
              </w:rPr>
              <w:t>Cannot be provided by a</w:t>
            </w:r>
            <w:r w:rsidRPr="00BD5D3A">
              <w:rPr>
                <w:b/>
                <w:color w:val="FF0000"/>
              </w:rPr>
              <w:t xml:space="preserve"> regulated market:</w:t>
            </w:r>
          </w:p>
          <w:p w:rsidR="003441F6" w:rsidRDefault="003441F6" w:rsidP="001B06CF">
            <w:pPr>
              <w:jc w:val="both"/>
            </w:pPr>
            <w:r>
              <w:rPr>
                <w:b/>
              </w:rPr>
              <w:t>Exchanges do not pay out: e</w:t>
            </w:r>
            <w:r w:rsidRPr="00BD5D3A">
              <w:rPr>
                <w:b/>
              </w:rPr>
              <w:t>xchanges are not issuing such products</w:t>
            </w:r>
            <w:r>
              <w:t xml:space="preserve"> and furthermore are not selling ETD products to investors. There is </w:t>
            </w:r>
            <w:r>
              <w:rPr>
                <w:b/>
              </w:rPr>
              <w:t>no</w:t>
            </w:r>
            <w:r w:rsidRPr="00BD5D3A">
              <w:rPr>
                <w:b/>
              </w:rPr>
              <w:t xml:space="preserve"> contractual agreement </w:t>
            </w:r>
            <w:r>
              <w:rPr>
                <w:b/>
              </w:rPr>
              <w:t xml:space="preserve">between </w:t>
            </w:r>
            <w:r w:rsidRPr="00BD5D3A">
              <w:rPr>
                <w:b/>
              </w:rPr>
              <w:t>retail investors</w:t>
            </w:r>
            <w:r>
              <w:t xml:space="preserve"> </w:t>
            </w:r>
            <w:r w:rsidRPr="00F14050">
              <w:rPr>
                <w:b/>
              </w:rPr>
              <w:t>and exchanges</w:t>
            </w:r>
            <w:r>
              <w:t>.</w:t>
            </w:r>
          </w:p>
        </w:tc>
      </w:tr>
      <w:tr w:rsidR="003441F6" w:rsidTr="001B06CF">
        <w:tc>
          <w:tcPr>
            <w:tcW w:w="675" w:type="dxa"/>
            <w:shd w:val="clear" w:color="auto" w:fill="D9D9D9" w:themeFill="background1" w:themeFillShade="D9"/>
          </w:tcPr>
          <w:p w:rsidR="003441F6" w:rsidRPr="002F7F66" w:rsidRDefault="003441F6" w:rsidP="001B06CF">
            <w:pPr>
              <w:jc w:val="both"/>
              <w:rPr>
                <w:b/>
              </w:rPr>
            </w:pPr>
            <w:r w:rsidRPr="002F7F66">
              <w:rPr>
                <w:b/>
              </w:rPr>
              <w:t>6</w:t>
            </w:r>
          </w:p>
        </w:tc>
        <w:tc>
          <w:tcPr>
            <w:tcW w:w="8491" w:type="dxa"/>
            <w:gridSpan w:val="2"/>
            <w:shd w:val="clear" w:color="auto" w:fill="D9D9D9" w:themeFill="background1" w:themeFillShade="D9"/>
          </w:tcPr>
          <w:p w:rsidR="003441F6" w:rsidRPr="00040F69" w:rsidRDefault="003441F6" w:rsidP="001B06CF">
            <w:pPr>
              <w:jc w:val="both"/>
              <w:rPr>
                <w:b/>
              </w:rPr>
            </w:pPr>
            <w:r w:rsidRPr="00040F69">
              <w:rPr>
                <w:b/>
              </w:rPr>
              <w:t>What are the costs</w:t>
            </w:r>
          </w:p>
        </w:tc>
      </w:tr>
      <w:tr w:rsidR="003441F6" w:rsidTr="001B06CF">
        <w:tc>
          <w:tcPr>
            <w:tcW w:w="675" w:type="dxa"/>
          </w:tcPr>
          <w:p w:rsidR="003441F6" w:rsidRPr="002F7F66" w:rsidRDefault="003441F6" w:rsidP="001B06CF">
            <w:pPr>
              <w:jc w:val="both"/>
              <w:rPr>
                <w:b/>
              </w:rPr>
            </w:pPr>
            <w:r w:rsidRPr="002F7F66">
              <w:rPr>
                <w:b/>
              </w:rPr>
              <w:t>6.1</w:t>
            </w:r>
          </w:p>
        </w:tc>
        <w:tc>
          <w:tcPr>
            <w:tcW w:w="2410" w:type="dxa"/>
          </w:tcPr>
          <w:p w:rsidR="003441F6" w:rsidRPr="00040F69" w:rsidRDefault="003441F6" w:rsidP="001B06CF">
            <w:pPr>
              <w:jc w:val="both"/>
              <w:rPr>
                <w:b/>
              </w:rPr>
            </w:pPr>
            <w:r w:rsidRPr="00040F69">
              <w:rPr>
                <w:b/>
              </w:rPr>
              <w:t>Costs over time</w:t>
            </w:r>
          </w:p>
        </w:tc>
        <w:tc>
          <w:tcPr>
            <w:tcW w:w="6081" w:type="dxa"/>
          </w:tcPr>
          <w:p w:rsidR="003441F6" w:rsidRPr="00BD5D3A" w:rsidRDefault="003441F6" w:rsidP="001B06CF">
            <w:pPr>
              <w:jc w:val="both"/>
              <w:rPr>
                <w:b/>
                <w:color w:val="FF0000"/>
              </w:rPr>
            </w:pPr>
            <w:r>
              <w:rPr>
                <w:b/>
                <w:color w:val="FF0000"/>
              </w:rPr>
              <w:t>Cannot be provided by a</w:t>
            </w:r>
            <w:r w:rsidRPr="00BD5D3A">
              <w:rPr>
                <w:b/>
                <w:color w:val="FF0000"/>
              </w:rPr>
              <w:t xml:space="preserve"> regulated market:</w:t>
            </w:r>
          </w:p>
          <w:p w:rsidR="003441F6" w:rsidRDefault="003441F6" w:rsidP="001B06CF">
            <w:pPr>
              <w:jc w:val="both"/>
            </w:pPr>
            <w:r>
              <w:t xml:space="preserve">The costs over time cannot be predicted by exchanges. Fees are made transparent to the market participants, but </w:t>
            </w:r>
            <w:r w:rsidRPr="00BD5D3A">
              <w:rPr>
                <w:b/>
              </w:rPr>
              <w:t>any additional costs incurred by the investment firms marketing instruments or combination of instruments cannot be included by the regulated market.</w:t>
            </w:r>
          </w:p>
        </w:tc>
      </w:tr>
      <w:tr w:rsidR="003441F6" w:rsidTr="001B06CF">
        <w:tc>
          <w:tcPr>
            <w:tcW w:w="675" w:type="dxa"/>
          </w:tcPr>
          <w:p w:rsidR="003441F6" w:rsidRPr="002F7F66" w:rsidRDefault="003441F6" w:rsidP="001B06CF">
            <w:pPr>
              <w:jc w:val="both"/>
              <w:rPr>
                <w:b/>
              </w:rPr>
            </w:pPr>
            <w:r w:rsidRPr="002F7F66">
              <w:rPr>
                <w:b/>
              </w:rPr>
              <w:t>6.2</w:t>
            </w:r>
          </w:p>
        </w:tc>
        <w:tc>
          <w:tcPr>
            <w:tcW w:w="2410" w:type="dxa"/>
          </w:tcPr>
          <w:p w:rsidR="003441F6" w:rsidRPr="00040F69" w:rsidRDefault="003441F6" w:rsidP="001B06CF">
            <w:pPr>
              <w:jc w:val="both"/>
              <w:rPr>
                <w:b/>
              </w:rPr>
            </w:pPr>
            <w:r w:rsidRPr="00040F69">
              <w:rPr>
                <w:b/>
              </w:rPr>
              <w:t>Composition of costs</w:t>
            </w:r>
          </w:p>
        </w:tc>
        <w:tc>
          <w:tcPr>
            <w:tcW w:w="6081" w:type="dxa"/>
          </w:tcPr>
          <w:p w:rsidR="003441F6" w:rsidRPr="00BD5D3A" w:rsidRDefault="003441F6" w:rsidP="001B06CF">
            <w:pPr>
              <w:jc w:val="both"/>
              <w:rPr>
                <w:b/>
                <w:color w:val="FF0000"/>
              </w:rPr>
            </w:pPr>
            <w:r w:rsidRPr="00BD5D3A">
              <w:rPr>
                <w:b/>
                <w:color w:val="FF0000"/>
              </w:rPr>
              <w:t>Cannot be provided by a regulated market:</w:t>
            </w:r>
          </w:p>
          <w:p w:rsidR="003441F6" w:rsidRDefault="003441F6" w:rsidP="001B06CF">
            <w:pPr>
              <w:jc w:val="both"/>
            </w:pPr>
            <w:r>
              <w:t xml:space="preserve">A number of the costs detailed are not produced by or available to exchanges. </w:t>
            </w:r>
            <w:r w:rsidRPr="00C85614">
              <w:rPr>
                <w:b/>
              </w:rPr>
              <w:t xml:space="preserve">Exchanges are unable to comply with these requirements </w:t>
            </w:r>
            <w:r>
              <w:rPr>
                <w:b/>
              </w:rPr>
              <w:t xml:space="preserve">as they have no knowledge of or influence over costs in the chain of trading a listed derivative </w:t>
            </w:r>
            <w:r w:rsidRPr="00C85614">
              <w:rPr>
                <w:b/>
              </w:rPr>
              <w:t>and should not be required to do so from a competition perspective.</w:t>
            </w:r>
          </w:p>
        </w:tc>
      </w:tr>
      <w:tr w:rsidR="003441F6" w:rsidTr="001B06CF">
        <w:tc>
          <w:tcPr>
            <w:tcW w:w="675" w:type="dxa"/>
          </w:tcPr>
          <w:p w:rsidR="003441F6" w:rsidRDefault="003441F6" w:rsidP="001B06CF">
            <w:pPr>
              <w:jc w:val="both"/>
            </w:pPr>
            <w:r>
              <w:t>7.</w:t>
            </w:r>
          </w:p>
        </w:tc>
        <w:tc>
          <w:tcPr>
            <w:tcW w:w="2410" w:type="dxa"/>
          </w:tcPr>
          <w:p w:rsidR="003441F6" w:rsidRPr="00040F69" w:rsidRDefault="003441F6" w:rsidP="001B06CF">
            <w:pPr>
              <w:jc w:val="both"/>
              <w:rPr>
                <w:b/>
              </w:rPr>
            </w:pPr>
            <w:r w:rsidRPr="00040F69">
              <w:rPr>
                <w:b/>
              </w:rPr>
              <w:t>How long should I hold it and can I take money out early?</w:t>
            </w:r>
          </w:p>
        </w:tc>
        <w:tc>
          <w:tcPr>
            <w:tcW w:w="6081" w:type="dxa"/>
          </w:tcPr>
          <w:p w:rsidR="003441F6" w:rsidRPr="00BD5D3A" w:rsidRDefault="003441F6" w:rsidP="001B06CF">
            <w:pPr>
              <w:jc w:val="both"/>
              <w:rPr>
                <w:b/>
                <w:color w:val="FF0000"/>
              </w:rPr>
            </w:pPr>
            <w:r w:rsidRPr="00BD5D3A">
              <w:rPr>
                <w:b/>
                <w:color w:val="FF0000"/>
              </w:rPr>
              <w:t>Cannot be provided by a regulated market:</w:t>
            </w:r>
          </w:p>
          <w:p w:rsidR="003441F6" w:rsidRDefault="003441F6" w:rsidP="001B06CF">
            <w:pPr>
              <w:jc w:val="both"/>
            </w:pPr>
            <w:r w:rsidRPr="00E33635">
              <w:rPr>
                <w:b/>
              </w:rPr>
              <w:t>Exchanges have no relationship with the retail investor.</w:t>
            </w:r>
            <w:r w:rsidRPr="00E33635">
              <w:t xml:space="preserve"> </w:t>
            </w:r>
            <w:r>
              <w:t xml:space="preserve">For that reason, it is not adequate for exchanges to provide this information. ETD contracts are available for trading on every open trading day so positions can be closed against the market price. The objective of the retail investor is unknown and therefore, the question cannot be adequately responded. </w:t>
            </w:r>
            <w:r>
              <w:rPr>
                <w:b/>
              </w:rPr>
              <w:t>More importantly,</w:t>
            </w:r>
            <w:r w:rsidRPr="00E33635">
              <w:rPr>
                <w:b/>
              </w:rPr>
              <w:t xml:space="preserve"> regulated market</w:t>
            </w:r>
            <w:r>
              <w:rPr>
                <w:b/>
              </w:rPr>
              <w:t>s do</w:t>
            </w:r>
            <w:r w:rsidRPr="00E33635">
              <w:rPr>
                <w:b/>
              </w:rPr>
              <w:t xml:space="preserve"> not provide investment advice.</w:t>
            </w:r>
          </w:p>
        </w:tc>
      </w:tr>
      <w:tr w:rsidR="003441F6" w:rsidTr="001B06CF">
        <w:tc>
          <w:tcPr>
            <w:tcW w:w="675" w:type="dxa"/>
          </w:tcPr>
          <w:p w:rsidR="003441F6" w:rsidRDefault="003441F6" w:rsidP="001B06CF">
            <w:pPr>
              <w:jc w:val="both"/>
            </w:pPr>
            <w:r>
              <w:t>8.</w:t>
            </w:r>
          </w:p>
        </w:tc>
        <w:tc>
          <w:tcPr>
            <w:tcW w:w="2410" w:type="dxa"/>
          </w:tcPr>
          <w:p w:rsidR="003441F6" w:rsidRPr="00040F69" w:rsidRDefault="003441F6" w:rsidP="001B06CF">
            <w:pPr>
              <w:jc w:val="both"/>
              <w:rPr>
                <w:b/>
              </w:rPr>
            </w:pPr>
            <w:r w:rsidRPr="00040F69">
              <w:rPr>
                <w:b/>
              </w:rPr>
              <w:t>How can I complain</w:t>
            </w:r>
          </w:p>
        </w:tc>
        <w:tc>
          <w:tcPr>
            <w:tcW w:w="6081" w:type="dxa"/>
          </w:tcPr>
          <w:p w:rsidR="003441F6" w:rsidRPr="00E33635" w:rsidRDefault="003441F6" w:rsidP="001B06CF">
            <w:pPr>
              <w:jc w:val="both"/>
              <w:rPr>
                <w:b/>
                <w:color w:val="FF0000"/>
              </w:rPr>
            </w:pPr>
            <w:r w:rsidRPr="00E33635">
              <w:rPr>
                <w:b/>
                <w:color w:val="FF0000"/>
              </w:rPr>
              <w:t>Cannot be provided by a regulated market:</w:t>
            </w:r>
          </w:p>
          <w:p w:rsidR="003441F6" w:rsidRDefault="003441F6" w:rsidP="001B06CF">
            <w:pPr>
              <w:jc w:val="both"/>
            </w:pPr>
            <w:r>
              <w:t xml:space="preserve">In essence </w:t>
            </w:r>
            <w:r w:rsidRPr="009904D4">
              <w:rPr>
                <w:b/>
              </w:rPr>
              <w:t xml:space="preserve">an investor has a relationship with </w:t>
            </w:r>
            <w:r>
              <w:rPr>
                <w:b/>
              </w:rPr>
              <w:t>his/her</w:t>
            </w:r>
            <w:r w:rsidRPr="009904D4">
              <w:rPr>
                <w:b/>
              </w:rPr>
              <w:t xml:space="preserve"> broker</w:t>
            </w:r>
            <w:r>
              <w:rPr>
                <w:b/>
              </w:rPr>
              <w:t xml:space="preserve"> -</w:t>
            </w:r>
            <w:r w:rsidRPr="009904D4">
              <w:rPr>
                <w:b/>
              </w:rPr>
              <w:t xml:space="preserve"> the investment firm.</w:t>
            </w:r>
            <w:r>
              <w:t xml:space="preserve"> Any unsatisfactory investment advice has to be addressed with the advising firm who issued, securitized or otherwise is selling the PRIIP. </w:t>
            </w:r>
          </w:p>
        </w:tc>
      </w:tr>
      <w:tr w:rsidR="003441F6" w:rsidTr="001B06CF">
        <w:tc>
          <w:tcPr>
            <w:tcW w:w="675" w:type="dxa"/>
          </w:tcPr>
          <w:p w:rsidR="003441F6" w:rsidRDefault="003441F6" w:rsidP="001B06CF">
            <w:pPr>
              <w:jc w:val="both"/>
            </w:pPr>
            <w:r>
              <w:t>9.</w:t>
            </w:r>
          </w:p>
        </w:tc>
        <w:tc>
          <w:tcPr>
            <w:tcW w:w="2410" w:type="dxa"/>
          </w:tcPr>
          <w:p w:rsidR="003441F6" w:rsidRPr="00040F69" w:rsidRDefault="003441F6" w:rsidP="001B06CF">
            <w:pPr>
              <w:rPr>
                <w:b/>
              </w:rPr>
            </w:pPr>
            <w:r w:rsidRPr="00040F69">
              <w:rPr>
                <w:b/>
              </w:rPr>
              <w:t>Other relevant information</w:t>
            </w:r>
          </w:p>
        </w:tc>
        <w:tc>
          <w:tcPr>
            <w:tcW w:w="6081" w:type="dxa"/>
          </w:tcPr>
          <w:p w:rsidR="003441F6" w:rsidRPr="00A041B1" w:rsidRDefault="003441F6" w:rsidP="001B06CF">
            <w:pPr>
              <w:jc w:val="both"/>
              <w:rPr>
                <w:b/>
                <w:color w:val="00B050"/>
              </w:rPr>
            </w:pPr>
            <w:r w:rsidRPr="00A041B1">
              <w:rPr>
                <w:b/>
                <w:color w:val="00B050"/>
              </w:rPr>
              <w:t>Could be provided by the regulated market:</w:t>
            </w:r>
          </w:p>
          <w:p w:rsidR="003441F6" w:rsidRDefault="003441F6" w:rsidP="001B06CF">
            <w:pPr>
              <w:jc w:val="both"/>
            </w:pPr>
            <w:r>
              <w:t xml:space="preserve">Regulated markets publish all rules and regulations, admission procedures, market models, derivatives contracts specifications, fees, etc. on their website. </w:t>
            </w:r>
          </w:p>
          <w:p w:rsidR="003441F6" w:rsidRPr="00581CC0" w:rsidRDefault="003441F6" w:rsidP="001B06CF">
            <w:pPr>
              <w:jc w:val="both"/>
              <w:rPr>
                <w:b/>
                <w:color w:val="FF0000"/>
              </w:rPr>
            </w:pPr>
            <w:r w:rsidRPr="00581CC0">
              <w:rPr>
                <w:b/>
                <w:color w:val="FF0000"/>
              </w:rPr>
              <w:t>Cannot be provided by regulated markets:</w:t>
            </w:r>
          </w:p>
          <w:p w:rsidR="003441F6" w:rsidRPr="00581CC0" w:rsidRDefault="003441F6" w:rsidP="001B06CF">
            <w:pPr>
              <w:jc w:val="both"/>
              <w:rPr>
                <w:b/>
              </w:rPr>
            </w:pPr>
            <w:r w:rsidRPr="00581CC0">
              <w:rPr>
                <w:b/>
              </w:rPr>
              <w:t xml:space="preserve">Any </w:t>
            </w:r>
            <w:r>
              <w:rPr>
                <w:b/>
              </w:rPr>
              <w:t xml:space="preserve">information </w:t>
            </w:r>
            <w:r w:rsidRPr="00581CC0">
              <w:rPr>
                <w:b/>
              </w:rPr>
              <w:t>relat</w:t>
            </w:r>
            <w:r>
              <w:rPr>
                <w:b/>
              </w:rPr>
              <w:t>ing</w:t>
            </w:r>
            <w:r w:rsidRPr="00581CC0">
              <w:rPr>
                <w:b/>
              </w:rPr>
              <w:t xml:space="preserve"> to an investment advice. </w:t>
            </w:r>
            <w:r w:rsidRPr="00F14050">
              <w:t>A market operator is neutral by nature</w:t>
            </w:r>
            <w:r>
              <w:t xml:space="preserve"> and as mandated by the relevant EU legislation (e.g. MiFID II)</w:t>
            </w:r>
            <w:r w:rsidRPr="00F14050">
              <w:t>. See points above.</w:t>
            </w:r>
          </w:p>
        </w:tc>
      </w:tr>
    </w:tbl>
    <w:p w:rsidR="003441F6" w:rsidRDefault="003441F6" w:rsidP="003441F6">
      <w:pPr>
        <w:jc w:val="both"/>
        <w:rPr>
          <w:rFonts w:eastAsia="Calibri"/>
          <w:lang w:val="en-US"/>
        </w:rPr>
        <w:sectPr w:rsidR="003441F6">
          <w:pgSz w:w="11909" w:h="16834"/>
          <w:pgMar w:top="1985" w:right="1134" w:bottom="1304" w:left="1418" w:header="624" w:footer="1304" w:gutter="0"/>
          <w:cols w:space="720"/>
        </w:sectPr>
      </w:pPr>
    </w:p>
    <w:p w:rsidR="003441F6" w:rsidRPr="00DC6CD0" w:rsidRDefault="003441F6" w:rsidP="003441F6">
      <w:pPr>
        <w:jc w:val="both"/>
        <w:rPr>
          <w:szCs w:val="20"/>
        </w:rPr>
      </w:pPr>
      <w:r w:rsidRPr="00DC6CD0">
        <w:rPr>
          <w:b/>
          <w:szCs w:val="20"/>
        </w:rPr>
        <w:lastRenderedPageBreak/>
        <w:t>A</w:t>
      </w:r>
      <w:r>
        <w:rPr>
          <w:b/>
          <w:szCs w:val="20"/>
        </w:rPr>
        <w:t>NNEX</w:t>
      </w:r>
      <w:r w:rsidRPr="00DC6CD0">
        <w:rPr>
          <w:b/>
          <w:szCs w:val="20"/>
        </w:rPr>
        <w:t xml:space="preserve"> I: Description of Options &amp; Futures</w:t>
      </w:r>
    </w:p>
    <w:p w:rsidR="003441F6" w:rsidRPr="0060678F" w:rsidRDefault="003441F6" w:rsidP="003441F6">
      <w:pPr>
        <w:jc w:val="both"/>
        <w:rPr>
          <w:rFonts w:cs="Calibri"/>
        </w:rPr>
      </w:pPr>
    </w:p>
    <w:p w:rsidR="003441F6" w:rsidRPr="006379B0" w:rsidRDefault="003441F6" w:rsidP="003441F6">
      <w:pPr>
        <w:jc w:val="both"/>
        <w:rPr>
          <w:rFonts w:cs="Calibri"/>
          <w:b/>
          <w:lang w:val="en-US"/>
        </w:rPr>
      </w:pPr>
      <w:r>
        <w:rPr>
          <w:rFonts w:cs="Calibri"/>
          <w:b/>
          <w:lang w:val="en-US"/>
        </w:rPr>
        <w:t>Options</w:t>
      </w:r>
    </w:p>
    <w:p w:rsidR="003441F6" w:rsidRDefault="003441F6" w:rsidP="003441F6">
      <w:pPr>
        <w:jc w:val="both"/>
        <w:rPr>
          <w:rFonts w:cs="Calibri"/>
          <w:lang w:val="en-US" w:eastAsia="nl-NL"/>
        </w:rPr>
      </w:pPr>
      <w:r>
        <w:rPr>
          <w:rFonts w:cs="Calibri"/>
          <w:lang w:val="en-US" w:eastAsia="nl-NL"/>
        </w:rPr>
        <w:t xml:space="preserve">An Option is a financial derivative security that represents a contract sold by one party (option writer) to another party (option holder). The contract offers the buyer the right, but not the obligation, to buy (call) or sell (put) a security or other financial asset (including cash) at an agreed-upon price (the strike price) during a certain period of time or on a specific date (exercise date). For listed options, the issuing party is the exchange. For the pricing of these products the Exchange has Liquidity Provider schemes in place. Multiple Liquidity Providers will be making prices in the different Option classes. End users can both buy and short Options according to a strict set of rules (margining, </w:t>
      </w:r>
      <w:proofErr w:type="spellStart"/>
      <w:r>
        <w:rPr>
          <w:rFonts w:cs="Calibri"/>
          <w:lang w:val="en-US" w:eastAsia="nl-NL"/>
        </w:rPr>
        <w:t>etc</w:t>
      </w:r>
      <w:proofErr w:type="spellEnd"/>
      <w:r>
        <w:rPr>
          <w:rFonts w:cs="Calibri"/>
          <w:lang w:val="en-US" w:eastAsia="nl-NL"/>
        </w:rPr>
        <w:t>). Options are listed within a dedicated segment on the Exchange.</w:t>
      </w:r>
    </w:p>
    <w:p w:rsidR="003441F6" w:rsidRDefault="003441F6" w:rsidP="003441F6">
      <w:pPr>
        <w:jc w:val="both"/>
        <w:rPr>
          <w:rFonts w:eastAsiaTheme="minorHAnsi" w:cs="Calibri"/>
          <w:lang w:val="en-US" w:eastAsia="en-US"/>
        </w:rPr>
      </w:pPr>
    </w:p>
    <w:p w:rsidR="003441F6" w:rsidRDefault="003441F6" w:rsidP="003441F6">
      <w:pPr>
        <w:jc w:val="both"/>
        <w:rPr>
          <w:rFonts w:cs="Calibri"/>
          <w:b/>
          <w:lang w:val="en-US"/>
        </w:rPr>
      </w:pPr>
      <w:r>
        <w:rPr>
          <w:rFonts w:cs="Calibri"/>
          <w:b/>
          <w:lang w:val="en-US"/>
        </w:rPr>
        <w:t>Futures</w:t>
      </w:r>
    </w:p>
    <w:p w:rsidR="003441F6" w:rsidRDefault="003441F6" w:rsidP="003441F6">
      <w:pPr>
        <w:jc w:val="both"/>
        <w:rPr>
          <w:rFonts w:cs="Calibri"/>
          <w:lang w:val="en-US" w:eastAsia="nl-NL"/>
        </w:rPr>
      </w:pPr>
      <w:r>
        <w:rPr>
          <w:rFonts w:cs="Calibri"/>
          <w:lang w:val="en-US" w:eastAsia="nl-NL"/>
        </w:rPr>
        <w:t xml:space="preserve">A Futures contract is a financial derivative security to buy or sell a particular commodity or financial instrument at a pre-determined price in the future. Futures contracts detail the quality and quantity of the underlying asset; they are standardized to facilitate trading on an exchange. Some futures contracts may call for physical delivery of the asset, while others are settled in cash. The issuing party is the exchange. As the futures listed at the Exchange are order driven instruments, for most futures contracts no Liquidity Providers are appointed. End users can both buy and short futures according a strict set of rules (margining, </w:t>
      </w:r>
      <w:proofErr w:type="spellStart"/>
      <w:r>
        <w:rPr>
          <w:rFonts w:cs="Calibri"/>
          <w:lang w:val="en-US" w:eastAsia="nl-NL"/>
        </w:rPr>
        <w:t>etc</w:t>
      </w:r>
      <w:proofErr w:type="spellEnd"/>
      <w:r>
        <w:rPr>
          <w:rFonts w:cs="Calibri"/>
          <w:lang w:val="en-US" w:eastAsia="nl-NL"/>
        </w:rPr>
        <w:t>). Futures are listed within a dedicated segment on the Exchange.</w:t>
      </w:r>
    </w:p>
    <w:p w:rsidR="003441F6" w:rsidRDefault="003441F6" w:rsidP="003441F6">
      <w:pPr>
        <w:jc w:val="both"/>
      </w:pPr>
    </w:p>
    <w:p w:rsidR="003441F6" w:rsidRDefault="003441F6" w:rsidP="003441F6">
      <w:pPr>
        <w:jc w:val="both"/>
      </w:pPr>
    </w:p>
    <w:p w:rsidR="003441F6" w:rsidRDefault="003441F6" w:rsidP="003441F6">
      <w:pPr>
        <w:jc w:val="both"/>
      </w:pPr>
    </w:p>
    <w:p w:rsidR="003441F6" w:rsidRDefault="003441F6" w:rsidP="003441F6">
      <w:pPr>
        <w:jc w:val="both"/>
        <w:rPr>
          <w:rFonts w:cs="Calibri"/>
          <w:b/>
          <w:lang w:val="en-US"/>
        </w:rPr>
      </w:pPr>
    </w:p>
    <w:p w:rsidR="008965E1" w:rsidRDefault="008965E1">
      <w:pPr>
        <w:rPr>
          <w:rFonts w:cs="Calibri"/>
          <w:b/>
          <w:lang w:val="en-US"/>
        </w:rPr>
      </w:pPr>
      <w:r>
        <w:rPr>
          <w:rFonts w:cs="Calibri"/>
          <w:b/>
          <w:lang w:val="en-US"/>
        </w:rPr>
        <w:br w:type="page"/>
      </w:r>
    </w:p>
    <w:p w:rsidR="003441F6" w:rsidRPr="00DC6CD0" w:rsidRDefault="003441F6" w:rsidP="003441F6">
      <w:pPr>
        <w:jc w:val="both"/>
        <w:rPr>
          <w:rFonts w:cs="Calibri"/>
          <w:b/>
          <w:lang w:val="en-US"/>
        </w:rPr>
      </w:pPr>
      <w:r w:rsidRPr="00DC6CD0">
        <w:rPr>
          <w:rFonts w:cs="Calibri"/>
          <w:b/>
          <w:lang w:val="en-US"/>
        </w:rPr>
        <w:lastRenderedPageBreak/>
        <w:t xml:space="preserve">ANNEX II: </w:t>
      </w:r>
      <w:r>
        <w:rPr>
          <w:rFonts w:cs="Calibri"/>
          <w:b/>
          <w:lang w:val="en-US"/>
        </w:rPr>
        <w:t xml:space="preserve">Draft KID </w:t>
      </w:r>
      <w:r w:rsidRPr="00DC6CD0">
        <w:rPr>
          <w:rFonts w:cs="Calibri"/>
          <w:b/>
          <w:lang w:val="en-US"/>
        </w:rPr>
        <w:t xml:space="preserve">– </w:t>
      </w:r>
      <w:r>
        <w:rPr>
          <w:rFonts w:cs="Calibri"/>
          <w:b/>
          <w:lang w:val="en-US"/>
        </w:rPr>
        <w:t>Detailed Analysis</w:t>
      </w:r>
    </w:p>
    <w:p w:rsidR="003441F6" w:rsidRDefault="003441F6" w:rsidP="003441F6">
      <w:pPr>
        <w:jc w:val="both"/>
        <w:rPr>
          <w:rFonts w:cs="Calibri"/>
          <w:lang w:val="en-US"/>
        </w:rPr>
      </w:pPr>
      <w:r>
        <w:rPr>
          <w:rFonts w:cs="Calibri"/>
          <w:lang w:val="en-US"/>
        </w:rPr>
        <w:t xml:space="preserve"> </w:t>
      </w:r>
    </w:p>
    <w:p w:rsidR="003441F6" w:rsidRDefault="003441F6" w:rsidP="003441F6">
      <w:pPr>
        <w:jc w:val="both"/>
        <w:rPr>
          <w:rFonts w:cs="Calibri"/>
          <w:lang w:val="en-US"/>
        </w:rPr>
      </w:pPr>
    </w:p>
    <w:p w:rsidR="003441F6" w:rsidRPr="00905007" w:rsidRDefault="003441F6" w:rsidP="003441F6">
      <w:pPr>
        <w:jc w:val="both"/>
        <w:rPr>
          <w:b/>
        </w:rPr>
      </w:pPr>
      <w:r>
        <w:rPr>
          <w:b/>
        </w:rPr>
        <w:t>Item 4: Risks</w:t>
      </w:r>
    </w:p>
    <w:p w:rsidR="003441F6" w:rsidRDefault="003441F6" w:rsidP="003441F6">
      <w:pPr>
        <w:jc w:val="both"/>
        <w:rPr>
          <w:b/>
        </w:rPr>
      </w:pPr>
    </w:p>
    <w:p w:rsidR="003441F6" w:rsidRPr="00905007" w:rsidRDefault="003441F6" w:rsidP="003441F6">
      <w:pPr>
        <w:jc w:val="both"/>
        <w:rPr>
          <w:b/>
        </w:rPr>
      </w:pPr>
      <w:r>
        <w:rPr>
          <w:b/>
        </w:rPr>
        <w:t xml:space="preserve">Risk overview - </w:t>
      </w:r>
      <w:r w:rsidRPr="00905007">
        <w:rPr>
          <w:b/>
        </w:rPr>
        <w:t>Practical challenge of providing a fitting risk overview</w:t>
      </w:r>
    </w:p>
    <w:p w:rsidR="003441F6" w:rsidRDefault="003441F6" w:rsidP="003441F6">
      <w:pPr>
        <w:jc w:val="both"/>
      </w:pPr>
      <w:r>
        <w:t>From the consultation document it appears that listed derivatives are placed in the highest risk category. That does not do justice to the products and the variety of ways in which they are used.</w:t>
      </w:r>
    </w:p>
    <w:p w:rsidR="003441F6" w:rsidRDefault="003441F6" w:rsidP="003441F6">
      <w:pPr>
        <w:jc w:val="both"/>
      </w:pPr>
    </w:p>
    <w:p w:rsidR="003441F6" w:rsidRPr="00C1780F" w:rsidRDefault="003441F6" w:rsidP="003441F6">
      <w:pPr>
        <w:jc w:val="both"/>
      </w:pPr>
      <w:r w:rsidRPr="00C1780F">
        <w:t>Too many different types of usage lead to a variety of possible risk profiles.</w:t>
      </w:r>
      <w:r>
        <w:rPr>
          <w:b/>
        </w:rPr>
        <w:t xml:space="preserve"> </w:t>
      </w:r>
      <w:r>
        <w:t>In essence, t</w:t>
      </w:r>
      <w:r w:rsidRPr="00950128">
        <w:t xml:space="preserve">here are two types of </w:t>
      </w:r>
      <w:r>
        <w:t xml:space="preserve">listed </w:t>
      </w:r>
      <w:r w:rsidRPr="00950128">
        <w:t>options, calls and puts. For both types various exercise prices are listed with various lifetimes. An example: for standard monthly options on Heineken shares</w:t>
      </w:r>
      <w:r>
        <w:t>,</w:t>
      </w:r>
      <w:r w:rsidRPr="00950128">
        <w:t xml:space="preserve"> 11 expiry months are listed with a lifetime ranging from 1 month to 5 years. On any day between 140 and 180 calls </w:t>
      </w:r>
      <w:r w:rsidRPr="00C1780F">
        <w:t>and between 140 and 180 puts with a different maturity and exercise price are listed.</w:t>
      </w:r>
    </w:p>
    <w:p w:rsidR="003441F6" w:rsidRPr="00C1780F" w:rsidRDefault="003441F6" w:rsidP="003441F6">
      <w:pPr>
        <w:jc w:val="both"/>
      </w:pPr>
    </w:p>
    <w:p w:rsidR="003441F6" w:rsidRPr="00C1780F" w:rsidRDefault="003441F6" w:rsidP="003441F6">
      <w:pPr>
        <w:jc w:val="both"/>
      </w:pPr>
      <w:r w:rsidRPr="00C1780F">
        <w:t>Depending on whether the exercise price is in-the-money or out-of-the-money and depending on the remaining lifetime, the risk is different; this changes every day when the price of the underlying value changes.</w:t>
      </w:r>
    </w:p>
    <w:p w:rsidR="003441F6" w:rsidRPr="00C1780F" w:rsidRDefault="003441F6" w:rsidP="003441F6">
      <w:pPr>
        <w:jc w:val="both"/>
      </w:pPr>
    </w:p>
    <w:p w:rsidR="003441F6" w:rsidRPr="00C1780F" w:rsidRDefault="003441F6" w:rsidP="003441F6">
      <w:pPr>
        <w:jc w:val="both"/>
      </w:pPr>
      <w:r w:rsidRPr="00C1780F">
        <w:t xml:space="preserve">Investors can create a position by buying an option (long position) or selling an option (short position). When an option is bought, the investor can lose no more than the investment. When an option is sold to create a short position, the loss to the investor is not limited unless the investor is hedged; in that case the risk to lose money can be zero. </w:t>
      </w:r>
    </w:p>
    <w:p w:rsidR="003441F6" w:rsidRPr="00C1780F" w:rsidRDefault="003441F6" w:rsidP="003441F6">
      <w:pPr>
        <w:jc w:val="both"/>
      </w:pPr>
    </w:p>
    <w:p w:rsidR="003441F6" w:rsidRPr="00C1780F" w:rsidRDefault="003441F6" w:rsidP="003441F6">
      <w:pPr>
        <w:jc w:val="both"/>
      </w:pPr>
      <w:r w:rsidRPr="00C1780F">
        <w:t>Creating a long position or a short position in an option has a certain pay-off structure. In addition to single positions, when positions are combined (call/put, long/short) the pay-off structure is adjusted. This allows the investor to create the pay-off structure he wants, and therewith choose the maximum level of risk he wants to create.</w:t>
      </w:r>
    </w:p>
    <w:p w:rsidR="003441F6" w:rsidRPr="00C1780F" w:rsidRDefault="003441F6" w:rsidP="003441F6">
      <w:pPr>
        <w:jc w:val="both"/>
      </w:pPr>
    </w:p>
    <w:p w:rsidR="003441F6" w:rsidRPr="00C1780F" w:rsidRDefault="003441F6" w:rsidP="003441F6">
      <w:pPr>
        <w:jc w:val="both"/>
      </w:pPr>
      <w:r w:rsidRPr="00C1780F">
        <w:t xml:space="preserve">The points mentioned above show that a KID with one SRI does not do justice to listed options, especially considering that the purpose of a KID is to give retail investors the opportunity to compare products with each other. If, alternatively, we were to differentiate between all the different calls/puts per strike price, it would lead to an unacceptable amount of KIDs:  comparing 180 KIDs for call options and 180 KIDs for put options on one underlying value is unfeasible, especially when taken into account that KIDs will change regularly after a certain underlying price movement. This would result in the exchange having to produce hundreds of KIDS per individual product that need to be updated continuously throughout the day which would be practically impossible to comply with. </w:t>
      </w:r>
    </w:p>
    <w:p w:rsidR="003441F6" w:rsidRDefault="003441F6" w:rsidP="003441F6">
      <w:pPr>
        <w:jc w:val="both"/>
        <w:rPr>
          <w:b/>
        </w:rPr>
      </w:pPr>
    </w:p>
    <w:p w:rsidR="003441F6" w:rsidRPr="00C1780F" w:rsidRDefault="003441F6" w:rsidP="003441F6">
      <w:pPr>
        <w:jc w:val="both"/>
      </w:pPr>
      <w:r w:rsidRPr="00C1780F">
        <w:t>The assigned Market Risk Measurement does not reflect the type of product exchange traded derivatives are:</w:t>
      </w:r>
    </w:p>
    <w:p w:rsidR="003441F6" w:rsidRPr="00D855CF" w:rsidRDefault="003441F6" w:rsidP="003441F6">
      <w:pPr>
        <w:jc w:val="both"/>
        <w:rPr>
          <w:b/>
        </w:rPr>
      </w:pPr>
    </w:p>
    <w:p w:rsidR="003441F6" w:rsidRPr="00D855CF" w:rsidRDefault="003441F6" w:rsidP="003129E0">
      <w:pPr>
        <w:pStyle w:val="ListParagraph"/>
        <w:numPr>
          <w:ilvl w:val="0"/>
          <w:numId w:val="43"/>
        </w:numPr>
        <w:jc w:val="both"/>
        <w:rPr>
          <w:b/>
        </w:rPr>
      </w:pPr>
      <w:r w:rsidRPr="00D855CF">
        <w:rPr>
          <w:b/>
        </w:rPr>
        <w:t xml:space="preserve">One size </w:t>
      </w:r>
      <w:r>
        <w:rPr>
          <w:b/>
        </w:rPr>
        <w:t xml:space="preserve">does not </w:t>
      </w:r>
      <w:r w:rsidRPr="00D855CF">
        <w:rPr>
          <w:b/>
        </w:rPr>
        <w:t>fit all</w:t>
      </w:r>
    </w:p>
    <w:p w:rsidR="003441F6" w:rsidRPr="00C1780F" w:rsidRDefault="003441F6" w:rsidP="003441F6">
      <w:pPr>
        <w:ind w:left="360"/>
        <w:jc w:val="both"/>
      </w:pPr>
      <w:r>
        <w:t>From the Consultation it appears that, listed o</w:t>
      </w:r>
      <w:r w:rsidRPr="00950128">
        <w:t>ptions are qualitatively ass</w:t>
      </w:r>
      <w:r>
        <w:t>igned to Market Risk Measure (MR</w:t>
      </w:r>
      <w:r w:rsidRPr="00950128">
        <w:t>M) 7. Given the differences in the usage/pay-off structures/many series of options,</w:t>
      </w:r>
      <w:r>
        <w:t xml:space="preserve"> we feel this </w:t>
      </w:r>
      <w:r w:rsidRPr="00C1780F">
        <w:t xml:space="preserve">misrepresents the product and the use of this product in different strategies and scenarios. From our point of view, the retail investor would not receive the correct information on the option by applying a one size fits all risk category to this product. When a </w:t>
      </w:r>
      <w:proofErr w:type="spellStart"/>
      <w:r w:rsidRPr="00C1780F">
        <w:t>VaR</w:t>
      </w:r>
      <w:proofErr w:type="spellEnd"/>
      <w:r w:rsidRPr="00C1780F">
        <w:t xml:space="preserve"> is calculated instead of assigning options to a risk category, the same problem arises: one </w:t>
      </w:r>
      <w:proofErr w:type="spellStart"/>
      <w:r w:rsidRPr="00C1780F">
        <w:t>VaR</w:t>
      </w:r>
      <w:proofErr w:type="spellEnd"/>
      <w:r w:rsidRPr="00C1780F">
        <w:t xml:space="preserve"> for all individual series does not reflect the general usage of options and one </w:t>
      </w:r>
      <w:proofErr w:type="spellStart"/>
      <w:r w:rsidRPr="00C1780F">
        <w:t>VaR</w:t>
      </w:r>
      <w:proofErr w:type="spellEnd"/>
      <w:r w:rsidRPr="00C1780F">
        <w:t xml:space="preserve"> per individual series will create too many MRMs for a meaningful comparison of KIDs. All of this is subject to change so a KID potentially has a short lifetime and will require many updates. </w:t>
      </w:r>
    </w:p>
    <w:p w:rsidR="003441F6" w:rsidRDefault="003441F6" w:rsidP="003441F6">
      <w:pPr>
        <w:ind w:left="360"/>
        <w:jc w:val="both"/>
      </w:pPr>
    </w:p>
    <w:p w:rsidR="003441F6" w:rsidRPr="00D855CF" w:rsidRDefault="003441F6" w:rsidP="003129E0">
      <w:pPr>
        <w:pStyle w:val="ListParagraph"/>
        <w:numPr>
          <w:ilvl w:val="0"/>
          <w:numId w:val="43"/>
        </w:numPr>
        <w:jc w:val="both"/>
        <w:rPr>
          <w:b/>
        </w:rPr>
      </w:pPr>
      <w:r w:rsidRPr="00D855CF">
        <w:rPr>
          <w:b/>
        </w:rPr>
        <w:t>The KID does not correct for trading on regulated markets</w:t>
      </w:r>
    </w:p>
    <w:p w:rsidR="003441F6" w:rsidRDefault="003441F6" w:rsidP="003441F6">
      <w:pPr>
        <w:ind w:left="360"/>
        <w:jc w:val="both"/>
      </w:pPr>
      <w:r w:rsidRPr="00950128">
        <w:t xml:space="preserve">According to the consultation paper standard derivatives are qualitatively assigned to the highest risk category. </w:t>
      </w:r>
      <w:r>
        <w:t xml:space="preserve">The KID rules only seem to take into account the structure of the product and ignore the trading environment. We believe that the trading environment has bearing on the risk profile of the </w:t>
      </w:r>
      <w:r>
        <w:lastRenderedPageBreak/>
        <w:t xml:space="preserve">products and should be included in the risk profile. </w:t>
      </w:r>
      <w:r w:rsidRPr="00950128">
        <w:t>Exchange traded derivatives are traded on a regulated market and are fully transparent; transparent in construction and in trading.</w:t>
      </w:r>
      <w:r>
        <w:t xml:space="preserve"> Derivatives traded on regulated markets benefit from a highly liquid market which allows for the disposal of the products at any given time. Furthermore, as clearing and settlement is guaranteed, payment and settlement risk are sufficiently addressed. Comparing this to p</w:t>
      </w:r>
      <w:r w:rsidRPr="00950128">
        <w:t xml:space="preserve">ackaged products </w:t>
      </w:r>
      <w:r>
        <w:t xml:space="preserve">that </w:t>
      </w:r>
      <w:r w:rsidRPr="00950128">
        <w:t xml:space="preserve">can </w:t>
      </w:r>
      <w:r>
        <w:t xml:space="preserve">also </w:t>
      </w:r>
      <w:r w:rsidRPr="00950128">
        <w:t>be traded</w:t>
      </w:r>
      <w:r>
        <w:t xml:space="preserve"> </w:t>
      </w:r>
      <w:r w:rsidRPr="00950128">
        <w:t xml:space="preserve">on non-regulated markets </w:t>
      </w:r>
      <w:r>
        <w:t>or OTC, we believe that these differences are relevant to the end investor and should be included in the risk assessment.</w:t>
      </w:r>
      <w:r w:rsidRPr="00950128">
        <w:t xml:space="preserve"> </w:t>
      </w:r>
      <w:r>
        <w:t>However, t</w:t>
      </w:r>
      <w:r w:rsidRPr="00950128">
        <w:t>he KID does not take this into account; packaged products can have an equal or lower SRI than exchange traded derivatives while the risk of trading against prices</w:t>
      </w:r>
      <w:r>
        <w:t xml:space="preserve"> that originate from less liquid or less transparent markets</w:t>
      </w:r>
      <w:r w:rsidRPr="00950128">
        <w:t xml:space="preserve"> is much higher.</w:t>
      </w:r>
    </w:p>
    <w:p w:rsidR="003441F6" w:rsidRDefault="003441F6" w:rsidP="003441F6">
      <w:pPr>
        <w:ind w:left="360"/>
        <w:jc w:val="both"/>
      </w:pPr>
    </w:p>
    <w:p w:rsidR="003441F6" w:rsidRPr="00D855CF" w:rsidRDefault="003441F6" w:rsidP="003129E0">
      <w:pPr>
        <w:pStyle w:val="ListParagraph"/>
        <w:numPr>
          <w:ilvl w:val="0"/>
          <w:numId w:val="43"/>
        </w:numPr>
        <w:jc w:val="both"/>
        <w:rPr>
          <w:b/>
        </w:rPr>
      </w:pPr>
      <w:r w:rsidRPr="00D855CF">
        <w:rPr>
          <w:b/>
        </w:rPr>
        <w:t>Safeguard</w:t>
      </w:r>
      <w:r>
        <w:rPr>
          <w:b/>
        </w:rPr>
        <w:t>s</w:t>
      </w:r>
      <w:r w:rsidRPr="00D855CF">
        <w:rPr>
          <w:b/>
        </w:rPr>
        <w:t xml:space="preserve"> that similar products get the same SRI</w:t>
      </w:r>
    </w:p>
    <w:p w:rsidR="003441F6" w:rsidRDefault="003441F6" w:rsidP="003441F6">
      <w:pPr>
        <w:ind w:left="360"/>
        <w:jc w:val="both"/>
      </w:pPr>
      <w:r w:rsidRPr="00950128">
        <w:t xml:space="preserve">A packaged product can have the same pay-off structure or risk as an option (or combination of options), </w:t>
      </w:r>
      <w:r>
        <w:t>are</w:t>
      </w:r>
      <w:r w:rsidRPr="00950128">
        <w:t xml:space="preserve"> there any safeguard</w:t>
      </w:r>
      <w:r>
        <w:t>s to ensure</w:t>
      </w:r>
      <w:r w:rsidRPr="00950128">
        <w:t xml:space="preserve"> that such packaged products are assigned the same MRM</w:t>
      </w:r>
      <w:r>
        <w:t xml:space="preserve"> (or even a worse MRM because of higher credit risk)</w:t>
      </w:r>
      <w:r w:rsidRPr="00950128">
        <w:t xml:space="preserve"> as options/futures? </w:t>
      </w:r>
      <w:r>
        <w:t>This should</w:t>
      </w:r>
      <w:r w:rsidRPr="00950128">
        <w:t xml:space="preserve"> be the case in order to safeguard uniformity and a level playing field.</w:t>
      </w:r>
    </w:p>
    <w:p w:rsidR="003441F6" w:rsidRDefault="003441F6" w:rsidP="003441F6">
      <w:pPr>
        <w:ind w:left="360"/>
        <w:jc w:val="both"/>
      </w:pPr>
    </w:p>
    <w:p w:rsidR="003441F6" w:rsidRDefault="003441F6" w:rsidP="003129E0">
      <w:pPr>
        <w:pStyle w:val="ListParagraph"/>
        <w:numPr>
          <w:ilvl w:val="0"/>
          <w:numId w:val="42"/>
        </w:numPr>
        <w:ind w:left="284" w:hanging="284"/>
        <w:jc w:val="both"/>
      </w:pPr>
      <w:r>
        <w:rPr>
          <w:b/>
        </w:rPr>
        <w:t xml:space="preserve"> VAR calculation</w:t>
      </w:r>
    </w:p>
    <w:p w:rsidR="003441F6" w:rsidRDefault="003441F6" w:rsidP="003441F6">
      <w:pPr>
        <w:ind w:left="360"/>
        <w:jc w:val="both"/>
      </w:pPr>
      <w:r w:rsidRPr="00950128">
        <w:t xml:space="preserve">The exchange is not in the position to execute </w:t>
      </w:r>
      <w:proofErr w:type="spellStart"/>
      <w:r w:rsidRPr="00950128">
        <w:t>VaR</w:t>
      </w:r>
      <w:proofErr w:type="spellEnd"/>
      <w:r w:rsidRPr="00950128">
        <w:t xml:space="preserve"> calculations. All market risk and credit risk calculations are outsourced to the CCP.</w:t>
      </w:r>
    </w:p>
    <w:p w:rsidR="003441F6" w:rsidRPr="00950128" w:rsidRDefault="003441F6" w:rsidP="003441F6">
      <w:pPr>
        <w:ind w:left="360"/>
        <w:jc w:val="both"/>
      </w:pPr>
    </w:p>
    <w:p w:rsidR="003441F6" w:rsidRPr="008E54A2" w:rsidRDefault="003441F6" w:rsidP="003441F6">
      <w:pPr>
        <w:jc w:val="both"/>
        <w:rPr>
          <w:b/>
        </w:rPr>
      </w:pPr>
    </w:p>
    <w:p w:rsidR="003441F6" w:rsidRDefault="003441F6" w:rsidP="003441F6">
      <w:pPr>
        <w:jc w:val="both"/>
        <w:rPr>
          <w:b/>
        </w:rPr>
      </w:pPr>
      <w:r>
        <w:rPr>
          <w:b/>
        </w:rPr>
        <w:t>Performance scenario</w:t>
      </w:r>
    </w:p>
    <w:p w:rsidR="003441F6" w:rsidRPr="00C1780F" w:rsidRDefault="003441F6" w:rsidP="003441F6">
      <w:pPr>
        <w:jc w:val="both"/>
      </w:pPr>
      <w:r w:rsidRPr="00C1780F">
        <w:t>To do justice to the reality of possible performances an unrealistic amount of scenarios would need to be produced. When an investor buys a single listed call or put, he can choose from various strike prices all of which behave differently on underlying price movements. Creating one KID per option series would result in an unmanageable number of KIDs which, in addition, would also need to be updated regularly after underlying price changes. Creating one general KID for all option series would include performance scenarios that are meaningless or even misleading.</w:t>
      </w:r>
    </w:p>
    <w:p w:rsidR="003441F6" w:rsidRPr="00A25580" w:rsidRDefault="003441F6" w:rsidP="003441F6">
      <w:pPr>
        <w:ind w:left="360"/>
        <w:jc w:val="both"/>
      </w:pPr>
    </w:p>
    <w:p w:rsidR="003441F6" w:rsidRPr="00950128" w:rsidRDefault="003441F6" w:rsidP="003441F6">
      <w:pPr>
        <w:jc w:val="both"/>
      </w:pPr>
    </w:p>
    <w:p w:rsidR="003441F6" w:rsidRDefault="003441F6" w:rsidP="003441F6">
      <w:pPr>
        <w:jc w:val="both"/>
        <w:rPr>
          <w:b/>
        </w:rPr>
      </w:pPr>
      <w:r>
        <w:rPr>
          <w:b/>
        </w:rPr>
        <w:t>Item 6: Costs</w:t>
      </w:r>
    </w:p>
    <w:p w:rsidR="003441F6" w:rsidRDefault="003441F6" w:rsidP="003441F6">
      <w:pPr>
        <w:jc w:val="both"/>
        <w:rPr>
          <w:b/>
        </w:rPr>
      </w:pPr>
    </w:p>
    <w:p w:rsidR="003441F6" w:rsidRDefault="003441F6" w:rsidP="003441F6">
      <w:pPr>
        <w:jc w:val="both"/>
      </w:pPr>
      <w:r>
        <w:t>The overview of costs is very specific to firms creating, issuing, marketing and managing PRIIPs. The requirements do not match the reality of listed option and future trading. Below a specification per item. We believe that for trading of listed options and futures there are a number of costs that arise which do not necessarily align with the tables presented by the ESAs. The costs are:</w:t>
      </w:r>
    </w:p>
    <w:p w:rsidR="003441F6" w:rsidRDefault="003441F6" w:rsidP="003441F6">
      <w:pPr>
        <w:jc w:val="both"/>
      </w:pPr>
    </w:p>
    <w:p w:rsidR="003441F6" w:rsidRPr="00CE7B14" w:rsidRDefault="003441F6" w:rsidP="003129E0">
      <w:pPr>
        <w:pStyle w:val="ListParagraph"/>
        <w:numPr>
          <w:ilvl w:val="0"/>
          <w:numId w:val="45"/>
        </w:numPr>
        <w:jc w:val="both"/>
      </w:pPr>
      <w:r w:rsidRPr="00514B23">
        <w:rPr>
          <w:b/>
        </w:rPr>
        <w:t>Trading costs charged by the exchange</w:t>
      </w:r>
    </w:p>
    <w:p w:rsidR="003441F6" w:rsidRDefault="003441F6" w:rsidP="003441F6">
      <w:pPr>
        <w:pStyle w:val="ListParagraph"/>
        <w:jc w:val="both"/>
      </w:pPr>
      <w:r>
        <w:t>We are able to provide a general overview of the costs per contract. Depending on the number of trades a retail investor conducts, costs can be calculated accordingly.</w:t>
      </w:r>
    </w:p>
    <w:p w:rsidR="003441F6" w:rsidRDefault="003441F6" w:rsidP="003441F6">
      <w:pPr>
        <w:pStyle w:val="ListParagraph"/>
        <w:jc w:val="both"/>
      </w:pPr>
    </w:p>
    <w:p w:rsidR="003441F6" w:rsidRDefault="003441F6" w:rsidP="003129E0">
      <w:pPr>
        <w:pStyle w:val="ListParagraph"/>
        <w:numPr>
          <w:ilvl w:val="0"/>
          <w:numId w:val="45"/>
        </w:numPr>
        <w:jc w:val="both"/>
      </w:pPr>
      <w:r>
        <w:rPr>
          <w:b/>
        </w:rPr>
        <w:t>Trading costs charged by the broker (or brokers where applicable)</w:t>
      </w:r>
    </w:p>
    <w:p w:rsidR="003441F6" w:rsidRDefault="003441F6" w:rsidP="003441F6">
      <w:pPr>
        <w:pStyle w:val="ListParagraph"/>
        <w:jc w:val="both"/>
      </w:pPr>
      <w:r>
        <w:t>This depends on the type of broker and the relationship with the end investor. Exchanges have no access to this information and are not able to specify this as it differs per investor.</w:t>
      </w:r>
    </w:p>
    <w:p w:rsidR="003441F6" w:rsidRDefault="003441F6" w:rsidP="003441F6">
      <w:pPr>
        <w:pStyle w:val="ListParagraph"/>
        <w:jc w:val="both"/>
      </w:pPr>
    </w:p>
    <w:p w:rsidR="003441F6" w:rsidRDefault="003441F6" w:rsidP="003129E0">
      <w:pPr>
        <w:pStyle w:val="ListParagraph"/>
        <w:numPr>
          <w:ilvl w:val="0"/>
          <w:numId w:val="45"/>
        </w:numPr>
        <w:jc w:val="both"/>
        <w:rPr>
          <w:b/>
        </w:rPr>
      </w:pPr>
      <w:r w:rsidRPr="00514B23">
        <w:rPr>
          <w:b/>
        </w:rPr>
        <w:t>Clearing and settlement costs</w:t>
      </w:r>
    </w:p>
    <w:p w:rsidR="003441F6" w:rsidRDefault="003441F6" w:rsidP="003441F6">
      <w:pPr>
        <w:pStyle w:val="ListParagraph"/>
        <w:jc w:val="both"/>
      </w:pPr>
      <w:r>
        <w:t>These costs are charged by the CCP and CSD and should be provided by those entities. As CCPs and different CSD act in our markets (and will offer varying tariffs per market) exchanges cannot provide a comprehensive overview of all those costs. Furthermore, the chain of clearing costs will differ depending on the number of clearing members and brokers that an investor has to go through.</w:t>
      </w:r>
    </w:p>
    <w:p w:rsidR="003441F6" w:rsidRPr="003A0A66" w:rsidRDefault="003441F6" w:rsidP="003441F6">
      <w:pPr>
        <w:pStyle w:val="ListParagraph"/>
        <w:jc w:val="both"/>
        <w:rPr>
          <w:b/>
        </w:rPr>
      </w:pPr>
    </w:p>
    <w:p w:rsidR="003441F6" w:rsidRDefault="003441F6" w:rsidP="003129E0">
      <w:pPr>
        <w:pStyle w:val="ListParagraph"/>
        <w:numPr>
          <w:ilvl w:val="0"/>
          <w:numId w:val="45"/>
        </w:numPr>
        <w:jc w:val="both"/>
        <w:rPr>
          <w:b/>
        </w:rPr>
      </w:pPr>
      <w:r>
        <w:rPr>
          <w:b/>
        </w:rPr>
        <w:t>Margin requirements</w:t>
      </w:r>
    </w:p>
    <w:p w:rsidR="003441F6" w:rsidRPr="00514B23" w:rsidRDefault="003441F6" w:rsidP="003441F6">
      <w:pPr>
        <w:pStyle w:val="ListParagraph"/>
        <w:jc w:val="both"/>
        <w:rPr>
          <w:b/>
        </w:rPr>
      </w:pPr>
      <w:r>
        <w:t>These requirements are set by the CCP and will depend on the type of clearing account and clearing member. Exchanges have no insight to this.</w:t>
      </w:r>
    </w:p>
    <w:p w:rsidR="003441F6" w:rsidRDefault="003441F6" w:rsidP="003441F6">
      <w:pPr>
        <w:jc w:val="both"/>
      </w:pPr>
    </w:p>
    <w:p w:rsidR="003441F6" w:rsidRPr="00855DE3" w:rsidRDefault="003441F6" w:rsidP="003129E0">
      <w:pPr>
        <w:pStyle w:val="ListParagraph"/>
        <w:numPr>
          <w:ilvl w:val="0"/>
          <w:numId w:val="44"/>
        </w:numPr>
        <w:jc w:val="both"/>
        <w:rPr>
          <w:b/>
        </w:rPr>
      </w:pPr>
      <w:r w:rsidRPr="00855DE3">
        <w:rPr>
          <w:b/>
        </w:rPr>
        <w:t>Sales commissions</w:t>
      </w:r>
    </w:p>
    <w:p w:rsidR="003441F6" w:rsidRDefault="003441F6" w:rsidP="003441F6">
      <w:pPr>
        <w:ind w:firstLine="708"/>
        <w:jc w:val="both"/>
      </w:pPr>
      <w:r>
        <w:lastRenderedPageBreak/>
        <w:t>Exchanges do not have that information.</w:t>
      </w:r>
    </w:p>
    <w:p w:rsidR="003441F6" w:rsidRPr="001965BE" w:rsidRDefault="003441F6" w:rsidP="003441F6">
      <w:pPr>
        <w:ind w:firstLine="708"/>
        <w:jc w:val="both"/>
      </w:pPr>
    </w:p>
    <w:p w:rsidR="003441F6" w:rsidRPr="00855DE3" w:rsidRDefault="003441F6" w:rsidP="003129E0">
      <w:pPr>
        <w:pStyle w:val="ListParagraph"/>
        <w:numPr>
          <w:ilvl w:val="0"/>
          <w:numId w:val="44"/>
        </w:numPr>
        <w:jc w:val="both"/>
        <w:rPr>
          <w:b/>
        </w:rPr>
      </w:pPr>
      <w:r w:rsidRPr="00855DE3">
        <w:rPr>
          <w:b/>
        </w:rPr>
        <w:t>Structuring costs</w:t>
      </w:r>
    </w:p>
    <w:p w:rsidR="003441F6" w:rsidRDefault="003441F6" w:rsidP="003441F6">
      <w:pPr>
        <w:ind w:left="708"/>
        <w:jc w:val="both"/>
      </w:pPr>
      <w:r>
        <w:t xml:space="preserve">Exchanges do not have that information, market-making costs are at the expense of the individual market maker that chooses to take a position in this contract and exchanges have </w:t>
      </w:r>
      <w:r w:rsidR="00214679">
        <w:t xml:space="preserve">no </w:t>
      </w:r>
      <w:r>
        <w:t>prior information on that. Settlement costs depend on the costs of the clearing and settlement organisations and the investor’s relationship with his broker. Exchanges are not a party to this.</w:t>
      </w:r>
    </w:p>
    <w:p w:rsidR="003441F6" w:rsidRPr="001965BE" w:rsidRDefault="003441F6" w:rsidP="003441F6">
      <w:pPr>
        <w:ind w:left="708"/>
        <w:jc w:val="both"/>
      </w:pPr>
    </w:p>
    <w:p w:rsidR="003441F6" w:rsidRPr="00855DE3" w:rsidRDefault="003441F6" w:rsidP="003129E0">
      <w:pPr>
        <w:pStyle w:val="ListParagraph"/>
        <w:numPr>
          <w:ilvl w:val="0"/>
          <w:numId w:val="44"/>
        </w:numPr>
        <w:jc w:val="both"/>
      </w:pPr>
      <w:r w:rsidRPr="00855DE3">
        <w:rPr>
          <w:b/>
        </w:rPr>
        <w:t>Hedging costs</w:t>
      </w:r>
    </w:p>
    <w:p w:rsidR="003441F6" w:rsidRDefault="003441F6" w:rsidP="003441F6">
      <w:pPr>
        <w:ind w:firstLine="708"/>
        <w:jc w:val="both"/>
      </w:pPr>
      <w:r w:rsidRPr="008301EB">
        <w:t>N/A as there is a public market, exchange</w:t>
      </w:r>
      <w:r>
        <w:t>s</w:t>
      </w:r>
      <w:r w:rsidRPr="008301EB">
        <w:t xml:space="preserve"> do not hedge anything</w:t>
      </w:r>
      <w:r>
        <w:t>.</w:t>
      </w:r>
    </w:p>
    <w:p w:rsidR="003441F6" w:rsidRPr="008301EB" w:rsidRDefault="003441F6" w:rsidP="003441F6">
      <w:pPr>
        <w:ind w:firstLine="708"/>
        <w:jc w:val="both"/>
      </w:pPr>
    </w:p>
    <w:p w:rsidR="003441F6" w:rsidRPr="008301EB" w:rsidRDefault="003441F6" w:rsidP="003129E0">
      <w:pPr>
        <w:pStyle w:val="ListParagraph"/>
        <w:numPr>
          <w:ilvl w:val="0"/>
          <w:numId w:val="44"/>
        </w:numPr>
        <w:jc w:val="both"/>
      </w:pPr>
      <w:r w:rsidRPr="00855DE3">
        <w:rPr>
          <w:b/>
        </w:rPr>
        <w:t>Legal fees</w:t>
      </w:r>
    </w:p>
    <w:p w:rsidR="003441F6" w:rsidRDefault="003441F6" w:rsidP="003441F6">
      <w:pPr>
        <w:ind w:firstLine="708"/>
        <w:jc w:val="both"/>
      </w:pPr>
      <w:r w:rsidRPr="008301EB">
        <w:t>N/A</w:t>
      </w:r>
      <w:r>
        <w:t>.</w:t>
      </w:r>
    </w:p>
    <w:p w:rsidR="003441F6" w:rsidRPr="008301EB" w:rsidRDefault="003441F6" w:rsidP="003441F6">
      <w:pPr>
        <w:ind w:firstLine="708"/>
        <w:jc w:val="both"/>
      </w:pPr>
    </w:p>
    <w:p w:rsidR="003441F6" w:rsidRPr="00855DE3" w:rsidRDefault="003441F6" w:rsidP="003129E0">
      <w:pPr>
        <w:pStyle w:val="ListParagraph"/>
        <w:numPr>
          <w:ilvl w:val="0"/>
          <w:numId w:val="44"/>
        </w:numPr>
        <w:jc w:val="both"/>
        <w:rPr>
          <w:b/>
        </w:rPr>
      </w:pPr>
      <w:r w:rsidRPr="00855DE3">
        <w:rPr>
          <w:b/>
        </w:rPr>
        <w:t>Costs for capital guarantee</w:t>
      </w:r>
    </w:p>
    <w:p w:rsidR="003441F6" w:rsidRDefault="003441F6" w:rsidP="003441F6">
      <w:pPr>
        <w:ind w:left="708"/>
        <w:jc w:val="both"/>
      </w:pPr>
      <w:r>
        <w:t xml:space="preserve">N/A.  Any capital guarantee would be required by the investment firm and not by exchanges. </w:t>
      </w:r>
      <w:r w:rsidRPr="00BD633B">
        <w:t>Additionally</w:t>
      </w:r>
      <w:r>
        <w:t>,</w:t>
      </w:r>
      <w:r w:rsidRPr="00BD633B">
        <w:t xml:space="preserve"> the </w:t>
      </w:r>
      <w:r>
        <w:t>CCP</w:t>
      </w:r>
      <w:r w:rsidRPr="00BD633B">
        <w:t xml:space="preserve"> will ensure these guarantees are taken care of.</w:t>
      </w:r>
    </w:p>
    <w:p w:rsidR="003441F6" w:rsidRPr="0084536A" w:rsidRDefault="003441F6" w:rsidP="003441F6">
      <w:pPr>
        <w:ind w:left="708"/>
        <w:jc w:val="both"/>
      </w:pPr>
    </w:p>
    <w:p w:rsidR="003441F6" w:rsidRPr="00855DE3" w:rsidRDefault="003441F6" w:rsidP="003129E0">
      <w:pPr>
        <w:pStyle w:val="ListParagraph"/>
        <w:numPr>
          <w:ilvl w:val="0"/>
          <w:numId w:val="44"/>
        </w:numPr>
        <w:jc w:val="both"/>
        <w:rPr>
          <w:b/>
        </w:rPr>
      </w:pPr>
      <w:r w:rsidRPr="00855DE3">
        <w:rPr>
          <w:b/>
        </w:rPr>
        <w:t>Implicit premium paid to the issuer</w:t>
      </w:r>
    </w:p>
    <w:p w:rsidR="003441F6" w:rsidRDefault="003441F6" w:rsidP="003441F6">
      <w:pPr>
        <w:ind w:firstLine="708"/>
        <w:jc w:val="both"/>
      </w:pPr>
      <w:r w:rsidRPr="008301EB">
        <w:t>N/A as there is no issuer</w:t>
      </w:r>
      <w:r>
        <w:t>.</w:t>
      </w:r>
    </w:p>
    <w:p w:rsidR="003441F6" w:rsidRPr="008301EB" w:rsidRDefault="003441F6" w:rsidP="003441F6">
      <w:pPr>
        <w:ind w:firstLine="708"/>
        <w:jc w:val="both"/>
      </w:pPr>
    </w:p>
    <w:p w:rsidR="003441F6" w:rsidRPr="00BA55B1" w:rsidRDefault="003441F6" w:rsidP="003129E0">
      <w:pPr>
        <w:pStyle w:val="ListParagraph"/>
        <w:numPr>
          <w:ilvl w:val="0"/>
          <w:numId w:val="44"/>
        </w:numPr>
        <w:jc w:val="both"/>
        <w:rPr>
          <w:b/>
        </w:rPr>
      </w:pPr>
      <w:r w:rsidRPr="00BA55B1">
        <w:rPr>
          <w:b/>
        </w:rPr>
        <w:t>Proportional fees</w:t>
      </w:r>
    </w:p>
    <w:p w:rsidR="003441F6" w:rsidRDefault="003441F6" w:rsidP="003441F6">
      <w:pPr>
        <w:ind w:left="360" w:firstLine="348"/>
        <w:jc w:val="both"/>
      </w:pPr>
      <w:r>
        <w:t>Not clear what is meant by this.</w:t>
      </w:r>
    </w:p>
    <w:p w:rsidR="003441F6" w:rsidRPr="00BA55B1" w:rsidRDefault="003441F6" w:rsidP="003441F6">
      <w:pPr>
        <w:ind w:left="360" w:firstLine="348"/>
        <w:jc w:val="both"/>
      </w:pPr>
    </w:p>
    <w:p w:rsidR="003441F6" w:rsidRPr="00855DE3" w:rsidRDefault="003441F6" w:rsidP="003129E0">
      <w:pPr>
        <w:pStyle w:val="ListParagraph"/>
        <w:numPr>
          <w:ilvl w:val="0"/>
          <w:numId w:val="44"/>
        </w:numPr>
        <w:jc w:val="both"/>
        <w:rPr>
          <w:b/>
        </w:rPr>
      </w:pPr>
      <w:r w:rsidRPr="00855DE3">
        <w:rPr>
          <w:b/>
        </w:rPr>
        <w:t>Bid-mid spread</w:t>
      </w:r>
    </w:p>
    <w:p w:rsidR="003441F6" w:rsidRDefault="003441F6" w:rsidP="003441F6">
      <w:pPr>
        <w:ind w:left="708"/>
        <w:jc w:val="both"/>
      </w:pPr>
      <w:r>
        <w:t>Any spread is maintained by individual market makers and brokers in accordance with our market rules. In addition to this, listed derivatives are traded via a public market where anyone can send buy or sell orders to the market. The result is that the spread is often reduced due to resting orders in the order book.</w:t>
      </w:r>
    </w:p>
    <w:p w:rsidR="003441F6" w:rsidRPr="008301EB" w:rsidRDefault="003441F6" w:rsidP="003441F6">
      <w:pPr>
        <w:jc w:val="both"/>
      </w:pPr>
    </w:p>
    <w:p w:rsidR="003441F6" w:rsidRPr="00855DE3" w:rsidRDefault="003441F6" w:rsidP="003129E0">
      <w:pPr>
        <w:pStyle w:val="ListParagraph"/>
        <w:numPr>
          <w:ilvl w:val="0"/>
          <w:numId w:val="44"/>
        </w:numPr>
        <w:jc w:val="both"/>
        <w:rPr>
          <w:b/>
        </w:rPr>
      </w:pPr>
      <w:r w:rsidRPr="00855DE3">
        <w:rPr>
          <w:b/>
        </w:rPr>
        <w:t>Recurring costs</w:t>
      </w:r>
    </w:p>
    <w:p w:rsidR="003441F6" w:rsidRDefault="003441F6" w:rsidP="003441F6">
      <w:pPr>
        <w:ind w:firstLine="708"/>
        <w:jc w:val="both"/>
      </w:pPr>
      <w:r>
        <w:t>N/A</w:t>
      </w:r>
    </w:p>
    <w:p w:rsidR="003441F6" w:rsidRPr="008301EB" w:rsidRDefault="003441F6" w:rsidP="003441F6">
      <w:pPr>
        <w:pStyle w:val="ListParagraph"/>
        <w:jc w:val="both"/>
      </w:pPr>
    </w:p>
    <w:p w:rsidR="003441F6" w:rsidRPr="00CE7B14" w:rsidRDefault="003441F6" w:rsidP="003129E0">
      <w:pPr>
        <w:pStyle w:val="ListParagraph"/>
        <w:numPr>
          <w:ilvl w:val="0"/>
          <w:numId w:val="44"/>
        </w:numPr>
        <w:jc w:val="both"/>
        <w:rPr>
          <w:b/>
        </w:rPr>
      </w:pPr>
      <w:r w:rsidRPr="00855DE3">
        <w:rPr>
          <w:b/>
        </w:rPr>
        <w:t>Implicit costs</w:t>
      </w:r>
    </w:p>
    <w:p w:rsidR="003441F6" w:rsidRDefault="003441F6" w:rsidP="003441F6">
      <w:pPr>
        <w:ind w:left="720"/>
        <w:jc w:val="both"/>
      </w:pPr>
      <w:r>
        <w:t>I</w:t>
      </w:r>
      <w:r w:rsidRPr="007954DA">
        <w:t>mplicit cost</w:t>
      </w:r>
      <w:r>
        <w:t>s embedded in the PRIIP are not applicable to listed derivatives.</w:t>
      </w:r>
      <w:r w:rsidRPr="007954DA">
        <w:t xml:space="preserve"> </w:t>
      </w:r>
      <w:r>
        <w:t xml:space="preserve">Firstly, </w:t>
      </w:r>
      <w:r w:rsidRPr="007954DA">
        <w:t>the issue price is relevant</w:t>
      </w:r>
      <w:r>
        <w:t>;</w:t>
      </w:r>
      <w:r w:rsidRPr="007954DA">
        <w:t xml:space="preserve"> </w:t>
      </w:r>
      <w:r>
        <w:t xml:space="preserve">it </w:t>
      </w:r>
      <w:r w:rsidRPr="007954DA">
        <w:t xml:space="preserve">must be noted that a </w:t>
      </w:r>
      <w:r>
        <w:t xml:space="preserve">listed </w:t>
      </w:r>
      <w:r w:rsidRPr="007954DA">
        <w:t xml:space="preserve">option or future does not have an issue price as the contract is not issued. Contract terms are designed and </w:t>
      </w:r>
      <w:r>
        <w:t>contracts are only created when they are traded by the two counterparties</w:t>
      </w:r>
      <w:r w:rsidRPr="007954DA">
        <w:t>. The first trades in the book mark the market price of that moment. The exchanges have no influence over or involvement with the first price in the order</w:t>
      </w:r>
      <w:r>
        <w:t xml:space="preserve"> </w:t>
      </w:r>
      <w:r w:rsidRPr="007954DA">
        <w:t>book.</w:t>
      </w:r>
      <w:r>
        <w:t xml:space="preserve"> Secondly, the price available to purchase or sell a listed </w:t>
      </w:r>
      <w:r w:rsidRPr="007954DA">
        <w:t>option or future</w:t>
      </w:r>
      <w:r>
        <w:t xml:space="preserve"> is established in the public market; if the available price in the public market would deviate from the fair value it will immediately be corrected via the arbitrage mechanism which is not something that can be predicted or pre-estimated. </w:t>
      </w:r>
    </w:p>
    <w:p w:rsidR="003441F6" w:rsidRDefault="003441F6" w:rsidP="003441F6">
      <w:pPr>
        <w:ind w:left="720"/>
        <w:jc w:val="both"/>
      </w:pPr>
    </w:p>
    <w:p w:rsidR="003441F6" w:rsidRDefault="003441F6" w:rsidP="003441F6">
      <w:pPr>
        <w:ind w:left="720"/>
        <w:jc w:val="both"/>
      </w:pPr>
    </w:p>
    <w:p w:rsidR="003441F6" w:rsidRPr="00AF3743" w:rsidRDefault="003441F6" w:rsidP="003441F6">
      <w:pPr>
        <w:jc w:val="both"/>
      </w:pPr>
      <w:r>
        <w:rPr>
          <w:b/>
        </w:rPr>
        <w:t>Item 7: Investment advice</w:t>
      </w:r>
    </w:p>
    <w:p w:rsidR="003441F6" w:rsidRDefault="003441F6" w:rsidP="003441F6">
      <w:pPr>
        <w:jc w:val="both"/>
      </w:pPr>
    </w:p>
    <w:p w:rsidR="003441F6" w:rsidRDefault="003441F6" w:rsidP="003441F6">
      <w:pPr>
        <w:jc w:val="both"/>
      </w:pPr>
      <w:r w:rsidRPr="00AF3743">
        <w:t xml:space="preserve">Exchanges are not </w:t>
      </w:r>
      <w:r>
        <w:t>investment f</w:t>
      </w:r>
      <w:r w:rsidRPr="00AF3743">
        <w:t>irms and as such cannot be required to provide any</w:t>
      </w:r>
      <w:r>
        <w:t xml:space="preserve"> (no matter how general) invest</w:t>
      </w:r>
      <w:r w:rsidRPr="00AF3743">
        <w:t>ment advice. In addition, there are some practical objections.</w:t>
      </w:r>
    </w:p>
    <w:p w:rsidR="003441F6" w:rsidRDefault="003441F6" w:rsidP="003441F6">
      <w:pPr>
        <w:jc w:val="both"/>
      </w:pPr>
    </w:p>
    <w:p w:rsidR="003441F6" w:rsidRDefault="003441F6" w:rsidP="003441F6">
      <w:pPr>
        <w:jc w:val="both"/>
        <w:rPr>
          <w:b/>
        </w:rPr>
      </w:pPr>
      <w:r w:rsidRPr="00950128">
        <w:t xml:space="preserve">When a KID is required for each individual </w:t>
      </w:r>
      <w:r>
        <w:t xml:space="preserve">option </w:t>
      </w:r>
      <w:r w:rsidRPr="00950128">
        <w:t xml:space="preserve">series, the documents could be regarded as investment advice because investors could select a certain </w:t>
      </w:r>
      <w:r>
        <w:t xml:space="preserve">option </w:t>
      </w:r>
      <w:r w:rsidRPr="00950128">
        <w:t xml:space="preserve">series based on the performance scenarios of all </w:t>
      </w:r>
      <w:r>
        <w:t xml:space="preserve">option </w:t>
      </w:r>
      <w:r w:rsidRPr="00950128">
        <w:t>series. Mentioning a recommended holding period can also be considered to be investment advice</w:t>
      </w:r>
      <w:r>
        <w:t>.</w:t>
      </w:r>
      <w:r w:rsidRPr="00950128">
        <w:t xml:space="preserve"> </w:t>
      </w:r>
      <w:r>
        <w:t>A</w:t>
      </w:r>
      <w:r w:rsidRPr="00950128">
        <w:t xml:space="preserve"> regulated market is not supposed to recommend an investment or a holding period.</w:t>
      </w:r>
      <w:r>
        <w:t xml:space="preserve"> </w:t>
      </w:r>
    </w:p>
    <w:p w:rsidR="003441F6" w:rsidRDefault="003441F6" w:rsidP="003441F6">
      <w:pPr>
        <w:jc w:val="both"/>
        <w:rPr>
          <w:b/>
        </w:rPr>
      </w:pPr>
    </w:p>
    <w:p w:rsidR="003441F6" w:rsidRDefault="003441F6" w:rsidP="003441F6">
      <w:pPr>
        <w:jc w:val="both"/>
        <w:rPr>
          <w:b/>
        </w:rPr>
      </w:pPr>
    </w:p>
    <w:p w:rsidR="003441F6" w:rsidRPr="0016282A" w:rsidRDefault="003441F6" w:rsidP="003441F6">
      <w:pPr>
        <w:jc w:val="both"/>
      </w:pPr>
      <w:r>
        <w:rPr>
          <w:b/>
        </w:rPr>
        <w:t>Item 8: Complaints</w:t>
      </w:r>
    </w:p>
    <w:p w:rsidR="003441F6" w:rsidRDefault="003441F6" w:rsidP="003441F6">
      <w:pPr>
        <w:jc w:val="both"/>
      </w:pPr>
    </w:p>
    <w:p w:rsidR="003441F6" w:rsidRDefault="003441F6" w:rsidP="003441F6">
      <w:pPr>
        <w:jc w:val="both"/>
        <w:rPr>
          <w:rFonts w:cs="Calibri"/>
          <w:lang w:val="en-US"/>
        </w:rPr>
      </w:pPr>
      <w:r w:rsidRPr="0016282A">
        <w:t>I</w:t>
      </w:r>
      <w:r>
        <w:t>n essence, a retail investor has a contractual relationship with his broker who is the first point of contact. We feel it would be justified to include a language to that extent in the KID. Should there be any complaints about contract terms, brokers (as members of the exchange) can direct their complaints to the exchange. This is part of the regulatory framework of exchange memberships.</w:t>
      </w:r>
      <w:r w:rsidRPr="007B1629">
        <w:t xml:space="preserve"> </w:t>
      </w:r>
      <w:r>
        <w:t>E</w:t>
      </w:r>
      <w:r w:rsidRPr="007B1629">
        <w:t>xchange rule</w:t>
      </w:r>
      <w:r>
        <w:t xml:space="preserve"> </w:t>
      </w:r>
      <w:r w:rsidRPr="007B1629">
        <w:t xml:space="preserve">books establish that members act always in their own name even on behalf of third parties and in many jurisdictions this principle is also vindicated by </w:t>
      </w:r>
      <w:r>
        <w:t xml:space="preserve">the </w:t>
      </w:r>
      <w:r w:rsidRPr="007B1629">
        <w:t>statutory environment or case law.</w:t>
      </w:r>
    </w:p>
    <w:p w:rsidR="003441F6" w:rsidRDefault="003441F6" w:rsidP="00D34282">
      <w:pPr>
        <w:rPr>
          <w:rFonts w:cs="Calibri"/>
          <w:lang w:val="en-US"/>
        </w:rPr>
      </w:pPr>
    </w:p>
    <w:p w:rsidR="00D34282" w:rsidRPr="00C25863" w:rsidRDefault="006379B0" w:rsidP="00D34282">
      <w:r>
        <w:rPr>
          <w:rFonts w:cs="Calibri"/>
          <w:lang w:val="en-US"/>
        </w:rPr>
        <w:t xml:space="preserve"> </w:t>
      </w:r>
      <w:permEnd w:id="1332951385"/>
      <w:r w:rsidR="00D34282" w:rsidRPr="00C25863">
        <w:t>&lt;</w:t>
      </w:r>
      <w:r w:rsidR="00D34282">
        <w:t>ESMA_COMMENT</w:t>
      </w:r>
      <w:r w:rsidR="00D34282" w:rsidRPr="00C25863">
        <w:t>_</w:t>
      </w:r>
      <w:r w:rsidR="000E35CB" w:rsidRPr="000E35CB">
        <w:rPr>
          <w:rFonts w:cs="Arial"/>
        </w:rPr>
        <w:t xml:space="preserve"> </w:t>
      </w:r>
      <w:r w:rsidR="000E35CB">
        <w:rPr>
          <w:rFonts w:cs="Arial"/>
        </w:rPr>
        <w:t>PRIIPS</w:t>
      </w:r>
      <w:r w:rsidR="00D34282"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750796" w:rsidRDefault="00750796" w:rsidP="00750796">
      <w:permStart w:id="927150688" w:edGrp="everyone"/>
      <w:r>
        <w:t>TYPE YOUR TEXT HERE</w:t>
      </w:r>
    </w:p>
    <w:permEnd w:id="927150688"/>
    <w:p w:rsidR="00750796" w:rsidRDefault="00750796" w:rsidP="00750796">
      <w:r>
        <w:t>&lt;ESMA_QUESTION_</w:t>
      </w:r>
      <w:r w:rsidR="003E4B00">
        <w:t>PRIIPS</w:t>
      </w:r>
      <w:r>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46"/>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46"/>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option, unless the PRIIP has a known required investment amount and price which can be used instead?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750796" w:rsidRDefault="00750796" w:rsidP="00750796">
      <w:permStart w:id="375602143" w:edGrp="everyone"/>
      <w:r>
        <w:t>TYPE YOUR TEXT HERE</w:t>
      </w:r>
    </w:p>
    <w:permEnd w:id="375602143"/>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750796" w:rsidRDefault="00750796" w:rsidP="00750796">
      <w:permStart w:id="743315878" w:edGrp="everyone"/>
      <w:r>
        <w:t>TYPE YOUR TEXT HERE</w:t>
      </w:r>
    </w:p>
    <w:permEnd w:id="743315878"/>
    <w:p w:rsidR="00750796" w:rsidRDefault="00750796" w:rsidP="00750796">
      <w:pPr>
        <w:rPr>
          <w:lang w:val="fr-FR"/>
        </w:rPr>
      </w:pPr>
      <w:r w:rsidRPr="00580880">
        <w:rPr>
          <w:lang w:val="fr-FR"/>
        </w:rPr>
        <w:t>&lt;ESMA_QUESTION_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Would you favour a different confidence interval to compute the VaR? If so, please explain which confidence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750796" w:rsidRDefault="00750796" w:rsidP="00750796">
      <w:permStart w:id="2045340798" w:edGrp="everyone"/>
      <w:r>
        <w:t>TYPE YOUR TEXT HERE</w:t>
      </w:r>
    </w:p>
    <w:permEnd w:id="2045340798"/>
    <w:p w:rsidR="00750796" w:rsidRDefault="00750796" w:rsidP="00750796">
      <w:r>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750796" w:rsidRDefault="00750796" w:rsidP="00750796">
      <w:permStart w:id="1480338870" w:edGrp="everyone"/>
      <w:r>
        <w:t>TYPE YOUR TEXT HERE</w:t>
      </w:r>
    </w:p>
    <w:permEnd w:id="1480338870"/>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3E4B00" w:rsidRDefault="003E4B00" w:rsidP="003E4B00">
      <w:permStart w:id="1836400956" w:edGrp="everyone"/>
      <w:r>
        <w:t>TYPE YOUR TEXT HERE</w:t>
      </w:r>
    </w:p>
    <w:permEnd w:id="1836400956"/>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3E4B00" w:rsidRDefault="003E4B00" w:rsidP="003E4B00">
      <w:permStart w:id="1897398994" w:edGrp="everyone"/>
      <w:r>
        <w:t>TYPE YOUR TEXT HERE</w:t>
      </w:r>
    </w:p>
    <w:permEnd w:id="1897398994"/>
    <w:p w:rsidR="003E4B00" w:rsidRPr="00580880" w:rsidRDefault="003E4B00" w:rsidP="003E4B00">
      <w:pPr>
        <w:rPr>
          <w:lang w:val="fr-FR"/>
        </w:rPr>
      </w:pPr>
      <w:r w:rsidRPr="00580880">
        <w:rPr>
          <w:lang w:val="fr-FR"/>
        </w:rPr>
        <w:t>&lt;ESMA_QUESTION_</w:t>
      </w:r>
      <w:r>
        <w:rPr>
          <w:lang w:val="fr-FR"/>
        </w:rPr>
        <w:t>PRIIPS_7</w:t>
      </w:r>
      <w:r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3E4B00" w:rsidRDefault="003E4B00" w:rsidP="003E4B00">
      <w:permStart w:id="769355227" w:edGrp="everyone"/>
      <w:r>
        <w:t>TYPE YOUR TEXT HERE</w:t>
      </w:r>
    </w:p>
    <w:permEnd w:id="769355227"/>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of the opinion that for PRIIPs that offer a capital protection during their whole lifespan and can be redeemed against their initial investment at any time over the life of the PRIIP a qualitatively assessment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3E4B00" w:rsidRDefault="003E4B00" w:rsidP="003E4B00">
      <w:permStart w:id="638540756" w:edGrp="everyone"/>
      <w:r>
        <w:t>TYPE YOUR TEXT HERE</w:t>
      </w:r>
    </w:p>
    <w:permEnd w:id="638540756"/>
    <w:p w:rsidR="003E4B00" w:rsidRPr="00580880" w:rsidRDefault="003E4B00" w:rsidP="003E4B00">
      <w:pPr>
        <w:rPr>
          <w:lang w:val="fr-FR"/>
        </w:rPr>
      </w:pPr>
      <w:r w:rsidRPr="00580880">
        <w:rPr>
          <w:lang w:val="fr-FR"/>
        </w:rPr>
        <w:t>&lt;ESMA_QUESTION_</w:t>
      </w:r>
      <w:r>
        <w:rPr>
          <w:lang w:val="fr-FR"/>
        </w:rPr>
        <w:t>PRIIPS_9</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aware of other circumstances in which the credit risk assessment should be assumed to be mitigated? If so, please explain why and to what degree it should be assumed to be mitigated? </w:t>
      </w:r>
    </w:p>
    <w:p w:rsidR="003E4B00" w:rsidRDefault="003E4B00" w:rsidP="003E4B00"/>
    <w:p w:rsidR="003E4B00" w:rsidRDefault="003E4B00" w:rsidP="003E4B00">
      <w:r>
        <w:t>&lt;ESMA_QUESTION_PRIIPS_10&gt;</w:t>
      </w:r>
    </w:p>
    <w:p w:rsidR="003E4B00" w:rsidRDefault="003E4B00" w:rsidP="003E4B00">
      <w:permStart w:id="1980910609" w:edGrp="everyone"/>
      <w:r>
        <w:t>TYPE YOUR TEXT HERE</w:t>
      </w:r>
    </w:p>
    <w:permEnd w:id="1980910609"/>
    <w:p w:rsidR="003E4B00" w:rsidRPr="00580880" w:rsidRDefault="003E4B00" w:rsidP="003E4B00">
      <w:pPr>
        <w:rPr>
          <w:lang w:val="fr-FR"/>
        </w:rPr>
      </w:pPr>
      <w:r w:rsidRPr="00580880">
        <w:rPr>
          <w:lang w:val="fr-FR"/>
        </w:rPr>
        <w:t>&lt;ESMA_QUESTION_</w:t>
      </w:r>
      <w:r>
        <w:rPr>
          <w:lang w:val="fr-FR"/>
        </w:rPr>
        <w:t>PRIIPS_10</w:t>
      </w:r>
      <w:r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lastRenderedPageBreak/>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3E4B00" w:rsidRDefault="003E4B00" w:rsidP="003E4B00">
      <w:permStart w:id="1976129341" w:edGrp="everyone"/>
      <w:r>
        <w:t>TYPE YOUR TEXT HERE</w:t>
      </w:r>
    </w:p>
    <w:permEnd w:id="1976129341"/>
    <w:p w:rsidR="003E4B00" w:rsidRPr="00580880" w:rsidRDefault="003E4B00" w:rsidP="003E4B00">
      <w:pPr>
        <w:rPr>
          <w:lang w:val="fr-FR"/>
        </w:rPr>
      </w:pPr>
      <w:r w:rsidRPr="00580880">
        <w:rPr>
          <w:lang w:val="fr-FR"/>
        </w:rPr>
        <w:t>&lt;ESMA_QUESTION_</w:t>
      </w:r>
      <w:r>
        <w:rPr>
          <w:lang w:val="fr-FR"/>
        </w:rPr>
        <w:t>PRIIPS_11</w:t>
      </w:r>
      <w:r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3E4B00" w:rsidRDefault="003E4B00" w:rsidP="003E4B00">
      <w:permStart w:id="1546060304" w:edGrp="everyone"/>
      <w:r>
        <w:t>TYPE YOUR TEXT HERE</w:t>
      </w:r>
    </w:p>
    <w:permEnd w:id="1546060304"/>
    <w:p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3E4B00" w:rsidRDefault="003E4B00" w:rsidP="003E4B00">
      <w:permStart w:id="252673032" w:edGrp="everyone"/>
      <w:r>
        <w:t>TYPE YOUR TEXT HERE</w:t>
      </w:r>
    </w:p>
    <w:permEnd w:id="252673032"/>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favourable scenarios, or would you propose another approach, for instance automatically setting the performance fees to zero for the unfavourable scenario? Please justify your proposal.</w:t>
      </w:r>
    </w:p>
    <w:p w:rsidR="003E4B00" w:rsidRDefault="003E4B00" w:rsidP="003E4B00"/>
    <w:p w:rsidR="003E4B00" w:rsidRDefault="003E4B00" w:rsidP="003E4B00">
      <w:r>
        <w:t>&lt;ESMA_QUESTION_PRIIPS_14&gt;</w:t>
      </w:r>
    </w:p>
    <w:p w:rsidR="003E4B00" w:rsidRDefault="003E4B00" w:rsidP="003E4B00">
      <w:permStart w:id="723481535" w:edGrp="everyone"/>
      <w:r>
        <w:t>TYPE YOUR TEXT HERE</w:t>
      </w:r>
    </w:p>
    <w:permEnd w:id="723481535"/>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lastRenderedPageBreak/>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3E4B00" w:rsidRDefault="003E4B00" w:rsidP="003E4B00">
      <w:permStart w:id="670172757" w:edGrp="everyone"/>
      <w:r>
        <w:t>TYPE YOUR TEXT HERE</w:t>
      </w:r>
    </w:p>
    <w:permEnd w:id="670172757"/>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3E4B00" w:rsidRDefault="003E4B00" w:rsidP="003E4B00">
      <w:permStart w:id="89732285" w:edGrp="everyone"/>
      <w:r>
        <w:t>TYPE YOUR TEXT HERE</w:t>
      </w:r>
    </w:p>
    <w:permEnd w:id="89732285"/>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3E4B00" w:rsidRDefault="003E4B00" w:rsidP="003E4B00">
      <w:permStart w:id="535318880" w:edGrp="everyone"/>
      <w:r>
        <w:t>TYPE YOUR TEXT HERE</w:t>
      </w:r>
    </w:p>
    <w:permEnd w:id="535318880"/>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discounting effects)?</w:t>
      </w:r>
    </w:p>
    <w:p w:rsidR="003E4B00" w:rsidRDefault="003E4B00" w:rsidP="003E4B00"/>
    <w:p w:rsidR="003E4B00" w:rsidRDefault="003E4B00" w:rsidP="003E4B00">
      <w:r>
        <w:t>&lt;ESMA_QUESTION_PRIIPS_18&gt;</w:t>
      </w:r>
    </w:p>
    <w:p w:rsidR="003E4B00" w:rsidRDefault="003E4B00" w:rsidP="003E4B00">
      <w:permStart w:id="1312501788" w:edGrp="everyone"/>
      <w:r>
        <w:t>TYPE YOUR TEXT HERE</w:t>
      </w:r>
    </w:p>
    <w:permEnd w:id="1312501788"/>
    <w:p w:rsidR="003E4B00" w:rsidRPr="003E4B00" w:rsidRDefault="003E4B00" w:rsidP="003E4B00">
      <w:pPr>
        <w:rPr>
          <w:lang w:val="fr-FR"/>
        </w:rPr>
      </w:pPr>
      <w:r w:rsidRPr="00580880">
        <w:rPr>
          <w:lang w:val="fr-FR"/>
        </w:rPr>
        <w:t>&lt;ESMA_QUESTION_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3E4B00" w:rsidRDefault="003E4B00" w:rsidP="003E4B00">
      <w:permStart w:id="208339580" w:edGrp="everyone"/>
      <w:r>
        <w:t>TYPE YOUR TEXT HERE</w:t>
      </w:r>
    </w:p>
    <w:permEnd w:id="208339580"/>
    <w:p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 xml:space="preserve">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product?” section, where the draft RTS currently disclose biometric risk premiums in total, and/or in the performance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491E49" w:rsidRDefault="00491E49" w:rsidP="00491E49">
      <w:permStart w:id="590353082" w:edGrp="everyone"/>
      <w:r>
        <w:t>TYPE YOUR TEXT HERE</w:t>
      </w:r>
    </w:p>
    <w:permEnd w:id="590353082"/>
    <w:p w:rsidR="00491E49" w:rsidRPr="003E4B00" w:rsidRDefault="00491E49" w:rsidP="00491E49">
      <w:pPr>
        <w:rPr>
          <w:lang w:val="fr-FR"/>
        </w:rPr>
      </w:pPr>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491E49" w:rsidRDefault="00491E49" w:rsidP="00491E49">
      <w:permStart w:id="577580816" w:edGrp="everyone"/>
      <w:r>
        <w:t>TYPE YOUR TEXT HERE</w:t>
      </w:r>
    </w:p>
    <w:permEnd w:id="577580816"/>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491E49" w:rsidRDefault="00491E49" w:rsidP="00491E49">
      <w:permStart w:id="1428452001" w:edGrp="everyone"/>
      <w:r>
        <w:t>TYPE YOUR TEXT HERE</w:t>
      </w:r>
    </w:p>
    <w:permEnd w:id="1428452001"/>
    <w:p w:rsidR="00491E49" w:rsidRPr="003E4B00" w:rsidRDefault="00491E49" w:rsidP="00491E49">
      <w:pPr>
        <w:rPr>
          <w:lang w:val="fr-FR"/>
        </w:rPr>
      </w:pPr>
      <w:r w:rsidRPr="00580880">
        <w:rPr>
          <w:lang w:val="fr-FR"/>
        </w:rPr>
        <w:t>&lt;ESMA_QUESTION_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491E49" w:rsidRDefault="00491E49" w:rsidP="00491E49">
      <w:permStart w:id="1113226446" w:edGrp="everyone"/>
      <w:r>
        <w:t>TYPE YOUR TEXT HERE</w:t>
      </w:r>
    </w:p>
    <w:permEnd w:id="1113226446"/>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491E49" w:rsidRDefault="00491E49" w:rsidP="00491E49">
      <w:permStart w:id="297676082" w:edGrp="everyone"/>
      <w:r>
        <w:t>TYPE YOUR TEXT HERE</w:t>
      </w:r>
    </w:p>
    <w:permEnd w:id="297676082"/>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491E49" w:rsidRDefault="00491E49" w:rsidP="00491E49">
      <w:permStart w:id="1215584526" w:edGrp="everyone"/>
      <w:r>
        <w:t>TYPE YOUR TEXT HERE</w:t>
      </w:r>
    </w:p>
    <w:permEnd w:id="1215584526"/>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presentation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847BB0" w:rsidRDefault="00847BB0" w:rsidP="00847BB0">
      <w:permStart w:id="1893285200" w:edGrp="everyone"/>
      <w:r>
        <w:t>TYPE YOUR TEXT HERE</w:t>
      </w:r>
    </w:p>
    <w:permEnd w:id="1893285200"/>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presentation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847BB0" w:rsidRDefault="00847BB0" w:rsidP="00847BB0">
      <w:permStart w:id="255554584" w:edGrp="everyone"/>
      <w:r>
        <w:t>TYPE YOUR TEXT HERE</w:t>
      </w:r>
    </w:p>
    <w:permEnd w:id="255554584"/>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lastRenderedPageBreak/>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6379B0" w:rsidRDefault="003441F6" w:rsidP="006379B0">
      <w:pPr>
        <w:jc w:val="both"/>
        <w:rPr>
          <w:rFonts w:cs="Calibri"/>
          <w:lang w:val="en-US" w:eastAsia="nl-NL"/>
        </w:rPr>
      </w:pPr>
      <w:permStart w:id="1198355582" w:edGrp="everyone"/>
      <w:r>
        <w:rPr>
          <w:rFonts w:cs="Calibri"/>
          <w:lang w:val="en-US" w:eastAsia="nl-NL"/>
        </w:rPr>
        <w:t>TYPE YOUR TEXT HERE</w:t>
      </w:r>
    </w:p>
    <w:permEnd w:id="1198355582"/>
    <w:p w:rsidR="00491E49" w:rsidRPr="00491E49" w:rsidRDefault="00491E49" w:rsidP="00491E49">
      <w:pPr>
        <w:rPr>
          <w:lang w:val="fr-FR"/>
        </w:rPr>
      </w:pPr>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3C9" w:rsidRDefault="00E233C9">
      <w:r>
        <w:separator/>
      </w:r>
    </w:p>
    <w:p w:rsidR="00E233C9" w:rsidRDefault="00E233C9"/>
  </w:endnote>
  <w:endnote w:type="continuationSeparator" w:id="0">
    <w:p w:rsidR="00E233C9" w:rsidRDefault="00E233C9">
      <w:r>
        <w:continuationSeparator/>
      </w:r>
    </w:p>
    <w:p w:rsidR="00E233C9" w:rsidRDefault="00E233C9"/>
  </w:endnote>
  <w:endnote w:type="continuationNotice" w:id="1">
    <w:p w:rsidR="00E233C9" w:rsidRDefault="00E233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1B06CF" w:rsidRPr="00616B9B" w:rsidTr="00315E96">
      <w:trPr>
        <w:trHeight w:val="284"/>
      </w:trPr>
      <w:tc>
        <w:tcPr>
          <w:tcW w:w="8460" w:type="dxa"/>
        </w:tcPr>
        <w:p w:rsidR="001B06CF" w:rsidRPr="00315E96" w:rsidRDefault="001B06CF" w:rsidP="00315E96">
          <w:pPr>
            <w:pStyle w:val="00Footer"/>
            <w:rPr>
              <w:lang w:val="fr-FR"/>
            </w:rPr>
          </w:pPr>
        </w:p>
      </w:tc>
      <w:tc>
        <w:tcPr>
          <w:tcW w:w="952" w:type="dxa"/>
        </w:tcPr>
        <w:p w:rsidR="001B06CF" w:rsidRPr="00616B9B" w:rsidRDefault="001B06C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9D75F1">
            <w:rPr>
              <w:rFonts w:cs="Arial"/>
              <w:noProof/>
              <w:sz w:val="22"/>
              <w:szCs w:val="22"/>
            </w:rPr>
            <w:t>6</w:t>
          </w:r>
          <w:r w:rsidRPr="00616B9B">
            <w:rPr>
              <w:rFonts w:cs="Arial"/>
              <w:noProof/>
              <w:sz w:val="22"/>
              <w:szCs w:val="22"/>
            </w:rPr>
            <w:fldChar w:fldCharType="end"/>
          </w:r>
        </w:p>
      </w:tc>
    </w:tr>
  </w:tbl>
  <w:p w:rsidR="001B06CF" w:rsidRDefault="001B06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6CF" w:rsidRDefault="001B06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3C9" w:rsidRDefault="00E233C9">
      <w:r>
        <w:separator/>
      </w:r>
    </w:p>
    <w:p w:rsidR="00E233C9" w:rsidRDefault="00E233C9"/>
  </w:footnote>
  <w:footnote w:type="continuationSeparator" w:id="0">
    <w:p w:rsidR="00E233C9" w:rsidRDefault="00E233C9">
      <w:r>
        <w:continuationSeparator/>
      </w:r>
    </w:p>
    <w:p w:rsidR="00E233C9" w:rsidRDefault="00E233C9"/>
  </w:footnote>
  <w:footnote w:type="continuationNotice" w:id="1">
    <w:p w:rsidR="00E233C9" w:rsidRDefault="00E233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6CF" w:rsidRDefault="001B06CF">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8B2A100"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6CF" w:rsidRDefault="001B06CF"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6CF" w:rsidRDefault="001B06C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1B06CF" w:rsidRPr="002F4496" w:rsidTr="000C06C9">
      <w:trPr>
        <w:trHeight w:val="284"/>
      </w:trPr>
      <w:tc>
        <w:tcPr>
          <w:tcW w:w="8460" w:type="dxa"/>
        </w:tcPr>
        <w:p w:rsidR="001B06CF" w:rsidRPr="000C3B6D" w:rsidRDefault="001B06CF" w:rsidP="000C06C9">
          <w:pPr>
            <w:pStyle w:val="00Footer"/>
            <w:rPr>
              <w:lang w:val="fr-FR"/>
            </w:rPr>
          </w:pPr>
        </w:p>
      </w:tc>
      <w:tc>
        <w:tcPr>
          <w:tcW w:w="952" w:type="dxa"/>
        </w:tcPr>
        <w:p w:rsidR="001B06CF" w:rsidRPr="00146B34" w:rsidRDefault="001B06CF" w:rsidP="000C06C9">
          <w:pPr>
            <w:pStyle w:val="00aPagenumber"/>
            <w:rPr>
              <w:lang w:val="fr-FR"/>
            </w:rPr>
          </w:pPr>
        </w:p>
      </w:tc>
    </w:tr>
  </w:tbl>
  <w:p w:rsidR="001B06CF" w:rsidRPr="00DB46C3" w:rsidRDefault="001B06CF">
    <w:pPr>
      <w:rPr>
        <w:lang w:val="fr-FR"/>
      </w:rPr>
    </w:pPr>
  </w:p>
  <w:p w:rsidR="001B06CF" w:rsidRPr="002F4496" w:rsidRDefault="001B06CF">
    <w:pPr>
      <w:pStyle w:val="Header"/>
      <w:rPr>
        <w:lang w:val="fr-FR"/>
      </w:rPr>
    </w:pPr>
  </w:p>
  <w:p w:rsidR="001B06CF" w:rsidRPr="002F4496" w:rsidRDefault="001B06CF" w:rsidP="000C06C9">
    <w:pPr>
      <w:pStyle w:val="Header"/>
      <w:tabs>
        <w:tab w:val="clear" w:pos="4536"/>
        <w:tab w:val="clear" w:pos="9072"/>
        <w:tab w:val="left" w:pos="8227"/>
      </w:tabs>
      <w:rPr>
        <w:lang w:val="fr-FR"/>
      </w:rPr>
    </w:pPr>
  </w:p>
  <w:p w:rsidR="001B06CF" w:rsidRPr="002F4496" w:rsidRDefault="001B06CF" w:rsidP="000C06C9">
    <w:pPr>
      <w:pStyle w:val="Header"/>
      <w:tabs>
        <w:tab w:val="clear" w:pos="4536"/>
        <w:tab w:val="clear" w:pos="9072"/>
        <w:tab w:val="left" w:pos="8227"/>
      </w:tabs>
      <w:rPr>
        <w:lang w:val="fr-FR"/>
      </w:rPr>
    </w:pPr>
  </w:p>
  <w:p w:rsidR="001B06CF" w:rsidRPr="002F4496" w:rsidRDefault="001B06CF">
    <w:pPr>
      <w:pStyle w:val="Header"/>
      <w:rPr>
        <w:lang w:val="fr-FR"/>
      </w:rPr>
    </w:pPr>
  </w:p>
  <w:p w:rsidR="001B06CF" w:rsidRPr="002F4496" w:rsidRDefault="001B06CF">
    <w:pPr>
      <w:pStyle w:val="Header"/>
      <w:rPr>
        <w:lang w:val="fr-FR"/>
      </w:rPr>
    </w:pPr>
  </w:p>
  <w:p w:rsidR="001B06CF" w:rsidRPr="002F4496" w:rsidRDefault="001B06CF">
    <w:pPr>
      <w:pStyle w:val="Header"/>
      <w:rPr>
        <w:lang w:val="fr-FR"/>
      </w:rPr>
    </w:pPr>
  </w:p>
  <w:p w:rsidR="001B06CF" w:rsidRPr="002F4496" w:rsidRDefault="001B06CF">
    <w:pPr>
      <w:pStyle w:val="Header"/>
      <w:rPr>
        <w:lang w:val="fr-FR"/>
      </w:rPr>
    </w:pPr>
  </w:p>
  <w:p w:rsidR="001B06CF" w:rsidRPr="002F4496" w:rsidRDefault="001B06CF">
    <w:pPr>
      <w:pStyle w:val="Header"/>
      <w:rPr>
        <w:highlight w:val="yellow"/>
        <w:lang w:val="fr-FR"/>
      </w:rPr>
    </w:pPr>
  </w:p>
  <w:p w:rsidR="001B06CF" w:rsidRDefault="001B06CF">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1013E3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E1D12"/>
    <w:multiLevelType w:val="hybridMultilevel"/>
    <w:tmpl w:val="253819F6"/>
    <w:lvl w:ilvl="0" w:tplc="5D0056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534BB8"/>
    <w:multiLevelType w:val="hybridMultilevel"/>
    <w:tmpl w:val="8DF4653E"/>
    <w:lvl w:ilvl="0" w:tplc="DAD47F92">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03A0ACE"/>
    <w:multiLevelType w:val="hybridMultilevel"/>
    <w:tmpl w:val="8264A5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1E346C2"/>
    <w:multiLevelType w:val="hybridMultilevel"/>
    <w:tmpl w:val="FA0A1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13E96"/>
    <w:multiLevelType w:val="hybridMultilevel"/>
    <w:tmpl w:val="63C031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32226FB2"/>
    <w:multiLevelType w:val="multilevel"/>
    <w:tmpl w:val="A2C4E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0"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2"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4"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5"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9"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CDF592B"/>
    <w:multiLevelType w:val="hybridMultilevel"/>
    <w:tmpl w:val="9EAEED72"/>
    <w:lvl w:ilvl="0" w:tplc="7D6AF1BE">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5A89764D"/>
    <w:multiLevelType w:val="hybridMultilevel"/>
    <w:tmpl w:val="9238E404"/>
    <w:lvl w:ilvl="0" w:tplc="621C4F1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2"/>
  </w:num>
  <w:num w:numId="2">
    <w:abstractNumId w:val="24"/>
  </w:num>
  <w:num w:numId="3">
    <w:abstractNumId w:val="17"/>
  </w:num>
  <w:num w:numId="4">
    <w:abstractNumId w:val="31"/>
  </w:num>
  <w:num w:numId="5">
    <w:abstractNumId w:val="33"/>
  </w:num>
  <w:num w:numId="6">
    <w:abstractNumId w:val="0"/>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9"/>
  </w:num>
  <w:num w:numId="14">
    <w:abstractNumId w:val="29"/>
  </w:num>
  <w:num w:numId="15">
    <w:abstractNumId w:val="15"/>
  </w:num>
  <w:num w:numId="16">
    <w:abstractNumId w:val="1"/>
  </w:num>
  <w:num w:numId="17">
    <w:abstractNumId w:val="20"/>
  </w:num>
  <w:num w:numId="18">
    <w:abstractNumId w:val="21"/>
  </w:num>
  <w:num w:numId="19">
    <w:abstractNumId w:val="23"/>
  </w:num>
  <w:num w:numId="20">
    <w:abstractNumId w:val="34"/>
  </w:num>
  <w:num w:numId="21">
    <w:abstractNumId w:val="44"/>
  </w:num>
  <w:num w:numId="22">
    <w:abstractNumId w:val="32"/>
  </w:num>
  <w:num w:numId="23">
    <w:abstractNumId w:val="14"/>
  </w:num>
  <w:num w:numId="24">
    <w:abstractNumId w:val="38"/>
  </w:num>
  <w:num w:numId="25">
    <w:abstractNumId w:val="37"/>
  </w:num>
  <w:num w:numId="26">
    <w:abstractNumId w:val="25"/>
  </w:num>
  <w:num w:numId="27">
    <w:abstractNumId w:val="41"/>
  </w:num>
  <w:num w:numId="28">
    <w:abstractNumId w:val="46"/>
  </w:num>
  <w:num w:numId="29">
    <w:abstractNumId w:val="12"/>
  </w:num>
  <w:num w:numId="30">
    <w:abstractNumId w:val="4"/>
  </w:num>
  <w:num w:numId="31">
    <w:abstractNumId w:val="28"/>
  </w:num>
  <w:num w:numId="32">
    <w:abstractNumId w:val="2"/>
  </w:num>
  <w:num w:numId="33">
    <w:abstractNumId w:val="10"/>
  </w:num>
  <w:num w:numId="34">
    <w:abstractNumId w:val="26"/>
  </w:num>
  <w:num w:numId="35">
    <w:abstractNumId w:val="43"/>
  </w:num>
  <w:num w:numId="36">
    <w:abstractNumId w:val="42"/>
  </w:num>
  <w:num w:numId="37">
    <w:abstractNumId w:val="18"/>
  </w:num>
  <w:num w:numId="38">
    <w:abstractNumId w:val="27"/>
  </w:num>
  <w:num w:numId="39">
    <w:abstractNumId w:val="8"/>
  </w:num>
  <w:num w:numId="40">
    <w:abstractNumId w:val="3"/>
  </w:num>
  <w:num w:numId="41">
    <w:abstractNumId w:val="36"/>
  </w:num>
  <w:num w:numId="42">
    <w:abstractNumId w:val="9"/>
  </w:num>
  <w:num w:numId="43">
    <w:abstractNumId w:val="11"/>
  </w:num>
  <w:num w:numId="44">
    <w:abstractNumId w:val="30"/>
  </w:num>
  <w:num w:numId="45">
    <w:abstractNumId w:val="5"/>
  </w:num>
  <w:num w:numId="46">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7FB"/>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A76"/>
    <w:rsid w:val="000C7C4A"/>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3EAD"/>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06CF"/>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1F7DEE"/>
    <w:rsid w:val="002005A6"/>
    <w:rsid w:val="00204CBC"/>
    <w:rsid w:val="002051F1"/>
    <w:rsid w:val="002067BA"/>
    <w:rsid w:val="0021058D"/>
    <w:rsid w:val="00211E2F"/>
    <w:rsid w:val="00211E9E"/>
    <w:rsid w:val="00214679"/>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73F"/>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4B6"/>
    <w:rsid w:val="00304A71"/>
    <w:rsid w:val="003066C8"/>
    <w:rsid w:val="0030739D"/>
    <w:rsid w:val="00307AFB"/>
    <w:rsid w:val="00311184"/>
    <w:rsid w:val="00312675"/>
    <w:rsid w:val="003129E0"/>
    <w:rsid w:val="00314013"/>
    <w:rsid w:val="00314945"/>
    <w:rsid w:val="00315389"/>
    <w:rsid w:val="00315746"/>
    <w:rsid w:val="00315E96"/>
    <w:rsid w:val="00317FC8"/>
    <w:rsid w:val="003223D7"/>
    <w:rsid w:val="00323D9F"/>
    <w:rsid w:val="00324FDB"/>
    <w:rsid w:val="00325F48"/>
    <w:rsid w:val="00326722"/>
    <w:rsid w:val="0033194F"/>
    <w:rsid w:val="00332304"/>
    <w:rsid w:val="00332406"/>
    <w:rsid w:val="00332D8D"/>
    <w:rsid w:val="00336B56"/>
    <w:rsid w:val="00341B25"/>
    <w:rsid w:val="00341EC0"/>
    <w:rsid w:val="0034240C"/>
    <w:rsid w:val="003441F6"/>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5E2B"/>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5FFE"/>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987"/>
    <w:rsid w:val="005F5ACF"/>
    <w:rsid w:val="005F60DC"/>
    <w:rsid w:val="006000DD"/>
    <w:rsid w:val="00600F63"/>
    <w:rsid w:val="006012E1"/>
    <w:rsid w:val="00602253"/>
    <w:rsid w:val="006023E1"/>
    <w:rsid w:val="00605531"/>
    <w:rsid w:val="00606240"/>
    <w:rsid w:val="0060674A"/>
    <w:rsid w:val="0060678F"/>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379B0"/>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B4C"/>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DE5"/>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97"/>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5E1"/>
    <w:rsid w:val="00896A15"/>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098F"/>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D75F1"/>
    <w:rsid w:val="009E0711"/>
    <w:rsid w:val="009E1917"/>
    <w:rsid w:val="009E3594"/>
    <w:rsid w:val="009E6B77"/>
    <w:rsid w:val="009E7724"/>
    <w:rsid w:val="009E7D1F"/>
    <w:rsid w:val="009F1D82"/>
    <w:rsid w:val="009F37AA"/>
    <w:rsid w:val="009F53A4"/>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3932"/>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77C6E"/>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074E"/>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3C9"/>
    <w:rsid w:val="00E23798"/>
    <w:rsid w:val="00E2585D"/>
    <w:rsid w:val="00E25DBD"/>
    <w:rsid w:val="00E25FA2"/>
    <w:rsid w:val="00E2723D"/>
    <w:rsid w:val="00E27C77"/>
    <w:rsid w:val="00E3179E"/>
    <w:rsid w:val="00E32AC9"/>
    <w:rsid w:val="00E332AE"/>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1589C"/>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289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5:docId w15:val="{BEC507B2-D473-44E1-9B0D-C554253B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5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37"/>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 w:type="paragraph" w:customStyle="1" w:styleId="HeaderBreak">
    <w:name w:val="Header_Break"/>
    <w:rsid w:val="006379B0"/>
    <w:rPr>
      <w:rFonts w:ascii="Calibri" w:eastAsia="Calibri" w:hAnsi="Calibri"/>
      <w:sz w:val="22"/>
      <w:szCs w:val="22"/>
      <w:lang w:val="en-US" w:eastAsia="en-US"/>
    </w:rPr>
  </w:style>
  <w:style w:type="paragraph" w:customStyle="1" w:styleId="LetterBody">
    <w:name w:val="Letter_Body"/>
    <w:qFormat/>
    <w:rsid w:val="006379B0"/>
    <w:pPr>
      <w:autoSpaceDE w:val="0"/>
      <w:autoSpaceDN w:val="0"/>
      <w:adjustRightInd w:val="0"/>
    </w:pPr>
    <w:rPr>
      <w:rFonts w:ascii="Calibri" w:eastAsia="Calibri" w:hAnsi="Calibri" w:cs="Helvetic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29938252">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3286981">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EDEC3-33E6-4D71-9342-66400F48D60B}">
  <ds:schemaRefs>
    <ds:schemaRef ds:uri="http://schemas.openxmlformats.org/officeDocument/2006/bibliography"/>
  </ds:schemaRefs>
</ds:datastoreItem>
</file>

<file path=customXml/itemProps2.xml><?xml version="1.0" encoding="utf-8"?>
<ds:datastoreItem xmlns:ds="http://schemas.openxmlformats.org/officeDocument/2006/customXml" ds:itemID="{336CAC0B-52C2-4601-9170-99F6DCD50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5985</Words>
  <Characters>34121</Characters>
  <Application>Microsoft Office Word</Application>
  <DocSecurity>8</DocSecurity>
  <Lines>284</Lines>
  <Paragraphs>80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40026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Author</cp:lastModifiedBy>
  <cp:revision>6</cp:revision>
  <cp:lastPrinted>2015-02-18T11:01:00Z</cp:lastPrinted>
  <dcterms:created xsi:type="dcterms:W3CDTF">2016-01-29T13:43:00Z</dcterms:created>
  <dcterms:modified xsi:type="dcterms:W3CDTF">2016-01-29T14:54:00Z</dcterms:modified>
</cp:coreProperties>
</file>