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1639" w:rsidRPr="004F3F0E" w:rsidRDefault="003C1639" w:rsidP="00997931">
      <w:pPr>
        <w:ind w:left="426"/>
        <w:rPr>
          <w:rFonts w:ascii="Verdana" w:hAnsi="Verdana"/>
        </w:rPr>
      </w:pPr>
    </w:p>
    <w:p w:rsidR="00997931" w:rsidRPr="004F3F0E" w:rsidRDefault="00997931" w:rsidP="00997931">
      <w:pPr>
        <w:ind w:left="426"/>
        <w:rPr>
          <w:rFonts w:ascii="Verdana" w:hAnsi="Verdana"/>
        </w:rPr>
      </w:pPr>
    </w:p>
    <w:p w:rsidR="004F3F0E" w:rsidRPr="004F3F0E" w:rsidRDefault="004F3F0E" w:rsidP="004F3F0E">
      <w:pPr>
        <w:jc w:val="both"/>
        <w:rPr>
          <w:rFonts w:ascii="Verdana" w:hAnsi="Verdana"/>
          <w:color w:val="000000" w:themeColor="text1"/>
        </w:rPr>
      </w:pPr>
    </w:p>
    <w:p w:rsidR="004F3F0E" w:rsidRPr="004F3F0E" w:rsidRDefault="004F3F0E" w:rsidP="004F3F0E">
      <w:pPr>
        <w:jc w:val="right"/>
        <w:rPr>
          <w:rFonts w:ascii="Verdana" w:hAnsi="Verdana"/>
          <w:color w:val="000000" w:themeColor="text1"/>
        </w:rPr>
      </w:pPr>
      <w:r w:rsidRPr="004F3F0E">
        <w:rPr>
          <w:rFonts w:ascii="Verdana" w:hAnsi="Verdana"/>
          <w:color w:val="000000" w:themeColor="text1"/>
        </w:rPr>
        <w:t xml:space="preserve">A l’attention de Monsieur Steven </w:t>
      </w:r>
      <w:proofErr w:type="spellStart"/>
      <w:r w:rsidRPr="004F3F0E">
        <w:rPr>
          <w:rFonts w:ascii="Verdana" w:hAnsi="Verdana"/>
          <w:color w:val="000000" w:themeColor="text1"/>
        </w:rPr>
        <w:t>Maijoor</w:t>
      </w:r>
      <w:proofErr w:type="spellEnd"/>
    </w:p>
    <w:p w:rsidR="004F3F0E" w:rsidRPr="004F3F0E" w:rsidRDefault="004F3F0E" w:rsidP="004F3F0E">
      <w:pPr>
        <w:jc w:val="right"/>
        <w:rPr>
          <w:rFonts w:ascii="Verdana" w:hAnsi="Verdana"/>
          <w:color w:val="000000" w:themeColor="text1"/>
        </w:rPr>
      </w:pPr>
      <w:r w:rsidRPr="004F3F0E">
        <w:rPr>
          <w:rFonts w:ascii="Verdana" w:hAnsi="Verdana"/>
          <w:color w:val="000000" w:themeColor="text1"/>
        </w:rPr>
        <w:t>Président de l’ESMA</w:t>
      </w:r>
    </w:p>
    <w:p w:rsidR="004F3F0E" w:rsidRPr="004F3F0E" w:rsidRDefault="004F3F0E" w:rsidP="004F3F0E">
      <w:pPr>
        <w:jc w:val="both"/>
        <w:rPr>
          <w:rFonts w:ascii="Verdana" w:hAnsi="Verdana"/>
          <w:color w:val="000000" w:themeColor="text1"/>
        </w:rPr>
      </w:pPr>
      <w:r w:rsidRPr="004F3F0E">
        <w:rPr>
          <w:rFonts w:ascii="Verdana" w:hAnsi="Verdana"/>
          <w:color w:val="000000" w:themeColor="text1"/>
        </w:rPr>
        <w:t xml:space="preserve"> </w:t>
      </w:r>
    </w:p>
    <w:p w:rsidR="004F3F0E" w:rsidRPr="004F3F0E" w:rsidRDefault="004F3F0E" w:rsidP="004F3F0E">
      <w:pPr>
        <w:jc w:val="both"/>
        <w:rPr>
          <w:rFonts w:ascii="Verdana" w:hAnsi="Verdana"/>
          <w:color w:val="000000" w:themeColor="text1"/>
        </w:rPr>
      </w:pPr>
    </w:p>
    <w:p w:rsidR="004F3F0E" w:rsidRPr="004F3F0E" w:rsidRDefault="004F3F0E" w:rsidP="004F3F0E">
      <w:pPr>
        <w:ind w:left="709"/>
        <w:jc w:val="both"/>
        <w:rPr>
          <w:rFonts w:ascii="Verdana" w:hAnsi="Verdana"/>
          <w:b/>
          <w:color w:val="000000" w:themeColor="text1"/>
        </w:rPr>
      </w:pPr>
      <w:r w:rsidRPr="004F3F0E">
        <w:rPr>
          <w:rFonts w:ascii="Verdana" w:hAnsi="Verdana"/>
          <w:b/>
          <w:color w:val="000000" w:themeColor="text1"/>
        </w:rPr>
        <w:t xml:space="preserve">Objet : consultation de l’ESMA sur le format européen unique de </w:t>
      </w:r>
      <w:proofErr w:type="spellStart"/>
      <w:r w:rsidRPr="004F3F0E">
        <w:rPr>
          <w:rFonts w:ascii="Verdana" w:hAnsi="Verdana"/>
          <w:b/>
          <w:color w:val="000000" w:themeColor="text1"/>
        </w:rPr>
        <w:t>reporting</w:t>
      </w:r>
      <w:proofErr w:type="spellEnd"/>
      <w:r w:rsidRPr="004F3F0E">
        <w:rPr>
          <w:rFonts w:ascii="Verdana" w:hAnsi="Verdana"/>
          <w:b/>
          <w:color w:val="000000" w:themeColor="text1"/>
        </w:rPr>
        <w:t xml:space="preserve"> électronique (ESEF)</w:t>
      </w:r>
    </w:p>
    <w:p w:rsidR="004F3F0E" w:rsidRPr="004F3F0E" w:rsidRDefault="004F3F0E" w:rsidP="004F3F0E">
      <w:pPr>
        <w:ind w:left="709"/>
        <w:jc w:val="both"/>
        <w:rPr>
          <w:rFonts w:ascii="Verdana" w:hAnsi="Verdana"/>
          <w:color w:val="000000" w:themeColor="text1"/>
        </w:rPr>
      </w:pPr>
      <w:r w:rsidRPr="004F3F0E">
        <w:rPr>
          <w:rFonts w:ascii="Verdana" w:hAnsi="Verdana"/>
          <w:color w:val="000000" w:themeColor="text1"/>
        </w:rPr>
        <w:t xml:space="preserve"> </w:t>
      </w:r>
    </w:p>
    <w:p w:rsidR="004F3F0E" w:rsidRPr="004F3F0E" w:rsidRDefault="004F3F0E" w:rsidP="004F3F0E">
      <w:pPr>
        <w:ind w:left="709"/>
        <w:jc w:val="both"/>
        <w:rPr>
          <w:rFonts w:ascii="Verdana" w:hAnsi="Verdana"/>
          <w:color w:val="000000" w:themeColor="text1"/>
        </w:rPr>
      </w:pPr>
    </w:p>
    <w:p w:rsidR="004F3F0E" w:rsidRPr="004F3F0E" w:rsidRDefault="004F3F0E" w:rsidP="004F3F0E">
      <w:pPr>
        <w:ind w:left="709"/>
        <w:jc w:val="both"/>
        <w:rPr>
          <w:rFonts w:ascii="Verdana" w:hAnsi="Verdana"/>
          <w:color w:val="000000" w:themeColor="text1"/>
        </w:rPr>
      </w:pPr>
      <w:r w:rsidRPr="004F3F0E">
        <w:rPr>
          <w:rFonts w:ascii="Verdana" w:hAnsi="Verdana"/>
          <w:color w:val="000000" w:themeColor="text1"/>
        </w:rPr>
        <w:t>Monsieur le Président,</w:t>
      </w:r>
    </w:p>
    <w:p w:rsidR="004F3F0E" w:rsidRPr="004F3F0E" w:rsidRDefault="004F3F0E" w:rsidP="004F3F0E">
      <w:pPr>
        <w:ind w:left="709"/>
        <w:jc w:val="both"/>
        <w:rPr>
          <w:rFonts w:ascii="Verdana" w:hAnsi="Verdana"/>
          <w:color w:val="000000" w:themeColor="text1"/>
        </w:rPr>
      </w:pPr>
      <w:r w:rsidRPr="004F3F0E">
        <w:rPr>
          <w:rFonts w:ascii="Verdana" w:hAnsi="Verdana"/>
          <w:color w:val="000000" w:themeColor="text1"/>
        </w:rPr>
        <w:t xml:space="preserve"> </w:t>
      </w:r>
    </w:p>
    <w:p w:rsidR="004F3F0E" w:rsidRPr="004F3F0E" w:rsidRDefault="004F3F0E" w:rsidP="004F3F0E">
      <w:pPr>
        <w:ind w:left="709"/>
        <w:jc w:val="both"/>
        <w:rPr>
          <w:rFonts w:ascii="Verdana" w:hAnsi="Verdana"/>
          <w:color w:val="000000" w:themeColor="text1"/>
        </w:rPr>
      </w:pPr>
      <w:r w:rsidRPr="004F3F0E">
        <w:rPr>
          <w:rFonts w:ascii="Verdana" w:hAnsi="Verdana"/>
          <w:color w:val="000000" w:themeColor="text1"/>
        </w:rPr>
        <w:t xml:space="preserve">L’ESMA a lancé le 20 octobre dernier une consultation sur la mise en place d’un format européen unique de </w:t>
      </w:r>
      <w:proofErr w:type="spellStart"/>
      <w:r w:rsidRPr="004F3F0E">
        <w:rPr>
          <w:rFonts w:ascii="Verdana" w:hAnsi="Verdana"/>
          <w:color w:val="000000" w:themeColor="text1"/>
        </w:rPr>
        <w:t>reporting</w:t>
      </w:r>
      <w:proofErr w:type="spellEnd"/>
      <w:r w:rsidRPr="004F3F0E">
        <w:rPr>
          <w:rFonts w:ascii="Verdana" w:hAnsi="Verdana"/>
          <w:color w:val="000000" w:themeColor="text1"/>
        </w:rPr>
        <w:t xml:space="preserve"> électronique. En tant que société émettrice, nous souhaitons vous faire connaître notre position à l’égard de ce projet.</w:t>
      </w:r>
    </w:p>
    <w:p w:rsidR="004F3F0E" w:rsidRPr="004F3F0E" w:rsidRDefault="004F3F0E" w:rsidP="004F3F0E">
      <w:pPr>
        <w:ind w:left="709"/>
        <w:jc w:val="both"/>
        <w:rPr>
          <w:rFonts w:ascii="Verdana" w:hAnsi="Verdana"/>
          <w:color w:val="000000" w:themeColor="text1"/>
        </w:rPr>
      </w:pPr>
      <w:r w:rsidRPr="004F3F0E">
        <w:rPr>
          <w:rFonts w:ascii="Verdana" w:hAnsi="Verdana"/>
          <w:color w:val="000000" w:themeColor="text1"/>
        </w:rPr>
        <w:t xml:space="preserve"> </w:t>
      </w:r>
    </w:p>
    <w:p w:rsidR="004F3F0E" w:rsidRPr="004F3F0E" w:rsidRDefault="004F3F0E" w:rsidP="00B62C43">
      <w:pPr>
        <w:pStyle w:val="Paragraphedeliste"/>
        <w:numPr>
          <w:ilvl w:val="0"/>
          <w:numId w:val="4"/>
        </w:numPr>
        <w:spacing w:after="0" w:line="240" w:lineRule="auto"/>
        <w:ind w:left="1134" w:hanging="567"/>
        <w:jc w:val="both"/>
        <w:rPr>
          <w:rFonts w:ascii="Verdana" w:hAnsi="Verdana"/>
          <w:color w:val="000000" w:themeColor="text1"/>
          <w:szCs w:val="20"/>
        </w:rPr>
      </w:pPr>
      <w:r w:rsidRPr="004F3F0E">
        <w:rPr>
          <w:rFonts w:ascii="Verdana" w:hAnsi="Verdana"/>
          <w:color w:val="000000" w:themeColor="text1"/>
          <w:szCs w:val="20"/>
        </w:rPr>
        <w:t>En premier lieu, nous tenons à rappeler qu’aucun analyste financier ni aucun investisseur ne nous demande de publier nos comptes et états financiers dans un format harmonisé unique. Il n’existe donc aucun besoin identifié</w:t>
      </w:r>
      <w:r w:rsidR="00D1441C">
        <w:rPr>
          <w:rFonts w:ascii="Verdana" w:hAnsi="Verdana"/>
          <w:color w:val="000000" w:themeColor="text1"/>
          <w:szCs w:val="20"/>
        </w:rPr>
        <w:t> ;</w:t>
      </w:r>
    </w:p>
    <w:p w:rsidR="004F3F0E" w:rsidRPr="004F3F0E" w:rsidRDefault="004F3F0E" w:rsidP="00B62C43">
      <w:pPr>
        <w:pStyle w:val="Paragraphedeliste"/>
        <w:numPr>
          <w:ilvl w:val="0"/>
          <w:numId w:val="4"/>
        </w:numPr>
        <w:spacing w:after="0" w:line="240" w:lineRule="auto"/>
        <w:ind w:left="1134" w:hanging="567"/>
        <w:jc w:val="both"/>
        <w:rPr>
          <w:rFonts w:ascii="Verdana" w:hAnsi="Verdana"/>
          <w:color w:val="000000" w:themeColor="text1"/>
          <w:szCs w:val="20"/>
        </w:rPr>
      </w:pPr>
      <w:r w:rsidRPr="004F3F0E">
        <w:rPr>
          <w:rFonts w:ascii="Verdana" w:hAnsi="Verdana"/>
          <w:color w:val="000000" w:themeColor="text1"/>
          <w:szCs w:val="20"/>
        </w:rPr>
        <w:t xml:space="preserve">Les coûts de mise en œuvre d’un format unique de </w:t>
      </w:r>
      <w:proofErr w:type="spellStart"/>
      <w:r w:rsidRPr="004F3F0E">
        <w:rPr>
          <w:rFonts w:ascii="Verdana" w:hAnsi="Verdana"/>
          <w:color w:val="000000" w:themeColor="text1"/>
          <w:szCs w:val="20"/>
        </w:rPr>
        <w:t>reporting</w:t>
      </w:r>
      <w:proofErr w:type="spellEnd"/>
      <w:r w:rsidRPr="004F3F0E">
        <w:rPr>
          <w:rFonts w:ascii="Verdana" w:hAnsi="Verdana"/>
          <w:color w:val="000000" w:themeColor="text1"/>
          <w:szCs w:val="20"/>
        </w:rPr>
        <w:t xml:space="preserve"> sont très élevés et la maintenance d’un tel système crée des coûts récurrents sans aucun bénéfice pour l’entreprise</w:t>
      </w:r>
      <w:r w:rsidR="00D1441C">
        <w:rPr>
          <w:rFonts w:ascii="Verdana" w:hAnsi="Verdana"/>
          <w:color w:val="000000" w:themeColor="text1"/>
          <w:szCs w:val="20"/>
        </w:rPr>
        <w:t> ;</w:t>
      </w:r>
    </w:p>
    <w:p w:rsidR="004F3F0E" w:rsidRPr="004F3F0E" w:rsidRDefault="004F3F0E" w:rsidP="00B62C43">
      <w:pPr>
        <w:pStyle w:val="Paragraphedeliste"/>
        <w:numPr>
          <w:ilvl w:val="0"/>
          <w:numId w:val="4"/>
        </w:numPr>
        <w:spacing w:after="0" w:line="240" w:lineRule="auto"/>
        <w:ind w:left="1134" w:hanging="567"/>
        <w:jc w:val="both"/>
        <w:rPr>
          <w:rFonts w:ascii="Verdana" w:hAnsi="Verdana"/>
          <w:color w:val="000000" w:themeColor="text1"/>
          <w:szCs w:val="20"/>
        </w:rPr>
      </w:pPr>
      <w:r w:rsidRPr="004F3F0E">
        <w:rPr>
          <w:rFonts w:ascii="Verdana" w:hAnsi="Verdana"/>
          <w:color w:val="000000" w:themeColor="text1"/>
          <w:szCs w:val="20"/>
        </w:rPr>
        <w:t>Les normes IFRS sur lesquelles repose la taxonomie XBRL font l’objet de changements significatifs et fréquents ce qui aurait pour conséquence d’augmenter la complexité et les coûts de maintenance d’un format de publication de type XBRL</w:t>
      </w:r>
      <w:r w:rsidR="00D1441C">
        <w:rPr>
          <w:rFonts w:ascii="Verdana" w:hAnsi="Verdana"/>
          <w:color w:val="000000" w:themeColor="text1"/>
          <w:szCs w:val="20"/>
        </w:rPr>
        <w:t> ;</w:t>
      </w:r>
    </w:p>
    <w:p w:rsidR="004F3F0E" w:rsidRPr="00B62C43" w:rsidRDefault="004F3F0E" w:rsidP="00B62C43">
      <w:pPr>
        <w:pStyle w:val="Paragraphedeliste"/>
        <w:numPr>
          <w:ilvl w:val="0"/>
          <w:numId w:val="4"/>
        </w:numPr>
        <w:ind w:left="1134" w:hanging="567"/>
        <w:jc w:val="both"/>
        <w:rPr>
          <w:rFonts w:ascii="Verdana" w:hAnsi="Verdana"/>
          <w:color w:val="000000" w:themeColor="text1"/>
        </w:rPr>
      </w:pPr>
      <w:r w:rsidRPr="00B62C43">
        <w:rPr>
          <w:rFonts w:ascii="Verdana" w:hAnsi="Verdana"/>
          <w:color w:val="000000" w:themeColor="text1"/>
        </w:rPr>
        <w:t>La taxonomie IFRS envisagée pour le format XBRL ne prend pas en compte les indicateurs alternatifs de performance que les émetteurs utilisent très souvent et que les analystes et investisseurs suivent régulièrement. La publication au format XBRL sans ces indicateurs amoindrirait la signification des états financiers</w:t>
      </w:r>
      <w:r w:rsidR="00D1441C">
        <w:rPr>
          <w:rFonts w:ascii="Verdana" w:hAnsi="Verdana"/>
          <w:color w:val="000000" w:themeColor="text1"/>
        </w:rPr>
        <w:t> ;</w:t>
      </w:r>
    </w:p>
    <w:p w:rsidR="004F3F0E" w:rsidRPr="00B62C43" w:rsidRDefault="004F3F0E" w:rsidP="00B62C43">
      <w:pPr>
        <w:pStyle w:val="Paragraphedeliste"/>
        <w:numPr>
          <w:ilvl w:val="0"/>
          <w:numId w:val="4"/>
        </w:numPr>
        <w:ind w:left="1134" w:hanging="567"/>
        <w:jc w:val="both"/>
        <w:rPr>
          <w:rFonts w:ascii="Verdana" w:hAnsi="Verdana"/>
          <w:color w:val="000000" w:themeColor="text1"/>
        </w:rPr>
      </w:pPr>
      <w:r w:rsidRPr="00B62C43">
        <w:rPr>
          <w:rFonts w:ascii="Verdana" w:hAnsi="Verdana"/>
          <w:color w:val="000000" w:themeColor="text1"/>
        </w:rPr>
        <w:t>Le format électronique unique type XBRL ne restitue pas les éléments qualitatifs et contextuels joints à toutes les publications de résultats et qui sont essentiels à leur compréhension et à la bonne appréciation du business model de chaque entreprise</w:t>
      </w:r>
      <w:r w:rsidR="00D1441C">
        <w:rPr>
          <w:rFonts w:ascii="Verdana" w:hAnsi="Verdana"/>
          <w:color w:val="000000" w:themeColor="text1"/>
        </w:rPr>
        <w:t> ;</w:t>
      </w:r>
      <w:r w:rsidRPr="00B62C43">
        <w:rPr>
          <w:rFonts w:ascii="Verdana" w:hAnsi="Verdana"/>
          <w:color w:val="000000" w:themeColor="text1"/>
        </w:rPr>
        <w:t xml:space="preserve"> </w:t>
      </w:r>
    </w:p>
    <w:p w:rsidR="004F3F0E" w:rsidRPr="00B62C43" w:rsidRDefault="004F3F0E" w:rsidP="00B62C43">
      <w:pPr>
        <w:pStyle w:val="Paragraphedeliste"/>
        <w:numPr>
          <w:ilvl w:val="0"/>
          <w:numId w:val="4"/>
        </w:numPr>
        <w:ind w:left="1134" w:hanging="567"/>
        <w:jc w:val="both"/>
        <w:rPr>
          <w:rFonts w:ascii="Verdana" w:hAnsi="Verdana"/>
          <w:color w:val="000000" w:themeColor="text1"/>
        </w:rPr>
      </w:pPr>
      <w:r w:rsidRPr="00B62C43">
        <w:rPr>
          <w:rFonts w:ascii="Verdana" w:hAnsi="Verdana"/>
          <w:color w:val="000000" w:themeColor="text1"/>
        </w:rPr>
        <w:t>Le format électronique XBRL constitue un standard « fermé » alors que de plus en plus les entreprises privilégient des systèmes « ouverts » dont le paramétrage et l’utilisation sont beaucoup plus souples et moins couteux. De plus le faible niveau d’utilisation du standard XBRL et l’évolution très rapide des technologies de l’information fait courir un risque élevé d’obsolescence de ce standard à l’horizon 2020</w:t>
      </w:r>
      <w:r w:rsidR="00D1441C">
        <w:rPr>
          <w:rFonts w:ascii="Verdana" w:hAnsi="Verdana"/>
          <w:color w:val="000000" w:themeColor="text1"/>
        </w:rPr>
        <w:t> ;</w:t>
      </w:r>
    </w:p>
    <w:p w:rsidR="004F3F0E" w:rsidRPr="00B62C43" w:rsidRDefault="004F3F0E" w:rsidP="00B62C43">
      <w:pPr>
        <w:pStyle w:val="Paragraphedeliste"/>
        <w:numPr>
          <w:ilvl w:val="0"/>
          <w:numId w:val="4"/>
        </w:numPr>
        <w:ind w:left="1134" w:hanging="567"/>
        <w:jc w:val="both"/>
        <w:rPr>
          <w:rFonts w:ascii="Verdana" w:hAnsi="Verdana"/>
          <w:color w:val="000000" w:themeColor="text1"/>
        </w:rPr>
      </w:pPr>
      <w:r w:rsidRPr="00B62C43">
        <w:rPr>
          <w:rFonts w:ascii="Verdana" w:hAnsi="Verdana"/>
          <w:color w:val="000000" w:themeColor="text1"/>
        </w:rPr>
        <w:t xml:space="preserve">La question de la vérification des états financiers convertis dans un format unique de </w:t>
      </w:r>
      <w:proofErr w:type="spellStart"/>
      <w:r w:rsidRPr="00B62C43">
        <w:rPr>
          <w:rFonts w:ascii="Verdana" w:hAnsi="Verdana"/>
          <w:color w:val="000000" w:themeColor="text1"/>
        </w:rPr>
        <w:t>reporting</w:t>
      </w:r>
      <w:proofErr w:type="spellEnd"/>
      <w:r w:rsidRPr="00B62C43">
        <w:rPr>
          <w:rFonts w:ascii="Verdana" w:hAnsi="Verdana"/>
          <w:color w:val="000000" w:themeColor="text1"/>
        </w:rPr>
        <w:t xml:space="preserve"> électronique n’a pas été précisée mais les émetteurs rejettent par avance tout alourdissement des charges d’audit que cela pourrait entraîner</w:t>
      </w:r>
      <w:r w:rsidR="00D1441C">
        <w:rPr>
          <w:rFonts w:ascii="Verdana" w:hAnsi="Verdana"/>
          <w:color w:val="000000" w:themeColor="text1"/>
        </w:rPr>
        <w:t> ;</w:t>
      </w:r>
    </w:p>
    <w:p w:rsidR="004F3F0E" w:rsidRPr="00B62C43" w:rsidRDefault="004F3F0E" w:rsidP="00B62C43">
      <w:pPr>
        <w:pStyle w:val="Paragraphedeliste"/>
        <w:numPr>
          <w:ilvl w:val="0"/>
          <w:numId w:val="4"/>
        </w:numPr>
        <w:ind w:left="1134" w:hanging="567"/>
        <w:jc w:val="both"/>
        <w:rPr>
          <w:rFonts w:ascii="Verdana" w:hAnsi="Verdana"/>
          <w:color w:val="000000" w:themeColor="text1"/>
        </w:rPr>
      </w:pPr>
      <w:r w:rsidRPr="00B62C43">
        <w:rPr>
          <w:rFonts w:ascii="Verdana" w:hAnsi="Verdana"/>
          <w:color w:val="000000" w:themeColor="text1"/>
        </w:rPr>
        <w:t xml:space="preserve">Si la volonté de la Commission et de l’ESMA est d’harmoniser les formats de </w:t>
      </w:r>
      <w:proofErr w:type="spellStart"/>
      <w:r w:rsidRPr="00B62C43">
        <w:rPr>
          <w:rFonts w:ascii="Verdana" w:hAnsi="Verdana"/>
          <w:color w:val="000000" w:themeColor="text1"/>
        </w:rPr>
        <w:t>reporting</w:t>
      </w:r>
      <w:proofErr w:type="spellEnd"/>
      <w:r w:rsidRPr="00B62C43">
        <w:rPr>
          <w:rFonts w:ascii="Verdana" w:hAnsi="Verdana"/>
          <w:color w:val="000000" w:themeColor="text1"/>
        </w:rPr>
        <w:t xml:space="preserve"> électronique, le standard PDF, déjà prévu par 13 états membres de l’Union, serait un choix simple, peu coûteux, facile à mettre en œuvre et de nature à satisfaire tous les utilisateurs. Le standard PDF permet, en plus des états financiers, de joindre aux publications tous les éléments contextuels et qualitatifs que le format XBRL ne prévoit pas</w:t>
      </w:r>
      <w:r w:rsidR="00D1441C">
        <w:rPr>
          <w:rFonts w:ascii="Verdana" w:hAnsi="Verdana"/>
          <w:color w:val="000000" w:themeColor="text1"/>
        </w:rPr>
        <w:t> ;</w:t>
      </w:r>
    </w:p>
    <w:p w:rsidR="004F3F0E" w:rsidRPr="00B62C43" w:rsidRDefault="004F3F0E" w:rsidP="00B62C43">
      <w:pPr>
        <w:pStyle w:val="Paragraphedeliste"/>
        <w:numPr>
          <w:ilvl w:val="0"/>
          <w:numId w:val="4"/>
        </w:numPr>
        <w:ind w:left="1134" w:hanging="567"/>
        <w:jc w:val="both"/>
        <w:rPr>
          <w:rFonts w:ascii="Verdana" w:hAnsi="Verdana"/>
          <w:color w:val="000000" w:themeColor="text1"/>
        </w:rPr>
      </w:pPr>
      <w:r w:rsidRPr="00B62C43">
        <w:rPr>
          <w:rFonts w:ascii="Verdana" w:hAnsi="Verdana"/>
          <w:color w:val="000000" w:themeColor="text1"/>
        </w:rPr>
        <w:t xml:space="preserve">La Directive Transparence amendée en 2013 prévoit que la mise en place d’un format unique de </w:t>
      </w:r>
      <w:proofErr w:type="spellStart"/>
      <w:r w:rsidRPr="00B62C43">
        <w:rPr>
          <w:rFonts w:ascii="Verdana" w:hAnsi="Verdana"/>
          <w:color w:val="000000" w:themeColor="text1"/>
        </w:rPr>
        <w:t>reporting</w:t>
      </w:r>
      <w:proofErr w:type="spellEnd"/>
      <w:r w:rsidRPr="00B62C43">
        <w:rPr>
          <w:rFonts w:ascii="Verdana" w:hAnsi="Verdana"/>
          <w:color w:val="000000" w:themeColor="text1"/>
        </w:rPr>
        <w:t xml:space="preserve"> électronique est subordonnée une analyse coûts/ bénéfices préalable. L’étude qui a été menée en 2014 n’est absolument pas représentative et n’a pas été conduite dans des conditions optimales. De ce fait et, si la Commission </w:t>
      </w:r>
      <w:r w:rsidRPr="00B62C43">
        <w:rPr>
          <w:rFonts w:ascii="Verdana" w:hAnsi="Verdana"/>
          <w:color w:val="000000" w:themeColor="text1"/>
        </w:rPr>
        <w:lastRenderedPageBreak/>
        <w:t xml:space="preserve">Européenne et l’ESMA persistaient dans leur intention d’imposer un format unique de </w:t>
      </w:r>
      <w:proofErr w:type="spellStart"/>
      <w:r w:rsidRPr="00B62C43">
        <w:rPr>
          <w:rFonts w:ascii="Verdana" w:hAnsi="Verdana"/>
          <w:color w:val="000000" w:themeColor="text1"/>
        </w:rPr>
        <w:t>reporting</w:t>
      </w:r>
      <w:proofErr w:type="spellEnd"/>
      <w:r w:rsidRPr="00B62C43">
        <w:rPr>
          <w:rFonts w:ascii="Verdana" w:hAnsi="Verdana"/>
          <w:color w:val="000000" w:themeColor="text1"/>
        </w:rPr>
        <w:t xml:space="preserve"> électronique, une nouvelle étude coûts/bénéfices devrait être conduite avant toute décision et dans des conditions acceptables</w:t>
      </w:r>
      <w:r w:rsidR="00D1441C">
        <w:rPr>
          <w:rFonts w:ascii="Verdana" w:hAnsi="Verdana"/>
          <w:color w:val="000000" w:themeColor="text1"/>
        </w:rPr>
        <w:t>.</w:t>
      </w:r>
    </w:p>
    <w:p w:rsidR="004F3F0E" w:rsidRPr="004F3F0E" w:rsidRDefault="004F3F0E" w:rsidP="004F3F0E">
      <w:pPr>
        <w:jc w:val="both"/>
        <w:rPr>
          <w:rFonts w:ascii="Verdana" w:hAnsi="Verdana"/>
          <w:color w:val="000000" w:themeColor="text1"/>
        </w:rPr>
      </w:pPr>
      <w:r w:rsidRPr="004F3F0E">
        <w:rPr>
          <w:rFonts w:ascii="Verdana" w:hAnsi="Verdana"/>
          <w:color w:val="000000" w:themeColor="text1"/>
        </w:rPr>
        <w:t xml:space="preserve"> </w:t>
      </w:r>
    </w:p>
    <w:p w:rsidR="004F3F0E" w:rsidRPr="004F3F0E" w:rsidRDefault="004F3F0E" w:rsidP="004F3F0E">
      <w:pPr>
        <w:ind w:left="709"/>
        <w:jc w:val="both"/>
        <w:rPr>
          <w:rFonts w:ascii="Verdana" w:hAnsi="Verdana"/>
          <w:color w:val="000000" w:themeColor="text1"/>
        </w:rPr>
      </w:pPr>
      <w:r w:rsidRPr="004F3F0E">
        <w:rPr>
          <w:rFonts w:ascii="Verdana" w:hAnsi="Verdana"/>
          <w:color w:val="000000" w:themeColor="text1"/>
        </w:rPr>
        <w:t>Pour toutes</w:t>
      </w:r>
      <w:r w:rsidR="00D1441C">
        <w:rPr>
          <w:rFonts w:ascii="Verdana" w:hAnsi="Verdana"/>
          <w:color w:val="000000" w:themeColor="text1"/>
        </w:rPr>
        <w:t xml:space="preserve"> les raisons évoquées ci-dessus, </w:t>
      </w:r>
      <w:proofErr w:type="spellStart"/>
      <w:r w:rsidR="00D1441C">
        <w:rPr>
          <w:rFonts w:ascii="Verdana" w:hAnsi="Verdana"/>
          <w:color w:val="000000" w:themeColor="text1"/>
        </w:rPr>
        <w:t>Neopost</w:t>
      </w:r>
      <w:proofErr w:type="spellEnd"/>
      <w:r w:rsidR="00D1441C">
        <w:rPr>
          <w:rFonts w:ascii="Verdana" w:hAnsi="Verdana"/>
          <w:color w:val="000000" w:themeColor="text1"/>
        </w:rPr>
        <w:t xml:space="preserve"> </w:t>
      </w:r>
      <w:r w:rsidRPr="004F3F0E">
        <w:rPr>
          <w:rFonts w:ascii="Verdana" w:hAnsi="Verdana"/>
          <w:color w:val="000000" w:themeColor="text1"/>
        </w:rPr>
        <w:t>s’associe à la réponse détaillée qui a été faite par l’AFEP en collaboration avec le MEDEF.</w:t>
      </w:r>
    </w:p>
    <w:p w:rsidR="004F3F0E" w:rsidRPr="004F3F0E" w:rsidRDefault="004F3F0E" w:rsidP="004F3F0E">
      <w:pPr>
        <w:ind w:left="709"/>
        <w:jc w:val="both"/>
        <w:rPr>
          <w:rFonts w:ascii="Verdana" w:hAnsi="Verdana"/>
          <w:color w:val="000000" w:themeColor="text1"/>
        </w:rPr>
      </w:pPr>
    </w:p>
    <w:p w:rsidR="004F3F0E" w:rsidRDefault="004F3F0E" w:rsidP="004F3F0E">
      <w:pPr>
        <w:ind w:left="709"/>
        <w:jc w:val="both"/>
        <w:rPr>
          <w:rFonts w:ascii="Verdana" w:hAnsi="Verdana"/>
          <w:color w:val="000000" w:themeColor="text1"/>
        </w:rPr>
      </w:pPr>
      <w:r w:rsidRPr="004F3F0E">
        <w:rPr>
          <w:rFonts w:ascii="Verdana" w:hAnsi="Verdana"/>
          <w:color w:val="000000" w:themeColor="text1"/>
        </w:rPr>
        <w:t>Nous restons, Monsieur le Président, à la disposition de vos services pour reparler de ce dossier à leur convenance et vous prions de croire en l’assurance de notre parfaite considération.</w:t>
      </w:r>
    </w:p>
    <w:p w:rsidR="00D1441C" w:rsidRDefault="00D1441C" w:rsidP="004F3F0E">
      <w:pPr>
        <w:ind w:left="709"/>
        <w:jc w:val="both"/>
        <w:rPr>
          <w:rFonts w:ascii="Verdana" w:hAnsi="Verdana"/>
          <w:color w:val="000000" w:themeColor="text1"/>
        </w:rPr>
      </w:pPr>
    </w:p>
    <w:p w:rsidR="00D1441C" w:rsidRDefault="00D1441C" w:rsidP="004F3F0E">
      <w:pPr>
        <w:ind w:left="709"/>
        <w:jc w:val="both"/>
        <w:rPr>
          <w:rFonts w:ascii="Verdana" w:hAnsi="Verdana"/>
          <w:color w:val="000000" w:themeColor="text1"/>
        </w:rPr>
      </w:pPr>
    </w:p>
    <w:p w:rsidR="00D1441C" w:rsidRDefault="00D1441C" w:rsidP="004F3F0E">
      <w:pPr>
        <w:ind w:left="709"/>
        <w:jc w:val="both"/>
        <w:rPr>
          <w:rFonts w:ascii="Verdana" w:hAnsi="Verdana"/>
          <w:color w:val="000000" w:themeColor="text1"/>
        </w:rPr>
      </w:pPr>
    </w:p>
    <w:p w:rsidR="00D1441C" w:rsidRDefault="00D1441C" w:rsidP="004F3F0E">
      <w:pPr>
        <w:ind w:left="709"/>
        <w:jc w:val="both"/>
        <w:rPr>
          <w:rFonts w:ascii="Verdana" w:hAnsi="Verdana"/>
          <w:color w:val="000000" w:themeColor="text1"/>
        </w:rPr>
      </w:pPr>
    </w:p>
    <w:p w:rsidR="00D1441C" w:rsidRDefault="00D1441C" w:rsidP="004F3F0E">
      <w:pPr>
        <w:ind w:left="709"/>
        <w:jc w:val="both"/>
        <w:rPr>
          <w:rFonts w:ascii="Verdana" w:hAnsi="Verdana"/>
          <w:color w:val="000000" w:themeColor="text1"/>
        </w:rPr>
      </w:pPr>
    </w:p>
    <w:p w:rsidR="00D1441C" w:rsidRDefault="00D1441C" w:rsidP="004F3F0E">
      <w:pPr>
        <w:ind w:left="709"/>
        <w:jc w:val="both"/>
        <w:rPr>
          <w:rFonts w:ascii="Verdana" w:hAnsi="Verdana"/>
          <w:color w:val="000000" w:themeColor="text1"/>
        </w:rPr>
      </w:pPr>
    </w:p>
    <w:p w:rsidR="00D1441C" w:rsidRDefault="00D1441C" w:rsidP="004F3F0E">
      <w:pPr>
        <w:ind w:left="709"/>
        <w:jc w:val="both"/>
        <w:rPr>
          <w:rFonts w:ascii="Verdana" w:hAnsi="Verdana"/>
          <w:color w:val="000000" w:themeColor="text1"/>
        </w:rPr>
      </w:pPr>
      <w:bookmarkStart w:id="0" w:name="_GoBack"/>
      <w:bookmarkEnd w:id="0"/>
      <w:r>
        <w:rPr>
          <w:rFonts w:ascii="Verdana" w:hAnsi="Verdana"/>
          <w:color w:val="000000" w:themeColor="text1"/>
        </w:rPr>
        <w:t>Gaële LE MEN</w:t>
      </w:r>
    </w:p>
    <w:p w:rsidR="00D1441C" w:rsidRDefault="00D1441C" w:rsidP="004F3F0E">
      <w:pPr>
        <w:ind w:left="709"/>
        <w:jc w:val="both"/>
        <w:rPr>
          <w:rFonts w:ascii="Verdana" w:hAnsi="Verdana"/>
          <w:color w:val="000000" w:themeColor="text1"/>
        </w:rPr>
      </w:pPr>
      <w:r>
        <w:rPr>
          <w:rFonts w:ascii="Verdana" w:hAnsi="Verdana"/>
          <w:color w:val="000000" w:themeColor="text1"/>
        </w:rPr>
        <w:t>NEOPOST</w:t>
      </w:r>
    </w:p>
    <w:p w:rsidR="00D1441C" w:rsidRPr="004F3F0E" w:rsidRDefault="00D1441C" w:rsidP="004F3F0E">
      <w:pPr>
        <w:ind w:left="709"/>
        <w:jc w:val="both"/>
        <w:rPr>
          <w:rFonts w:ascii="Verdana" w:hAnsi="Verdana"/>
          <w:color w:val="000000" w:themeColor="text1"/>
        </w:rPr>
      </w:pPr>
      <w:r>
        <w:rPr>
          <w:rFonts w:ascii="Verdana" w:hAnsi="Verdana"/>
          <w:color w:val="000000" w:themeColor="text1"/>
        </w:rPr>
        <w:t>Directeur de la Communication Financière</w:t>
      </w:r>
    </w:p>
    <w:p w:rsidR="004F3F0E" w:rsidRPr="004F3F0E" w:rsidRDefault="004F3F0E" w:rsidP="004F3F0E">
      <w:pPr>
        <w:jc w:val="both"/>
        <w:rPr>
          <w:rFonts w:ascii="Verdana" w:hAnsi="Verdana"/>
          <w:color w:val="000000" w:themeColor="text1"/>
        </w:rPr>
      </w:pPr>
    </w:p>
    <w:p w:rsidR="004F3F0E" w:rsidRPr="004F3F0E" w:rsidRDefault="004F3F0E" w:rsidP="004F3F0E">
      <w:pPr>
        <w:jc w:val="right"/>
        <w:rPr>
          <w:rFonts w:ascii="Verdana" w:hAnsi="Verdana"/>
          <w:color w:val="000000" w:themeColor="text1"/>
        </w:rPr>
      </w:pPr>
    </w:p>
    <w:p w:rsidR="00997931" w:rsidRPr="004F3F0E" w:rsidRDefault="00997931" w:rsidP="00997931">
      <w:pPr>
        <w:ind w:left="426"/>
        <w:rPr>
          <w:rFonts w:ascii="Verdana" w:hAnsi="Verdana"/>
        </w:rPr>
      </w:pPr>
    </w:p>
    <w:sectPr w:rsidR="00997931" w:rsidRPr="004F3F0E" w:rsidSect="001D7C9D">
      <w:headerReference w:type="default" r:id="rId7"/>
      <w:footerReference w:type="default" r:id="rId8"/>
      <w:pgSz w:w="11906" w:h="16838"/>
      <w:pgMar w:top="709" w:right="1558" w:bottom="907" w:left="680" w:header="567" w:footer="87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535D" w:rsidRDefault="0091535D">
      <w:r>
        <w:separator/>
      </w:r>
    </w:p>
  </w:endnote>
  <w:endnote w:type="continuationSeparator" w:id="0">
    <w:p w:rsidR="0091535D" w:rsidRDefault="00915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onduit ITC Light">
    <w:altName w:val="Arial"/>
    <w:panose1 w:val="00000000000000000000"/>
    <w:charset w:val="00"/>
    <w:family w:val="swiss"/>
    <w:notTrueType/>
    <w:pitch w:val="variable"/>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057" w:rsidRDefault="004F3F0E">
    <w:pPr>
      <w:pStyle w:val="Pieddepage"/>
    </w:pPr>
    <w:r>
      <w:rPr>
        <w:noProof/>
      </w:rPr>
      <mc:AlternateContent>
        <mc:Choice Requires="wps">
          <w:drawing>
            <wp:anchor distT="0" distB="0" distL="114300" distR="114300" simplePos="0" relativeHeight="251658240" behindDoc="0" locked="0" layoutInCell="0" allowOverlap="1">
              <wp:simplePos x="0" y="0"/>
              <wp:positionH relativeFrom="column">
                <wp:posOffset>2110105</wp:posOffset>
              </wp:positionH>
              <wp:positionV relativeFrom="paragraph">
                <wp:posOffset>-23495</wp:posOffset>
              </wp:positionV>
              <wp:extent cx="4297680" cy="822960"/>
              <wp:effectExtent l="0" t="0" r="2540"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7680" cy="822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16057" w:rsidRPr="00517E5D" w:rsidRDefault="00A16057">
                          <w:pPr>
                            <w:pStyle w:val="Pieddepage"/>
                            <w:rPr>
                              <w:rFonts w:ascii="Verdana" w:hAnsi="Verdana"/>
                              <w:color w:val="76923C" w:themeColor="accent3" w:themeShade="BF"/>
                            </w:rPr>
                          </w:pPr>
                          <w:r w:rsidRPr="00517E5D">
                            <w:rPr>
                              <w:rFonts w:ascii="Verdana" w:hAnsi="Verdana"/>
                              <w:color w:val="76923C" w:themeColor="accent3" w:themeShade="BF"/>
                            </w:rPr>
                            <w:t>www.neopost.com</w:t>
                          </w:r>
                        </w:p>
                        <w:p w:rsidR="00A16057" w:rsidRPr="00517E5D" w:rsidRDefault="00A16057">
                          <w:pPr>
                            <w:pStyle w:val="Pieddepage"/>
                            <w:rPr>
                              <w:rFonts w:ascii="Verdana" w:hAnsi="Verdana"/>
                            </w:rPr>
                          </w:pPr>
                          <w:r w:rsidRPr="00517E5D">
                            <w:rPr>
                              <w:rFonts w:ascii="Verdana" w:hAnsi="Verdana"/>
                            </w:rPr>
                            <w:t xml:space="preserve">    </w:t>
                          </w:r>
                        </w:p>
                        <w:p w:rsidR="00A16057" w:rsidRPr="00517E5D" w:rsidRDefault="00A16057">
                          <w:pPr>
                            <w:pStyle w:val="Pieddepage"/>
                            <w:rPr>
                              <w:rFonts w:ascii="Conduit ITC Light" w:hAnsi="Conduit ITC Light"/>
                              <w:color w:val="3E282B"/>
                              <w:sz w:val="16"/>
                              <w:szCs w:val="16"/>
                            </w:rPr>
                          </w:pPr>
                          <w:r w:rsidRPr="00517E5D">
                            <w:rPr>
                              <w:rFonts w:ascii="Verdana" w:hAnsi="Verdana"/>
                              <w:color w:val="3E282B"/>
                            </w:rPr>
                            <w:t xml:space="preserve"> </w:t>
                          </w:r>
                          <w:r w:rsidRPr="00517E5D">
                            <w:rPr>
                              <w:rFonts w:ascii="Verdana" w:hAnsi="Verdana"/>
                              <w:color w:val="3E282B"/>
                              <w:sz w:val="16"/>
                              <w:szCs w:val="16"/>
                            </w:rPr>
                            <w:t>Neopost S.A. au capital de</w:t>
                          </w:r>
                          <w:r w:rsidR="001D2417">
                            <w:rPr>
                              <w:rFonts w:ascii="Verdana" w:hAnsi="Verdana"/>
                              <w:color w:val="3E282B"/>
                              <w:sz w:val="16"/>
                              <w:szCs w:val="16"/>
                            </w:rPr>
                            <w:t xml:space="preserve"> </w:t>
                          </w:r>
                          <w:r w:rsidR="001D2417" w:rsidRPr="001D2417">
                            <w:rPr>
                              <w:rFonts w:ascii="Verdana" w:hAnsi="Verdana"/>
                              <w:sz w:val="16"/>
                              <w:szCs w:val="16"/>
                            </w:rPr>
                            <w:t>34 562 604</w:t>
                          </w:r>
                          <w:r w:rsidR="001D2417">
                            <w:t xml:space="preserve"> </w:t>
                          </w:r>
                          <w:r w:rsidR="00517E5D" w:rsidRPr="00517E5D">
                            <w:rPr>
                              <w:color w:val="1F497D"/>
                            </w:rPr>
                            <w:t xml:space="preserve"> </w:t>
                          </w:r>
                          <w:r w:rsidR="0071178D" w:rsidRPr="0071178D">
                            <w:rPr>
                              <w:rFonts w:ascii="Verdana" w:hAnsi="Verdana"/>
                              <w:color w:val="000000" w:themeColor="text1"/>
                              <w:sz w:val="16"/>
                              <w:szCs w:val="16"/>
                            </w:rPr>
                            <w:t>euros</w:t>
                          </w:r>
                          <w:r w:rsidR="00517E5D" w:rsidRPr="0071178D">
                            <w:rPr>
                              <w:rFonts w:ascii="Verdana" w:hAnsi="Verdana"/>
                              <w:color w:val="000000" w:themeColor="text1"/>
                              <w:sz w:val="16"/>
                              <w:szCs w:val="16"/>
                            </w:rPr>
                            <w:t> </w:t>
                          </w:r>
                          <w:r w:rsidRPr="0071178D">
                            <w:rPr>
                              <w:rFonts w:ascii="Verdana" w:hAnsi="Verdana"/>
                              <w:color w:val="3E282B"/>
                              <w:sz w:val="16"/>
                              <w:szCs w:val="16"/>
                            </w:rPr>
                            <w:t>€</w:t>
                          </w:r>
                          <w:r w:rsidRPr="00517E5D">
                            <w:rPr>
                              <w:rFonts w:ascii="Verdana" w:hAnsi="Verdana"/>
                              <w:color w:val="3E282B"/>
                              <w:sz w:val="16"/>
                              <w:szCs w:val="16"/>
                            </w:rPr>
                            <w:t xml:space="preserve"> - RCS Nanterre </w:t>
                          </w:r>
                          <w:r w:rsidRPr="00517E5D">
                            <w:rPr>
                              <w:rFonts w:ascii="Verdana" w:hAnsi="Verdana"/>
                              <w:snapToGrid w:val="0"/>
                              <w:color w:val="3E282B"/>
                              <w:sz w:val="16"/>
                              <w:szCs w:val="16"/>
                            </w:rPr>
                            <w:t>402 103 907</w:t>
                          </w:r>
                        </w:p>
                        <w:p w:rsidR="00A16057" w:rsidRDefault="00A160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166.15pt;margin-top:-1.85pt;width:338.4pt;height:64.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" o:allowincell="f" stroked="f">
              <v:textbox>
                <w:txbxContent>
                  <w:p w:rsidR="00A16057" w:rsidRPr="00517E5D" w:rsidRDefault="00A16057">
                    <w:pPr>
                      <w:pStyle w:val="Pieddepage"/>
                      <w:rPr>
                        <w:rFonts w:ascii="Verdana" w:hAnsi="Verdana"/>
                        <w:color w:val="76923C" w:themeColor="accent3" w:themeShade="BF"/>
                      </w:rPr>
                    </w:pPr>
                    <w:r w:rsidRPr="00517E5D">
                      <w:rPr>
                        <w:rFonts w:ascii="Verdana" w:hAnsi="Verdana"/>
                        <w:color w:val="76923C" w:themeColor="accent3" w:themeShade="BF"/>
                      </w:rPr>
                      <w:t>www.neopost.com</w:t>
                    </w:r>
                  </w:p>
                  <w:p w:rsidR="00A16057" w:rsidRPr="00517E5D" w:rsidRDefault="00A16057">
                    <w:pPr>
                      <w:pStyle w:val="Pieddepage"/>
                      <w:rPr>
                        <w:rFonts w:ascii="Verdana" w:hAnsi="Verdana"/>
                      </w:rPr>
                    </w:pPr>
                    <w:r w:rsidRPr="00517E5D">
                      <w:rPr>
                        <w:rFonts w:ascii="Verdana" w:hAnsi="Verdana"/>
                      </w:rPr>
                      <w:t xml:space="preserve">    </w:t>
                    </w:r>
                  </w:p>
                  <w:p w:rsidR="00A16057" w:rsidRPr="00517E5D" w:rsidRDefault="00A16057">
                    <w:pPr>
                      <w:pStyle w:val="Pieddepage"/>
                      <w:rPr>
                        <w:rFonts w:ascii="Conduit ITC Light" w:hAnsi="Conduit ITC Light"/>
                        <w:color w:val="3E282B"/>
                        <w:sz w:val="16"/>
                        <w:szCs w:val="16"/>
                      </w:rPr>
                    </w:pPr>
                    <w:r w:rsidRPr="00517E5D">
                      <w:rPr>
                        <w:rFonts w:ascii="Verdana" w:hAnsi="Verdana"/>
                        <w:color w:val="3E282B"/>
                      </w:rPr>
                      <w:t xml:space="preserve"> </w:t>
                    </w:r>
                    <w:r w:rsidRPr="00517E5D">
                      <w:rPr>
                        <w:rFonts w:ascii="Verdana" w:hAnsi="Verdana"/>
                        <w:color w:val="3E282B"/>
                        <w:sz w:val="16"/>
                        <w:szCs w:val="16"/>
                      </w:rPr>
                      <w:t>Neopost S.A. au capital de</w:t>
                    </w:r>
                    <w:r w:rsidR="001D2417">
                      <w:rPr>
                        <w:rFonts w:ascii="Verdana" w:hAnsi="Verdana"/>
                        <w:color w:val="3E282B"/>
                        <w:sz w:val="16"/>
                        <w:szCs w:val="16"/>
                      </w:rPr>
                      <w:t xml:space="preserve"> </w:t>
                    </w:r>
                    <w:r w:rsidR="001D2417" w:rsidRPr="001D2417">
                      <w:rPr>
                        <w:rFonts w:ascii="Verdana" w:hAnsi="Verdana"/>
                        <w:sz w:val="16"/>
                        <w:szCs w:val="16"/>
                      </w:rPr>
                      <w:t>34 562 604</w:t>
                    </w:r>
                    <w:r w:rsidR="001D2417">
                      <w:t xml:space="preserve"> </w:t>
                    </w:r>
                    <w:r w:rsidR="00517E5D" w:rsidRPr="00517E5D">
                      <w:rPr>
                        <w:color w:val="1F497D"/>
                      </w:rPr>
                      <w:t xml:space="preserve"> </w:t>
                    </w:r>
                    <w:r w:rsidR="0071178D" w:rsidRPr="0071178D">
                      <w:rPr>
                        <w:rFonts w:ascii="Verdana" w:hAnsi="Verdana"/>
                        <w:color w:val="000000" w:themeColor="text1"/>
                        <w:sz w:val="16"/>
                        <w:szCs w:val="16"/>
                      </w:rPr>
                      <w:t>euros</w:t>
                    </w:r>
                    <w:r w:rsidR="00517E5D" w:rsidRPr="0071178D">
                      <w:rPr>
                        <w:rFonts w:ascii="Verdana" w:hAnsi="Verdana"/>
                        <w:color w:val="000000" w:themeColor="text1"/>
                        <w:sz w:val="16"/>
                        <w:szCs w:val="16"/>
                      </w:rPr>
                      <w:t> </w:t>
                    </w:r>
                    <w:r w:rsidRPr="0071178D">
                      <w:rPr>
                        <w:rFonts w:ascii="Verdana" w:hAnsi="Verdana"/>
                        <w:color w:val="3E282B"/>
                        <w:sz w:val="16"/>
                        <w:szCs w:val="16"/>
                      </w:rPr>
                      <w:t>€</w:t>
                    </w:r>
                    <w:r w:rsidRPr="00517E5D">
                      <w:rPr>
                        <w:rFonts w:ascii="Verdana" w:hAnsi="Verdana"/>
                        <w:color w:val="3E282B"/>
                        <w:sz w:val="16"/>
                        <w:szCs w:val="16"/>
                      </w:rPr>
                      <w:t xml:space="preserve"> - RCS Nanterre </w:t>
                    </w:r>
                    <w:r w:rsidRPr="00517E5D">
                      <w:rPr>
                        <w:rFonts w:ascii="Verdana" w:hAnsi="Verdana"/>
                        <w:snapToGrid w:val="0"/>
                        <w:color w:val="3E282B"/>
                        <w:sz w:val="16"/>
                        <w:szCs w:val="16"/>
                      </w:rPr>
                      <w:t>402 103 907</w:t>
                    </w:r>
                  </w:p>
                  <w:p w:rsidR="00A16057" w:rsidRDefault="00A16057"/>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535D" w:rsidRDefault="0091535D">
      <w:r>
        <w:separator/>
      </w:r>
    </w:p>
  </w:footnote>
  <w:footnote w:type="continuationSeparator" w:id="0">
    <w:p w:rsidR="0091535D" w:rsidRDefault="009153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057" w:rsidRDefault="004F3F0E" w:rsidP="00477789">
    <w:pPr>
      <w:ind w:left="142"/>
      <w:rPr>
        <w:rFonts w:ascii="Verdana" w:hAnsi="Verdana"/>
        <w:color w:val="FF0000"/>
      </w:rPr>
    </w:pPr>
    <w:r>
      <w:rPr>
        <w:rFonts w:ascii="Verdana" w:hAnsi="Verdana"/>
        <w:noProof/>
        <w:color w:val="FF0000"/>
      </w:rPr>
      <mc:AlternateContent>
        <mc:Choice Requires="wps">
          <w:drawing>
            <wp:anchor distT="0" distB="0" distL="114300" distR="114300" simplePos="0" relativeHeight="251657216" behindDoc="0" locked="0" layoutInCell="0" allowOverlap="1">
              <wp:simplePos x="0" y="0"/>
              <wp:positionH relativeFrom="column">
                <wp:posOffset>2201545</wp:posOffset>
              </wp:positionH>
              <wp:positionV relativeFrom="paragraph">
                <wp:posOffset>5080</wp:posOffset>
              </wp:positionV>
              <wp:extent cx="4297680" cy="731520"/>
              <wp:effectExtent l="127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7680" cy="731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16057" w:rsidRPr="000F28AB" w:rsidRDefault="00A16057" w:rsidP="00D93864">
                          <w:pPr>
                            <w:rPr>
                              <w:rFonts w:ascii="Verdana" w:hAnsi="Verdana"/>
                              <w:color w:val="3E282B"/>
                              <w:sz w:val="16"/>
                            </w:rPr>
                          </w:pPr>
                          <w:r w:rsidRPr="000F28AB">
                            <w:rPr>
                              <w:rFonts w:ascii="Verdana" w:hAnsi="Verdana"/>
                              <w:color w:val="3E282B"/>
                              <w:sz w:val="16"/>
                            </w:rPr>
                            <w:t xml:space="preserve">NEOPOST S.A. – </w:t>
                          </w:r>
                          <w:r>
                            <w:rPr>
                              <w:rFonts w:ascii="Verdana" w:hAnsi="Verdana"/>
                              <w:color w:val="3E282B"/>
                              <w:sz w:val="16"/>
                            </w:rPr>
                            <w:t xml:space="preserve">DIRECTION </w:t>
                          </w:r>
                          <w:r w:rsidR="009D13A3">
                            <w:rPr>
                              <w:rFonts w:ascii="Verdana" w:hAnsi="Verdana"/>
                              <w:color w:val="3E282B"/>
                              <w:sz w:val="16"/>
                            </w:rPr>
                            <w:t>FINANCIERE</w:t>
                          </w:r>
                        </w:p>
                        <w:p w:rsidR="00A16057" w:rsidRPr="00477789" w:rsidRDefault="00A16057">
                          <w:pPr>
                            <w:rPr>
                              <w:rFonts w:ascii="Verdana" w:hAnsi="Verdana"/>
                              <w:color w:val="76923C" w:themeColor="accent3" w:themeShade="BF"/>
                              <w:sz w:val="16"/>
                            </w:rPr>
                          </w:pPr>
                          <w:r w:rsidRPr="00477789">
                            <w:rPr>
                              <w:rFonts w:ascii="Verdana" w:hAnsi="Verdana"/>
                              <w:color w:val="76923C" w:themeColor="accent3" w:themeShade="BF"/>
                              <w:sz w:val="16"/>
                            </w:rPr>
                            <w:t>113 RUE JEAN MARIN NAUDIN</w:t>
                          </w:r>
                        </w:p>
                        <w:p w:rsidR="00A16057" w:rsidRPr="00477789" w:rsidRDefault="00A16057">
                          <w:pPr>
                            <w:rPr>
                              <w:rFonts w:ascii="Verdana" w:hAnsi="Verdana"/>
                              <w:color w:val="76923C" w:themeColor="accent3" w:themeShade="BF"/>
                              <w:sz w:val="16"/>
                            </w:rPr>
                          </w:pPr>
                          <w:r w:rsidRPr="00477789">
                            <w:rPr>
                              <w:rFonts w:ascii="Verdana" w:hAnsi="Verdana"/>
                              <w:color w:val="76923C" w:themeColor="accent3" w:themeShade="BF"/>
                              <w:sz w:val="16"/>
                            </w:rPr>
                            <w:t>92220 BAGNEUX – FRANCE</w:t>
                          </w:r>
                        </w:p>
                        <w:p w:rsidR="00A16057" w:rsidRPr="00477789" w:rsidRDefault="009D13A3" w:rsidP="00D93864">
                          <w:pPr>
                            <w:rPr>
                              <w:color w:val="92D050"/>
                            </w:rPr>
                          </w:pPr>
                          <w:r>
                            <w:rPr>
                              <w:rFonts w:ascii="Verdana" w:hAnsi="Verdana"/>
                              <w:color w:val="76923C" w:themeColor="accent3" w:themeShade="BF"/>
                              <w:sz w:val="16"/>
                            </w:rPr>
                            <w:t>TELEPHONE: + 33 1 45 36 30 30</w:t>
                          </w:r>
                          <w:r w:rsidR="00A16057" w:rsidRPr="00477789">
                            <w:rPr>
                              <w:rFonts w:ascii="Verdana" w:hAnsi="Verdana"/>
                              <w:color w:val="76923C" w:themeColor="accent3" w:themeShade="BF"/>
                              <w:sz w:val="16"/>
                            </w:rPr>
                            <w:t xml:space="preserve"> - FAX: + 33 1 46 65 73 51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73.35pt;margin-top:.4pt;width:338.4pt;height:57.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" o:allowincell="f" stroked="f">
              <v:textbox>
                <w:txbxContent>
                  <w:p w:rsidR="00A16057" w:rsidRPr="000F28AB" w:rsidRDefault="00A16057" w:rsidP="00D93864">
                    <w:pPr>
                      <w:rPr>
                        <w:rFonts w:ascii="Verdana" w:hAnsi="Verdana"/>
                        <w:color w:val="3E282B"/>
                        <w:sz w:val="16"/>
                      </w:rPr>
                    </w:pPr>
                    <w:r w:rsidRPr="000F28AB">
                      <w:rPr>
                        <w:rFonts w:ascii="Verdana" w:hAnsi="Verdana"/>
                        <w:color w:val="3E282B"/>
                        <w:sz w:val="16"/>
                      </w:rPr>
                      <w:t xml:space="preserve">NEOPOST S.A. – </w:t>
                    </w:r>
                    <w:r>
                      <w:rPr>
                        <w:rFonts w:ascii="Verdana" w:hAnsi="Verdana"/>
                        <w:color w:val="3E282B"/>
                        <w:sz w:val="16"/>
                      </w:rPr>
                      <w:t xml:space="preserve">DIRECTION </w:t>
                    </w:r>
                    <w:r w:rsidR="009D13A3">
                      <w:rPr>
                        <w:rFonts w:ascii="Verdana" w:hAnsi="Verdana"/>
                        <w:color w:val="3E282B"/>
                        <w:sz w:val="16"/>
                      </w:rPr>
                      <w:t>FINANCIERE</w:t>
                    </w:r>
                  </w:p>
                  <w:p w:rsidR="00A16057" w:rsidRPr="00477789" w:rsidRDefault="00A16057">
                    <w:pPr>
                      <w:rPr>
                        <w:rFonts w:ascii="Verdana" w:hAnsi="Verdana"/>
                        <w:color w:val="76923C" w:themeColor="accent3" w:themeShade="BF"/>
                        <w:sz w:val="16"/>
                      </w:rPr>
                    </w:pPr>
                    <w:r w:rsidRPr="00477789">
                      <w:rPr>
                        <w:rFonts w:ascii="Verdana" w:hAnsi="Verdana"/>
                        <w:color w:val="76923C" w:themeColor="accent3" w:themeShade="BF"/>
                        <w:sz w:val="16"/>
                      </w:rPr>
                      <w:t>113 RUE JEAN MARIN NAUDIN</w:t>
                    </w:r>
                  </w:p>
                  <w:p w:rsidR="00A16057" w:rsidRPr="00477789" w:rsidRDefault="00A16057">
                    <w:pPr>
                      <w:rPr>
                        <w:rFonts w:ascii="Verdana" w:hAnsi="Verdana"/>
                        <w:color w:val="76923C" w:themeColor="accent3" w:themeShade="BF"/>
                        <w:sz w:val="16"/>
                      </w:rPr>
                    </w:pPr>
                    <w:r w:rsidRPr="00477789">
                      <w:rPr>
                        <w:rFonts w:ascii="Verdana" w:hAnsi="Verdana"/>
                        <w:color w:val="76923C" w:themeColor="accent3" w:themeShade="BF"/>
                        <w:sz w:val="16"/>
                      </w:rPr>
                      <w:t>92220 BAGNEUX – FRANCE</w:t>
                    </w:r>
                  </w:p>
                  <w:p w:rsidR="00A16057" w:rsidRPr="00477789" w:rsidRDefault="009D13A3" w:rsidP="00D93864">
                    <w:pPr>
                      <w:rPr>
                        <w:color w:val="92D050"/>
                      </w:rPr>
                    </w:pPr>
                    <w:r>
                      <w:rPr>
                        <w:rFonts w:ascii="Verdana" w:hAnsi="Verdana"/>
                        <w:color w:val="76923C" w:themeColor="accent3" w:themeShade="BF"/>
                        <w:sz w:val="16"/>
                      </w:rPr>
                      <w:t>TELEPHONE: + 33 1 45 36 30 30</w:t>
                    </w:r>
                    <w:r w:rsidR="00A16057" w:rsidRPr="00477789">
                      <w:rPr>
                        <w:rFonts w:ascii="Verdana" w:hAnsi="Verdana"/>
                        <w:color w:val="76923C" w:themeColor="accent3" w:themeShade="BF"/>
                        <w:sz w:val="16"/>
                      </w:rPr>
                      <w:t xml:space="preserve"> - FAX: + 33 1 46 65 73 51</w:t>
                    </w:r>
                  </w:p>
                </w:txbxContent>
              </v:textbox>
            </v:shape>
          </w:pict>
        </mc:Fallback>
      </mc:AlternateContent>
    </w:r>
    <w:r w:rsidR="00F43128">
      <w:rPr>
        <w:rFonts w:ascii="Verdana" w:hAnsi="Verdana"/>
        <w:noProof/>
      </w:rPr>
      <w:drawing>
        <wp:inline distT="0" distB="0" distL="0" distR="0">
          <wp:extent cx="1478155" cy="1022191"/>
          <wp:effectExtent l="19050" t="0" r="7745" b="0"/>
          <wp:docPr id="4" name="Image 3" descr="C:\Users\GOURIC~1\AppData\Local\Temp\$$_3155\Main-Neopost-Logos-jpg\Logo_NeopostBaseline_Posi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OURIC~1\AppData\Local\Temp\$$_3155\Main-Neopost-Logos-jpg\Logo_NeopostBaseline_Posi_RVB.jpg"/>
                  <pic:cNvPicPr>
                    <a:picLocks noChangeAspect="1" noChangeArrowheads="1"/>
                  </pic:cNvPicPr>
                </pic:nvPicPr>
                <pic:blipFill>
                  <a:blip r:embed="rId1"/>
                  <a:srcRect/>
                  <a:stretch>
                    <a:fillRect/>
                  </a:stretch>
                </pic:blipFill>
                <pic:spPr bwMode="auto">
                  <a:xfrm>
                    <a:off x="0" y="0"/>
                    <a:ext cx="1479139" cy="1022871"/>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D61261"/>
    <w:multiLevelType w:val="singleLevel"/>
    <w:tmpl w:val="EE1A0B7C"/>
    <w:lvl w:ilvl="0">
      <w:start w:val="1"/>
      <w:numFmt w:val="decimal"/>
      <w:lvlText w:val="%1."/>
      <w:lvlJc w:val="left"/>
      <w:pPr>
        <w:tabs>
          <w:tab w:val="num" w:pos="360"/>
        </w:tabs>
        <w:ind w:left="360" w:hanging="360"/>
      </w:pPr>
      <w:rPr>
        <w:b/>
        <w:i w:val="0"/>
      </w:rPr>
    </w:lvl>
  </w:abstractNum>
  <w:abstractNum w:abstractNumId="1" w15:restartNumberingAfterBreak="0">
    <w:nsid w:val="30892FC9"/>
    <w:multiLevelType w:val="hybridMultilevel"/>
    <w:tmpl w:val="042099A8"/>
    <w:lvl w:ilvl="0" w:tplc="E8409E82">
      <w:start w:val="1"/>
      <w:numFmt w:val="bullet"/>
      <w:lvlText w:val=""/>
      <w:lvlJc w:val="left"/>
      <w:pPr>
        <w:ind w:left="720" w:hanging="360"/>
      </w:pPr>
      <w:rPr>
        <w:rFonts w:ascii="Symbol" w:hAnsi="Symbol" w:hint="default"/>
        <w:color w:val="72BF4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36E0F34"/>
    <w:multiLevelType w:val="hybridMultilevel"/>
    <w:tmpl w:val="DD6872FA"/>
    <w:lvl w:ilvl="0" w:tplc="A226FE54">
      <w:start w:val="1"/>
      <w:numFmt w:val="bullet"/>
      <w:lvlText w:val=""/>
      <w:lvlJc w:val="left"/>
      <w:pPr>
        <w:ind w:left="720" w:hanging="360"/>
      </w:pPr>
      <w:rPr>
        <w:rFonts w:ascii="Wingdings" w:hAnsi="Wingdings" w:hint="default"/>
        <w:color w:val="FFFFFF" w:themeColor="background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9DD0514"/>
    <w:multiLevelType w:val="hybridMultilevel"/>
    <w:tmpl w:val="11402A1E"/>
    <w:lvl w:ilvl="0" w:tplc="040C0001">
      <w:start w:val="1"/>
      <w:numFmt w:val="bullet"/>
      <w:lvlText w:val=""/>
      <w:lvlJc w:val="left"/>
      <w:pPr>
        <w:ind w:left="720" w:hanging="360"/>
      </w:pPr>
      <w:rPr>
        <w:rFonts w:ascii="Symbol" w:hAnsi="Symbol" w:hint="default"/>
        <w:color w:val="FFFFFF" w:themeColor="background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8AB"/>
    <w:rsid w:val="000326D4"/>
    <w:rsid w:val="0006630D"/>
    <w:rsid w:val="000669A3"/>
    <w:rsid w:val="00085523"/>
    <w:rsid w:val="000A526F"/>
    <w:rsid w:val="000C1D02"/>
    <w:rsid w:val="000D07A0"/>
    <w:rsid w:val="000F28AB"/>
    <w:rsid w:val="00106B5D"/>
    <w:rsid w:val="00107968"/>
    <w:rsid w:val="001307E3"/>
    <w:rsid w:val="00141EF0"/>
    <w:rsid w:val="001678AF"/>
    <w:rsid w:val="00175450"/>
    <w:rsid w:val="001B3E1C"/>
    <w:rsid w:val="001B5968"/>
    <w:rsid w:val="001D2417"/>
    <w:rsid w:val="001D79F9"/>
    <w:rsid w:val="001D7C9D"/>
    <w:rsid w:val="00203CCA"/>
    <w:rsid w:val="00223862"/>
    <w:rsid w:val="00231E29"/>
    <w:rsid w:val="00266620"/>
    <w:rsid w:val="002672AF"/>
    <w:rsid w:val="002A092F"/>
    <w:rsid w:val="002D6EFF"/>
    <w:rsid w:val="002E09A3"/>
    <w:rsid w:val="0031426A"/>
    <w:rsid w:val="00321873"/>
    <w:rsid w:val="0033272E"/>
    <w:rsid w:val="00341A85"/>
    <w:rsid w:val="0034530B"/>
    <w:rsid w:val="00376AD5"/>
    <w:rsid w:val="00396E75"/>
    <w:rsid w:val="003A0076"/>
    <w:rsid w:val="003A0CDB"/>
    <w:rsid w:val="003C1639"/>
    <w:rsid w:val="003D7D2E"/>
    <w:rsid w:val="003F54C2"/>
    <w:rsid w:val="004635D4"/>
    <w:rsid w:val="00477789"/>
    <w:rsid w:val="004833FC"/>
    <w:rsid w:val="0049044D"/>
    <w:rsid w:val="00497029"/>
    <w:rsid w:val="004E4B6B"/>
    <w:rsid w:val="004E70F7"/>
    <w:rsid w:val="004F3F0E"/>
    <w:rsid w:val="00500A20"/>
    <w:rsid w:val="00517E5D"/>
    <w:rsid w:val="00522AAB"/>
    <w:rsid w:val="00550382"/>
    <w:rsid w:val="0055734E"/>
    <w:rsid w:val="00576C88"/>
    <w:rsid w:val="00603C6C"/>
    <w:rsid w:val="00604946"/>
    <w:rsid w:val="00606CAA"/>
    <w:rsid w:val="00645EE2"/>
    <w:rsid w:val="0071178D"/>
    <w:rsid w:val="00763A61"/>
    <w:rsid w:val="007C31C4"/>
    <w:rsid w:val="007F0811"/>
    <w:rsid w:val="00832B39"/>
    <w:rsid w:val="008605ED"/>
    <w:rsid w:val="008760CB"/>
    <w:rsid w:val="00881058"/>
    <w:rsid w:val="0088402A"/>
    <w:rsid w:val="00886B1D"/>
    <w:rsid w:val="008C557A"/>
    <w:rsid w:val="008D5DA0"/>
    <w:rsid w:val="008D6CAA"/>
    <w:rsid w:val="008F0080"/>
    <w:rsid w:val="008F5326"/>
    <w:rsid w:val="009152F9"/>
    <w:rsid w:val="0091535D"/>
    <w:rsid w:val="00933817"/>
    <w:rsid w:val="00936B7D"/>
    <w:rsid w:val="00943FAB"/>
    <w:rsid w:val="00946AB9"/>
    <w:rsid w:val="00993647"/>
    <w:rsid w:val="00993F53"/>
    <w:rsid w:val="00997931"/>
    <w:rsid w:val="009A11D1"/>
    <w:rsid w:val="009C0586"/>
    <w:rsid w:val="009C0A0E"/>
    <w:rsid w:val="009D13A3"/>
    <w:rsid w:val="00A05931"/>
    <w:rsid w:val="00A16057"/>
    <w:rsid w:val="00A439BA"/>
    <w:rsid w:val="00A52016"/>
    <w:rsid w:val="00A57BB9"/>
    <w:rsid w:val="00A715F2"/>
    <w:rsid w:val="00A75E76"/>
    <w:rsid w:val="00A77517"/>
    <w:rsid w:val="00AA3A9F"/>
    <w:rsid w:val="00AB3460"/>
    <w:rsid w:val="00B111FE"/>
    <w:rsid w:val="00B141A5"/>
    <w:rsid w:val="00B25C4A"/>
    <w:rsid w:val="00B54318"/>
    <w:rsid w:val="00B55D39"/>
    <w:rsid w:val="00B62C43"/>
    <w:rsid w:val="00B815DC"/>
    <w:rsid w:val="00B87DBA"/>
    <w:rsid w:val="00BC0283"/>
    <w:rsid w:val="00C44D5D"/>
    <w:rsid w:val="00C563D0"/>
    <w:rsid w:val="00C66C81"/>
    <w:rsid w:val="00C91800"/>
    <w:rsid w:val="00C96B1C"/>
    <w:rsid w:val="00CB4E49"/>
    <w:rsid w:val="00CB72F2"/>
    <w:rsid w:val="00CE327E"/>
    <w:rsid w:val="00CF2A4B"/>
    <w:rsid w:val="00D07DBA"/>
    <w:rsid w:val="00D1441C"/>
    <w:rsid w:val="00D17862"/>
    <w:rsid w:val="00D307F0"/>
    <w:rsid w:val="00D33E31"/>
    <w:rsid w:val="00D4267C"/>
    <w:rsid w:val="00D73422"/>
    <w:rsid w:val="00D92F67"/>
    <w:rsid w:val="00D93864"/>
    <w:rsid w:val="00DA7EC5"/>
    <w:rsid w:val="00E241FF"/>
    <w:rsid w:val="00E302F2"/>
    <w:rsid w:val="00E8403C"/>
    <w:rsid w:val="00E94D39"/>
    <w:rsid w:val="00EA628C"/>
    <w:rsid w:val="00F11C42"/>
    <w:rsid w:val="00F43128"/>
    <w:rsid w:val="00F43C10"/>
    <w:rsid w:val="00F51D48"/>
    <w:rsid w:val="00FD5B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docId w15:val="{CAD4B6C5-E2A3-4AA6-8E1F-85D072BC9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4D5D"/>
  </w:style>
  <w:style w:type="paragraph" w:styleId="Titre2">
    <w:name w:val="heading 2"/>
    <w:basedOn w:val="Normal"/>
    <w:next w:val="Normal"/>
    <w:qFormat/>
    <w:rsid w:val="001D7C9D"/>
    <w:pPr>
      <w:keepNext/>
      <w:jc w:val="center"/>
      <w:outlineLvl w:val="1"/>
    </w:pPr>
    <w:rPr>
      <w:rFonts w:ascii="Arial" w:hAnsi="Arial" w:cs="Arial"/>
      <w:b/>
      <w:bCs/>
      <w:sz w:val="32"/>
      <w:szCs w:val="32"/>
      <w:u w:val="single"/>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550382"/>
    <w:pPr>
      <w:tabs>
        <w:tab w:val="center" w:pos="4536"/>
        <w:tab w:val="right" w:pos="9072"/>
      </w:tabs>
    </w:pPr>
  </w:style>
  <w:style w:type="paragraph" w:styleId="Pieddepage">
    <w:name w:val="footer"/>
    <w:basedOn w:val="Normal"/>
    <w:rsid w:val="00550382"/>
    <w:pPr>
      <w:tabs>
        <w:tab w:val="center" w:pos="4536"/>
        <w:tab w:val="right" w:pos="9072"/>
      </w:tabs>
    </w:pPr>
  </w:style>
  <w:style w:type="character" w:styleId="Lienhypertexte">
    <w:name w:val="Hyperlink"/>
    <w:basedOn w:val="Policepardfaut"/>
    <w:rsid w:val="00550382"/>
    <w:rPr>
      <w:color w:val="0000FF"/>
      <w:u w:val="single"/>
    </w:rPr>
  </w:style>
  <w:style w:type="character" w:styleId="Lienhypertextesuivivisit">
    <w:name w:val="FollowedHyperlink"/>
    <w:basedOn w:val="Policepardfaut"/>
    <w:rsid w:val="00550382"/>
    <w:rPr>
      <w:color w:val="800080"/>
      <w:u w:val="single"/>
    </w:rPr>
  </w:style>
  <w:style w:type="paragraph" w:styleId="Corpsdetexte">
    <w:name w:val="Body Text"/>
    <w:basedOn w:val="Normal"/>
    <w:rsid w:val="001D7C9D"/>
    <w:rPr>
      <w:rFonts w:ascii="Arial" w:hAnsi="Arial" w:cs="Arial"/>
      <w:sz w:val="28"/>
      <w:szCs w:val="28"/>
      <w:lang w:val="en-GB"/>
    </w:rPr>
  </w:style>
  <w:style w:type="paragraph" w:styleId="Textedebulles">
    <w:name w:val="Balloon Text"/>
    <w:basedOn w:val="Normal"/>
    <w:semiHidden/>
    <w:rsid w:val="00993647"/>
    <w:rPr>
      <w:rFonts w:ascii="Tahoma" w:hAnsi="Tahoma" w:cs="Tahoma"/>
      <w:sz w:val="16"/>
      <w:szCs w:val="16"/>
    </w:rPr>
  </w:style>
  <w:style w:type="paragraph" w:styleId="Paragraphedeliste">
    <w:name w:val="List Paragraph"/>
    <w:basedOn w:val="Normal"/>
    <w:uiPriority w:val="34"/>
    <w:qFormat/>
    <w:rsid w:val="004F3F0E"/>
    <w:pPr>
      <w:spacing w:after="200" w:line="276" w:lineRule="auto"/>
      <w:ind w:left="720"/>
      <w:contextualSpacing/>
    </w:pPr>
    <w:rPr>
      <w:rFonts w:ascii="Arial Narrow" w:eastAsiaTheme="minorHAnsi" w:hAnsi="Arial Narrow"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571</Words>
  <Characters>3119</Characters>
  <Application>Microsoft Office Word</Application>
  <DocSecurity>0</DocSecurity>
  <Lines>25</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neopost</Company>
  <LinksUpToDate>false</LinksUpToDate>
  <CharactersWithSpaces>3683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ONFRAY</dc:creator>
  <cp:lastModifiedBy>Le Men Gaele</cp:lastModifiedBy>
  <cp:revision>4</cp:revision>
  <cp:lastPrinted>2015-01-29T14:57:00Z</cp:lastPrinted>
  <dcterms:created xsi:type="dcterms:W3CDTF">2015-12-17T14:01:00Z</dcterms:created>
  <dcterms:modified xsi:type="dcterms:W3CDTF">2015-12-17T14:06:00Z</dcterms:modified>
</cp:coreProperties>
</file>