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sz w:val="28"/>
          <w:szCs w:val="24"/>
        </w:rPr>
        <w:id w:val="-973058580"/>
        <w:docPartObj>
          <w:docPartGallery w:val="Cover Pages"/>
          <w:docPartUnique/>
        </w:docPartObj>
      </w:sdtPr>
      <w:sdtEndPr>
        <w:rPr>
          <w:b w:val="0"/>
        </w:rPr>
      </w:sdtEndPr>
      <w:sdtContent>
        <w:bookmarkStart w:id="0" w:name="_GoBack" w:displacedByCustomXml="prev"/>
        <w:bookmarkEnd w:id="0" w:displacedByCustomXml="prev"/>
        <w:p w:rsidR="007E7997" w:rsidRPr="005B6B12" w:rsidRDefault="007E7997">
          <w:pPr>
            <w:rPr>
              <w:color w:val="FF0000"/>
            </w:rPr>
          </w:pPr>
        </w:p>
        <w:tbl>
          <w:tblPr>
            <w:tblpPr w:leftFromText="8505" w:vertAnchor="page" w:horzAnchor="margin" w:tblpXSpec="right" w:tblpY="4441"/>
            <w:tblW w:w="9983" w:type="dxa"/>
            <w:tblLayout w:type="fixed"/>
            <w:tblCellMar>
              <w:left w:w="0" w:type="dxa"/>
              <w:right w:w="0" w:type="dxa"/>
            </w:tblCellMar>
            <w:tblLook w:val="01E0" w:firstRow="1" w:lastRow="1" w:firstColumn="1" w:lastColumn="1" w:noHBand="0" w:noVBand="0"/>
          </w:tblPr>
          <w:tblGrid>
            <w:gridCol w:w="9983"/>
          </w:tblGrid>
          <w:tr w:rsidR="007E7997" w:rsidRPr="005B6B12" w:rsidTr="00712BBE">
            <w:trPr>
              <w:trHeight w:hRule="exact" w:val="1249"/>
            </w:trPr>
            <w:tc>
              <w:tcPr>
                <w:tcW w:w="9983" w:type="dxa"/>
                <w:vAlign w:val="bottom"/>
              </w:tcPr>
              <w:p w:rsidR="007E7997" w:rsidRPr="00712BBE" w:rsidRDefault="00712BBE" w:rsidP="00712BBE">
                <w:pPr>
                  <w:pStyle w:val="01aDBTitle"/>
                  <w:rPr>
                    <w:rFonts w:cs="Arial"/>
                  </w:rPr>
                </w:pPr>
                <w:r w:rsidRPr="00712BBE">
                  <w:rPr>
                    <w:rFonts w:cs="Arial"/>
                  </w:rPr>
                  <w:t>Reply form for the</w:t>
                </w:r>
              </w:p>
              <w:p w:rsidR="00712BBE" w:rsidRPr="00712BBE" w:rsidRDefault="00712BBE" w:rsidP="00712BBE">
                <w:pPr>
                  <w:pStyle w:val="01aDBTitle"/>
                </w:pPr>
                <w:r>
                  <w:rPr>
                    <w:rFonts w:cs="Arial"/>
                  </w:rPr>
                  <w:t>c</w:t>
                </w:r>
                <w:r w:rsidRPr="00712BBE">
                  <w:rPr>
                    <w:rFonts w:cs="Arial"/>
                  </w:rPr>
                  <w:t xml:space="preserve">onsultation </w:t>
                </w:r>
                <w:r>
                  <w:rPr>
                    <w:rFonts w:cs="Arial"/>
                  </w:rPr>
                  <w:t>p</w:t>
                </w:r>
                <w:r w:rsidRPr="00712BBE">
                  <w:rPr>
                    <w:rFonts w:cs="Arial"/>
                  </w:rPr>
                  <w:t>aper</w:t>
                </w:r>
                <w:r>
                  <w:rPr>
                    <w:rFonts w:cs="Arial"/>
                  </w:rPr>
                  <w:t xml:space="preserve"> on indirect clearing arrangements under EMIR and MiFIR</w:t>
                </w:r>
              </w:p>
            </w:tc>
          </w:tr>
          <w:tr w:rsidR="007E7997" w:rsidRPr="005B6B12" w:rsidTr="00712BBE">
            <w:trPr>
              <w:trHeight w:hRule="exact" w:val="625"/>
            </w:trPr>
            <w:tc>
              <w:tcPr>
                <w:tcW w:w="9983" w:type="dxa"/>
                <w:tcMar>
                  <w:top w:w="142" w:type="dxa"/>
                </w:tcMar>
              </w:tcPr>
              <w:p w:rsidR="00B50534" w:rsidRPr="00B50534" w:rsidRDefault="00B50534" w:rsidP="00712BBE">
                <w:pPr>
                  <w:pStyle w:val="Subtitle"/>
                </w:pPr>
              </w:p>
            </w:tc>
          </w:tr>
        </w:tbl>
        <w:p w:rsidR="007E7997" w:rsidRPr="00D61B32" w:rsidRDefault="007E7997">
          <w:pPr>
            <w:spacing w:after="120" w:line="264" w:lineRule="auto"/>
            <w:sectPr w:rsidR="007E7997" w:rsidRPr="00D61B32" w:rsidSect="007E799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5B6B12">
            <w:rPr>
              <w:color w:val="FF0000"/>
            </w:rPr>
            <w:br w:type="page"/>
          </w:r>
        </w:p>
        <w:p w:rsidR="00D40767" w:rsidRDefault="00E41CB8" w:rsidP="003F39B1">
          <w:pPr>
            <w:pStyle w:val="Subtitle"/>
            <w:rPr>
              <w:b w:val="0"/>
            </w:rPr>
          </w:pPr>
        </w:p>
      </w:sdtContent>
    </w:sdt>
    <w:p w:rsidR="007E7997" w:rsidRPr="00D61B32" w:rsidRDefault="007E7997" w:rsidP="003F39B1">
      <w:pPr>
        <w:pStyle w:val="Subtitle"/>
        <w:rPr>
          <w:highlight w:val="yellow"/>
        </w:rPr>
      </w:pPr>
      <w:r w:rsidRPr="005B6B12">
        <w:t xml:space="preserve">Responding to this paper </w:t>
      </w:r>
    </w:p>
    <w:p w:rsidR="00656CD3" w:rsidRDefault="00D61B32" w:rsidP="00D61B32">
      <w:pPr>
        <w:pStyle w:val="04BodyText"/>
        <w:rPr>
          <w:rFonts w:asciiTheme="majorHAnsi" w:hAnsiTheme="majorHAnsi" w:cstheme="majorHAnsi"/>
          <w:sz w:val="22"/>
          <w:szCs w:val="22"/>
        </w:rPr>
      </w:pPr>
      <w:r w:rsidRPr="00D61B32">
        <w:rPr>
          <w:rFonts w:asciiTheme="majorHAnsi" w:hAnsiTheme="majorHAnsi" w:cstheme="majorHAnsi"/>
          <w:sz w:val="22"/>
          <w:szCs w:val="22"/>
        </w:rPr>
        <w:t xml:space="preserve">The European Securities and Markets Authority (ESMA) invites responses to the questions listed in this Consultation Paper on </w:t>
      </w:r>
      <w:r w:rsidR="009A3562">
        <w:rPr>
          <w:rFonts w:asciiTheme="majorHAnsi" w:hAnsiTheme="majorHAnsi" w:cstheme="majorHAnsi"/>
          <w:sz w:val="22"/>
          <w:szCs w:val="22"/>
        </w:rPr>
        <w:t>Indirect clearing arrangements</w:t>
      </w:r>
      <w:r w:rsidRPr="00D61B32">
        <w:rPr>
          <w:rFonts w:asciiTheme="majorHAnsi" w:hAnsiTheme="majorHAnsi" w:cstheme="majorHAnsi"/>
          <w:sz w:val="22"/>
          <w:szCs w:val="22"/>
        </w:rPr>
        <w:t xml:space="preserve"> under EMIR</w:t>
      </w:r>
      <w:r w:rsidR="00712BBE">
        <w:rPr>
          <w:rFonts w:asciiTheme="majorHAnsi" w:hAnsiTheme="majorHAnsi" w:cstheme="majorHAnsi"/>
          <w:sz w:val="22"/>
          <w:szCs w:val="22"/>
        </w:rPr>
        <w:t xml:space="preserve"> and MiFIR</w:t>
      </w:r>
      <w:r w:rsidR="00656CD3" w:rsidRPr="00656CD3">
        <w:rPr>
          <w:rFonts w:asciiTheme="majorHAnsi" w:hAnsiTheme="majorHAnsi" w:cstheme="majorHAnsi"/>
          <w:sz w:val="22"/>
          <w:szCs w:val="22"/>
        </w:rPr>
        <w:t>, published on the ESMA website</w:t>
      </w:r>
      <w:r w:rsidRPr="00D61B32">
        <w:rPr>
          <w:rFonts w:asciiTheme="majorHAnsi" w:hAnsiTheme="majorHAnsi" w:cstheme="majorHAnsi"/>
          <w:sz w:val="22"/>
          <w:szCs w:val="22"/>
        </w:rPr>
        <w:t>.</w:t>
      </w:r>
    </w:p>
    <w:p w:rsidR="00656CD3" w:rsidRDefault="00656CD3" w:rsidP="00D61B32">
      <w:pPr>
        <w:pStyle w:val="04BodyText"/>
        <w:rPr>
          <w:rFonts w:asciiTheme="majorHAnsi" w:hAnsiTheme="majorHAnsi" w:cstheme="majorHAnsi"/>
          <w:sz w:val="22"/>
          <w:szCs w:val="22"/>
        </w:rPr>
      </w:pPr>
    </w:p>
    <w:p w:rsidR="00656CD3" w:rsidRPr="00656CD3" w:rsidRDefault="00656CD3" w:rsidP="00656CD3">
      <w:pPr>
        <w:autoSpaceDE w:val="0"/>
        <w:autoSpaceDN w:val="0"/>
        <w:adjustRightInd w:val="0"/>
        <w:spacing w:before="120" w:after="120"/>
        <w:rPr>
          <w:rStyle w:val="Strong4"/>
          <w:rFonts w:cs="Arial"/>
        </w:rPr>
      </w:pPr>
      <w:r w:rsidRPr="00656CD3">
        <w:rPr>
          <w:rStyle w:val="Strong4"/>
          <w:rFonts w:cs="Arial"/>
        </w:rPr>
        <w:t>Instructions</w:t>
      </w:r>
    </w:p>
    <w:p w:rsidR="00656CD3" w:rsidRPr="00656CD3" w:rsidRDefault="00656CD3" w:rsidP="00656CD3">
      <w:pPr>
        <w:pStyle w:val="04BodyText"/>
        <w:spacing w:before="120" w:after="120"/>
        <w:rPr>
          <w:rFonts w:asciiTheme="majorHAnsi" w:hAnsiTheme="majorHAnsi" w:cstheme="majorHAnsi"/>
          <w:sz w:val="22"/>
          <w:szCs w:val="22"/>
        </w:rPr>
      </w:pPr>
      <w:r w:rsidRPr="00656CD3">
        <w:rPr>
          <w:rFonts w:asciiTheme="majorHAnsi" w:hAnsiTheme="majorHAnsi" w:cstheme="majorHAnsi"/>
          <w:sz w:val="22"/>
          <w:szCs w:val="22"/>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use this form and send your responses in Word format (pdf documents will not be considered except for annexes);</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do not remove the tags of type &lt;ESMA_QUESTION_RTS_</w:t>
      </w:r>
      <w:r>
        <w:rPr>
          <w:rFonts w:asciiTheme="majorHAnsi" w:hAnsiTheme="majorHAnsi" w:cstheme="majorHAnsi"/>
          <w:sz w:val="22"/>
          <w:szCs w:val="22"/>
        </w:rPr>
        <w:t>INDIRECT_CLEARING</w:t>
      </w:r>
      <w:r w:rsidRPr="00656CD3">
        <w:rPr>
          <w:rFonts w:asciiTheme="majorHAnsi" w:hAnsiTheme="majorHAnsi" w:cstheme="majorHAnsi"/>
          <w:sz w:val="22"/>
          <w:szCs w:val="22"/>
        </w:rPr>
        <w:t>_1&gt; - i.e. the response to one question has to be framed by the 2 tags corresponding to the question; and</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if you do not have a response to a question, do not delete it and leave the text “TYPE YOUR TEXT HERE” between the tags.</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Responses are most helpful:</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if they respond to the question stated;</w:t>
      </w:r>
    </w:p>
    <w:p w:rsid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contain a clear rationale, including on any related costs and benefits; and</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describe any alternatives that ESMA should consider</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Naming protocol</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In order to facilitate the handling of stakeholders responses please save your document using the following format:</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ESMA_ RTS_</w:t>
      </w:r>
      <w:r>
        <w:rPr>
          <w:rFonts w:asciiTheme="majorHAnsi" w:hAnsiTheme="majorHAnsi" w:cstheme="majorHAnsi"/>
          <w:sz w:val="22"/>
          <w:szCs w:val="22"/>
        </w:rPr>
        <w:t>INDIRECT_CLEARING</w:t>
      </w:r>
      <w:r w:rsidRPr="00656CD3">
        <w:rPr>
          <w:rFonts w:asciiTheme="majorHAnsi" w:hAnsiTheme="majorHAnsi" w:cstheme="majorHAnsi"/>
          <w:sz w:val="22"/>
          <w:szCs w:val="22"/>
        </w:rPr>
        <w:t>_NAMEOFCOMPANY_NAMEOFDOCUMENT.</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E.g. if the respondent were XXXX, the name of the reply form would be:</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 xml:space="preserve">_XXXX_REPLYFORM or </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_XXXX_ANNEX1</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To help you navigate this document more easily, bookmarks are available in “Navigation Pane” for Word 2010 and in “Document Map” for Word 2007.</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Deadline</w:t>
      </w:r>
    </w:p>
    <w:p w:rsidR="00656CD3" w:rsidRPr="00EF0769" w:rsidRDefault="00656CD3" w:rsidP="00656CD3">
      <w:pPr>
        <w:pStyle w:val="04BodyText"/>
        <w:spacing w:before="120" w:after="120"/>
        <w:rPr>
          <w:rFonts w:cs="Arial"/>
        </w:rPr>
      </w:pPr>
      <w:r w:rsidRPr="00656CD3">
        <w:rPr>
          <w:rFonts w:asciiTheme="majorHAnsi" w:hAnsiTheme="majorHAnsi" w:cstheme="majorHAnsi"/>
          <w:sz w:val="22"/>
          <w:szCs w:val="22"/>
        </w:rPr>
        <w:t xml:space="preserve">Responses must reach </w:t>
      </w:r>
      <w:r>
        <w:rPr>
          <w:rFonts w:asciiTheme="majorHAnsi" w:hAnsiTheme="majorHAnsi" w:cstheme="majorHAnsi"/>
          <w:sz w:val="22"/>
          <w:szCs w:val="22"/>
        </w:rPr>
        <w:t>ESMA</w:t>
      </w:r>
      <w:r w:rsidRPr="00656CD3">
        <w:rPr>
          <w:rFonts w:asciiTheme="majorHAnsi" w:hAnsiTheme="majorHAnsi" w:cstheme="majorHAnsi"/>
          <w:sz w:val="22"/>
          <w:szCs w:val="22"/>
        </w:rPr>
        <w:t xml:space="preserve"> by</w:t>
      </w:r>
      <w:r w:rsidRPr="00EF0769">
        <w:rPr>
          <w:rFonts w:cs="Arial"/>
        </w:rPr>
        <w:t xml:space="preserve"> </w:t>
      </w:r>
      <w:r>
        <w:rPr>
          <w:rStyle w:val="Strong4"/>
          <w:rFonts w:asciiTheme="minorHAnsi" w:eastAsiaTheme="minorEastAsia" w:hAnsiTheme="minorHAnsi" w:cs="Arial"/>
          <w:sz w:val="22"/>
          <w:szCs w:val="20"/>
          <w:lang w:eastAsia="en-US"/>
        </w:rPr>
        <w:t>17 December</w:t>
      </w:r>
      <w:r w:rsidRPr="00656CD3">
        <w:rPr>
          <w:rStyle w:val="Strong4"/>
          <w:rFonts w:asciiTheme="minorHAnsi" w:eastAsiaTheme="minorEastAsia" w:hAnsiTheme="minorHAnsi" w:cs="Arial"/>
          <w:sz w:val="22"/>
          <w:szCs w:val="20"/>
          <w:lang w:eastAsia="en-US"/>
        </w:rPr>
        <w:t xml:space="preserve"> 2015</w:t>
      </w:r>
      <w:r w:rsidRPr="00656CD3">
        <w:rPr>
          <w:rStyle w:val="Strong4"/>
          <w:rFonts w:asciiTheme="minorHAnsi" w:eastAsiaTheme="minorEastAsia" w:hAnsiTheme="minorHAnsi"/>
          <w:b w:val="0"/>
          <w:sz w:val="22"/>
          <w:szCs w:val="20"/>
          <w:lang w:eastAsia="en-US"/>
        </w:rPr>
        <w:t>.</w:t>
      </w:r>
    </w:p>
    <w:p w:rsidR="00D61B32" w:rsidRPr="00656CD3" w:rsidRDefault="00656CD3" w:rsidP="00656CD3">
      <w:pPr>
        <w:pStyle w:val="04BodyText"/>
        <w:spacing w:before="120" w:after="120"/>
        <w:rPr>
          <w:rFonts w:cs="Arial"/>
          <w:b/>
          <w:bCs/>
          <w:i/>
          <w:color w:val="000000"/>
          <w:szCs w:val="20"/>
          <w:lang w:eastAsia="en-GB"/>
        </w:rPr>
      </w:pPr>
      <w:r w:rsidRPr="00656CD3">
        <w:rPr>
          <w:rFonts w:asciiTheme="majorHAnsi" w:hAnsiTheme="majorHAnsi" w:cstheme="majorHAnsi"/>
          <w:sz w:val="22"/>
          <w:szCs w:val="22"/>
        </w:rPr>
        <w:lastRenderedPageBreak/>
        <w:t xml:space="preserve">All contributions should be submitted online at </w:t>
      </w:r>
      <w:hyperlink r:id="rId15" w:history="1">
        <w:r w:rsidRPr="00656CD3">
          <w:rPr>
            <w:rStyle w:val="Hyperlink"/>
            <w:rFonts w:asciiTheme="majorHAnsi" w:hAnsiTheme="majorHAnsi" w:cstheme="majorHAnsi"/>
            <w:sz w:val="22"/>
            <w:szCs w:val="22"/>
          </w:rPr>
          <w:t>www.esma.europa.eu</w:t>
        </w:r>
      </w:hyperlink>
      <w:r w:rsidRPr="00656CD3">
        <w:rPr>
          <w:rFonts w:asciiTheme="majorHAnsi" w:hAnsiTheme="majorHAnsi" w:cstheme="majorHAnsi"/>
          <w:sz w:val="22"/>
          <w:szCs w:val="22"/>
        </w:rPr>
        <w:t xml:space="preserve"> under the heading ‘Your input/Consultations’. </w:t>
      </w:r>
    </w:p>
    <w:p w:rsidR="007E7997" w:rsidRPr="005B6B12" w:rsidRDefault="007E7997" w:rsidP="00656CD3">
      <w:pPr>
        <w:spacing w:before="240"/>
        <w:rPr>
          <w:b/>
        </w:rPr>
      </w:pPr>
      <w:r w:rsidRPr="005B6B12">
        <w:rPr>
          <w:b/>
        </w:rPr>
        <w:t>Publication of responses</w:t>
      </w:r>
    </w:p>
    <w:p w:rsidR="00656CD3" w:rsidRPr="005B6B12" w:rsidRDefault="007E7997" w:rsidP="007E7997">
      <w:r w:rsidRPr="005B6B12">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5B6B12">
        <w:t>eal and the European Ombudsman.</w:t>
      </w:r>
    </w:p>
    <w:p w:rsidR="007E7997" w:rsidRPr="005B6B12" w:rsidRDefault="007E7997" w:rsidP="003F39B1">
      <w:pPr>
        <w:rPr>
          <w:b/>
        </w:rPr>
      </w:pPr>
      <w:r w:rsidRPr="005B6B12">
        <w:rPr>
          <w:b/>
        </w:rPr>
        <w:t>Data protection</w:t>
      </w:r>
    </w:p>
    <w:p w:rsidR="007E7997" w:rsidRPr="005B6B12" w:rsidRDefault="007E7997" w:rsidP="007E7997">
      <w:r w:rsidRPr="005B6B12">
        <w:t xml:space="preserve">Information on data protection can be found at </w:t>
      </w:r>
      <w:hyperlink r:id="rId16" w:history="1">
        <w:r w:rsidR="00B655D1" w:rsidRPr="005B6B12">
          <w:rPr>
            <w:rStyle w:val="Hyperlink"/>
          </w:rPr>
          <w:t>www.esma.europa.eu</w:t>
        </w:r>
      </w:hyperlink>
      <w:r w:rsidR="00B655D1" w:rsidRPr="005B6B12">
        <w:t xml:space="preserve"> </w:t>
      </w:r>
      <w:r w:rsidR="003F39B1" w:rsidRPr="005B6B12">
        <w:t xml:space="preserve">under the heading </w:t>
      </w:r>
      <w:hyperlink r:id="rId17" w:history="1">
        <w:r w:rsidR="003F39B1" w:rsidRPr="005B6B12">
          <w:rPr>
            <w:rStyle w:val="Hyperlink"/>
          </w:rPr>
          <w:t>Legal Notice</w:t>
        </w:r>
      </w:hyperlink>
      <w:r w:rsidR="003F39B1" w:rsidRPr="005B6B12">
        <w:t>.</w:t>
      </w:r>
    </w:p>
    <w:p w:rsidR="00656CD3" w:rsidRDefault="00CD0F94" w:rsidP="00656CD3">
      <w:pPr>
        <w:pStyle w:val="Heading1"/>
        <w:numPr>
          <w:ilvl w:val="0"/>
          <w:numId w:val="0"/>
        </w:numPr>
        <w:ind w:left="431" w:hanging="431"/>
      </w:pPr>
      <w:r>
        <w:br w:type="page"/>
      </w:r>
      <w:r w:rsidR="00656CD3">
        <w:lastRenderedPageBreak/>
        <w:t>Introduction</w:t>
      </w:r>
    </w:p>
    <w:p w:rsidR="00656CD3" w:rsidRPr="00815671" w:rsidRDefault="00656CD3" w:rsidP="00656CD3">
      <w:pPr>
        <w:rPr>
          <w:rStyle w:val="IntenseEmphasis"/>
          <w:i w:val="0"/>
        </w:rPr>
      </w:pPr>
      <w:r w:rsidRPr="00815671">
        <w:rPr>
          <w:rStyle w:val="IntenseEmphasis"/>
          <w:i w:val="0"/>
        </w:rPr>
        <w:t>Please make your introductory comments below, if any:</w:t>
      </w:r>
    </w:p>
    <w:p w:rsidR="00656CD3" w:rsidRPr="00C25863" w:rsidRDefault="00656CD3" w:rsidP="00656CD3">
      <w:pPr>
        <w:spacing w:after="0"/>
      </w:pPr>
      <w:r w:rsidRPr="00C25863">
        <w:t>&lt;</w:t>
      </w:r>
      <w:r>
        <w:t>ESMA_COMMENT</w:t>
      </w:r>
      <w:r w:rsidRPr="00C25863">
        <w:t>_</w:t>
      </w:r>
      <w:r>
        <w:rPr>
          <w:rFonts w:cs="Arial"/>
        </w:rPr>
        <w:t>RTS_INDIRECT_CLEARING</w:t>
      </w:r>
      <w:r w:rsidRPr="00C25863">
        <w:t>_</w:t>
      </w:r>
      <w:r w:rsidR="00036453">
        <w:t>1</w:t>
      </w:r>
      <w:r w:rsidRPr="00C25863">
        <w:t>&gt;</w:t>
      </w:r>
    </w:p>
    <w:p w:rsidR="008F484D" w:rsidRPr="00B003B0" w:rsidRDefault="008F484D" w:rsidP="00BB2C09">
      <w:pPr>
        <w:rPr>
          <w:rFonts w:ascii="Arial" w:hAnsi="Arial" w:cs="Arial"/>
          <w:szCs w:val="22"/>
        </w:rPr>
      </w:pPr>
      <w:permStart w:id="2087281476" w:edGrp="everyone"/>
      <w:r w:rsidRPr="00B003B0">
        <w:rPr>
          <w:rFonts w:ascii="Arial" w:hAnsi="Arial" w:cs="Arial"/>
          <w:szCs w:val="22"/>
        </w:rPr>
        <w:t>The Futures Industry Association (“</w:t>
      </w:r>
      <w:r w:rsidRPr="00B003B0">
        <w:rPr>
          <w:rFonts w:ascii="Arial" w:hAnsi="Arial" w:cs="Arial"/>
          <w:b/>
          <w:szCs w:val="22"/>
        </w:rPr>
        <w:t>FIA</w:t>
      </w:r>
      <w:r w:rsidRPr="00B003B0">
        <w:rPr>
          <w:rFonts w:ascii="Arial" w:hAnsi="Arial" w:cs="Arial"/>
          <w:szCs w:val="22"/>
        </w:rPr>
        <w:t>”)</w:t>
      </w:r>
      <w:r w:rsidRPr="00B003B0">
        <w:rPr>
          <w:rFonts w:ascii="Arial" w:hAnsi="Arial" w:cs="Arial"/>
          <w:szCs w:val="22"/>
          <w:vertAlign w:val="superscript"/>
        </w:rPr>
        <w:footnoteReference w:id="1"/>
      </w:r>
      <w:r w:rsidRPr="00B003B0">
        <w:rPr>
          <w:rFonts w:ascii="Arial" w:hAnsi="Arial" w:cs="Arial"/>
          <w:szCs w:val="22"/>
        </w:rPr>
        <w:t xml:space="preserve"> has prepared this response on behalf of its members that are organized or incorporated under U.S. law and registered as futures commission merchants (“</w:t>
      </w:r>
      <w:r w:rsidRPr="00B003B0">
        <w:rPr>
          <w:rFonts w:ascii="Arial" w:hAnsi="Arial" w:cs="Arial"/>
          <w:b/>
          <w:szCs w:val="22"/>
        </w:rPr>
        <w:t>FCMs</w:t>
      </w:r>
      <w:r w:rsidRPr="00B003B0">
        <w:rPr>
          <w:rFonts w:ascii="Arial" w:hAnsi="Arial" w:cs="Arial"/>
          <w:szCs w:val="22"/>
        </w:rPr>
        <w:t>”) with the U.S. Commodity Futures Trading Commission (“</w:t>
      </w:r>
      <w:r w:rsidRPr="00B003B0">
        <w:rPr>
          <w:rFonts w:ascii="Arial" w:hAnsi="Arial" w:cs="Arial"/>
          <w:b/>
          <w:szCs w:val="22"/>
        </w:rPr>
        <w:t>CFTC</w:t>
      </w:r>
      <w:r w:rsidRPr="00B003B0">
        <w:rPr>
          <w:rFonts w:ascii="Arial" w:hAnsi="Arial" w:cs="Arial"/>
          <w:szCs w:val="22"/>
        </w:rPr>
        <w:t>”).  FCMs may serve as clearing members, clients or indirect clients of a European central counterparty (“</w:t>
      </w:r>
      <w:r w:rsidRPr="00B003B0">
        <w:rPr>
          <w:rFonts w:ascii="Arial" w:hAnsi="Arial" w:cs="Arial"/>
          <w:b/>
          <w:szCs w:val="22"/>
        </w:rPr>
        <w:t>EU CCP</w:t>
      </w:r>
      <w:r w:rsidRPr="00B003B0">
        <w:rPr>
          <w:rFonts w:ascii="Arial" w:hAnsi="Arial" w:cs="Arial"/>
          <w:szCs w:val="22"/>
        </w:rPr>
        <w:t>”) for purposes of clearing over-the-counter (“</w:t>
      </w:r>
      <w:r w:rsidRPr="00B003B0">
        <w:rPr>
          <w:rFonts w:ascii="Arial" w:hAnsi="Arial" w:cs="Arial"/>
          <w:b/>
          <w:szCs w:val="22"/>
        </w:rPr>
        <w:t>OTC</w:t>
      </w:r>
      <w:r w:rsidRPr="00B003B0">
        <w:rPr>
          <w:rFonts w:ascii="Arial" w:hAnsi="Arial" w:cs="Arial"/>
          <w:szCs w:val="22"/>
        </w:rPr>
        <w:t>”) derivatives and/or exchange-traded derivatives (“</w:t>
      </w:r>
      <w:r w:rsidRPr="00B003B0">
        <w:rPr>
          <w:rFonts w:ascii="Arial" w:hAnsi="Arial" w:cs="Arial"/>
          <w:b/>
          <w:szCs w:val="22"/>
        </w:rPr>
        <w:t>ETDs</w:t>
      </w:r>
      <w:r w:rsidRPr="00B003B0">
        <w:rPr>
          <w:rFonts w:ascii="Arial" w:hAnsi="Arial" w:cs="Arial"/>
          <w:szCs w:val="22"/>
        </w:rPr>
        <w:t xml:space="preserve">”).  </w:t>
      </w:r>
    </w:p>
    <w:p w:rsidR="008F484D" w:rsidRPr="008D4B6F" w:rsidRDefault="008F484D" w:rsidP="00BB2C09">
      <w:pPr>
        <w:rPr>
          <w:rFonts w:ascii="Arial" w:hAnsi="Arial" w:cs="Arial"/>
          <w:szCs w:val="22"/>
        </w:rPr>
      </w:pPr>
      <w:r w:rsidRPr="00B003B0">
        <w:rPr>
          <w:rFonts w:ascii="Arial" w:hAnsi="Arial" w:cs="Arial"/>
          <w:szCs w:val="22"/>
        </w:rPr>
        <w:t xml:space="preserve">The content of this response focuses principally on those elements of the proposed </w:t>
      </w:r>
      <w:r>
        <w:rPr>
          <w:rFonts w:ascii="Arial" w:hAnsi="Arial" w:cs="Arial"/>
          <w:szCs w:val="22"/>
        </w:rPr>
        <w:t>Regulatory Technical Standards on Indirect Clearing Arrangements under EMIR and the Proposed Regulatory Technical Standards on Indirect Clearing Arrangements under MiFIR (collectively, the “</w:t>
      </w:r>
      <w:r w:rsidRPr="00F90F92">
        <w:rPr>
          <w:rFonts w:ascii="Arial" w:hAnsi="Arial" w:cs="Arial"/>
          <w:b/>
          <w:szCs w:val="22"/>
        </w:rPr>
        <w:t>RTS</w:t>
      </w:r>
      <w:r>
        <w:rPr>
          <w:rFonts w:ascii="Arial" w:hAnsi="Arial" w:cs="Arial"/>
          <w:szCs w:val="22"/>
        </w:rPr>
        <w:t>”)</w:t>
      </w:r>
      <w:r w:rsidRPr="00B003B0">
        <w:rPr>
          <w:rFonts w:ascii="Arial" w:hAnsi="Arial" w:cs="Arial"/>
          <w:szCs w:val="22"/>
        </w:rPr>
        <w:t xml:space="preserve"> that</w:t>
      </w:r>
      <w:r>
        <w:rPr>
          <w:rFonts w:ascii="Arial" w:hAnsi="Arial" w:cs="Arial"/>
          <w:szCs w:val="22"/>
        </w:rPr>
        <w:t>, if adopted as proposed, would</w:t>
      </w:r>
      <w:r w:rsidRPr="00B003B0">
        <w:rPr>
          <w:rFonts w:ascii="Arial" w:hAnsi="Arial" w:cs="Arial"/>
          <w:szCs w:val="22"/>
        </w:rPr>
        <w:t xml:space="preserve"> have a unique impact on FCMs.  In </w:t>
      </w:r>
      <w:r w:rsidRPr="008D4B6F">
        <w:rPr>
          <w:rFonts w:ascii="Arial" w:hAnsi="Arial" w:cs="Arial"/>
          <w:szCs w:val="22"/>
        </w:rPr>
        <w:t>respect of those provisions of the proposed RTS not expressly addressed herein, FIA supports the analysis and recommendations set out in the FIA Europe response letter.  In particular, for the reasons set out in the FIA Europe response letter, we believe that the jurisdictional scope of the MiFIR RTS should exten</w:t>
      </w:r>
      <w:r>
        <w:rPr>
          <w:rFonts w:ascii="Arial" w:hAnsi="Arial" w:cs="Arial"/>
          <w:szCs w:val="22"/>
        </w:rPr>
        <w:t>d</w:t>
      </w:r>
      <w:r w:rsidRPr="008D4B6F">
        <w:rPr>
          <w:rFonts w:ascii="Arial" w:hAnsi="Arial" w:cs="Arial"/>
          <w:szCs w:val="22"/>
        </w:rPr>
        <w:t xml:space="preserve"> only to ETDs traded on a</w:t>
      </w:r>
      <w:r>
        <w:rPr>
          <w:rFonts w:ascii="Arial" w:hAnsi="Arial" w:cs="Arial"/>
          <w:szCs w:val="22"/>
        </w:rPr>
        <w:t>n EU-r</w:t>
      </w:r>
      <w:r w:rsidRPr="008D4B6F">
        <w:rPr>
          <w:rFonts w:ascii="Arial" w:hAnsi="Arial" w:cs="Arial"/>
          <w:szCs w:val="22"/>
        </w:rPr>
        <w:t>egulated market and cleared on an EU CCP.</w:t>
      </w:r>
      <w:r w:rsidRPr="008D4B6F">
        <w:rPr>
          <w:rStyle w:val="FootnoteReference"/>
          <w:rFonts w:ascii="Arial" w:hAnsi="Arial" w:cs="Arial"/>
          <w:sz w:val="22"/>
          <w:szCs w:val="22"/>
        </w:rPr>
        <w:footnoteReference w:id="2"/>
      </w:r>
      <w:r w:rsidRPr="008D4B6F">
        <w:rPr>
          <w:rFonts w:ascii="Arial" w:hAnsi="Arial" w:cs="Arial"/>
          <w:szCs w:val="22"/>
        </w:rPr>
        <w:t xml:space="preserve">  </w:t>
      </w:r>
    </w:p>
    <w:p w:rsidR="008F484D" w:rsidRPr="00B003B0" w:rsidRDefault="008F484D" w:rsidP="00BB2C09">
      <w:pPr>
        <w:rPr>
          <w:rFonts w:ascii="Arial" w:hAnsi="Arial" w:cs="Arial"/>
          <w:szCs w:val="22"/>
        </w:rPr>
      </w:pPr>
      <w:r w:rsidRPr="008D4B6F">
        <w:rPr>
          <w:rFonts w:ascii="Arial" w:hAnsi="Arial" w:cs="Arial"/>
          <w:szCs w:val="22"/>
        </w:rPr>
        <w:t>In addition, we support the argument in the FIA Europe response letter that</w:t>
      </w:r>
      <w:r>
        <w:rPr>
          <w:rFonts w:ascii="Arial" w:hAnsi="Arial" w:cs="Arial"/>
          <w:szCs w:val="22"/>
        </w:rPr>
        <w:t>,</w:t>
      </w:r>
      <w:r w:rsidRPr="008D4B6F">
        <w:rPr>
          <w:rFonts w:ascii="Arial" w:hAnsi="Arial" w:cs="Arial"/>
          <w:szCs w:val="22"/>
        </w:rPr>
        <w:t xml:space="preserve"> where a third-country firm such as an FCM is present in an indirect clearing chain, such firm should only be subject to its local law requirements relating to customer protection, porting and liquidation</w:t>
      </w:r>
      <w:r>
        <w:rPr>
          <w:rFonts w:ascii="Arial" w:hAnsi="Arial" w:cs="Arial"/>
          <w:szCs w:val="22"/>
        </w:rPr>
        <w:t>.  To the extent that ESMA determines that the RTS should also apply to a third-country firm in an indirect clearing chain, we believe that, for the reasons set out in detail in this response, such third-country firm should</w:t>
      </w:r>
      <w:r w:rsidRPr="00B003B0">
        <w:rPr>
          <w:rFonts w:ascii="Arial" w:hAnsi="Arial" w:cs="Arial"/>
          <w:szCs w:val="22"/>
        </w:rPr>
        <w:t xml:space="preserve"> not </w:t>
      </w:r>
      <w:r>
        <w:rPr>
          <w:rFonts w:ascii="Arial" w:hAnsi="Arial" w:cs="Arial"/>
          <w:szCs w:val="22"/>
        </w:rPr>
        <w:t xml:space="preserve">be </w:t>
      </w:r>
      <w:r w:rsidRPr="00B003B0">
        <w:rPr>
          <w:rFonts w:ascii="Arial" w:hAnsi="Arial" w:cs="Arial"/>
          <w:szCs w:val="22"/>
        </w:rPr>
        <w:t>required to comply with a specific aspect of the final RTS where it is prevented from doing so under its domestic</w:t>
      </w:r>
      <w:r>
        <w:rPr>
          <w:rFonts w:ascii="Arial" w:hAnsi="Arial" w:cs="Arial"/>
          <w:szCs w:val="22"/>
        </w:rPr>
        <w:t xml:space="preserve"> law, including its</w:t>
      </w:r>
      <w:r w:rsidRPr="00B003B0">
        <w:rPr>
          <w:rFonts w:ascii="Arial" w:hAnsi="Arial" w:cs="Arial"/>
          <w:szCs w:val="22"/>
        </w:rPr>
        <w:t xml:space="preserve"> insolvency regime, provided that such </w:t>
      </w:r>
      <w:r>
        <w:rPr>
          <w:rFonts w:ascii="Arial" w:hAnsi="Arial" w:cs="Arial"/>
          <w:szCs w:val="22"/>
        </w:rPr>
        <w:t>firm</w:t>
      </w:r>
      <w:r w:rsidRPr="00B003B0">
        <w:rPr>
          <w:rFonts w:ascii="Arial" w:hAnsi="Arial" w:cs="Arial"/>
          <w:szCs w:val="22"/>
        </w:rPr>
        <w:t xml:space="preserve"> is otherwise able to </w:t>
      </w:r>
      <w:r w:rsidR="00AA164E">
        <w:rPr>
          <w:rFonts w:ascii="Arial" w:hAnsi="Arial" w:cs="Arial"/>
          <w:szCs w:val="22"/>
        </w:rPr>
        <w:t>satisfy the underlying purposes of</w:t>
      </w:r>
      <w:r w:rsidRPr="00B003B0">
        <w:rPr>
          <w:rFonts w:ascii="Arial" w:hAnsi="Arial" w:cs="Arial"/>
          <w:szCs w:val="22"/>
        </w:rPr>
        <w:t xml:space="preserve"> the final RTS</w:t>
      </w:r>
      <w:r>
        <w:rPr>
          <w:rFonts w:ascii="Arial" w:hAnsi="Arial" w:cs="Arial"/>
          <w:szCs w:val="22"/>
        </w:rPr>
        <w:t>.</w:t>
      </w:r>
    </w:p>
    <w:p w:rsidR="008F484D" w:rsidRPr="00B003B0" w:rsidRDefault="008F484D" w:rsidP="00BB2C09">
      <w:pPr>
        <w:keepNext/>
        <w:rPr>
          <w:rFonts w:ascii="Arial" w:hAnsi="Arial" w:cs="Arial"/>
          <w:szCs w:val="22"/>
        </w:rPr>
      </w:pPr>
      <w:r w:rsidRPr="00B003B0">
        <w:rPr>
          <w:rFonts w:ascii="Arial" w:hAnsi="Arial" w:cs="Arial"/>
          <w:b/>
          <w:szCs w:val="22"/>
        </w:rPr>
        <w:t>Impact of Third-Country Insolvency Regimes</w:t>
      </w:r>
    </w:p>
    <w:p w:rsidR="008F484D" w:rsidRPr="00B003B0" w:rsidRDefault="008F484D" w:rsidP="00BB2C09">
      <w:pPr>
        <w:rPr>
          <w:rFonts w:ascii="Arial" w:hAnsi="Arial" w:cs="Arial"/>
          <w:szCs w:val="22"/>
        </w:rPr>
      </w:pPr>
      <w:r w:rsidRPr="00B003B0">
        <w:rPr>
          <w:rFonts w:ascii="Arial" w:hAnsi="Arial" w:cs="Arial"/>
          <w:szCs w:val="22"/>
        </w:rPr>
        <w:t>The ability of an FCM to comply with the proposed RTS will be limited by the application of the U.S. Bankruptcy Code (“</w:t>
      </w:r>
      <w:r w:rsidRPr="00B003B0">
        <w:rPr>
          <w:rFonts w:ascii="Arial" w:hAnsi="Arial" w:cs="Arial"/>
          <w:b/>
          <w:szCs w:val="22"/>
        </w:rPr>
        <w:t>Code</w:t>
      </w:r>
      <w:r w:rsidRPr="00B003B0">
        <w:rPr>
          <w:rFonts w:ascii="Arial" w:hAnsi="Arial" w:cs="Arial"/>
          <w:szCs w:val="22"/>
        </w:rPr>
        <w:t>”), the U.S. Commodity Exchange Act (“</w:t>
      </w:r>
      <w:r w:rsidRPr="00B003B0">
        <w:rPr>
          <w:rFonts w:ascii="Arial" w:hAnsi="Arial" w:cs="Arial"/>
          <w:b/>
          <w:szCs w:val="22"/>
        </w:rPr>
        <w:t>CEA</w:t>
      </w:r>
      <w:r w:rsidRPr="00B003B0">
        <w:rPr>
          <w:rFonts w:ascii="Arial" w:hAnsi="Arial" w:cs="Arial"/>
          <w:szCs w:val="22"/>
        </w:rPr>
        <w:t xml:space="preserve">”) and CFTC Rules.  This result is not unexpected.  In the Consultation Paper, ESMA expressly acknowledged that, because the proposed RTS could not override any third-country insolvency regime that may apply to a participant in an indirect clearing arrangement, conflicts of law among jurisdictions would likely make </w:t>
      </w:r>
      <w:r w:rsidRPr="00B003B0">
        <w:rPr>
          <w:rFonts w:ascii="Arial" w:hAnsi="Arial" w:cs="Arial"/>
          <w:szCs w:val="22"/>
        </w:rPr>
        <w:lastRenderedPageBreak/>
        <w:t xml:space="preserve">full compliance with the specific requirements of the proposed RTS </w:t>
      </w:r>
      <w:r>
        <w:rPr>
          <w:rFonts w:ascii="Arial" w:hAnsi="Arial" w:cs="Arial"/>
          <w:szCs w:val="22"/>
        </w:rPr>
        <w:t>impracticable</w:t>
      </w:r>
      <w:r w:rsidRPr="00B003B0">
        <w:rPr>
          <w:rFonts w:ascii="Arial" w:hAnsi="Arial" w:cs="Arial"/>
          <w:szCs w:val="22"/>
        </w:rPr>
        <w:t xml:space="preserve"> for certain participants.</w:t>
      </w:r>
      <w:r w:rsidRPr="00B003B0">
        <w:rPr>
          <w:rFonts w:ascii="Arial" w:hAnsi="Arial" w:cs="Arial"/>
          <w:szCs w:val="22"/>
          <w:vertAlign w:val="superscript"/>
        </w:rPr>
        <w:footnoteReference w:id="3"/>
      </w:r>
    </w:p>
    <w:p w:rsidR="008F484D" w:rsidRPr="00B003B0" w:rsidRDefault="008F484D" w:rsidP="00BB2C09">
      <w:pPr>
        <w:rPr>
          <w:rFonts w:ascii="Arial" w:hAnsi="Arial" w:cs="Arial"/>
          <w:szCs w:val="22"/>
        </w:rPr>
      </w:pPr>
      <w:r w:rsidRPr="00B003B0">
        <w:rPr>
          <w:rFonts w:ascii="Arial" w:hAnsi="Arial" w:cs="Arial"/>
          <w:szCs w:val="22"/>
        </w:rPr>
        <w:t xml:space="preserve">We are concerned, however, that </w:t>
      </w:r>
      <w:r>
        <w:rPr>
          <w:rFonts w:ascii="Arial" w:hAnsi="Arial" w:cs="Arial"/>
          <w:szCs w:val="22"/>
        </w:rPr>
        <w:t>to the extent ESMA determines that the RTS appl</w:t>
      </w:r>
      <w:r w:rsidR="00E12120">
        <w:rPr>
          <w:rFonts w:ascii="Arial" w:hAnsi="Arial" w:cs="Arial"/>
          <w:szCs w:val="22"/>
        </w:rPr>
        <w:t xml:space="preserve">y to third-country firms in an </w:t>
      </w:r>
      <w:r w:rsidR="00E41CB8">
        <w:rPr>
          <w:rFonts w:ascii="Arial" w:hAnsi="Arial" w:cs="Arial"/>
          <w:szCs w:val="22"/>
        </w:rPr>
        <w:t>i</w:t>
      </w:r>
      <w:r>
        <w:rPr>
          <w:rFonts w:ascii="Arial" w:hAnsi="Arial" w:cs="Arial"/>
          <w:szCs w:val="22"/>
        </w:rPr>
        <w:t>ndirect clearing arrangement, the proposed RTS do</w:t>
      </w:r>
      <w:r w:rsidRPr="00B003B0">
        <w:rPr>
          <w:rFonts w:ascii="Arial" w:hAnsi="Arial" w:cs="Arial"/>
          <w:szCs w:val="22"/>
        </w:rPr>
        <w:t xml:space="preserve"> not provide sufficient assurance  of the circumstances in which such firms may participate in </w:t>
      </w:r>
      <w:r>
        <w:rPr>
          <w:rFonts w:ascii="Arial" w:hAnsi="Arial" w:cs="Arial"/>
          <w:szCs w:val="22"/>
        </w:rPr>
        <w:t xml:space="preserve">the </w:t>
      </w:r>
      <w:r w:rsidRPr="00B003B0">
        <w:rPr>
          <w:rFonts w:ascii="Arial" w:hAnsi="Arial" w:cs="Arial"/>
          <w:szCs w:val="22"/>
        </w:rPr>
        <w:t>indirect clearing arrangement while remaining in compliance with their domestic insolvency regimes.  We therefore request that</w:t>
      </w:r>
      <w:r>
        <w:rPr>
          <w:rFonts w:ascii="Arial" w:hAnsi="Arial" w:cs="Arial"/>
          <w:szCs w:val="22"/>
        </w:rPr>
        <w:t>, to the extent that the RTS apply to third-country firms,</w:t>
      </w:r>
      <w:r w:rsidRPr="00B003B0">
        <w:rPr>
          <w:rFonts w:ascii="Arial" w:hAnsi="Arial" w:cs="Arial"/>
          <w:szCs w:val="22"/>
        </w:rPr>
        <w:t xml:space="preserve"> </w:t>
      </w:r>
      <w:r w:rsidR="00551BBB">
        <w:rPr>
          <w:rFonts w:ascii="Arial" w:hAnsi="Arial" w:cs="Arial"/>
          <w:szCs w:val="22"/>
        </w:rPr>
        <w:t>the European Commission</w:t>
      </w:r>
      <w:r w:rsidRPr="00B003B0">
        <w:rPr>
          <w:rFonts w:ascii="Arial" w:hAnsi="Arial" w:cs="Arial"/>
          <w:szCs w:val="22"/>
        </w:rPr>
        <w:t xml:space="preserve"> </w:t>
      </w:r>
      <w:r w:rsidR="00551BBB">
        <w:rPr>
          <w:rFonts w:ascii="Arial" w:hAnsi="Arial" w:cs="Arial"/>
          <w:szCs w:val="22"/>
        </w:rPr>
        <w:t xml:space="preserve">confirm </w:t>
      </w:r>
      <w:r w:rsidRPr="00B003B0">
        <w:rPr>
          <w:rFonts w:ascii="Arial" w:hAnsi="Arial" w:cs="Arial"/>
          <w:szCs w:val="22"/>
        </w:rPr>
        <w:t xml:space="preserve">that a clearing member, client or indirect client in an indirect clearing arrangement is not required to comply with a specific aspect of the final RTS where it is prevented from doing so under its domestic insolvency regime, provided that such clearing member, client or indirect client is otherwise able to </w:t>
      </w:r>
      <w:r w:rsidR="00AA164E">
        <w:rPr>
          <w:rFonts w:ascii="Arial" w:hAnsi="Arial" w:cs="Arial"/>
          <w:szCs w:val="22"/>
        </w:rPr>
        <w:t>satisfy the underlying purposes of</w:t>
      </w:r>
      <w:r w:rsidR="00AA164E" w:rsidRPr="00B003B0">
        <w:rPr>
          <w:rFonts w:ascii="Arial" w:hAnsi="Arial" w:cs="Arial"/>
          <w:szCs w:val="22"/>
        </w:rPr>
        <w:t xml:space="preserve"> </w:t>
      </w:r>
      <w:r w:rsidRPr="00B003B0">
        <w:rPr>
          <w:rFonts w:ascii="Arial" w:hAnsi="Arial" w:cs="Arial"/>
          <w:szCs w:val="22"/>
        </w:rPr>
        <w:t xml:space="preserve">the final RTS.  </w:t>
      </w:r>
      <w:r w:rsidR="00551BBB">
        <w:rPr>
          <w:rFonts w:ascii="Arial" w:hAnsi="Arial" w:cs="Arial"/>
          <w:szCs w:val="22"/>
        </w:rPr>
        <w:t>We believe that such confirmation should be most appropriately made in the context of a “Frequently Asked Questions” document to be published at or around the same time as the final RTS.</w:t>
      </w:r>
    </w:p>
    <w:p w:rsidR="008F484D" w:rsidRPr="00B003B0" w:rsidRDefault="008F484D" w:rsidP="00BB2C09">
      <w:pPr>
        <w:rPr>
          <w:rFonts w:ascii="Arial" w:hAnsi="Arial" w:cs="Arial"/>
          <w:szCs w:val="22"/>
        </w:rPr>
      </w:pPr>
      <w:r w:rsidRPr="00B003B0">
        <w:rPr>
          <w:rFonts w:ascii="Arial" w:hAnsi="Arial" w:cs="Arial"/>
          <w:szCs w:val="22"/>
        </w:rPr>
        <w:t xml:space="preserve">The remainder of our introductory comments below provides a brief, high-level summary of certain aspects of the Code, the CEA and CFTC Rules that are relevant to the topics covered in the proposed RTS.  Our responses to the other consultation questions are intended to demonstrate that, notwithstanding the limitations imposed by the provisions of the Code, the CEA and CFTC Rules described below, FCMs are required at all times to offer customer protection arrangements to their direct and indirect clients that </w:t>
      </w:r>
      <w:r w:rsidR="00AA164E">
        <w:rPr>
          <w:rFonts w:ascii="Arial" w:hAnsi="Arial" w:cs="Arial"/>
          <w:szCs w:val="22"/>
        </w:rPr>
        <w:t>satisfy the underlying purposes of</w:t>
      </w:r>
      <w:r w:rsidR="00AA164E" w:rsidRPr="00B003B0">
        <w:rPr>
          <w:rFonts w:ascii="Arial" w:hAnsi="Arial" w:cs="Arial"/>
          <w:szCs w:val="22"/>
        </w:rPr>
        <w:t xml:space="preserve"> </w:t>
      </w:r>
      <w:r w:rsidRPr="00B003B0">
        <w:rPr>
          <w:rFonts w:ascii="Arial" w:hAnsi="Arial" w:cs="Arial"/>
          <w:szCs w:val="22"/>
        </w:rPr>
        <w:t>the RTS. Accordingly, we submit that</w:t>
      </w:r>
      <w:r>
        <w:rPr>
          <w:rFonts w:ascii="Arial" w:hAnsi="Arial" w:cs="Arial"/>
          <w:szCs w:val="22"/>
        </w:rPr>
        <w:t>, to the extent that</w:t>
      </w:r>
      <w:r w:rsidRPr="00B003B0">
        <w:rPr>
          <w:rFonts w:ascii="Arial" w:hAnsi="Arial" w:cs="Arial"/>
          <w:szCs w:val="22"/>
        </w:rPr>
        <w:t xml:space="preserve"> FCMs</w:t>
      </w:r>
      <w:r>
        <w:rPr>
          <w:rFonts w:ascii="Arial" w:hAnsi="Arial" w:cs="Arial"/>
          <w:szCs w:val="22"/>
        </w:rPr>
        <w:t xml:space="preserve"> are subject to the RTS, they</w:t>
      </w:r>
      <w:r w:rsidRPr="00B003B0">
        <w:rPr>
          <w:rFonts w:ascii="Arial" w:hAnsi="Arial" w:cs="Arial"/>
          <w:szCs w:val="22"/>
        </w:rPr>
        <w:t xml:space="preserve"> should not be considered non-compliant with the RTS solely on the basis of the different approaches to segregation, porting and liquidation taken by the RTS when compared with the Code, the CEA and CFTC Rules</w:t>
      </w:r>
      <w:r w:rsidR="00D539BF">
        <w:rPr>
          <w:rFonts w:ascii="Arial" w:hAnsi="Arial" w:cs="Arial"/>
          <w:szCs w:val="22"/>
        </w:rPr>
        <w:t xml:space="preserve"> and, instead, such arrangements should be considered permissible under the RTS</w:t>
      </w:r>
      <w:r w:rsidRPr="00B003B0">
        <w:rPr>
          <w:rFonts w:ascii="Arial" w:hAnsi="Arial" w:cs="Arial"/>
          <w:szCs w:val="22"/>
        </w:rPr>
        <w:t>.</w:t>
      </w:r>
    </w:p>
    <w:p w:rsidR="008F484D" w:rsidRPr="00B003B0" w:rsidRDefault="008F484D" w:rsidP="00BB2C09">
      <w:pPr>
        <w:rPr>
          <w:rFonts w:ascii="Arial" w:hAnsi="Arial" w:cs="Arial"/>
          <w:szCs w:val="22"/>
        </w:rPr>
      </w:pPr>
      <w:r w:rsidRPr="00B003B0">
        <w:rPr>
          <w:rFonts w:ascii="Arial" w:hAnsi="Arial" w:cs="Arial"/>
          <w:b/>
          <w:szCs w:val="22"/>
        </w:rPr>
        <w:t>FCM Customer Asset Protection Regime(s)</w:t>
      </w:r>
    </w:p>
    <w:p w:rsidR="008F484D" w:rsidRPr="00B003B0" w:rsidRDefault="008F484D" w:rsidP="00BB2C09">
      <w:pPr>
        <w:rPr>
          <w:rFonts w:ascii="Arial" w:hAnsi="Arial" w:cs="Arial"/>
          <w:szCs w:val="22"/>
        </w:rPr>
      </w:pPr>
      <w:r>
        <w:rPr>
          <w:rFonts w:ascii="Arial" w:hAnsi="Arial" w:cs="Arial"/>
          <w:szCs w:val="22"/>
        </w:rPr>
        <w:t>In the United States</w:t>
      </w:r>
      <w:r w:rsidRPr="00B003B0">
        <w:rPr>
          <w:rFonts w:ascii="Arial" w:hAnsi="Arial" w:cs="Arial"/>
          <w:szCs w:val="22"/>
        </w:rPr>
        <w:t xml:space="preserve">, the assets of an FCM’s customers are subject to differing protection regimes depending on the product traded: (i) cleared swaps; (ii) futures traded on a U.S. exchange </w:t>
      </w:r>
      <w:r>
        <w:rPr>
          <w:rFonts w:ascii="Arial" w:hAnsi="Arial" w:cs="Arial"/>
          <w:szCs w:val="22"/>
        </w:rPr>
        <w:t>(</w:t>
      </w:r>
      <w:r w:rsidRPr="00B003B0">
        <w:rPr>
          <w:rFonts w:ascii="Arial" w:hAnsi="Arial" w:cs="Arial"/>
          <w:szCs w:val="22"/>
        </w:rPr>
        <w:t>“U.S. futures”); and (iii) futures traded on a non-U.S. exchange (“non-U.S. futures”)</w:t>
      </w:r>
      <w:r>
        <w:rPr>
          <w:rFonts w:ascii="Arial" w:hAnsi="Arial" w:cs="Arial"/>
          <w:szCs w:val="22"/>
        </w:rPr>
        <w:t xml:space="preserve"> (collectively, “cleared derivatives products”)</w:t>
      </w:r>
      <w:r w:rsidRPr="00B003B0">
        <w:rPr>
          <w:rFonts w:ascii="Arial" w:hAnsi="Arial" w:cs="Arial"/>
          <w:szCs w:val="22"/>
        </w:rPr>
        <w:t>.  In each case, the CEA and CFTC Rules impose on the FCM a strict segregation requirement, pursuant to which the FCM must “treat and deal with all money, securities and property” received from a customer to “margin guarantee or secure” a cleared derivatives product “as belonging to such customer”.  Such assets must be “separately accounted for” and may not be commingled with the funds of the FCM or “used to margin, guarantee or secure” the trades of any person “other than the person for whom the same are held”.</w:t>
      </w:r>
      <w:r w:rsidRPr="00B003B0">
        <w:rPr>
          <w:rStyle w:val="FootnoteReference"/>
          <w:rFonts w:ascii="Arial" w:hAnsi="Arial" w:cs="Arial"/>
          <w:sz w:val="22"/>
          <w:szCs w:val="22"/>
        </w:rPr>
        <w:footnoteReference w:id="4"/>
      </w:r>
      <w:r w:rsidRPr="00B003B0">
        <w:rPr>
          <w:rFonts w:ascii="Arial" w:hAnsi="Arial" w:cs="Arial"/>
          <w:szCs w:val="22"/>
        </w:rPr>
        <w:t xml:space="preserve">  These assets must be received and held by FCMs on a security interest basis; title transfer collateral arrangements are prohibited.</w:t>
      </w:r>
    </w:p>
    <w:p w:rsidR="008F484D" w:rsidRPr="00B003B0" w:rsidRDefault="008F484D" w:rsidP="00BB2C09">
      <w:pPr>
        <w:rPr>
          <w:rFonts w:ascii="Arial" w:hAnsi="Arial" w:cs="Arial"/>
          <w:szCs w:val="22"/>
        </w:rPr>
      </w:pPr>
      <w:r>
        <w:rPr>
          <w:rFonts w:ascii="Arial" w:hAnsi="Arial" w:cs="Arial"/>
          <w:szCs w:val="22"/>
        </w:rPr>
        <w:lastRenderedPageBreak/>
        <w:t xml:space="preserve">CFTC Rules also provide that </w:t>
      </w:r>
      <w:r w:rsidRPr="00B003B0">
        <w:rPr>
          <w:rFonts w:ascii="Arial" w:hAnsi="Arial" w:cs="Arial"/>
          <w:szCs w:val="22"/>
        </w:rPr>
        <w:t>customer collateral received to margin cleared swaps, U.S. futures and non-U.S. futures may not be commingled</w:t>
      </w:r>
      <w:r>
        <w:rPr>
          <w:rFonts w:ascii="Arial" w:hAnsi="Arial" w:cs="Arial"/>
          <w:szCs w:val="22"/>
        </w:rPr>
        <w:t>,</w:t>
      </w:r>
      <w:r w:rsidRPr="0020663D">
        <w:rPr>
          <w:rFonts w:ascii="Arial" w:hAnsi="Arial" w:cs="Arial"/>
          <w:szCs w:val="22"/>
        </w:rPr>
        <w:t xml:space="preserve"> </w:t>
      </w:r>
      <w:r w:rsidRPr="00B003B0">
        <w:rPr>
          <w:rFonts w:ascii="Arial" w:hAnsi="Arial" w:cs="Arial"/>
          <w:szCs w:val="22"/>
        </w:rPr>
        <w:t xml:space="preserve">except as the CFTC may permit by rule, regulation or order, </w:t>
      </w:r>
      <w:r w:rsidRPr="00B003B0">
        <w:rPr>
          <w:rFonts w:ascii="Arial" w:hAnsi="Arial" w:cs="Arial"/>
          <w:i/>
          <w:szCs w:val="22"/>
        </w:rPr>
        <w:t>e.g.</w:t>
      </w:r>
      <w:r w:rsidRPr="00B003B0">
        <w:rPr>
          <w:rFonts w:ascii="Arial" w:hAnsi="Arial" w:cs="Arial"/>
          <w:szCs w:val="22"/>
        </w:rPr>
        <w:t>, in connection with a portfolio margining program.</w:t>
      </w:r>
      <w:r>
        <w:rPr>
          <w:rStyle w:val="FootnoteReference"/>
          <w:rFonts w:cs="Arial"/>
          <w:szCs w:val="22"/>
        </w:rPr>
        <w:footnoteReference w:id="5"/>
      </w:r>
      <w:r w:rsidRPr="00B003B0">
        <w:rPr>
          <w:rFonts w:ascii="Arial" w:hAnsi="Arial" w:cs="Arial"/>
          <w:szCs w:val="22"/>
        </w:rPr>
        <w:t xml:space="preserve">  Instead, each category of cleared derivative product is treated as a separate “account class”</w:t>
      </w:r>
      <w:r>
        <w:rPr>
          <w:rStyle w:val="FootnoteReference"/>
          <w:rFonts w:cs="Arial"/>
          <w:szCs w:val="22"/>
        </w:rPr>
        <w:footnoteReference w:id="6"/>
      </w:r>
      <w:r w:rsidRPr="00B003B0">
        <w:rPr>
          <w:rFonts w:ascii="Arial" w:hAnsi="Arial" w:cs="Arial"/>
          <w:szCs w:val="22"/>
        </w:rPr>
        <w:t xml:space="preserve"> and customer collateral in respect of one class must be held separately from the other account classes.</w:t>
      </w:r>
      <w:r>
        <w:rPr>
          <w:rStyle w:val="FootnoteReference"/>
          <w:rFonts w:cs="Arial"/>
          <w:szCs w:val="22"/>
        </w:rPr>
        <w:footnoteReference w:id="7"/>
      </w:r>
      <w:r w:rsidRPr="00B003B0">
        <w:rPr>
          <w:rFonts w:ascii="Arial" w:hAnsi="Arial" w:cs="Arial"/>
          <w:szCs w:val="22"/>
        </w:rPr>
        <w:t xml:space="preserve">  This prohibition on commingling is intended to better protect customer assets in the event of an FCM insolvency.</w:t>
      </w:r>
    </w:p>
    <w:p w:rsidR="008F484D" w:rsidRPr="00B003B0" w:rsidRDefault="008F484D" w:rsidP="00BB2C09">
      <w:pPr>
        <w:keepNext/>
        <w:rPr>
          <w:rFonts w:ascii="Arial" w:hAnsi="Arial" w:cs="Arial"/>
          <w:szCs w:val="22"/>
          <w:u w:val="single"/>
        </w:rPr>
      </w:pPr>
      <w:r w:rsidRPr="00B003B0">
        <w:rPr>
          <w:rFonts w:ascii="Arial" w:hAnsi="Arial" w:cs="Arial"/>
          <w:szCs w:val="22"/>
        </w:rPr>
        <w:tab/>
      </w:r>
      <w:r w:rsidRPr="00B003B0">
        <w:rPr>
          <w:rFonts w:ascii="Arial" w:hAnsi="Arial" w:cs="Arial"/>
          <w:szCs w:val="22"/>
          <w:u w:val="single"/>
        </w:rPr>
        <w:t>Cleared Swaps Customers</w:t>
      </w:r>
    </w:p>
    <w:p w:rsidR="008F484D" w:rsidRPr="00B003B0" w:rsidRDefault="008F484D" w:rsidP="00BB2C09">
      <w:pPr>
        <w:rPr>
          <w:rFonts w:ascii="Arial" w:hAnsi="Arial" w:cs="Arial"/>
          <w:szCs w:val="22"/>
        </w:rPr>
      </w:pPr>
      <w:r w:rsidRPr="00B003B0">
        <w:rPr>
          <w:rFonts w:ascii="Arial" w:hAnsi="Arial" w:cs="Arial"/>
          <w:szCs w:val="22"/>
        </w:rPr>
        <w:t>For cleared swaps, Part 22 of the CFTC Rules requires FCMs to maintain “legally segregated, operationally commingled” (“</w:t>
      </w:r>
      <w:r w:rsidRPr="00B003B0">
        <w:rPr>
          <w:rFonts w:ascii="Arial" w:hAnsi="Arial" w:cs="Arial"/>
          <w:b/>
          <w:szCs w:val="22"/>
        </w:rPr>
        <w:t>LSOC</w:t>
      </w:r>
      <w:r w:rsidRPr="00B003B0">
        <w:rPr>
          <w:rFonts w:ascii="Arial" w:hAnsi="Arial" w:cs="Arial"/>
          <w:szCs w:val="22"/>
        </w:rPr>
        <w:t>”) accounts for their cleared swaps customers.  LSOC accounts share many important features with the Gross Omnibus Indirect Segregated Account (“</w:t>
      </w:r>
      <w:r w:rsidRPr="00B003B0">
        <w:rPr>
          <w:rFonts w:ascii="Arial" w:hAnsi="Arial" w:cs="Arial"/>
          <w:b/>
          <w:szCs w:val="22"/>
        </w:rPr>
        <w:t>GOISA</w:t>
      </w:r>
      <w:r w:rsidRPr="00B003B0">
        <w:rPr>
          <w:rFonts w:ascii="Arial" w:hAnsi="Arial" w:cs="Arial"/>
          <w:szCs w:val="22"/>
        </w:rPr>
        <w:t xml:space="preserve">”) contemplated in Article 2(b) of the proposed RTS.  In particular, </w:t>
      </w:r>
      <w:r>
        <w:rPr>
          <w:rFonts w:ascii="Arial" w:hAnsi="Arial" w:cs="Arial"/>
          <w:szCs w:val="22"/>
        </w:rPr>
        <w:t>although</w:t>
      </w:r>
      <w:r w:rsidRPr="00B003B0">
        <w:rPr>
          <w:rFonts w:ascii="Arial" w:hAnsi="Arial" w:cs="Arial"/>
          <w:szCs w:val="22"/>
        </w:rPr>
        <w:t xml:space="preserve"> the collateral of all cleared swaps customers may be commingled in the same account or accounts, such collateral must be separately accounted for and may not be commingled with an FCM’s funds or be applied in respect of any other cleared swap customer’s trades.</w:t>
      </w:r>
      <w:r>
        <w:rPr>
          <w:rStyle w:val="FootnoteReference"/>
          <w:rFonts w:cs="Arial"/>
          <w:szCs w:val="22"/>
        </w:rPr>
        <w:footnoteReference w:id="8"/>
      </w:r>
    </w:p>
    <w:p w:rsidR="008F484D" w:rsidRPr="00B003B0" w:rsidRDefault="008F484D" w:rsidP="00BB2C09">
      <w:pPr>
        <w:rPr>
          <w:rFonts w:ascii="Arial" w:hAnsi="Arial" w:cs="Arial"/>
          <w:szCs w:val="22"/>
        </w:rPr>
      </w:pPr>
      <w:r w:rsidRPr="00B003B0">
        <w:rPr>
          <w:rFonts w:ascii="Arial" w:hAnsi="Arial" w:cs="Arial"/>
          <w:szCs w:val="22"/>
        </w:rPr>
        <w:t>In addition, Part 22 requires each FCM and DCO to maintain books and records that identify the positions of, and the market value of the collateral posted by, each cleared swaps customer.</w:t>
      </w:r>
      <w:r>
        <w:rPr>
          <w:rStyle w:val="FootnoteReference"/>
          <w:rFonts w:cs="Arial"/>
          <w:szCs w:val="22"/>
        </w:rPr>
        <w:footnoteReference w:id="9"/>
      </w:r>
      <w:r w:rsidRPr="00B003B0">
        <w:rPr>
          <w:rFonts w:ascii="Arial" w:hAnsi="Arial" w:cs="Arial"/>
          <w:szCs w:val="22"/>
        </w:rPr>
        <w:t xml:space="preserve">  This recordkeeping requirement ensures that each FCM can demonstrate that it is not using the funds of one cleared swaps customer to meet the obligations of any other cleared swaps customer (or the FCM).  These records are also relevant to ensure that, in an insolvency situation, the relevant DCO does not use the funds of any non-defaulting cleared swaps customer to meet the obligations of any defaulting cleared swaps customer.  The Part 22 Rules also permit an FCM to maintain excess cleared swaps customer collateral with a DCO, where the rules of the relevant DCO so permit and where the DCO requires the FCM to identify each business day the amount of any excess collateral deposited by any given cleared swaps customer.</w:t>
      </w:r>
      <w:r w:rsidRPr="00B003B0">
        <w:rPr>
          <w:rStyle w:val="FootnoteReference"/>
          <w:rFonts w:ascii="Arial" w:hAnsi="Arial" w:cs="Arial"/>
          <w:sz w:val="22"/>
          <w:szCs w:val="22"/>
        </w:rPr>
        <w:footnoteReference w:id="10"/>
      </w:r>
      <w:r w:rsidRPr="00B003B0">
        <w:rPr>
          <w:rFonts w:ascii="Arial" w:hAnsi="Arial" w:cs="Arial"/>
          <w:szCs w:val="22"/>
        </w:rPr>
        <w:t xml:space="preserve">  </w:t>
      </w:r>
    </w:p>
    <w:p w:rsidR="008F484D" w:rsidRPr="00B003B0" w:rsidRDefault="008F484D" w:rsidP="00BB2C09">
      <w:pPr>
        <w:rPr>
          <w:rFonts w:ascii="Arial" w:hAnsi="Arial" w:cs="Arial"/>
          <w:szCs w:val="22"/>
        </w:rPr>
      </w:pPr>
      <w:r w:rsidRPr="00B003B0">
        <w:rPr>
          <w:rFonts w:ascii="Arial" w:hAnsi="Arial" w:cs="Arial"/>
          <w:szCs w:val="22"/>
        </w:rPr>
        <w:t xml:space="preserve">Although we are not aware </w:t>
      </w:r>
      <w:r>
        <w:rPr>
          <w:rFonts w:ascii="Arial" w:hAnsi="Arial" w:cs="Arial"/>
          <w:szCs w:val="22"/>
        </w:rPr>
        <w:t>of</w:t>
      </w:r>
      <w:r w:rsidRPr="00B003B0">
        <w:rPr>
          <w:rFonts w:ascii="Arial" w:hAnsi="Arial" w:cs="Arial"/>
          <w:szCs w:val="22"/>
        </w:rPr>
        <w:t xml:space="preserve"> any FCM clearing member </w:t>
      </w:r>
      <w:r>
        <w:rPr>
          <w:rFonts w:ascii="Arial" w:hAnsi="Arial" w:cs="Arial"/>
          <w:szCs w:val="22"/>
        </w:rPr>
        <w:t>that currently</w:t>
      </w:r>
      <w:r w:rsidRPr="00B003B0">
        <w:rPr>
          <w:rFonts w:ascii="Arial" w:hAnsi="Arial" w:cs="Arial"/>
          <w:szCs w:val="22"/>
        </w:rPr>
        <w:t xml:space="preserve"> carries cleared swaps for indirect clients, the foregoing recordkeeping requirements and mechanism for the transfer of excess margin also apply to longer clearing chains where, for example, a non-clearing FCM deposits excess margin with a clearing FCM.  </w:t>
      </w:r>
    </w:p>
    <w:p w:rsidR="008F484D" w:rsidRPr="00B003B0" w:rsidRDefault="008F484D" w:rsidP="00BB2C09">
      <w:pPr>
        <w:keepNext/>
        <w:rPr>
          <w:rFonts w:ascii="Arial" w:hAnsi="Arial" w:cs="Arial"/>
          <w:szCs w:val="22"/>
        </w:rPr>
      </w:pPr>
      <w:r w:rsidRPr="00B003B0">
        <w:rPr>
          <w:rFonts w:ascii="Arial" w:hAnsi="Arial" w:cs="Arial"/>
          <w:szCs w:val="22"/>
        </w:rPr>
        <w:tab/>
      </w:r>
      <w:r w:rsidRPr="00B003B0">
        <w:rPr>
          <w:rFonts w:ascii="Arial" w:hAnsi="Arial" w:cs="Arial"/>
          <w:szCs w:val="22"/>
          <w:u w:val="single"/>
        </w:rPr>
        <w:t>Futures Customers</w:t>
      </w:r>
    </w:p>
    <w:p w:rsidR="008F484D" w:rsidRPr="00B003B0" w:rsidRDefault="008F484D" w:rsidP="00BB2C09">
      <w:pPr>
        <w:rPr>
          <w:rFonts w:ascii="Arial" w:hAnsi="Arial" w:cs="Arial"/>
          <w:szCs w:val="22"/>
        </w:rPr>
      </w:pPr>
      <w:r w:rsidRPr="00B003B0">
        <w:rPr>
          <w:rFonts w:ascii="Arial" w:hAnsi="Arial" w:cs="Arial"/>
          <w:szCs w:val="22"/>
        </w:rPr>
        <w:t xml:space="preserve">For futures on U.S. exchanges and non-U.S. exchanges, the CFTC Rules contemplate that FCMs and DCOs will maintain an omnibus customer account with the following </w:t>
      </w:r>
      <w:r>
        <w:rPr>
          <w:rFonts w:ascii="Arial" w:hAnsi="Arial" w:cs="Arial"/>
          <w:szCs w:val="22"/>
        </w:rPr>
        <w:t>safeguards</w:t>
      </w:r>
      <w:r w:rsidRPr="00B003B0">
        <w:rPr>
          <w:rFonts w:ascii="Arial" w:hAnsi="Arial" w:cs="Arial"/>
          <w:szCs w:val="22"/>
        </w:rPr>
        <w:t xml:space="preserve">.  The FCM that </w:t>
      </w:r>
      <w:r w:rsidRPr="00B003B0">
        <w:rPr>
          <w:rFonts w:ascii="Arial" w:hAnsi="Arial" w:cs="Arial"/>
          <w:szCs w:val="22"/>
        </w:rPr>
        <w:lastRenderedPageBreak/>
        <w:t>has the direct relationship with the customer is required to maintain books and records concerning the identity of its customers,</w:t>
      </w:r>
      <w:r>
        <w:rPr>
          <w:rStyle w:val="FootnoteReference"/>
          <w:rFonts w:cs="Arial"/>
          <w:szCs w:val="22"/>
        </w:rPr>
        <w:footnoteReference w:id="11"/>
      </w:r>
      <w:r w:rsidRPr="00B003B0">
        <w:rPr>
          <w:rFonts w:ascii="Arial" w:hAnsi="Arial" w:cs="Arial"/>
          <w:szCs w:val="22"/>
        </w:rPr>
        <w:t xml:space="preserve"> the positions held on behalf of each customer</w:t>
      </w:r>
      <w:r>
        <w:rPr>
          <w:rStyle w:val="FootnoteReference"/>
          <w:rFonts w:cs="Arial"/>
          <w:szCs w:val="22"/>
        </w:rPr>
        <w:footnoteReference w:id="12"/>
      </w:r>
      <w:r w:rsidRPr="00B003B0">
        <w:rPr>
          <w:rFonts w:ascii="Arial" w:hAnsi="Arial" w:cs="Arial"/>
          <w:szCs w:val="22"/>
        </w:rPr>
        <w:t xml:space="preserve"> and the collateral deposited by each customer to margin its positions.</w:t>
      </w:r>
      <w:r>
        <w:rPr>
          <w:rStyle w:val="FootnoteReference"/>
          <w:rFonts w:cs="Arial"/>
          <w:szCs w:val="22"/>
        </w:rPr>
        <w:footnoteReference w:id="13"/>
      </w:r>
      <w:r w:rsidRPr="00B003B0">
        <w:rPr>
          <w:rFonts w:ascii="Arial" w:hAnsi="Arial" w:cs="Arial"/>
          <w:szCs w:val="22"/>
        </w:rPr>
        <w:t xml:space="preserve">  Any intermediate FCM and CCP, however, is entitled to treat the omnibus account as a single customer.  Such FCM or CCP </w:t>
      </w:r>
      <w:r>
        <w:rPr>
          <w:rFonts w:ascii="Arial" w:hAnsi="Arial" w:cs="Arial"/>
          <w:szCs w:val="22"/>
        </w:rPr>
        <w:t xml:space="preserve">generally </w:t>
      </w:r>
      <w:r w:rsidRPr="00B003B0">
        <w:rPr>
          <w:rFonts w:ascii="Arial" w:hAnsi="Arial" w:cs="Arial"/>
          <w:szCs w:val="22"/>
        </w:rPr>
        <w:t>does not know the identity of the customers that make up the omnibus account, each customer’s positions or the value of the collateral associated with each customer’s positions.  In this way, the information available to an intermediate FCM and the CCP is similar to that of a clearing member or CCP in respect of the proposed Net Omnibus Indirect Segregated Account (“</w:t>
      </w:r>
      <w:r w:rsidRPr="00B003B0">
        <w:rPr>
          <w:rFonts w:ascii="Arial" w:hAnsi="Arial" w:cs="Arial"/>
          <w:b/>
          <w:szCs w:val="22"/>
        </w:rPr>
        <w:t>NOISA</w:t>
      </w:r>
      <w:r w:rsidRPr="00B003B0">
        <w:rPr>
          <w:rFonts w:ascii="Arial" w:hAnsi="Arial" w:cs="Arial"/>
          <w:szCs w:val="22"/>
        </w:rPr>
        <w:t>”) contemplated in Article 2(a) of the proposed RTS.</w:t>
      </w:r>
    </w:p>
    <w:p w:rsidR="008F484D" w:rsidRPr="00B003B0" w:rsidRDefault="008F484D" w:rsidP="00BB2C09">
      <w:pPr>
        <w:rPr>
          <w:rFonts w:ascii="Arial" w:hAnsi="Arial" w:cs="Arial"/>
          <w:szCs w:val="22"/>
        </w:rPr>
      </w:pPr>
      <w:r w:rsidRPr="00B003B0">
        <w:rPr>
          <w:rFonts w:ascii="Arial" w:hAnsi="Arial" w:cs="Arial"/>
          <w:szCs w:val="22"/>
        </w:rPr>
        <w:t>In addition, CFTC Rule 1.58 requires each FCM that carries an account for another FCM (or a foreign broker) on an omnibus basis to collect initial and maintenance margin on each position reported “at a level no less than that established for customer accounts by the rules of the applicable” exchange or CCP.</w:t>
      </w:r>
      <w:r>
        <w:rPr>
          <w:rStyle w:val="FootnoteReference"/>
          <w:rFonts w:cs="Arial"/>
          <w:szCs w:val="22"/>
        </w:rPr>
        <w:footnoteReference w:id="14"/>
      </w:r>
      <w:r w:rsidRPr="00B003B0">
        <w:rPr>
          <w:rFonts w:ascii="Arial" w:hAnsi="Arial" w:cs="Arial"/>
          <w:szCs w:val="22"/>
        </w:rPr>
        <w:t xml:space="preserve">  That is, each FCM along the chain must collect gross margin and deposit that margin up the chain to the CCP; this is a stricter standard than the NOISA set out in the proposed RTS, which anticipates only collecting net margin from the account.  CFTC Rule 39.13(g)(8) further requires a DCO to “collect initial margin on a gross basis for each clearing member’s customer account(s) equal to the sum of the initial margin amounts that would be required by the [DCO] for each individual customer within that account if each individual customer were a clearing member”.</w:t>
      </w:r>
      <w:r>
        <w:rPr>
          <w:rStyle w:val="FootnoteReference"/>
          <w:rFonts w:cs="Arial"/>
          <w:szCs w:val="22"/>
        </w:rPr>
        <w:footnoteReference w:id="15"/>
      </w:r>
    </w:p>
    <w:p w:rsidR="008F484D" w:rsidRPr="00B003B0" w:rsidRDefault="008F484D" w:rsidP="00BB2C09">
      <w:pPr>
        <w:rPr>
          <w:rFonts w:ascii="Arial" w:hAnsi="Arial" w:cs="Arial"/>
          <w:b/>
          <w:szCs w:val="22"/>
        </w:rPr>
      </w:pPr>
      <w:r w:rsidRPr="00B003B0">
        <w:rPr>
          <w:rFonts w:ascii="Arial" w:hAnsi="Arial" w:cs="Arial"/>
          <w:b/>
          <w:szCs w:val="22"/>
        </w:rPr>
        <w:t>FCM Insolvency Regime: The Code and CFTC Part 190</w:t>
      </w:r>
    </w:p>
    <w:p w:rsidR="008F484D" w:rsidRPr="00B003B0" w:rsidRDefault="008F484D" w:rsidP="00BB2C09">
      <w:pPr>
        <w:rPr>
          <w:rFonts w:ascii="Arial" w:hAnsi="Arial" w:cs="Arial"/>
          <w:szCs w:val="22"/>
        </w:rPr>
      </w:pPr>
      <w:r w:rsidRPr="00B003B0">
        <w:rPr>
          <w:rFonts w:ascii="Arial" w:hAnsi="Arial" w:cs="Arial"/>
          <w:szCs w:val="22"/>
        </w:rPr>
        <w:t>Upon the insolvency of an FCM and the appointment of a trustee, customer positions carried by a defaulting FCM may not be transferred (ported) to another FCM without the consent of the trustee and the approval of the CFTC and the Bankruptcy Court.</w:t>
      </w:r>
      <w:r w:rsidRPr="00B003B0">
        <w:rPr>
          <w:rStyle w:val="FootnoteReference"/>
          <w:rFonts w:ascii="Arial" w:hAnsi="Arial" w:cs="Arial"/>
          <w:sz w:val="22"/>
          <w:szCs w:val="22"/>
        </w:rPr>
        <w:footnoteReference w:id="16"/>
      </w:r>
      <w:r w:rsidRPr="00B003B0">
        <w:rPr>
          <w:rFonts w:ascii="Arial" w:hAnsi="Arial" w:cs="Arial"/>
          <w:szCs w:val="22"/>
        </w:rPr>
        <w:t xml:space="preserve">  Customer positions will be assessed on an account class basis; that is, where porting occurs, cleared swaps customer positions will be ported to the relevant LSOC account of the receiving FCM and futures customer positions will be ported to the relevant futures account </w:t>
      </w:r>
      <w:r>
        <w:rPr>
          <w:rFonts w:ascii="Arial" w:hAnsi="Arial" w:cs="Arial"/>
          <w:szCs w:val="22"/>
        </w:rPr>
        <w:t xml:space="preserve">(U.S. futures or non-U.S. futures) </w:t>
      </w:r>
      <w:r w:rsidRPr="00B003B0">
        <w:rPr>
          <w:rFonts w:ascii="Arial" w:hAnsi="Arial" w:cs="Arial"/>
          <w:szCs w:val="22"/>
        </w:rPr>
        <w:t>of the receiving FCM.</w:t>
      </w:r>
    </w:p>
    <w:p w:rsidR="008F484D" w:rsidRPr="00B003B0" w:rsidRDefault="008F484D" w:rsidP="00BB2C09">
      <w:pPr>
        <w:rPr>
          <w:rFonts w:ascii="Arial" w:hAnsi="Arial" w:cs="Arial"/>
          <w:szCs w:val="22"/>
        </w:rPr>
      </w:pPr>
      <w:r w:rsidRPr="00B003B0">
        <w:rPr>
          <w:rFonts w:ascii="Arial" w:hAnsi="Arial" w:cs="Arial"/>
          <w:szCs w:val="22"/>
        </w:rPr>
        <w:t>Under the CFTC’s Part 190 Rules, the trustee is directed to “use its best efforts to effect a transfer” of customer positions.</w:t>
      </w:r>
      <w:r w:rsidRPr="00B003B0">
        <w:rPr>
          <w:rStyle w:val="FootnoteReference"/>
          <w:rFonts w:ascii="Arial" w:hAnsi="Arial" w:cs="Arial"/>
          <w:sz w:val="22"/>
          <w:szCs w:val="22"/>
        </w:rPr>
        <w:footnoteReference w:id="17"/>
      </w:r>
      <w:r w:rsidRPr="00B003B0">
        <w:rPr>
          <w:rFonts w:ascii="Arial" w:hAnsi="Arial" w:cs="Arial"/>
          <w:szCs w:val="22"/>
        </w:rPr>
        <w:t xml:space="preserve">  The trustee must notify the CFTC as soon as possible, “but in no event later than the third business day after” the FCM has filed for bankruptcy whether the trustee intends </w:t>
      </w:r>
      <w:r w:rsidRPr="00B003B0">
        <w:rPr>
          <w:rFonts w:ascii="Arial" w:hAnsi="Arial" w:cs="Arial"/>
          <w:szCs w:val="22"/>
        </w:rPr>
        <w:lastRenderedPageBreak/>
        <w:t>to transfer the positions.</w:t>
      </w:r>
      <w:r>
        <w:rPr>
          <w:rStyle w:val="FootnoteReference"/>
          <w:rFonts w:cs="Arial"/>
          <w:szCs w:val="22"/>
        </w:rPr>
        <w:footnoteReference w:id="18"/>
      </w:r>
      <w:r w:rsidRPr="00B003B0">
        <w:rPr>
          <w:rFonts w:ascii="Arial" w:hAnsi="Arial" w:cs="Arial"/>
          <w:szCs w:val="22"/>
        </w:rPr>
        <w:t xml:space="preserve">  The transfer must be completed no later than seven calendar days after the FCM has filed for bankruptcy.</w:t>
      </w:r>
      <w:r w:rsidRPr="00B003B0">
        <w:rPr>
          <w:rStyle w:val="FootnoteReference"/>
          <w:rFonts w:ascii="Arial" w:hAnsi="Arial" w:cs="Arial"/>
          <w:sz w:val="22"/>
          <w:szCs w:val="22"/>
        </w:rPr>
        <w:footnoteReference w:id="19"/>
      </w:r>
      <w:r w:rsidRPr="00B003B0">
        <w:rPr>
          <w:rFonts w:ascii="Arial" w:hAnsi="Arial" w:cs="Arial"/>
          <w:szCs w:val="22"/>
        </w:rPr>
        <w:t xml:space="preserve">  Where the trustee is not able to effect the transfer of all customer positions, the trustee is directed to liquidate all open commodity contracts “promptly and in an orderly manner”.</w:t>
      </w:r>
      <w:r w:rsidRPr="00B003B0">
        <w:rPr>
          <w:rStyle w:val="FootnoteReference"/>
          <w:rFonts w:ascii="Arial" w:hAnsi="Arial" w:cs="Arial"/>
          <w:sz w:val="22"/>
          <w:szCs w:val="22"/>
        </w:rPr>
        <w:footnoteReference w:id="20"/>
      </w:r>
      <w:r w:rsidRPr="00B003B0">
        <w:rPr>
          <w:rFonts w:ascii="Arial" w:hAnsi="Arial" w:cs="Arial"/>
          <w:szCs w:val="22"/>
        </w:rPr>
        <w:t xml:space="preserve"> </w:t>
      </w:r>
    </w:p>
    <w:p w:rsidR="00656CD3" w:rsidRDefault="008F484D" w:rsidP="00656CD3">
      <w:pPr>
        <w:spacing w:after="0"/>
      </w:pPr>
      <w:r w:rsidRPr="00B003B0">
        <w:rPr>
          <w:rFonts w:ascii="Arial" w:hAnsi="Arial" w:cs="Arial"/>
          <w:szCs w:val="22"/>
        </w:rPr>
        <w:t xml:space="preserve">The trustee is then directed to “distribute customer property </w:t>
      </w:r>
      <w:proofErr w:type="spellStart"/>
      <w:r w:rsidRPr="00B003B0">
        <w:rPr>
          <w:rFonts w:ascii="Arial" w:hAnsi="Arial" w:cs="Arial"/>
          <w:szCs w:val="22"/>
        </w:rPr>
        <w:t>ratably</w:t>
      </w:r>
      <w:proofErr w:type="spellEnd"/>
      <w:r w:rsidRPr="00B003B0">
        <w:rPr>
          <w:rFonts w:ascii="Arial" w:hAnsi="Arial" w:cs="Arial"/>
          <w:szCs w:val="22"/>
        </w:rPr>
        <w:t xml:space="preserve"> to customers on the basis of and to the extent of such customers’ allowed net equity claims, and </w:t>
      </w:r>
      <w:r w:rsidRPr="00B003B0">
        <w:rPr>
          <w:rFonts w:ascii="Arial" w:hAnsi="Arial" w:cs="Arial"/>
          <w:i/>
          <w:szCs w:val="22"/>
          <w:u w:val="single"/>
        </w:rPr>
        <w:t>in priority to all other claims</w:t>
      </w:r>
      <w:r w:rsidRPr="00B003B0">
        <w:rPr>
          <w:rFonts w:ascii="Arial" w:hAnsi="Arial" w:cs="Arial"/>
          <w:szCs w:val="22"/>
        </w:rPr>
        <w:t>”.</w:t>
      </w:r>
      <w:r w:rsidRPr="00B003B0">
        <w:rPr>
          <w:rStyle w:val="FootnoteReference"/>
          <w:rFonts w:ascii="Arial" w:hAnsi="Arial" w:cs="Arial"/>
          <w:sz w:val="22"/>
          <w:szCs w:val="22"/>
        </w:rPr>
        <w:footnoteReference w:id="21"/>
      </w:r>
      <w:r w:rsidRPr="00B003B0">
        <w:rPr>
          <w:rFonts w:ascii="Arial" w:hAnsi="Arial" w:cs="Arial"/>
          <w:szCs w:val="22"/>
        </w:rPr>
        <w:t xml:space="preserve">  Customer property includes all assets held in segregation and assets “readily traceable” to such customers.</w:t>
      </w:r>
      <w:r w:rsidRPr="00B003B0">
        <w:rPr>
          <w:rStyle w:val="FootnoteReference"/>
          <w:rFonts w:ascii="Arial" w:hAnsi="Arial" w:cs="Arial"/>
          <w:sz w:val="22"/>
          <w:szCs w:val="22"/>
        </w:rPr>
        <w:footnoteReference w:id="22"/>
      </w:r>
      <w:r w:rsidRPr="00B003B0">
        <w:rPr>
          <w:rFonts w:ascii="Arial" w:hAnsi="Arial" w:cs="Arial"/>
          <w:szCs w:val="22"/>
        </w:rPr>
        <w:t xml:space="preserve">  Such distributions will be made on an account class basis.</w:t>
      </w:r>
      <w:permEnd w:id="2087281476"/>
    </w:p>
    <w:p w:rsidR="00656CD3" w:rsidRPr="00C25863" w:rsidRDefault="00656CD3" w:rsidP="00656CD3">
      <w:r w:rsidRPr="00C25863">
        <w:t>&lt;</w:t>
      </w:r>
      <w:r>
        <w:t>ESMA_COMMENT</w:t>
      </w:r>
      <w:r w:rsidRPr="00C25863">
        <w:t>_</w:t>
      </w:r>
      <w:r w:rsidRPr="00F62D30">
        <w:rPr>
          <w:rFonts w:cs="Arial"/>
        </w:rPr>
        <w:t xml:space="preserve"> </w:t>
      </w:r>
      <w:r>
        <w:rPr>
          <w:rFonts w:cs="Arial"/>
        </w:rPr>
        <w:t>RTS_</w:t>
      </w:r>
      <w:r w:rsidRPr="00656CD3">
        <w:rPr>
          <w:rFonts w:cs="Arial"/>
        </w:rPr>
        <w:t xml:space="preserve"> </w:t>
      </w:r>
      <w:r>
        <w:rPr>
          <w:rFonts w:cs="Arial"/>
        </w:rPr>
        <w:t>INDIRECT_CLEARING</w:t>
      </w:r>
      <w:r>
        <w:t>_</w:t>
      </w:r>
      <w:r w:rsidR="00036453">
        <w:t>1</w:t>
      </w:r>
      <w:r w:rsidRPr="00C25863">
        <w:t>&gt;</w:t>
      </w:r>
    </w:p>
    <w:p w:rsidR="00CD0F94" w:rsidRDefault="00CD0F94">
      <w:pPr>
        <w:spacing w:after="120" w:line="264" w:lineRule="auto"/>
        <w:jc w:val="left"/>
      </w:pPr>
    </w:p>
    <w:p w:rsidR="00656CD3" w:rsidRDefault="00656CD3">
      <w:pPr>
        <w:spacing w:after="120" w:line="264" w:lineRule="auto"/>
        <w:jc w:val="left"/>
      </w:pPr>
      <w:r>
        <w:br w:type="page"/>
      </w:r>
    </w:p>
    <w:p w:rsidR="001D2F44" w:rsidRPr="00EC5C5F" w:rsidRDefault="00EC5C5F" w:rsidP="00EC5C5F">
      <w:pPr>
        <w:pStyle w:val="CPQuestions"/>
        <w:numPr>
          <w:ilvl w:val="0"/>
          <w:numId w:val="0"/>
        </w:numPr>
        <w:rPr>
          <w:rFonts w:asciiTheme="majorHAnsi" w:eastAsiaTheme="majorEastAsia" w:hAnsiTheme="majorHAnsi" w:cstheme="majorBidi"/>
          <w:sz w:val="32"/>
          <w:szCs w:val="32"/>
        </w:rPr>
      </w:pPr>
      <w:r w:rsidRPr="00EC5C5F">
        <w:rPr>
          <w:rFonts w:asciiTheme="majorHAnsi" w:eastAsiaTheme="majorEastAsia" w:hAnsiTheme="majorHAnsi" w:cstheme="majorBidi"/>
          <w:sz w:val="32"/>
          <w:szCs w:val="32"/>
        </w:rPr>
        <w:lastRenderedPageBreak/>
        <w:t>Questions from the consultation paper</w:t>
      </w:r>
    </w:p>
    <w:p w:rsidR="00656CD3" w:rsidRPr="00DD478C" w:rsidRDefault="000F2EFC" w:rsidP="00656CD3">
      <w:pPr>
        <w:pStyle w:val="CPQuestions"/>
      </w:pPr>
      <w:r>
        <w:t>Do you agree with the proposed approach to require the choice between an omnibus indirect account and a gross omnibus indirect account with margin at the level of the CCP?</w:t>
      </w:r>
    </w:p>
    <w:p w:rsidR="00656CD3" w:rsidRDefault="00656CD3" w:rsidP="00036453">
      <w:pPr>
        <w:spacing w:after="0"/>
      </w:pPr>
      <w:r>
        <w:t>&lt;ESMA_</w:t>
      </w:r>
      <w:r w:rsidR="00036453">
        <w:t>QUESTION</w:t>
      </w:r>
      <w:r w:rsidRPr="00C25863">
        <w:t>_</w:t>
      </w:r>
      <w:r>
        <w:rPr>
          <w:rFonts w:cs="Arial"/>
        </w:rPr>
        <w:t>RTS_INDIRECT_CLEARING</w:t>
      </w:r>
      <w:r w:rsidRPr="00C25863">
        <w:t>_</w:t>
      </w:r>
      <w:r>
        <w:t>1&gt;</w:t>
      </w:r>
    </w:p>
    <w:p w:rsidR="008F484D" w:rsidRPr="00B003B0" w:rsidRDefault="008F484D" w:rsidP="00BB2C09">
      <w:pPr>
        <w:rPr>
          <w:rFonts w:ascii="Arial" w:hAnsi="Arial" w:cs="Arial"/>
          <w:szCs w:val="22"/>
        </w:rPr>
      </w:pPr>
      <w:permStart w:id="1191381577" w:edGrp="everyone"/>
      <w:r w:rsidRPr="00B003B0">
        <w:rPr>
          <w:rFonts w:ascii="Arial" w:hAnsi="Arial" w:cs="Arial"/>
          <w:szCs w:val="22"/>
        </w:rPr>
        <w:t xml:space="preserve">We do not agree that a clearing member, client or indirect client must offer the choice between a NOISA and a GOISA in all circumstances.  </w:t>
      </w:r>
      <w:r>
        <w:rPr>
          <w:rFonts w:ascii="Arial" w:hAnsi="Arial" w:cs="Arial"/>
          <w:szCs w:val="22"/>
        </w:rPr>
        <w:t>Specifically, to the extent that the RTS apply to a third-country firm in an indirect clearing chain, this</w:t>
      </w:r>
      <w:r w:rsidRPr="00B003B0">
        <w:rPr>
          <w:rFonts w:ascii="Arial" w:hAnsi="Arial" w:cs="Arial"/>
          <w:szCs w:val="22"/>
        </w:rPr>
        <w:t xml:space="preserve"> requirement should not apply where the offer is prohibited under </w:t>
      </w:r>
      <w:r>
        <w:rPr>
          <w:rFonts w:ascii="Arial" w:hAnsi="Arial" w:cs="Arial"/>
          <w:szCs w:val="22"/>
        </w:rPr>
        <w:t>the third-country firm’s local</w:t>
      </w:r>
      <w:r w:rsidRPr="00B003B0">
        <w:rPr>
          <w:rFonts w:ascii="Arial" w:hAnsi="Arial" w:cs="Arial"/>
          <w:szCs w:val="22"/>
        </w:rPr>
        <w:t xml:space="preserve"> law, including the insolvency regime, provided that the </w:t>
      </w:r>
      <w:r w:rsidR="00AA164E">
        <w:rPr>
          <w:rFonts w:ascii="Arial" w:hAnsi="Arial" w:cs="Arial"/>
          <w:szCs w:val="22"/>
        </w:rPr>
        <w:t>underlying purposes of</w:t>
      </w:r>
      <w:r w:rsidRPr="00B003B0">
        <w:rPr>
          <w:rFonts w:ascii="Arial" w:hAnsi="Arial" w:cs="Arial"/>
          <w:szCs w:val="22"/>
        </w:rPr>
        <w:t xml:space="preserve"> the RTS are otherwise </w:t>
      </w:r>
      <w:r w:rsidR="00AA164E">
        <w:rPr>
          <w:rFonts w:ascii="Arial" w:hAnsi="Arial" w:cs="Arial"/>
          <w:szCs w:val="22"/>
        </w:rPr>
        <w:t>satisfied</w:t>
      </w:r>
      <w:r w:rsidRPr="00B003B0">
        <w:rPr>
          <w:rFonts w:ascii="Arial" w:hAnsi="Arial" w:cs="Arial"/>
          <w:szCs w:val="22"/>
        </w:rPr>
        <w:t xml:space="preserve">.  </w:t>
      </w:r>
    </w:p>
    <w:p w:rsidR="008F484D" w:rsidRPr="00B003B0" w:rsidRDefault="008F484D" w:rsidP="00BB2C09">
      <w:pPr>
        <w:rPr>
          <w:rFonts w:ascii="Arial" w:hAnsi="Arial" w:cs="Arial"/>
          <w:szCs w:val="22"/>
        </w:rPr>
      </w:pPr>
      <w:r w:rsidRPr="00B003B0">
        <w:rPr>
          <w:rFonts w:ascii="Arial" w:hAnsi="Arial" w:cs="Arial"/>
          <w:szCs w:val="22"/>
        </w:rPr>
        <w:t xml:space="preserve">We believe the customer segregation requirements imposed on FCMs demonstrates that the </w:t>
      </w:r>
      <w:r w:rsidR="00AA164E">
        <w:rPr>
          <w:rFonts w:ascii="Arial" w:hAnsi="Arial" w:cs="Arial"/>
          <w:szCs w:val="22"/>
        </w:rPr>
        <w:t>underlying purposes of</w:t>
      </w:r>
      <w:r w:rsidR="00AA164E" w:rsidRPr="00B003B0">
        <w:rPr>
          <w:rFonts w:ascii="Arial" w:hAnsi="Arial" w:cs="Arial"/>
          <w:szCs w:val="22"/>
        </w:rPr>
        <w:t xml:space="preserve"> </w:t>
      </w:r>
      <w:r w:rsidRPr="00B003B0">
        <w:rPr>
          <w:rFonts w:ascii="Arial" w:hAnsi="Arial" w:cs="Arial"/>
          <w:szCs w:val="22"/>
        </w:rPr>
        <w:t xml:space="preserve">the RTS can be </w:t>
      </w:r>
      <w:r w:rsidR="00AA164E">
        <w:rPr>
          <w:rFonts w:ascii="Arial" w:hAnsi="Arial" w:cs="Arial"/>
          <w:szCs w:val="22"/>
        </w:rPr>
        <w:t>satisfied</w:t>
      </w:r>
      <w:r w:rsidRPr="00B003B0">
        <w:rPr>
          <w:rFonts w:ascii="Arial" w:hAnsi="Arial" w:cs="Arial"/>
          <w:szCs w:val="22"/>
        </w:rPr>
        <w:t xml:space="preserve"> without requiring FCMs to offer the choice between a NOISA and a GOISA.</w:t>
      </w:r>
    </w:p>
    <w:p w:rsidR="008F484D" w:rsidRPr="00B003B0" w:rsidRDefault="008F484D" w:rsidP="00BB2C09">
      <w:pPr>
        <w:rPr>
          <w:rFonts w:ascii="Arial" w:hAnsi="Arial" w:cs="Arial"/>
          <w:b/>
          <w:szCs w:val="22"/>
        </w:rPr>
      </w:pPr>
      <w:r w:rsidRPr="00B003B0">
        <w:rPr>
          <w:rFonts w:ascii="Arial" w:hAnsi="Arial" w:cs="Arial"/>
          <w:b/>
          <w:szCs w:val="22"/>
        </w:rPr>
        <w:t>OTC Derivatives</w:t>
      </w:r>
    </w:p>
    <w:p w:rsidR="008F484D" w:rsidRPr="00B003B0" w:rsidRDefault="008F484D" w:rsidP="00BB2C09">
      <w:pPr>
        <w:rPr>
          <w:rFonts w:ascii="Arial" w:hAnsi="Arial" w:cs="Arial"/>
          <w:szCs w:val="22"/>
        </w:rPr>
      </w:pPr>
      <w:r w:rsidRPr="00B003B0">
        <w:rPr>
          <w:rFonts w:ascii="Arial" w:hAnsi="Arial" w:cs="Arial"/>
          <w:szCs w:val="22"/>
        </w:rPr>
        <w:t>As noted in our introductory comments, Part 22 of the CFTC Rules requires FCMs to open LSOC accounts for their cleared swaps customers.</w:t>
      </w:r>
      <w:r w:rsidRPr="00B003B0">
        <w:rPr>
          <w:rFonts w:ascii="Arial" w:hAnsi="Arial" w:cs="Arial"/>
          <w:szCs w:val="22"/>
          <w:vertAlign w:val="superscript"/>
        </w:rPr>
        <w:footnoteReference w:id="23"/>
      </w:r>
      <w:r w:rsidRPr="00B003B0">
        <w:rPr>
          <w:rFonts w:ascii="Arial" w:hAnsi="Arial" w:cs="Arial"/>
          <w:szCs w:val="22"/>
        </w:rPr>
        <w:t xml:space="preserve"> Therefore, FCMs are prohibited from making the offer required under Articles 4(2) and 5(2) of the proposed RTS in respect of OTC derivatives. </w:t>
      </w:r>
    </w:p>
    <w:p w:rsidR="008F484D" w:rsidRPr="00B003B0" w:rsidRDefault="008F484D" w:rsidP="00BB2C09">
      <w:pPr>
        <w:spacing w:before="120"/>
        <w:rPr>
          <w:rFonts w:ascii="Arial" w:hAnsi="Arial" w:cs="Arial"/>
          <w:szCs w:val="22"/>
        </w:rPr>
      </w:pPr>
      <w:r w:rsidRPr="00B003B0">
        <w:rPr>
          <w:rFonts w:ascii="Arial" w:hAnsi="Arial" w:cs="Arial"/>
          <w:szCs w:val="22"/>
        </w:rPr>
        <w:t xml:space="preserve">Nevertheless, we would note the following key characteristics of LSOC accounts: </w:t>
      </w:r>
    </w:p>
    <w:p w:rsidR="008F484D" w:rsidRPr="00B003B0" w:rsidRDefault="008F484D" w:rsidP="008F484D">
      <w:pPr>
        <w:numPr>
          <w:ilvl w:val="0"/>
          <w:numId w:val="50"/>
        </w:numPr>
        <w:spacing w:before="120" w:after="0"/>
        <w:rPr>
          <w:rFonts w:ascii="Arial" w:hAnsi="Arial" w:cs="Arial"/>
          <w:szCs w:val="22"/>
        </w:rPr>
      </w:pPr>
      <w:r w:rsidRPr="00B003B0">
        <w:rPr>
          <w:rFonts w:ascii="Arial" w:hAnsi="Arial" w:cs="Arial"/>
          <w:szCs w:val="22"/>
        </w:rPr>
        <w:t xml:space="preserve">records are maintained of the positions and collateral value of each cleared swaps customer in an LSOC account; </w:t>
      </w:r>
    </w:p>
    <w:p w:rsidR="008F484D" w:rsidRPr="00B003B0" w:rsidRDefault="008F484D" w:rsidP="008F484D">
      <w:pPr>
        <w:numPr>
          <w:ilvl w:val="0"/>
          <w:numId w:val="50"/>
        </w:numPr>
        <w:spacing w:before="120" w:after="0"/>
        <w:rPr>
          <w:rFonts w:ascii="Arial" w:hAnsi="Arial" w:cs="Arial"/>
          <w:szCs w:val="22"/>
        </w:rPr>
      </w:pPr>
      <w:r w:rsidRPr="00B003B0">
        <w:rPr>
          <w:rFonts w:ascii="Arial" w:hAnsi="Arial" w:cs="Arial"/>
          <w:szCs w:val="22"/>
        </w:rPr>
        <w:t xml:space="preserve">these records ensure that the funds of one cleared swaps customer are never used to meet the obligations of any other cleared swaps customer, either in a business-as-usual or insolvency situation, thereby effectively eliminating fellow-customer risk; </w:t>
      </w:r>
    </w:p>
    <w:p w:rsidR="008F484D" w:rsidRPr="00B003B0" w:rsidRDefault="008F484D" w:rsidP="008F484D">
      <w:pPr>
        <w:numPr>
          <w:ilvl w:val="0"/>
          <w:numId w:val="50"/>
        </w:numPr>
        <w:spacing w:before="120" w:after="0"/>
        <w:rPr>
          <w:rFonts w:ascii="Arial" w:hAnsi="Arial" w:cs="Arial"/>
          <w:szCs w:val="22"/>
        </w:rPr>
      </w:pPr>
      <w:r w:rsidRPr="00B003B0">
        <w:rPr>
          <w:rFonts w:ascii="Arial" w:hAnsi="Arial" w:cs="Arial"/>
          <w:szCs w:val="22"/>
        </w:rPr>
        <w:t xml:space="preserve">excess collateral in respect of a given cleared swaps customer can be passed up to the relevant CCP; and </w:t>
      </w:r>
    </w:p>
    <w:p w:rsidR="008F484D" w:rsidRDefault="008F484D" w:rsidP="008F484D">
      <w:pPr>
        <w:numPr>
          <w:ilvl w:val="0"/>
          <w:numId w:val="50"/>
        </w:numPr>
        <w:spacing w:before="120" w:after="0"/>
        <w:rPr>
          <w:rFonts w:ascii="Arial" w:hAnsi="Arial" w:cs="Arial"/>
          <w:szCs w:val="22"/>
        </w:rPr>
      </w:pPr>
      <w:r w:rsidRPr="00B003B0">
        <w:rPr>
          <w:rFonts w:ascii="Arial" w:hAnsi="Arial" w:cs="Arial"/>
          <w:szCs w:val="22"/>
        </w:rPr>
        <w:t xml:space="preserve">the Part 22 Rules provide a mechanism to replicate these requirements through multiple links in a clearing chain via the obligations on non-clearing and clearing FCMs.  </w:t>
      </w:r>
    </w:p>
    <w:p w:rsidR="008F484D" w:rsidRPr="00B003B0" w:rsidRDefault="008F484D" w:rsidP="008F484D">
      <w:pPr>
        <w:spacing w:before="120" w:after="0"/>
        <w:ind w:left="1080"/>
        <w:rPr>
          <w:rFonts w:ascii="Arial" w:hAnsi="Arial" w:cs="Arial"/>
          <w:szCs w:val="22"/>
        </w:rPr>
      </w:pPr>
    </w:p>
    <w:p w:rsidR="008F484D" w:rsidRPr="00B003B0" w:rsidRDefault="008F484D" w:rsidP="00BB2C09">
      <w:pPr>
        <w:rPr>
          <w:rFonts w:ascii="Arial" w:hAnsi="Arial" w:cs="Arial"/>
          <w:szCs w:val="22"/>
        </w:rPr>
      </w:pPr>
      <w:r w:rsidRPr="00B003B0">
        <w:rPr>
          <w:rFonts w:ascii="Arial" w:hAnsi="Arial" w:cs="Arial"/>
          <w:szCs w:val="22"/>
        </w:rPr>
        <w:t>These arrangements offer levels of protection equivalent to the proposed GOISA, which was introduced in the proposed RTS by ESMA on the basis that the proposed GOISA would “achieve an equivalent distinction between the collateral and the positions held for the account of a specific indirect client from the collateral and the positions held for the account of the direct client or other indirect clients”.  The use of LSOC accounts also ensure</w:t>
      </w:r>
      <w:r>
        <w:rPr>
          <w:rFonts w:ascii="Arial" w:hAnsi="Arial" w:cs="Arial"/>
          <w:szCs w:val="22"/>
        </w:rPr>
        <w:t>s</w:t>
      </w:r>
      <w:r w:rsidRPr="00B003B0">
        <w:rPr>
          <w:rFonts w:ascii="Arial" w:hAnsi="Arial" w:cs="Arial"/>
          <w:szCs w:val="22"/>
        </w:rPr>
        <w:t xml:space="preserve"> that FCMs are able to meet the relevant </w:t>
      </w:r>
      <w:r w:rsidRPr="00B003B0">
        <w:rPr>
          <w:rFonts w:ascii="Arial" w:hAnsi="Arial" w:cs="Arial"/>
          <w:szCs w:val="22"/>
        </w:rPr>
        <w:lastRenderedPageBreak/>
        <w:t xml:space="preserve">standards applicable to GOISAs set out in Articles 4(3) and 5(3) of the proposed RTS (collateral value reports) as well as Article 4(4) of the proposed RTS (transfer of excess collateral to the CCP).  </w:t>
      </w:r>
    </w:p>
    <w:p w:rsidR="008F484D" w:rsidRPr="00B003B0" w:rsidRDefault="008F484D" w:rsidP="00BB2C09">
      <w:pPr>
        <w:rPr>
          <w:rFonts w:ascii="Arial" w:hAnsi="Arial" w:cs="Arial"/>
          <w:szCs w:val="22"/>
        </w:rPr>
      </w:pPr>
      <w:r w:rsidRPr="00B003B0">
        <w:rPr>
          <w:rFonts w:ascii="Arial" w:hAnsi="Arial" w:cs="Arial"/>
          <w:szCs w:val="22"/>
        </w:rPr>
        <w:t xml:space="preserve">Accordingly, even though FCMs are prohibited from offering cleared swaps customers a </w:t>
      </w:r>
      <w:r w:rsidRPr="00B003B0">
        <w:rPr>
          <w:rFonts w:ascii="Arial" w:hAnsi="Arial" w:cs="Arial"/>
          <w:szCs w:val="22"/>
          <w:u w:val="single"/>
        </w:rPr>
        <w:t>choice</w:t>
      </w:r>
      <w:r w:rsidRPr="00B003B0">
        <w:rPr>
          <w:rFonts w:ascii="Arial" w:hAnsi="Arial" w:cs="Arial"/>
          <w:szCs w:val="22"/>
        </w:rPr>
        <w:t xml:space="preserve"> between a GOISA and a NOISA for indirect clearing arrangements, FCMs are legally obligated to provide the higher, GOISA-equivalent protection to their cleared swaps customers.  That the offer itself cannot be made under U.S. law should not be considered non-compliant on the basis that an FCM’s cleared swaps customers must at all times receive a level of protection that is at least equivalent to the requirements of the proposed RTS. </w:t>
      </w:r>
    </w:p>
    <w:p w:rsidR="008F484D" w:rsidRPr="00B003B0" w:rsidRDefault="008F484D" w:rsidP="00BB2C09">
      <w:pPr>
        <w:rPr>
          <w:rFonts w:ascii="Arial" w:hAnsi="Arial" w:cs="Arial"/>
          <w:szCs w:val="22"/>
        </w:rPr>
      </w:pPr>
      <w:r w:rsidRPr="00B003B0">
        <w:rPr>
          <w:rFonts w:ascii="Arial" w:hAnsi="Arial" w:cs="Arial"/>
          <w:b/>
          <w:szCs w:val="22"/>
        </w:rPr>
        <w:t>ETDs</w:t>
      </w:r>
    </w:p>
    <w:p w:rsidR="008F484D" w:rsidRPr="00B003B0" w:rsidRDefault="008F484D" w:rsidP="00BB2C09">
      <w:pPr>
        <w:rPr>
          <w:rFonts w:ascii="Arial" w:hAnsi="Arial" w:cs="Arial"/>
          <w:szCs w:val="22"/>
        </w:rPr>
      </w:pPr>
      <w:r w:rsidRPr="00B003B0">
        <w:rPr>
          <w:rFonts w:ascii="Arial" w:hAnsi="Arial" w:cs="Arial"/>
          <w:szCs w:val="22"/>
        </w:rPr>
        <w:t>CFTC Rules prescribe a particular type of omnibus account structure for an FCM’s futures customers.  Therefore, as was the case for OTC derivatives, FCMs are prohibited from making the offer required under Articles 4(2) and 5(2) of the proposed RTS in respect of ETDs.</w:t>
      </w:r>
      <w:r>
        <w:rPr>
          <w:rFonts w:ascii="Arial" w:hAnsi="Arial" w:cs="Arial"/>
          <w:szCs w:val="22"/>
        </w:rPr>
        <w:t xml:space="preserve"> </w:t>
      </w:r>
    </w:p>
    <w:p w:rsidR="008F484D" w:rsidRPr="00B003B0" w:rsidRDefault="008F484D" w:rsidP="00BB2C09">
      <w:pPr>
        <w:rPr>
          <w:rFonts w:ascii="Arial" w:hAnsi="Arial" w:cs="Arial"/>
          <w:szCs w:val="22"/>
        </w:rPr>
      </w:pPr>
      <w:r>
        <w:rPr>
          <w:rFonts w:ascii="Arial" w:hAnsi="Arial" w:cs="Arial"/>
          <w:szCs w:val="22"/>
        </w:rPr>
        <w:t>Although</w:t>
      </w:r>
      <w:r w:rsidRPr="00B003B0">
        <w:rPr>
          <w:rFonts w:ascii="Arial" w:hAnsi="Arial" w:cs="Arial"/>
          <w:szCs w:val="22"/>
        </w:rPr>
        <w:t xml:space="preserve"> an FCM’s futures customer account shares the basic characteristics of the proposed NOISA, as noted in our introductory comments, CFTC Rules offer futures customers somewhat greater protection by requiring gross margining along the chain between the end-customer and the CCP.  In that regard, the futures customers of an FCM will always enjoy a greater level of protection than the minimum required under the proposed RTS. We believe that, in such circumstances, an FCM should not be considered non-compliant with the RTS notwithstanding that the offer of a choice between a GOISA and a NOISA is prohibited.</w:t>
      </w:r>
    </w:p>
    <w:p w:rsidR="008F484D" w:rsidRPr="00B003B0" w:rsidRDefault="008F484D" w:rsidP="00BB2C09">
      <w:pPr>
        <w:rPr>
          <w:rFonts w:ascii="Arial" w:hAnsi="Arial" w:cs="Arial"/>
          <w:szCs w:val="22"/>
        </w:rPr>
      </w:pPr>
      <w:r w:rsidRPr="00B003B0">
        <w:rPr>
          <w:rFonts w:ascii="Arial" w:hAnsi="Arial" w:cs="Arial"/>
          <w:szCs w:val="22"/>
        </w:rPr>
        <w:t>This conclusion is consistent with how ESMA has chosen to approach the imposition of the RTS on existing indirect clearing arrangements in the ETD markets.  Specifically, ESMA recognized in the Consultation Paper that customer protection arrangements for indirect clients are already in place in the ETD markets, and that the impact of the RTS on these arrangements should be “minimised” and should maintain continuity.  Permitting FCMs to continue to offer protection that is at least NOISA-equivalent would uphold this principle of continuity and minimised impact.</w:t>
      </w:r>
    </w:p>
    <w:p w:rsidR="00036453" w:rsidRDefault="008F484D" w:rsidP="00036453">
      <w:pPr>
        <w:spacing w:after="0"/>
      </w:pPr>
      <w:r w:rsidRPr="00B003B0">
        <w:rPr>
          <w:rFonts w:ascii="Arial" w:hAnsi="Arial" w:cs="Arial"/>
          <w:szCs w:val="22"/>
        </w:rPr>
        <w:t xml:space="preserve">We note that ESMA also stated </w:t>
      </w:r>
      <w:r>
        <w:rPr>
          <w:rFonts w:ascii="Arial" w:hAnsi="Arial" w:cs="Arial"/>
          <w:szCs w:val="22"/>
        </w:rPr>
        <w:t xml:space="preserve">in the Consultation Paper </w:t>
      </w:r>
      <w:r w:rsidRPr="00B003B0">
        <w:rPr>
          <w:rFonts w:ascii="Arial" w:hAnsi="Arial" w:cs="Arial"/>
          <w:szCs w:val="22"/>
        </w:rPr>
        <w:t>that the proposed net margining arrangements should be subject to “increased standards” and used as an example segregating between indirect client accounts and a direct client’s own account.  This level of segregation is already provided for under the CEA and the CFTC Rules.  Hence, the “increased” standards for net margining are already met in the futures customer accounts provided by FCMs.</w:t>
      </w:r>
      <w:r w:rsidR="005173F5">
        <w:t xml:space="preserve"> </w:t>
      </w:r>
      <w:permEnd w:id="1191381577"/>
    </w:p>
    <w:p w:rsidR="00656CD3" w:rsidRDefault="00656CD3" w:rsidP="00656CD3">
      <w:r>
        <w:t>&lt;ESMA_</w:t>
      </w:r>
      <w:r w:rsidR="00036453">
        <w:t>QUESTION</w:t>
      </w:r>
      <w:r w:rsidRPr="00C25863">
        <w:t>_</w:t>
      </w:r>
      <w:r>
        <w:rPr>
          <w:rFonts w:cs="Arial"/>
        </w:rPr>
        <w:t>RTS_INDIRECT_CLEARING</w:t>
      </w:r>
      <w:r w:rsidRPr="00C25863">
        <w:t>_</w:t>
      </w:r>
      <w:r>
        <w:t>1&gt;</w:t>
      </w:r>
    </w:p>
    <w:p w:rsidR="00656CD3" w:rsidRDefault="000F2EFC" w:rsidP="00656CD3">
      <w:pPr>
        <w:pStyle w:val="CPQuestions"/>
      </w:pPr>
      <w:r w:rsidRPr="00452D62">
        <w:t xml:space="preserve">Do you agree with the proposed approach for the requirements related to default management? Do you think there are alternative level 2 requirements </w:t>
      </w:r>
      <w:r>
        <w:t>(</w:t>
      </w:r>
      <w:r w:rsidRPr="00452D62">
        <w:t>compatible with the relevant insolvency regime situations and the level 1 mandate</w:t>
      </w:r>
      <w:r>
        <w:t xml:space="preserve">) </w:t>
      </w:r>
      <w:r w:rsidRPr="00452D62">
        <w:t xml:space="preserve">that would achieve </w:t>
      </w:r>
      <w:r>
        <w:t>better protections</w:t>
      </w:r>
      <w:r w:rsidR="00656CD3" w:rsidRPr="009D3687">
        <w:t>?</w:t>
      </w:r>
    </w:p>
    <w:p w:rsidR="00036453" w:rsidRDefault="00036453" w:rsidP="00036453">
      <w:pPr>
        <w:spacing w:after="0"/>
      </w:pPr>
      <w:r>
        <w:t>&lt;ESMA_QUESTION_RTS_INDIRECT_CLEARING_2&gt;</w:t>
      </w:r>
    </w:p>
    <w:p w:rsidR="008F484D" w:rsidRPr="00B003B0" w:rsidRDefault="008F484D" w:rsidP="00BB2C09">
      <w:pPr>
        <w:rPr>
          <w:rFonts w:ascii="Arial" w:hAnsi="Arial" w:cs="Arial"/>
          <w:szCs w:val="22"/>
        </w:rPr>
      </w:pPr>
      <w:permStart w:id="516583051" w:edGrp="everyone"/>
      <w:r w:rsidRPr="00B003B0">
        <w:rPr>
          <w:rFonts w:ascii="Arial" w:hAnsi="Arial" w:cs="Arial"/>
          <w:szCs w:val="22"/>
        </w:rPr>
        <w:t xml:space="preserve">The porting and liquidation arrangements in the proposed RTS appear to be based on an assumption by ESMA that, upon a client’s insolvency, the failure to return liquidation proceeds </w:t>
      </w:r>
      <w:r w:rsidRPr="00B003B0">
        <w:rPr>
          <w:rFonts w:ascii="Arial" w:hAnsi="Arial" w:cs="Arial"/>
          <w:szCs w:val="22"/>
        </w:rPr>
        <w:lastRenderedPageBreak/>
        <w:t xml:space="preserve">directly to an indirect client would necessarily be at risk of insolvency challenge or </w:t>
      </w:r>
      <w:r>
        <w:rPr>
          <w:rFonts w:ascii="Arial" w:hAnsi="Arial" w:cs="Arial"/>
          <w:szCs w:val="22"/>
        </w:rPr>
        <w:t>may be treated as</w:t>
      </w:r>
      <w:r w:rsidRPr="00B003B0">
        <w:rPr>
          <w:rFonts w:ascii="Arial" w:hAnsi="Arial" w:cs="Arial"/>
          <w:szCs w:val="22"/>
        </w:rPr>
        <w:t xml:space="preserve"> forming part of the client’s insolvency estate.</w:t>
      </w:r>
      <w:r w:rsidRPr="00B003B0">
        <w:rPr>
          <w:rFonts w:ascii="Arial" w:hAnsi="Arial" w:cs="Arial"/>
          <w:szCs w:val="22"/>
          <w:vertAlign w:val="superscript"/>
        </w:rPr>
        <w:footnoteReference w:id="24"/>
      </w:r>
      <w:r w:rsidRPr="00B003B0">
        <w:rPr>
          <w:rFonts w:ascii="Arial" w:hAnsi="Arial" w:cs="Arial"/>
          <w:szCs w:val="22"/>
        </w:rPr>
        <w:t xml:space="preserve">  The proposed RTS therefore require entry into specified contractual arrangements to address these concerns.  </w:t>
      </w:r>
    </w:p>
    <w:p w:rsidR="008F484D" w:rsidRPr="00B003B0" w:rsidRDefault="008F484D" w:rsidP="00BB2C09">
      <w:pPr>
        <w:rPr>
          <w:rFonts w:ascii="Arial" w:hAnsi="Arial" w:cs="Arial"/>
          <w:szCs w:val="22"/>
        </w:rPr>
      </w:pPr>
      <w:r w:rsidRPr="00B003B0">
        <w:rPr>
          <w:rFonts w:ascii="Arial" w:hAnsi="Arial" w:cs="Arial"/>
          <w:szCs w:val="22"/>
        </w:rPr>
        <w:t>We do not believe that the prescribed contractual arrangements should be the only permissible means of addressing ESMA’s concerns.  Instead, ESMA should recognize that its concerns can also be addressed through reliance on mandatory legal and regulatory provisions that meet or exceed the requirements of the proposed RTS relating to porting and liquidation.  In particular, the statutory FCM insolvency regime will apply independently of provisions in a customer contract and, as described in more detail below, these arrangements exceed the requirements of proposed Article 4(7) because they guarantee as a matter of law either porting or the return of liquidation proceeds outside the FCM’s general insolvency estate.</w:t>
      </w:r>
      <w:r w:rsidRPr="00B003B0">
        <w:rPr>
          <w:rFonts w:ascii="Arial" w:hAnsi="Arial" w:cs="Arial"/>
          <w:szCs w:val="22"/>
          <w:vertAlign w:val="superscript"/>
        </w:rPr>
        <w:footnoteReference w:id="25"/>
      </w:r>
    </w:p>
    <w:p w:rsidR="008F484D" w:rsidRPr="00B003B0" w:rsidRDefault="008F484D" w:rsidP="00BB2C09">
      <w:pPr>
        <w:rPr>
          <w:rFonts w:ascii="Arial" w:hAnsi="Arial" w:cs="Arial"/>
          <w:b/>
          <w:szCs w:val="22"/>
        </w:rPr>
      </w:pPr>
      <w:r w:rsidRPr="00B003B0">
        <w:rPr>
          <w:rFonts w:ascii="Arial" w:hAnsi="Arial" w:cs="Arial"/>
          <w:b/>
          <w:szCs w:val="22"/>
        </w:rPr>
        <w:t>Porting</w:t>
      </w:r>
    </w:p>
    <w:p w:rsidR="008F484D" w:rsidRPr="00B003B0" w:rsidRDefault="008F484D" w:rsidP="00BB2C09">
      <w:pPr>
        <w:rPr>
          <w:rFonts w:ascii="Arial" w:hAnsi="Arial" w:cs="Arial"/>
          <w:szCs w:val="22"/>
        </w:rPr>
      </w:pPr>
      <w:r w:rsidRPr="00EB7225">
        <w:rPr>
          <w:rFonts w:ascii="Arial" w:hAnsi="Arial" w:cs="Arial"/>
          <w:szCs w:val="22"/>
        </w:rPr>
        <w:t>Customer porting must occur within the scope of the FCM liquidation provisions of the Code and Part 190 of the CFTC Rules, which require the involvement of, and approval by, the trustee and the CFTC in porting of customer positions and assets</w:t>
      </w:r>
      <w:r>
        <w:rPr>
          <w:rFonts w:ascii="Arial" w:hAnsi="Arial" w:cs="Arial"/>
          <w:szCs w:val="22"/>
        </w:rPr>
        <w:t>.</w:t>
      </w:r>
      <w:r w:rsidRPr="00EB7225">
        <w:rPr>
          <w:rFonts w:ascii="Arial" w:hAnsi="Arial" w:cs="Arial"/>
          <w:szCs w:val="22"/>
        </w:rPr>
        <w:t xml:space="preserve">  </w:t>
      </w:r>
      <w:r w:rsidRPr="00FE21A3">
        <w:rPr>
          <w:rFonts w:ascii="Arial" w:hAnsi="Arial" w:cs="Arial"/>
          <w:szCs w:val="22"/>
        </w:rPr>
        <w:t xml:space="preserve">Accordingly, </w:t>
      </w:r>
      <w:r>
        <w:rPr>
          <w:rFonts w:ascii="Arial" w:hAnsi="Arial" w:cs="Arial"/>
          <w:szCs w:val="22"/>
        </w:rPr>
        <w:t xml:space="preserve">if an FCM were to enter into </w:t>
      </w:r>
      <w:r w:rsidRPr="00FE21A3">
        <w:rPr>
          <w:rFonts w:ascii="Arial" w:hAnsi="Arial" w:cs="Arial"/>
          <w:szCs w:val="22"/>
        </w:rPr>
        <w:t xml:space="preserve">the contractual </w:t>
      </w:r>
      <w:r>
        <w:rPr>
          <w:rFonts w:ascii="Arial" w:hAnsi="Arial" w:cs="Arial"/>
          <w:szCs w:val="22"/>
        </w:rPr>
        <w:t>arrangements</w:t>
      </w:r>
      <w:r w:rsidRPr="00FE21A3">
        <w:rPr>
          <w:rFonts w:ascii="Arial" w:hAnsi="Arial" w:cs="Arial"/>
          <w:szCs w:val="22"/>
        </w:rPr>
        <w:t xml:space="preserve"> contemplated by Article 4(7) of the proposed RTS</w:t>
      </w:r>
      <w:r>
        <w:rPr>
          <w:rFonts w:ascii="Arial" w:hAnsi="Arial" w:cs="Arial"/>
          <w:szCs w:val="22"/>
        </w:rPr>
        <w:t>, the</w:t>
      </w:r>
      <w:r w:rsidRPr="00FE21A3">
        <w:rPr>
          <w:rFonts w:ascii="Arial" w:hAnsi="Arial" w:cs="Arial"/>
          <w:szCs w:val="22"/>
        </w:rPr>
        <w:t xml:space="preserve"> FCM would </w:t>
      </w:r>
      <w:r>
        <w:rPr>
          <w:rFonts w:ascii="Arial" w:hAnsi="Arial" w:cs="Arial"/>
          <w:szCs w:val="22"/>
        </w:rPr>
        <w:t>be required to violate</w:t>
      </w:r>
      <w:r w:rsidRPr="00FE21A3">
        <w:rPr>
          <w:rFonts w:ascii="Arial" w:hAnsi="Arial" w:cs="Arial"/>
          <w:szCs w:val="22"/>
        </w:rPr>
        <w:t xml:space="preserve"> the Code and Part 190 of the CFTC Rules </w:t>
      </w:r>
      <w:r>
        <w:rPr>
          <w:rFonts w:ascii="Arial" w:hAnsi="Arial" w:cs="Arial"/>
          <w:szCs w:val="22"/>
        </w:rPr>
        <w:t xml:space="preserve">in order to take unilateral action pursuant to such contractual arrangements.  Such a result is unnecessary, </w:t>
      </w:r>
      <w:r w:rsidR="00A45E79">
        <w:rPr>
          <w:rFonts w:ascii="Arial" w:hAnsi="Arial" w:cs="Arial"/>
          <w:szCs w:val="22"/>
        </w:rPr>
        <w:t>because</w:t>
      </w:r>
      <w:r>
        <w:rPr>
          <w:rFonts w:ascii="Arial" w:hAnsi="Arial" w:cs="Arial"/>
          <w:szCs w:val="22"/>
        </w:rPr>
        <w:t xml:space="preserve"> t</w:t>
      </w:r>
      <w:r w:rsidRPr="00EB7225">
        <w:rPr>
          <w:rFonts w:ascii="Arial" w:hAnsi="Arial" w:cs="Arial"/>
          <w:szCs w:val="22"/>
        </w:rPr>
        <w:t>he legal arrangements for porting set out in the FCM insolvency regime are more likely</w:t>
      </w:r>
      <w:r w:rsidRPr="00B003B0">
        <w:rPr>
          <w:rFonts w:ascii="Arial" w:hAnsi="Arial" w:cs="Arial"/>
          <w:szCs w:val="22"/>
        </w:rPr>
        <w:t xml:space="preserve"> </w:t>
      </w:r>
      <w:r>
        <w:rPr>
          <w:rFonts w:ascii="Arial" w:hAnsi="Arial" w:cs="Arial"/>
          <w:szCs w:val="22"/>
        </w:rPr>
        <w:t xml:space="preserve">in any event </w:t>
      </w:r>
      <w:r w:rsidRPr="00B003B0">
        <w:rPr>
          <w:rFonts w:ascii="Arial" w:hAnsi="Arial" w:cs="Arial"/>
          <w:szCs w:val="22"/>
        </w:rPr>
        <w:t>to achieve porting of customer positions and assets, especially in a futures omnibus account, as compared with the approach in the proposed RTS</w:t>
      </w:r>
      <w:r>
        <w:rPr>
          <w:rFonts w:ascii="Arial" w:hAnsi="Arial" w:cs="Arial"/>
          <w:szCs w:val="22"/>
        </w:rPr>
        <w:t>, which</w:t>
      </w:r>
      <w:r w:rsidRPr="00B003B0">
        <w:rPr>
          <w:rFonts w:ascii="Arial" w:hAnsi="Arial" w:cs="Arial"/>
          <w:szCs w:val="22"/>
        </w:rPr>
        <w:t xml:space="preserve"> relies on the prior contractual agreement of all clients in the relevant account of an acceptable transferee.</w:t>
      </w:r>
    </w:p>
    <w:p w:rsidR="008F484D" w:rsidRPr="00B003B0" w:rsidRDefault="008F484D" w:rsidP="00BB2C09">
      <w:pPr>
        <w:rPr>
          <w:rFonts w:ascii="Arial" w:hAnsi="Arial" w:cs="Arial"/>
          <w:szCs w:val="22"/>
        </w:rPr>
      </w:pPr>
      <w:r w:rsidRPr="00B003B0">
        <w:rPr>
          <w:rFonts w:ascii="Arial" w:hAnsi="Arial" w:cs="Arial"/>
          <w:szCs w:val="22"/>
        </w:rPr>
        <w:t xml:space="preserve">We also note that the obligation to enter into contractual </w:t>
      </w:r>
      <w:r>
        <w:rPr>
          <w:rFonts w:ascii="Arial" w:hAnsi="Arial" w:cs="Arial"/>
          <w:szCs w:val="22"/>
        </w:rPr>
        <w:t>arrangements</w:t>
      </w:r>
      <w:r w:rsidRPr="00B003B0">
        <w:rPr>
          <w:rFonts w:ascii="Arial" w:hAnsi="Arial" w:cs="Arial"/>
          <w:szCs w:val="22"/>
        </w:rPr>
        <w:t xml:space="preserve"> relating to porting is subject to an overriding “obligation of means” principle introduced by ESMA, pursuant to which clearing members are not required to guarantee a particular result, in particular in light of the application of a third-country insolvency regime.  In our view, the “obligation of means” as applied to FCMs should be discharged through the operation of the FCM insolvency regime, which is designed to achieve materially similar outcomes as prescribed via the RTS, </w:t>
      </w:r>
      <w:r w:rsidRPr="00B003B0">
        <w:rPr>
          <w:rFonts w:ascii="Arial" w:hAnsi="Arial" w:cs="Arial"/>
          <w:i/>
          <w:szCs w:val="22"/>
        </w:rPr>
        <w:t>i.e.</w:t>
      </w:r>
      <w:r w:rsidRPr="00B003B0">
        <w:rPr>
          <w:rFonts w:ascii="Arial" w:hAnsi="Arial" w:cs="Arial"/>
          <w:szCs w:val="22"/>
        </w:rPr>
        <w:t xml:space="preserve">, porting where possible, otherwise return of liquidation amounts. In addition, the FCM liquidation regime applies automatically as a matter of statute and regulation rather than through enforcing contractual terms, which is less certain and potentially subject to a time- and cost-intensive process of interpretation and clarification.  We would also note that the FCM insolvency provisions relating to porting will apply at every level of a U.S. clearing chain as a result of the requirement for intermediaries </w:t>
      </w:r>
      <w:r w:rsidR="00D801F4">
        <w:rPr>
          <w:rFonts w:ascii="Arial" w:hAnsi="Arial" w:cs="Arial"/>
          <w:szCs w:val="22"/>
        </w:rPr>
        <w:t xml:space="preserve">located in the United States </w:t>
      </w:r>
      <w:r w:rsidRPr="00B003B0">
        <w:rPr>
          <w:rFonts w:ascii="Arial" w:hAnsi="Arial" w:cs="Arial"/>
          <w:szCs w:val="22"/>
        </w:rPr>
        <w:t xml:space="preserve">holding customer funds and assets to be registered as FCMs.  </w:t>
      </w:r>
    </w:p>
    <w:p w:rsidR="008F484D" w:rsidRPr="00B003B0" w:rsidRDefault="008F484D" w:rsidP="00BB2C09">
      <w:pPr>
        <w:rPr>
          <w:rFonts w:ascii="Arial" w:hAnsi="Arial" w:cs="Arial"/>
          <w:szCs w:val="22"/>
        </w:rPr>
      </w:pPr>
      <w:r w:rsidRPr="00B003B0">
        <w:rPr>
          <w:rFonts w:ascii="Arial" w:hAnsi="Arial" w:cs="Arial"/>
          <w:szCs w:val="22"/>
        </w:rPr>
        <w:lastRenderedPageBreak/>
        <w:t xml:space="preserve">Accordingly, FCM customers will always receive protections equivalent to, if not greater than, those required by Article 4(7) of the proposed RTS through the application of the statutory FCM insolvency regime, and FCMs should not be required to enter into any additional contractual commitments in this regard.  </w:t>
      </w:r>
    </w:p>
    <w:p w:rsidR="008F484D" w:rsidRPr="00B003B0" w:rsidRDefault="008F484D" w:rsidP="00BB2C09">
      <w:pPr>
        <w:rPr>
          <w:rFonts w:ascii="Arial" w:hAnsi="Arial" w:cs="Arial"/>
          <w:b/>
          <w:szCs w:val="22"/>
        </w:rPr>
      </w:pPr>
      <w:r w:rsidRPr="00B003B0">
        <w:rPr>
          <w:rFonts w:ascii="Arial" w:hAnsi="Arial" w:cs="Arial"/>
          <w:b/>
          <w:szCs w:val="22"/>
        </w:rPr>
        <w:t>Liquidation / “Leapfrog” Payment</w:t>
      </w:r>
    </w:p>
    <w:p w:rsidR="008F484D" w:rsidRPr="00B003B0" w:rsidRDefault="008F484D" w:rsidP="00BB2C09">
      <w:pPr>
        <w:rPr>
          <w:rFonts w:ascii="Arial" w:hAnsi="Arial" w:cs="Arial"/>
          <w:szCs w:val="22"/>
        </w:rPr>
      </w:pPr>
      <w:r w:rsidRPr="00B003B0">
        <w:rPr>
          <w:rFonts w:ascii="Arial" w:hAnsi="Arial" w:cs="Arial"/>
          <w:szCs w:val="22"/>
        </w:rPr>
        <w:t xml:space="preserve">As a matter of contract, an FCM would be permitted under the Bankruptcy Code to establish “robust procedures” and “contractual commitments” within the meaning of Article 4(7) to allow for the prompt liquidation of the assets and positions of indirect clients following the default of its client.  However, FCMs would not be able to comply with the Article 5(7) “leapfrog payment” requirement, </w:t>
      </w:r>
      <w:r w:rsidRPr="00B003B0">
        <w:rPr>
          <w:rFonts w:ascii="Arial" w:hAnsi="Arial" w:cs="Arial"/>
          <w:i/>
          <w:szCs w:val="22"/>
        </w:rPr>
        <w:t>i.e.</w:t>
      </w:r>
      <w:r w:rsidRPr="00B003B0">
        <w:rPr>
          <w:rFonts w:ascii="Arial" w:hAnsi="Arial" w:cs="Arial"/>
          <w:szCs w:val="22"/>
        </w:rPr>
        <w:t xml:space="preserve">, to return liquidation proceeds directly to the indirect clients in a GOISA upon the default of a client FCM.  This obligation is incompatible with the provisions of the Code and Part 190 of the CFTC Rules, which require such amounts to be returned to the trustee for distribution to the relevant customers.  </w:t>
      </w:r>
    </w:p>
    <w:p w:rsidR="008F484D" w:rsidRPr="00B003B0" w:rsidRDefault="008F484D" w:rsidP="00BB2C09">
      <w:pPr>
        <w:rPr>
          <w:rFonts w:ascii="Arial" w:hAnsi="Arial" w:cs="Arial"/>
          <w:szCs w:val="22"/>
        </w:rPr>
      </w:pPr>
      <w:r>
        <w:rPr>
          <w:rFonts w:ascii="Arial" w:hAnsi="Arial" w:cs="Arial"/>
          <w:szCs w:val="22"/>
        </w:rPr>
        <w:t>T</w:t>
      </w:r>
      <w:r w:rsidRPr="00B003B0">
        <w:rPr>
          <w:rFonts w:ascii="Arial" w:hAnsi="Arial" w:cs="Arial"/>
          <w:szCs w:val="22"/>
        </w:rPr>
        <w:t>his provision is subject to ESMA’s “obligation of means” principle.  For the same reasons set out above</w:t>
      </w:r>
      <w:r>
        <w:rPr>
          <w:rFonts w:ascii="Arial" w:hAnsi="Arial" w:cs="Arial"/>
          <w:szCs w:val="22"/>
        </w:rPr>
        <w:t xml:space="preserve"> in respect of porting</w:t>
      </w:r>
      <w:r w:rsidRPr="00B003B0">
        <w:rPr>
          <w:rFonts w:ascii="Arial" w:hAnsi="Arial" w:cs="Arial"/>
          <w:szCs w:val="22"/>
        </w:rPr>
        <w:t xml:space="preserve">, FCMs should not be required to enter into any additional contractual commitments relating to leapfrog payments on the basis that the mandatory FCM insolvency regime provides for the return of liquidation proceeds to the customers of an insolvent FCM.  </w:t>
      </w:r>
    </w:p>
    <w:p w:rsidR="008F484D" w:rsidRPr="00B003B0" w:rsidRDefault="008F484D" w:rsidP="00BB2C09">
      <w:pPr>
        <w:rPr>
          <w:rFonts w:ascii="Arial" w:hAnsi="Arial" w:cs="Arial"/>
          <w:szCs w:val="22"/>
        </w:rPr>
      </w:pPr>
      <w:r w:rsidRPr="00B003B0">
        <w:rPr>
          <w:rFonts w:ascii="Arial" w:hAnsi="Arial" w:cs="Arial"/>
          <w:szCs w:val="22"/>
        </w:rPr>
        <w:t xml:space="preserve">As important, the treatment of liquidation proceeds owed to customers in an FCM insolvency should satisfy the requirement in Article 5(8) of the proposed RTS that, where such amounts are returned to the insolvent FCM’s trustee, they do not form part of such FCM’s insolvency estate.  Although these proceeds are under the administration of the trustee along with the remainder of the insolvent FCM’s estate, the operation of the Code and Part 190 of the CFTC Rules provide that all such liquidation amounts for distribution to the insolvent FCM’s customers are wholly protected from bearing any losses forming part of the insolvent FCM’s general estate.  </w:t>
      </w:r>
    </w:p>
    <w:p w:rsidR="008F484D" w:rsidRPr="00B003B0" w:rsidRDefault="008F484D" w:rsidP="00BB2C09">
      <w:pPr>
        <w:rPr>
          <w:rFonts w:ascii="Arial" w:hAnsi="Arial" w:cs="Arial"/>
          <w:szCs w:val="22"/>
        </w:rPr>
      </w:pPr>
      <w:r w:rsidRPr="00B003B0">
        <w:rPr>
          <w:rFonts w:ascii="Arial" w:hAnsi="Arial" w:cs="Arial"/>
          <w:szCs w:val="22"/>
        </w:rPr>
        <w:t>Specifically, in the event of an FCM insolvency, all customer collateral will receive, as a class, the protections set out in the Code: “property held by or for the account of a customer, which is segregated on behalf of a specific account class, or readily traceable on the filing date to customers of such account class, must be allocated to the customer estate of the account class for which it is segregated or to which it is readily traceable”.</w:t>
      </w:r>
      <w:r w:rsidRPr="00B003B0">
        <w:rPr>
          <w:rStyle w:val="FootnoteReference"/>
          <w:rFonts w:ascii="Arial" w:hAnsi="Arial" w:cs="Arial"/>
          <w:sz w:val="22"/>
          <w:szCs w:val="22"/>
        </w:rPr>
        <w:footnoteReference w:id="26"/>
      </w:r>
      <w:r w:rsidRPr="00B003B0">
        <w:rPr>
          <w:rFonts w:ascii="Arial" w:hAnsi="Arial" w:cs="Arial"/>
          <w:szCs w:val="22"/>
        </w:rPr>
        <w:t xml:space="preserve">  Such amounts must be distributed “</w:t>
      </w:r>
      <w:proofErr w:type="spellStart"/>
      <w:r w:rsidRPr="00B003B0">
        <w:rPr>
          <w:rFonts w:ascii="Arial" w:hAnsi="Arial" w:cs="Arial"/>
          <w:szCs w:val="22"/>
        </w:rPr>
        <w:t>ratably</w:t>
      </w:r>
      <w:proofErr w:type="spellEnd"/>
      <w:r w:rsidRPr="00B003B0">
        <w:rPr>
          <w:rFonts w:ascii="Arial" w:hAnsi="Arial" w:cs="Arial"/>
          <w:szCs w:val="22"/>
        </w:rPr>
        <w:t xml:space="preserve"> to customers on the basis and to the extent of such customers’ allowed net equity claims, and in priority to all other claims”, except the costs of administration.</w:t>
      </w:r>
      <w:r w:rsidRPr="00B003B0">
        <w:rPr>
          <w:rStyle w:val="FootnoteReference"/>
          <w:rFonts w:ascii="Arial" w:hAnsi="Arial" w:cs="Arial"/>
          <w:sz w:val="22"/>
          <w:szCs w:val="22"/>
        </w:rPr>
        <w:footnoteReference w:id="27"/>
      </w:r>
      <w:r w:rsidRPr="00B003B0">
        <w:rPr>
          <w:rFonts w:ascii="Arial" w:hAnsi="Arial" w:cs="Arial"/>
          <w:szCs w:val="22"/>
        </w:rPr>
        <w:t xml:space="preserve"> This result meets or exceeds the requirements of Article 5(8) of the proposed RTS.</w:t>
      </w:r>
    </w:p>
    <w:p w:rsidR="008F484D" w:rsidRPr="00B003B0" w:rsidRDefault="008F484D" w:rsidP="00BB2C09">
      <w:pPr>
        <w:rPr>
          <w:rFonts w:ascii="Arial" w:hAnsi="Arial" w:cs="Arial"/>
          <w:szCs w:val="22"/>
        </w:rPr>
      </w:pPr>
      <w:r w:rsidRPr="00B003B0">
        <w:rPr>
          <w:rFonts w:ascii="Arial" w:hAnsi="Arial" w:cs="Arial"/>
          <w:b/>
          <w:szCs w:val="22"/>
        </w:rPr>
        <w:t>Clearing Member Obligations</w:t>
      </w:r>
    </w:p>
    <w:p w:rsidR="00036453" w:rsidRDefault="008F484D" w:rsidP="00036453">
      <w:pPr>
        <w:spacing w:after="0"/>
      </w:pPr>
      <w:r w:rsidRPr="00B003B0">
        <w:rPr>
          <w:rFonts w:ascii="Arial" w:hAnsi="Arial" w:cs="Arial"/>
          <w:szCs w:val="22"/>
        </w:rPr>
        <w:t xml:space="preserve">We agree with FIA Europe that it would be neither proportionate nor feasible for clearing members to perform </w:t>
      </w:r>
      <w:r w:rsidRPr="00B003B0">
        <w:rPr>
          <w:rFonts w:ascii="Arial" w:hAnsi="Arial" w:cs="Arial"/>
          <w:i/>
          <w:szCs w:val="22"/>
        </w:rPr>
        <w:t>ex ante</w:t>
      </w:r>
      <w:r w:rsidRPr="00B003B0">
        <w:rPr>
          <w:rFonts w:ascii="Arial" w:hAnsi="Arial" w:cs="Arial"/>
          <w:szCs w:val="22"/>
        </w:rPr>
        <w:t xml:space="preserve"> due diligence on all indirect clients in a clearing chain with a view to managing a </w:t>
      </w:r>
      <w:r w:rsidRPr="00B003B0">
        <w:rPr>
          <w:rFonts w:ascii="Arial" w:hAnsi="Arial" w:cs="Arial"/>
          <w:szCs w:val="22"/>
        </w:rPr>
        <w:lastRenderedPageBreak/>
        <w:t>client’s insolvency.  In particular, we urge ESMA to act on FIA Europe’s recommendation to issue a Q&amp;A document that provides greater clarity as to what is required of clearing members pursuant to Article 4(7) of the proposed RTS</w:t>
      </w:r>
      <w:r>
        <w:rPr>
          <w:rFonts w:ascii="Arial" w:hAnsi="Arial" w:cs="Arial"/>
          <w:szCs w:val="22"/>
        </w:rPr>
        <w:t>.</w:t>
      </w:r>
      <w:permEnd w:id="516583051"/>
    </w:p>
    <w:p w:rsidR="00656CD3" w:rsidRDefault="00036453" w:rsidP="00036453">
      <w:r>
        <w:t>&lt;ESMA_QUESTION_RTS_INDIRECT_CLEARING_2&gt;</w:t>
      </w:r>
    </w:p>
    <w:p w:rsidR="00656CD3" w:rsidRPr="00B62727" w:rsidRDefault="000F2EFC" w:rsidP="00656CD3">
      <w:pPr>
        <w:pStyle w:val="CPQuestions"/>
      </w:pPr>
      <w:r>
        <w:t>Do you agree that the proposed approach adequately</w:t>
      </w:r>
      <w:r w:rsidDel="00F9799A">
        <w:t xml:space="preserve"> </w:t>
      </w:r>
      <w:r>
        <w:t>addresses counterparty risk throughout the longer chain by ensuring an appropriate level of protection to indirect clients? If not, are there alternative approaches compatible with Level 1?</w:t>
      </w:r>
    </w:p>
    <w:p w:rsidR="00656CD3" w:rsidRDefault="00656CD3" w:rsidP="00036453">
      <w:pPr>
        <w:spacing w:after="0"/>
      </w:pPr>
      <w:r>
        <w:t>&lt;</w:t>
      </w:r>
      <w:r w:rsidR="00036453">
        <w:t>ESMA_QUESTION</w:t>
      </w:r>
      <w:r w:rsidR="00036453" w:rsidRPr="00C25863">
        <w:t>_</w:t>
      </w:r>
      <w:r w:rsidR="00036453">
        <w:rPr>
          <w:rFonts w:cs="Arial"/>
        </w:rPr>
        <w:t>RTS_INDIRECT_CLEARING</w:t>
      </w:r>
      <w:r>
        <w:t>_3&gt;</w:t>
      </w:r>
    </w:p>
    <w:p w:rsidR="00036453" w:rsidRDefault="008F484D" w:rsidP="00036453">
      <w:pPr>
        <w:spacing w:after="0"/>
      </w:pPr>
      <w:permStart w:id="759198681" w:edGrp="everyone"/>
      <w:r w:rsidRPr="00B003B0">
        <w:rPr>
          <w:rFonts w:ascii="Arial" w:hAnsi="Arial" w:cs="Arial"/>
          <w:szCs w:val="22"/>
        </w:rPr>
        <w:t xml:space="preserve">For the reasons set out in our responses to Q1 and Q2 above, we believe that, under the FCM customer funds protection regimes, indirect clients in a longer chain can be provided an appropriate level of protection through reliance on mandatory legal and regulatory provisions relating to customer segregation, porting and liquidation where such provisions provide a level of protection that at all times </w:t>
      </w:r>
      <w:r w:rsidR="00AA164E">
        <w:rPr>
          <w:rFonts w:ascii="Arial" w:hAnsi="Arial" w:cs="Arial"/>
          <w:szCs w:val="22"/>
        </w:rPr>
        <w:t>satisfies the underlying purposes of</w:t>
      </w:r>
      <w:r w:rsidR="00AA164E" w:rsidRPr="00B003B0">
        <w:rPr>
          <w:rFonts w:ascii="Arial" w:hAnsi="Arial" w:cs="Arial"/>
          <w:szCs w:val="22"/>
        </w:rPr>
        <w:t xml:space="preserve"> </w:t>
      </w:r>
      <w:r w:rsidR="00AA164E">
        <w:rPr>
          <w:rFonts w:ascii="Arial" w:hAnsi="Arial" w:cs="Arial"/>
          <w:szCs w:val="22"/>
        </w:rPr>
        <w:t xml:space="preserve">the </w:t>
      </w:r>
      <w:r w:rsidRPr="00B003B0">
        <w:rPr>
          <w:rFonts w:ascii="Arial" w:hAnsi="Arial" w:cs="Arial"/>
          <w:szCs w:val="22"/>
        </w:rPr>
        <w:t>RTS</w:t>
      </w:r>
      <w:r w:rsidR="00A45E79">
        <w:rPr>
          <w:rFonts w:ascii="Arial" w:hAnsi="Arial" w:cs="Arial"/>
          <w:szCs w:val="22"/>
        </w:rPr>
        <w:t xml:space="preserve">. </w:t>
      </w:r>
      <w:permEnd w:id="759198681"/>
    </w:p>
    <w:p w:rsidR="00656CD3" w:rsidRDefault="00656CD3" w:rsidP="00656CD3">
      <w:r>
        <w:t>&lt;</w:t>
      </w:r>
      <w:r w:rsidR="00036453">
        <w:t>ESMA_QUESTION</w:t>
      </w:r>
      <w:r w:rsidR="00036453" w:rsidRPr="00C25863">
        <w:t>_</w:t>
      </w:r>
      <w:r w:rsidR="00036453">
        <w:rPr>
          <w:rFonts w:cs="Arial"/>
        </w:rPr>
        <w:t>RTS_INDIRECT_CLEARING</w:t>
      </w:r>
      <w:r w:rsidR="00036453" w:rsidRPr="00C25863">
        <w:t>_</w:t>
      </w:r>
      <w:r>
        <w:t>3&gt;</w:t>
      </w:r>
    </w:p>
    <w:p w:rsidR="00656CD3" w:rsidRPr="00B62727" w:rsidRDefault="000F2EFC" w:rsidP="00656CD3">
      <w:pPr>
        <w:pStyle w:val="CPQuestions"/>
      </w:pPr>
      <w:r>
        <w:t>For longer chains, what other details (liquidation trigger and steps, flow and content of information, other) should be taken into account or what additional requirements or clarification should be provided in order to avoid potential difficulties when handling the default of a client or an indirect client facilitating clearing services?</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_4&gt;</w:t>
      </w:r>
    </w:p>
    <w:p w:rsidR="008F484D" w:rsidRPr="00B003B0" w:rsidRDefault="008F484D" w:rsidP="00BB2C09">
      <w:pPr>
        <w:rPr>
          <w:rFonts w:ascii="Arial" w:hAnsi="Arial" w:cs="Arial"/>
          <w:b/>
          <w:szCs w:val="22"/>
        </w:rPr>
      </w:pPr>
      <w:permStart w:id="1560551284" w:edGrp="everyone"/>
      <w:r w:rsidRPr="00B003B0">
        <w:rPr>
          <w:rFonts w:ascii="Arial" w:hAnsi="Arial" w:cs="Arial"/>
          <w:b/>
          <w:szCs w:val="22"/>
        </w:rPr>
        <w:t>Number of Accounts in Longer Chains</w:t>
      </w:r>
    </w:p>
    <w:p w:rsidR="008F484D" w:rsidRPr="00B003B0" w:rsidRDefault="008F484D" w:rsidP="00BB2C09">
      <w:pPr>
        <w:rPr>
          <w:rFonts w:ascii="Arial" w:hAnsi="Arial" w:cs="Arial"/>
          <w:szCs w:val="22"/>
        </w:rPr>
      </w:pPr>
      <w:r w:rsidRPr="00B003B0">
        <w:rPr>
          <w:rFonts w:ascii="Arial" w:hAnsi="Arial" w:cs="Arial"/>
          <w:szCs w:val="22"/>
        </w:rPr>
        <w:t>We share the concern expressed by FIA Europe in its response that, to the extent the proposed RTS require opening separate NOISAs and GOISAs at each step of a longer chain, this would mean a very substantial increase in the number of accounts to be opened, with a concomitant increase in operational burdens and the risk of operational errors in managing such a high number of accounts.  We support FIA Europe’s request for confirmation that, in line with ESMA’s stated preference for a “simpler” account structure for indirect clearing, that it would be sufficient for a clearing member to open a single NOISA or GOISA at the CCP level to hold the assets and positions of all of its indirect clients.</w:t>
      </w:r>
    </w:p>
    <w:p w:rsidR="008F484D" w:rsidRPr="00B003B0" w:rsidRDefault="008F484D" w:rsidP="00BB2C09">
      <w:pPr>
        <w:rPr>
          <w:rFonts w:ascii="Arial" w:hAnsi="Arial" w:cs="Arial"/>
          <w:szCs w:val="22"/>
        </w:rPr>
      </w:pPr>
      <w:r w:rsidRPr="00B003B0">
        <w:rPr>
          <w:rFonts w:ascii="Arial" w:hAnsi="Arial" w:cs="Arial"/>
          <w:b/>
          <w:szCs w:val="22"/>
        </w:rPr>
        <w:t>Reliance on Information Flow in Longer Chains</w:t>
      </w:r>
    </w:p>
    <w:p w:rsidR="008F484D" w:rsidRPr="00B003B0" w:rsidRDefault="008F484D" w:rsidP="00BB2C09">
      <w:pPr>
        <w:rPr>
          <w:rFonts w:ascii="Arial" w:hAnsi="Arial" w:cs="Arial"/>
          <w:szCs w:val="22"/>
        </w:rPr>
      </w:pPr>
      <w:r w:rsidRPr="00B003B0">
        <w:rPr>
          <w:rFonts w:ascii="Arial" w:hAnsi="Arial" w:cs="Arial"/>
          <w:szCs w:val="22"/>
        </w:rPr>
        <w:t>Article 5(9) of the proposed RTS would require clients to establish arrangements to provide each clearing member with “sufficient information” to identify, monitor and manage the risks of its clients (</w:t>
      </w:r>
      <w:r w:rsidRPr="00B003B0">
        <w:rPr>
          <w:rFonts w:ascii="Arial" w:hAnsi="Arial" w:cs="Arial"/>
          <w:i/>
          <w:szCs w:val="22"/>
        </w:rPr>
        <w:t>i.e.</w:t>
      </w:r>
      <w:r w:rsidRPr="00B003B0">
        <w:rPr>
          <w:rFonts w:ascii="Arial" w:hAnsi="Arial" w:cs="Arial"/>
          <w:szCs w:val="22"/>
        </w:rPr>
        <w:t xml:space="preserve">, the clearing member’s indirect clients), including the number of such clients and the jurisdiction in which each is located.  </w:t>
      </w:r>
      <w:r>
        <w:rPr>
          <w:rFonts w:ascii="Arial" w:hAnsi="Arial" w:cs="Arial"/>
          <w:szCs w:val="22"/>
        </w:rPr>
        <w:t>Although</w:t>
      </w:r>
      <w:r w:rsidRPr="00B003B0">
        <w:rPr>
          <w:rFonts w:ascii="Arial" w:hAnsi="Arial" w:cs="Arial"/>
          <w:szCs w:val="22"/>
        </w:rPr>
        <w:t xml:space="preserve"> this requirement is operationally burdensome in respect of a basic indirect clearing arrangement, it becomes significantly more challenging in longer chains as the ability of the client to obtain such information directly from each level of underlying indirect client may be drastically limited.  </w:t>
      </w:r>
    </w:p>
    <w:p w:rsidR="00C74FBD" w:rsidRDefault="008F484D" w:rsidP="00C74FBD">
      <w:pPr>
        <w:spacing w:after="0"/>
      </w:pPr>
      <w:r w:rsidRPr="00B003B0">
        <w:rPr>
          <w:rFonts w:ascii="Arial" w:hAnsi="Arial" w:cs="Arial"/>
          <w:szCs w:val="22"/>
        </w:rPr>
        <w:t xml:space="preserve">Accordingly, to the extent such a requirement remains in the final RTS, we request ESMA’s confirmation that: (1) clients are permitted to rely on reasonable representations from their indirect </w:t>
      </w:r>
      <w:r w:rsidRPr="00B003B0">
        <w:rPr>
          <w:rFonts w:ascii="Arial" w:hAnsi="Arial" w:cs="Arial"/>
          <w:szCs w:val="22"/>
        </w:rPr>
        <w:lastRenderedPageBreak/>
        <w:t xml:space="preserve">clients as to the accuracy of the identifying information provided from each further step along a longer chain; and (2) the right to rely on reasonable representations applies </w:t>
      </w:r>
      <w:r w:rsidRPr="00B003B0">
        <w:rPr>
          <w:rFonts w:ascii="Arial" w:hAnsi="Arial" w:cs="Arial"/>
          <w:i/>
          <w:szCs w:val="22"/>
        </w:rPr>
        <w:t>mutatis mutandis</w:t>
      </w:r>
      <w:r w:rsidRPr="00B003B0">
        <w:rPr>
          <w:rFonts w:ascii="Arial" w:hAnsi="Arial" w:cs="Arial"/>
          <w:szCs w:val="22"/>
        </w:rPr>
        <w:t xml:space="preserve"> at each subsequent link down a longer chain, </w:t>
      </w:r>
      <w:r w:rsidRPr="00B003B0">
        <w:rPr>
          <w:rFonts w:ascii="Arial" w:hAnsi="Arial" w:cs="Arial"/>
          <w:i/>
          <w:szCs w:val="22"/>
        </w:rPr>
        <w:t>i.e.</w:t>
      </w:r>
      <w:r w:rsidRPr="00B003B0">
        <w:rPr>
          <w:rFonts w:ascii="Arial" w:hAnsi="Arial" w:cs="Arial"/>
          <w:szCs w:val="22"/>
        </w:rPr>
        <w:t>, a first-level indirect client would rely on reasonable representations from a second-level indirect client in respect of its third-level indirect clients, and so on</w:t>
      </w:r>
      <w:r>
        <w:rPr>
          <w:rFonts w:ascii="Arial" w:hAnsi="Arial" w:cs="Arial"/>
          <w:szCs w:val="22"/>
        </w:rPr>
        <w:t>.</w:t>
      </w:r>
      <w:r w:rsidR="007E7AC8">
        <w:t xml:space="preserve"> </w:t>
      </w:r>
      <w:permEnd w:id="1560551284"/>
    </w:p>
    <w:p w:rsidR="00656CD3" w:rsidRDefault="00C74FBD" w:rsidP="00C74FBD">
      <w:pPr>
        <w:spacing w:after="0"/>
      </w:pPr>
      <w:r>
        <w:t>&lt;ESMA_QUESTION</w:t>
      </w:r>
      <w:r w:rsidRPr="00C25863">
        <w:t>_</w:t>
      </w:r>
      <w:r>
        <w:rPr>
          <w:rFonts w:cs="Arial"/>
        </w:rPr>
        <w:t>RTS_INDIRECT_CLEARING</w:t>
      </w:r>
      <w:r w:rsidRPr="00C25863">
        <w:t>_</w:t>
      </w:r>
      <w:r>
        <w:t>4</w:t>
      </w:r>
      <w:r w:rsidR="00656CD3">
        <w:t>&gt;</w:t>
      </w:r>
    </w:p>
    <w:p w:rsidR="00656CD3" w:rsidRPr="00B62727" w:rsidRDefault="000F2EFC" w:rsidP="00656CD3">
      <w:pPr>
        <w:pStyle w:val="CPQuestions"/>
      </w:pPr>
      <w:r>
        <w:t>Do you consider that the new provision assigning by default to the indirect client the choice of an omnibus indirect account following reasonable efforts from the client to receive an instruction is appropriate? If not, what other considerations should be taken into account</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_5&gt;</w:t>
      </w:r>
    </w:p>
    <w:p w:rsidR="00C74FBD" w:rsidRDefault="00C74FBD" w:rsidP="00C74FBD">
      <w:pPr>
        <w:spacing w:after="0"/>
      </w:pPr>
      <w:permStart w:id="965683674" w:edGrp="everyone"/>
      <w:r>
        <w:t>[TYPE YOUR TEXT HERE]</w:t>
      </w:r>
      <w:permEnd w:id="965683674"/>
    </w:p>
    <w:p w:rsidR="00656CD3" w:rsidRDefault="00C74FBD" w:rsidP="00C74FBD">
      <w:r>
        <w:t>&lt;ESMA_QUESTION</w:t>
      </w:r>
      <w:r w:rsidRPr="00C25863">
        <w:t>_</w:t>
      </w:r>
      <w:r>
        <w:rPr>
          <w:rFonts w:cs="Arial"/>
        </w:rPr>
        <w:t>RTS_INDIRECT_CLEARING</w:t>
      </w:r>
      <w:r w:rsidRPr="00C25863">
        <w:t>_</w:t>
      </w:r>
      <w:r w:rsidR="00656CD3">
        <w:t>5&gt;</w:t>
      </w:r>
    </w:p>
    <w:p w:rsidR="00656CD3" w:rsidRDefault="000F2EFC" w:rsidP="00656CD3">
      <w:pPr>
        <w:pStyle w:val="CPQuestions"/>
      </w:pPr>
      <w:r>
        <w:t>Do you consider appropriate that the collateral provided on top of the amount of margin the indirect client is called for is treated in accordance with the contractual arrangements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_6&gt;</w:t>
      </w:r>
    </w:p>
    <w:p w:rsidR="00C74FBD" w:rsidRDefault="00C74FBD" w:rsidP="00C74FBD">
      <w:pPr>
        <w:spacing w:after="0"/>
      </w:pPr>
      <w:permStart w:id="502880906" w:edGrp="everyone"/>
      <w:r>
        <w:t>[TYPE YOUR TEXT HERE]</w:t>
      </w:r>
      <w:permEnd w:id="502880906"/>
    </w:p>
    <w:p w:rsidR="00656CD3" w:rsidRDefault="00C74FBD" w:rsidP="00C74FBD">
      <w:r>
        <w:t>&lt;ESMA_QUESTION</w:t>
      </w:r>
      <w:r w:rsidRPr="00C25863">
        <w:t>_</w:t>
      </w:r>
      <w:r>
        <w:rPr>
          <w:rFonts w:cs="Arial"/>
        </w:rPr>
        <w:t>RTS_INDIRECT_CLEARING</w:t>
      </w:r>
      <w:r w:rsidRPr="00C25863">
        <w:t>_</w:t>
      </w:r>
      <w:r>
        <w:t>6</w:t>
      </w:r>
      <w:r w:rsidR="00656CD3">
        <w:t>&gt;</w:t>
      </w:r>
    </w:p>
    <w:p w:rsidR="00656CD3" w:rsidRPr="00C24BCA" w:rsidRDefault="000F2EFC" w:rsidP="00656CD3">
      <w:pPr>
        <w:pStyle w:val="CPQuestions"/>
      </w:pPr>
      <w:r>
        <w:t>In view of the different amendments described above, do you consider that this set of requirements ensures a level of protection with equivalent effect as referred to in Articles 39 and 48 of EMIR for indirect clients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_7&gt;</w:t>
      </w:r>
    </w:p>
    <w:p w:rsidR="00C74FBD" w:rsidRDefault="00C74FBD" w:rsidP="00C74FBD">
      <w:pPr>
        <w:spacing w:after="0"/>
      </w:pPr>
      <w:permStart w:id="1467682414" w:edGrp="everyone"/>
      <w:r>
        <w:t>[TYPE YOUR TEXT HERE]</w:t>
      </w:r>
      <w:permEnd w:id="1467682414"/>
    </w:p>
    <w:p w:rsidR="00656CD3" w:rsidRDefault="00C74FBD" w:rsidP="00C74FBD">
      <w:r>
        <w:t>&lt;ESMA_QUESTION</w:t>
      </w:r>
      <w:r w:rsidRPr="00C25863">
        <w:t>_</w:t>
      </w:r>
      <w:r>
        <w:rPr>
          <w:rFonts w:cs="Arial"/>
        </w:rPr>
        <w:t>RTS_INDIRECT_CLEARING</w:t>
      </w:r>
      <w:r w:rsidRPr="00C25863">
        <w:t>_</w:t>
      </w:r>
      <w:r w:rsidR="00656CD3">
        <w:t>7&gt;</w:t>
      </w:r>
    </w:p>
    <w:p w:rsidR="00656CD3" w:rsidRPr="00C24BCA" w:rsidRDefault="000F2EFC" w:rsidP="00656CD3">
      <w:pPr>
        <w:pStyle w:val="CPQuestions"/>
      </w:pPr>
      <w:r>
        <w:t>Please indicate your answers to the cost-benefit survey</w:t>
      </w:r>
      <w:r w:rsidR="00656CD3" w:rsidRPr="002A38B9">
        <w:t xml:space="preserve">? </w:t>
      </w:r>
      <w:r w:rsidR="00656CD3">
        <w:t xml:space="preserve"> </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_8&gt;</w:t>
      </w:r>
    </w:p>
    <w:p w:rsidR="00C74FBD" w:rsidRDefault="00C74FBD" w:rsidP="00C74FBD">
      <w:pPr>
        <w:spacing w:after="0"/>
      </w:pPr>
      <w:permStart w:id="292052521" w:edGrp="everyone"/>
      <w:r>
        <w:t>[TYPE YOUR TEXT HERE]</w:t>
      </w:r>
      <w:permEnd w:id="292052521"/>
    </w:p>
    <w:p w:rsidR="00656CD3" w:rsidRDefault="00C74FBD" w:rsidP="00C74FBD">
      <w:r>
        <w:t>&lt;ESMA_QUESTION</w:t>
      </w:r>
      <w:r w:rsidRPr="00C25863">
        <w:t>_</w:t>
      </w:r>
      <w:r>
        <w:rPr>
          <w:rFonts w:cs="Arial"/>
        </w:rPr>
        <w:t>RTS_INDIRECT_CLEARING</w:t>
      </w:r>
      <w:r w:rsidRPr="00C25863">
        <w:t>_</w:t>
      </w:r>
      <w:r>
        <w:t>8</w:t>
      </w:r>
      <w:r w:rsidR="00656CD3">
        <w:t>&gt;</w:t>
      </w:r>
    </w:p>
    <w:p w:rsidR="000F2EFC" w:rsidRDefault="000F2EFC" w:rsidP="000F2EFC">
      <w:pPr>
        <w:pStyle w:val="CPQuestions"/>
      </w:pPr>
      <w:r>
        <w:t>Do you have any comments on the draft RTS under EMIR not already covered in the previous questions?</w:t>
      </w:r>
    </w:p>
    <w:p w:rsidR="000F2EFC" w:rsidRDefault="000F2EFC" w:rsidP="000F2EFC">
      <w:pPr>
        <w:spacing w:after="0"/>
      </w:pPr>
      <w:r>
        <w:t>&lt;ESMA_QUESTION</w:t>
      </w:r>
      <w:r w:rsidRPr="00C25863">
        <w:t>_</w:t>
      </w:r>
      <w:r>
        <w:rPr>
          <w:rFonts w:cs="Arial"/>
        </w:rPr>
        <w:t>RTS_INDIRECT_CLEARING</w:t>
      </w:r>
      <w:r>
        <w:t>_9&gt;</w:t>
      </w:r>
    </w:p>
    <w:p w:rsidR="008F484D" w:rsidRPr="00B003B0" w:rsidRDefault="008F484D" w:rsidP="00BB2C09">
      <w:pPr>
        <w:rPr>
          <w:rFonts w:ascii="Arial" w:hAnsi="Arial" w:cs="Arial"/>
          <w:szCs w:val="22"/>
        </w:rPr>
      </w:pPr>
      <w:permStart w:id="2012415519" w:edGrp="everyone"/>
      <w:r w:rsidRPr="00B003B0">
        <w:rPr>
          <w:rFonts w:ascii="Arial" w:hAnsi="Arial" w:cs="Arial"/>
          <w:szCs w:val="22"/>
        </w:rPr>
        <w:t xml:space="preserve">Articles 4(5) and 5(4) of the proposed RTS call for the establishment of segregated accounts at the CCP level for the “exclusive purpose” of holding indirect client positions and assets.  FCMs are not expressly prohibited from agreeing to open such accounts.  </w:t>
      </w:r>
    </w:p>
    <w:p w:rsidR="008F484D" w:rsidRPr="00B003B0" w:rsidRDefault="008F484D" w:rsidP="00BB2C09">
      <w:pPr>
        <w:rPr>
          <w:rFonts w:ascii="Arial" w:hAnsi="Arial" w:cs="Arial"/>
          <w:szCs w:val="22"/>
        </w:rPr>
      </w:pPr>
      <w:r w:rsidRPr="00B003B0">
        <w:rPr>
          <w:rFonts w:ascii="Arial" w:hAnsi="Arial" w:cs="Arial"/>
          <w:szCs w:val="22"/>
        </w:rPr>
        <w:lastRenderedPageBreak/>
        <w:t xml:space="preserve">However, as noted in our introductory comments, the Code protects customer assets and positions on an account class basis and provides for the application of </w:t>
      </w:r>
      <w:r w:rsidRPr="00B003B0">
        <w:rPr>
          <w:rFonts w:ascii="Arial" w:hAnsi="Arial" w:cs="Arial"/>
          <w:i/>
          <w:szCs w:val="22"/>
        </w:rPr>
        <w:t>pro rata</w:t>
      </w:r>
      <w:r w:rsidRPr="00B003B0">
        <w:rPr>
          <w:rFonts w:ascii="Arial" w:hAnsi="Arial" w:cs="Arial"/>
          <w:szCs w:val="22"/>
        </w:rPr>
        <w:t xml:space="preserve"> loss sharing arising from the positions and assets of the FCM’s other customers in the same account class.  Accordingly, customers in a given account class may face losses either as a consequence of fellow-customer risk (as in a futures customer account) or due to the failure of the FCM to treat customer money in accordance with the customer protection requirements of the CEA and CFTC Rules (which would apply equally to an LSOC account and a futures customer account).  </w:t>
      </w:r>
    </w:p>
    <w:p w:rsidR="008F484D" w:rsidRPr="00B003B0" w:rsidRDefault="008F484D" w:rsidP="00BB2C09">
      <w:pPr>
        <w:rPr>
          <w:rFonts w:ascii="Arial" w:hAnsi="Arial" w:cs="Arial"/>
          <w:szCs w:val="22"/>
        </w:rPr>
      </w:pPr>
      <w:r w:rsidRPr="00B003B0">
        <w:rPr>
          <w:rFonts w:ascii="Arial" w:hAnsi="Arial" w:cs="Arial"/>
          <w:szCs w:val="22"/>
        </w:rPr>
        <w:t xml:space="preserve">This risk of </w:t>
      </w:r>
      <w:r w:rsidRPr="00B003B0">
        <w:rPr>
          <w:rFonts w:ascii="Arial" w:hAnsi="Arial" w:cs="Arial"/>
          <w:i/>
          <w:szCs w:val="22"/>
        </w:rPr>
        <w:t>pro rata</w:t>
      </w:r>
      <w:r w:rsidRPr="00B003B0">
        <w:rPr>
          <w:rFonts w:ascii="Arial" w:hAnsi="Arial" w:cs="Arial"/>
          <w:szCs w:val="22"/>
        </w:rPr>
        <w:t xml:space="preserve"> loss sharing between indirect clients is a feature of the proposed NOISA, and we therefore do not see any particular conflict between the proposed RTS and the provisions of the Code. However, there remains some uncertainty whether Articles 4(5) and 5(4) of the proposed RTS are intended to eliminate entirely all </w:t>
      </w:r>
      <w:proofErr w:type="spellStart"/>
      <w:r w:rsidRPr="00B003B0">
        <w:rPr>
          <w:rFonts w:ascii="Arial" w:hAnsi="Arial" w:cs="Arial"/>
          <w:szCs w:val="22"/>
        </w:rPr>
        <w:t>mutuali</w:t>
      </w:r>
      <w:r>
        <w:rPr>
          <w:rFonts w:ascii="Arial" w:hAnsi="Arial" w:cs="Arial"/>
          <w:szCs w:val="22"/>
        </w:rPr>
        <w:t>z</w:t>
      </w:r>
      <w:r w:rsidRPr="00B003B0">
        <w:rPr>
          <w:rFonts w:ascii="Arial" w:hAnsi="Arial" w:cs="Arial"/>
          <w:szCs w:val="22"/>
        </w:rPr>
        <w:t>ation</w:t>
      </w:r>
      <w:proofErr w:type="spellEnd"/>
      <w:r w:rsidRPr="00B003B0">
        <w:rPr>
          <w:rFonts w:ascii="Arial" w:hAnsi="Arial" w:cs="Arial"/>
          <w:szCs w:val="22"/>
        </w:rPr>
        <w:t xml:space="preserve"> of risk between indirect clients in a GOISA.  Specifically, Article 4(3) of MiFIR and Article 30(1) of MiFIR require that indirect clearing arrangements have “equivalent effect” to Articles 39 and 48 of EMIR, which require no loss </w:t>
      </w:r>
      <w:proofErr w:type="spellStart"/>
      <w:r w:rsidRPr="00B003B0">
        <w:rPr>
          <w:rFonts w:ascii="Arial" w:hAnsi="Arial" w:cs="Arial"/>
          <w:szCs w:val="22"/>
        </w:rPr>
        <w:t>mutuali</w:t>
      </w:r>
      <w:r>
        <w:rPr>
          <w:rFonts w:ascii="Arial" w:hAnsi="Arial" w:cs="Arial"/>
          <w:szCs w:val="22"/>
        </w:rPr>
        <w:t>z</w:t>
      </w:r>
      <w:r w:rsidRPr="00B003B0">
        <w:rPr>
          <w:rFonts w:ascii="Arial" w:hAnsi="Arial" w:cs="Arial"/>
          <w:szCs w:val="22"/>
        </w:rPr>
        <w:t>ation</w:t>
      </w:r>
      <w:proofErr w:type="spellEnd"/>
      <w:r w:rsidRPr="00B003B0">
        <w:rPr>
          <w:rFonts w:ascii="Arial" w:hAnsi="Arial" w:cs="Arial"/>
          <w:szCs w:val="22"/>
        </w:rPr>
        <w:t xml:space="preserve"> across individually segregated accounts.  ESMA argues in the Consultation Paper that individually segregated indirect client accounts are not necessary because indirect clients in the proposed GOISA would “overall” receive protections of “equivalent effect” to individual segregation.  Despite this claim, the text of Recital (12) to the proposed RTS contemplates some risk of exposure between indirect clients in a GOISA in the event of a client’s insolvency.  </w:t>
      </w:r>
    </w:p>
    <w:p w:rsidR="000F2EFC" w:rsidRDefault="008F484D" w:rsidP="000F2EFC">
      <w:pPr>
        <w:spacing w:after="0"/>
      </w:pPr>
      <w:r w:rsidRPr="00B003B0">
        <w:rPr>
          <w:rFonts w:ascii="Arial" w:hAnsi="Arial" w:cs="Arial"/>
          <w:szCs w:val="22"/>
        </w:rPr>
        <w:t xml:space="preserve">We would invite ESMA to clarify that there is no inconsistency between these provisions and to confirm that indirect clients in a GOISA may face some limited risk of </w:t>
      </w:r>
      <w:r w:rsidRPr="00B003B0">
        <w:rPr>
          <w:rFonts w:ascii="Arial" w:hAnsi="Arial" w:cs="Arial"/>
          <w:i/>
          <w:szCs w:val="22"/>
        </w:rPr>
        <w:t xml:space="preserve">pro rata </w:t>
      </w:r>
      <w:r w:rsidRPr="00B003B0">
        <w:rPr>
          <w:rFonts w:ascii="Arial" w:hAnsi="Arial" w:cs="Arial"/>
          <w:szCs w:val="22"/>
        </w:rPr>
        <w:t xml:space="preserve">loss sharing in the event of a client’s insolvency.  This conclusion would be consistent with the operation of an FCM’s LSOC accounts which, as described in greater detail above, effectively eliminate fellow-customer risk but do not necessarily eliminate </w:t>
      </w:r>
      <w:r w:rsidRPr="00B003B0">
        <w:rPr>
          <w:rFonts w:ascii="Arial" w:hAnsi="Arial" w:cs="Arial"/>
          <w:szCs w:val="22"/>
          <w:u w:val="single"/>
        </w:rPr>
        <w:t>all</w:t>
      </w:r>
      <w:r w:rsidRPr="00B003B0">
        <w:rPr>
          <w:rFonts w:ascii="Arial" w:hAnsi="Arial" w:cs="Arial"/>
          <w:szCs w:val="22"/>
        </w:rPr>
        <w:t xml:space="preserve"> risk of </w:t>
      </w:r>
      <w:r w:rsidRPr="00B003B0">
        <w:rPr>
          <w:rFonts w:ascii="Arial" w:hAnsi="Arial" w:cs="Arial"/>
          <w:i/>
          <w:szCs w:val="22"/>
        </w:rPr>
        <w:t>pro rata</w:t>
      </w:r>
      <w:r w:rsidRPr="00B003B0">
        <w:rPr>
          <w:rFonts w:ascii="Arial" w:hAnsi="Arial" w:cs="Arial"/>
          <w:szCs w:val="22"/>
        </w:rPr>
        <w:t xml:space="preserve"> sharing of losses that may arise as a consequence of an FCM’s failure to comply with CEA and CFTC segregation requirements</w:t>
      </w:r>
      <w:r>
        <w:rPr>
          <w:rFonts w:ascii="Arial" w:hAnsi="Arial" w:cs="Arial"/>
          <w:szCs w:val="22"/>
        </w:rPr>
        <w:t>.</w:t>
      </w:r>
      <w:permEnd w:id="2012415519"/>
    </w:p>
    <w:p w:rsidR="000F2EFC" w:rsidRDefault="000F2EFC" w:rsidP="000F2EFC">
      <w:r>
        <w:t>&lt;ESMA_QUESTION</w:t>
      </w:r>
      <w:r w:rsidRPr="00C25863">
        <w:t>_</w:t>
      </w:r>
      <w:r>
        <w:rPr>
          <w:rFonts w:cs="Arial"/>
        </w:rPr>
        <w:t>RTS_INDIRECT_CLEARING</w:t>
      </w:r>
      <w:r w:rsidRPr="00C25863">
        <w:t>_</w:t>
      </w:r>
      <w:r>
        <w:t>9&gt;</w:t>
      </w:r>
    </w:p>
    <w:p w:rsidR="000F2EFC" w:rsidRDefault="000F2EFC" w:rsidP="000F2EFC">
      <w:pPr>
        <w:pStyle w:val="CPQuestions"/>
      </w:pPr>
      <w:r>
        <w:t>Do you have any comments on the draft RTS under MiFIR not already covered in the previous questions?</w:t>
      </w:r>
    </w:p>
    <w:p w:rsidR="000F2EFC" w:rsidRDefault="000F2EFC" w:rsidP="000F2EFC">
      <w:pPr>
        <w:spacing w:after="0"/>
      </w:pPr>
      <w:r>
        <w:t>&lt;ESMA_QUESTION</w:t>
      </w:r>
      <w:r w:rsidRPr="00C25863">
        <w:t>_</w:t>
      </w:r>
      <w:r>
        <w:rPr>
          <w:rFonts w:cs="Arial"/>
        </w:rPr>
        <w:t>RTS_INDIRECT_CLEARING</w:t>
      </w:r>
      <w:r>
        <w:t>_10&gt;</w:t>
      </w:r>
    </w:p>
    <w:p w:rsidR="000F2EFC" w:rsidRDefault="003E43D7" w:rsidP="000F2EFC">
      <w:pPr>
        <w:spacing w:after="0"/>
      </w:pPr>
      <w:permStart w:id="1580167371" w:edGrp="everyone"/>
      <w:r>
        <w:t>Please see our response to Q9 above</w:t>
      </w:r>
      <w:r w:rsidR="008F484D">
        <w:t>.</w:t>
      </w:r>
      <w:permEnd w:id="1580167371"/>
    </w:p>
    <w:p w:rsidR="000F2EFC" w:rsidRDefault="000F2EFC" w:rsidP="000F2EFC">
      <w:r>
        <w:t>&lt;ESMA_QUESTION</w:t>
      </w:r>
      <w:r w:rsidRPr="00C25863">
        <w:t>_</w:t>
      </w:r>
      <w:r>
        <w:rPr>
          <w:rFonts w:cs="Arial"/>
        </w:rPr>
        <w:t>RTS_INDIRECT_CLEARING</w:t>
      </w:r>
      <w:r w:rsidRPr="00C25863">
        <w:t>_</w:t>
      </w:r>
      <w:r w:rsidR="00143AE6">
        <w:t>10</w:t>
      </w:r>
      <w:r>
        <w:t>&gt;</w:t>
      </w:r>
    </w:p>
    <w:p w:rsidR="00656CD3" w:rsidRDefault="00656CD3">
      <w:pPr>
        <w:spacing w:after="120" w:line="264" w:lineRule="auto"/>
        <w:jc w:val="left"/>
      </w:pPr>
    </w:p>
    <w:sectPr w:rsidR="00656CD3" w:rsidSect="0042048F">
      <w:headerReference w:type="default" r:id="rId18"/>
      <w:footerReference w:type="default" r:id="rId19"/>
      <w:pgSz w:w="11906" w:h="16838"/>
      <w:pgMar w:top="1417" w:right="707" w:bottom="1417" w:left="1417" w:header="708" w:footer="708" w:gutter="0"/>
      <w:cols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68" w:rsidRDefault="00844568" w:rsidP="007E7997">
      <w:pPr>
        <w:spacing w:line="240" w:lineRule="auto"/>
      </w:pPr>
      <w:r>
        <w:separator/>
      </w:r>
    </w:p>
  </w:endnote>
  <w:endnote w:type="continuationSeparator" w:id="0">
    <w:p w:rsidR="00844568" w:rsidRDefault="00844568"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68" w:rsidRDefault="008445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68" w:rsidRDefault="008445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68" w:rsidRDefault="00844568">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5 November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3036"/>
      <w:docPartObj>
        <w:docPartGallery w:val="Page Numbers (Bottom of Page)"/>
        <w:docPartUnique/>
      </w:docPartObj>
    </w:sdtPr>
    <w:sdtEndPr>
      <w:rPr>
        <w:noProof/>
      </w:rPr>
    </w:sdtEndPr>
    <w:sdtContent>
      <w:p w:rsidR="00844568" w:rsidRDefault="00844568" w:rsidP="00B73281">
        <w:pPr>
          <w:pStyle w:val="Footer"/>
          <w:jc w:val="right"/>
        </w:pPr>
        <w:r>
          <w:fldChar w:fldCharType="begin"/>
        </w:r>
        <w:r>
          <w:instrText xml:space="preserve"> PAGE   \* MERGEFORMAT </w:instrText>
        </w:r>
        <w:r>
          <w:fldChar w:fldCharType="separate"/>
        </w:r>
        <w:r w:rsidR="00E41CB8">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68" w:rsidRDefault="00844568" w:rsidP="007E7997">
      <w:pPr>
        <w:spacing w:line="240" w:lineRule="auto"/>
      </w:pPr>
      <w:r>
        <w:separator/>
      </w:r>
    </w:p>
  </w:footnote>
  <w:footnote w:type="continuationSeparator" w:id="0">
    <w:p w:rsidR="00844568" w:rsidRDefault="00844568" w:rsidP="007E7997">
      <w:pPr>
        <w:spacing w:line="240" w:lineRule="auto"/>
      </w:pPr>
      <w:r>
        <w:continuationSeparator/>
      </w:r>
    </w:p>
  </w:footnote>
  <w:footnote w:id="1">
    <w:p w:rsidR="008F484D" w:rsidRPr="002C59A8" w:rsidRDefault="008F484D" w:rsidP="008F484D">
      <w:pPr>
        <w:pStyle w:val="FootnoteText"/>
        <w:spacing w:before="120" w:after="120"/>
        <w:rPr>
          <w:rFonts w:ascii="Arial" w:hAnsi="Arial" w:cs="Arial"/>
          <w:b/>
        </w:rPr>
      </w:pPr>
      <w:r w:rsidRPr="002C59A8">
        <w:rPr>
          <w:rStyle w:val="FootnoteReference"/>
          <w:rFonts w:ascii="Arial" w:hAnsi="Arial" w:cs="Arial"/>
        </w:rPr>
        <w:footnoteRef/>
      </w:r>
      <w:r w:rsidRPr="002C59A8">
        <w:rPr>
          <w:rFonts w:ascii="Arial" w:hAnsi="Arial" w:cs="Arial"/>
        </w:rPr>
        <w:t xml:space="preserve"> </w:t>
      </w:r>
      <w:r w:rsidRPr="002C59A8">
        <w:rPr>
          <w:rFonts w:ascii="Arial" w:hAnsi="Arial" w:cs="Arial"/>
        </w:rPr>
        <w:tab/>
      </w:r>
      <w:r w:rsidRPr="002C59A8">
        <w:rPr>
          <w:rFonts w:ascii="Arial" w:hAnsi="Arial" w:cs="Arial"/>
          <w:lang w:val="en"/>
        </w:rPr>
        <w:t>FIA is the leading trade organization for the futures, options and cleared swaps markets worldwide.  FIA’s membership includes firms from more than 25 countries as well as technology vendors, lawyers and other professionals serving the industry.  FIA’s mission is to support open, transparent and competitive markets, protect and enhance the integrity of the financial system, and promote high standards of professional conduct.</w:t>
      </w:r>
      <w:r w:rsidRPr="002C59A8" w:rsidDel="00441C0F">
        <w:rPr>
          <w:rFonts w:ascii="Arial" w:hAnsi="Arial" w:cs="Arial"/>
        </w:rPr>
        <w:t xml:space="preserve"> </w:t>
      </w:r>
    </w:p>
  </w:footnote>
  <w:footnote w:id="2">
    <w:p w:rsidR="008F484D" w:rsidRPr="005D19F7" w:rsidRDefault="008F484D" w:rsidP="008F484D">
      <w:pPr>
        <w:pStyle w:val="FootnoteText"/>
        <w:spacing w:before="120" w:after="120"/>
        <w:rPr>
          <w:rFonts w:ascii="Arial" w:hAnsi="Arial" w:cs="Arial"/>
        </w:rPr>
      </w:pPr>
      <w:r w:rsidRPr="002C59A8">
        <w:rPr>
          <w:rStyle w:val="FootnoteReference"/>
          <w:rFonts w:ascii="Arial" w:hAnsi="Arial" w:cs="Arial"/>
        </w:rPr>
        <w:footnoteRef/>
      </w:r>
      <w:r w:rsidRPr="002C59A8">
        <w:rPr>
          <w:rFonts w:ascii="Arial" w:hAnsi="Arial" w:cs="Arial"/>
        </w:rPr>
        <w:t xml:space="preserve"> </w:t>
      </w:r>
      <w:r w:rsidRPr="002C59A8">
        <w:rPr>
          <w:rFonts w:ascii="Arial" w:hAnsi="Arial" w:cs="Arial"/>
        </w:rPr>
        <w:tab/>
      </w:r>
      <w:r w:rsidRPr="005D19F7">
        <w:rPr>
          <w:rFonts w:ascii="Arial" w:hAnsi="Arial" w:cs="Arial"/>
        </w:rPr>
        <w:t xml:space="preserve">This conclusion would be consistent with the approach taken by ESMA in respect of OTC derivatives under EMIR.  Specifically, ESMA recognized that the segregation requirements in Article 39 of EMIR apply only to EU CCPs, </w:t>
      </w:r>
      <w:r w:rsidRPr="005D19F7">
        <w:rPr>
          <w:rFonts w:ascii="Arial" w:hAnsi="Arial" w:cs="Arial"/>
          <w:i/>
        </w:rPr>
        <w:t>i.e.</w:t>
      </w:r>
      <w:r w:rsidRPr="005D19F7">
        <w:rPr>
          <w:rFonts w:ascii="Arial" w:hAnsi="Arial" w:cs="Arial"/>
        </w:rPr>
        <w:t>, CCPs authorized pursuant to Article</w:t>
      </w:r>
      <w:r>
        <w:rPr>
          <w:rFonts w:ascii="Arial" w:hAnsi="Arial" w:cs="Arial"/>
        </w:rPr>
        <w:t xml:space="preserve"> 14</w:t>
      </w:r>
      <w:r w:rsidRPr="005D19F7">
        <w:rPr>
          <w:rFonts w:ascii="Arial" w:hAnsi="Arial" w:cs="Arial"/>
        </w:rPr>
        <w:t xml:space="preserve"> of EMIR.  </w:t>
      </w:r>
      <w:r w:rsidRPr="005D19F7">
        <w:rPr>
          <w:rFonts w:ascii="Arial" w:hAnsi="Arial" w:cs="Arial"/>
          <w:i/>
        </w:rPr>
        <w:t>See</w:t>
      </w:r>
      <w:r w:rsidRPr="005D19F7">
        <w:rPr>
          <w:rFonts w:ascii="Arial" w:hAnsi="Arial" w:cs="Arial"/>
        </w:rPr>
        <w:t xml:space="preserve"> CCP Question 8(j), ESMA 2015/775, “Questions and Answers: Implementation of Regulation No 648/2012 on OTC derivatives, central counterparties and trade repositories (EMIR)”, 27 April 2015 (“</w:t>
      </w:r>
      <w:r w:rsidRPr="005D19F7">
        <w:rPr>
          <w:rFonts w:ascii="Arial" w:hAnsi="Arial" w:cs="Arial"/>
          <w:b/>
        </w:rPr>
        <w:t>EMIR Q&amp;A</w:t>
      </w:r>
      <w:r w:rsidRPr="005D19F7">
        <w:rPr>
          <w:rFonts w:ascii="Arial" w:hAnsi="Arial" w:cs="Arial"/>
        </w:rPr>
        <w:t xml:space="preserve">”).  </w:t>
      </w:r>
    </w:p>
  </w:footnote>
  <w:footnote w:id="3">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 xml:space="preserve">This </w:t>
      </w:r>
      <w:r>
        <w:rPr>
          <w:rFonts w:ascii="Arial" w:hAnsi="Arial" w:cs="Arial"/>
        </w:rPr>
        <w:t>acknowledgment corresponds to</w:t>
      </w:r>
      <w:r w:rsidRPr="005D19F7">
        <w:rPr>
          <w:rFonts w:ascii="Arial" w:hAnsi="Arial" w:cs="Arial"/>
        </w:rPr>
        <w:t xml:space="preserve"> the position taken by ESMA that insolvency regimes in third-country jurisdictions may prohibit clearing members from complying with </w:t>
      </w:r>
      <w:r>
        <w:rPr>
          <w:rFonts w:ascii="Arial" w:hAnsi="Arial" w:cs="Arial"/>
        </w:rPr>
        <w:t xml:space="preserve">the segregation requirements in </w:t>
      </w:r>
      <w:r w:rsidRPr="005D19F7">
        <w:rPr>
          <w:rFonts w:ascii="Arial" w:hAnsi="Arial" w:cs="Arial"/>
        </w:rPr>
        <w:t xml:space="preserve">Article 39 of EMIR and, in such a case, a client is permitted to “opt out”, provided that client is given sufficient disclosure of the risks of opting out.  </w:t>
      </w:r>
      <w:r w:rsidRPr="005D19F7">
        <w:rPr>
          <w:rFonts w:ascii="Arial" w:hAnsi="Arial" w:cs="Arial"/>
          <w:i/>
        </w:rPr>
        <w:t>See</w:t>
      </w:r>
      <w:r w:rsidRPr="005D19F7">
        <w:rPr>
          <w:rFonts w:ascii="Arial" w:hAnsi="Arial" w:cs="Arial"/>
        </w:rPr>
        <w:t xml:space="preserve"> CCP Question 8(i), EMIR Q&amp;A.</w:t>
      </w:r>
    </w:p>
  </w:footnote>
  <w:footnote w:id="4">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r>
      <w:r w:rsidRPr="005D19F7">
        <w:rPr>
          <w:rFonts w:ascii="Arial" w:hAnsi="Arial" w:cs="Arial"/>
          <w:i/>
        </w:rPr>
        <w:t>See, generally,</w:t>
      </w:r>
      <w:r w:rsidRPr="005D19F7">
        <w:rPr>
          <w:rFonts w:ascii="Arial" w:hAnsi="Arial" w:cs="Arial"/>
        </w:rPr>
        <w:t xml:space="preserve"> CEA Section 4d(a)(2), 7 U.S.C. § 6</w:t>
      </w:r>
      <w:r>
        <w:rPr>
          <w:rFonts w:ascii="Arial" w:hAnsi="Arial" w:cs="Arial"/>
        </w:rPr>
        <w:t>d</w:t>
      </w:r>
      <w:r w:rsidRPr="005D19F7">
        <w:rPr>
          <w:rFonts w:ascii="Arial" w:hAnsi="Arial" w:cs="Arial"/>
        </w:rPr>
        <w:t>(</w:t>
      </w:r>
      <w:r>
        <w:rPr>
          <w:rFonts w:ascii="Arial" w:hAnsi="Arial" w:cs="Arial"/>
        </w:rPr>
        <w:t>a</w:t>
      </w:r>
      <w:r w:rsidRPr="005D19F7">
        <w:rPr>
          <w:rFonts w:ascii="Arial" w:hAnsi="Arial" w:cs="Arial"/>
        </w:rPr>
        <w:t>)(2), with respect to U.S. futures; CEA Section 4d(f), 7 U.S.C. § 6</w:t>
      </w:r>
      <w:r>
        <w:rPr>
          <w:rFonts w:ascii="Arial" w:hAnsi="Arial" w:cs="Arial"/>
        </w:rPr>
        <w:t>d</w:t>
      </w:r>
      <w:r w:rsidRPr="005D19F7">
        <w:rPr>
          <w:rFonts w:ascii="Arial" w:hAnsi="Arial" w:cs="Arial"/>
        </w:rPr>
        <w:t>(</w:t>
      </w:r>
      <w:r>
        <w:rPr>
          <w:rFonts w:ascii="Arial" w:hAnsi="Arial" w:cs="Arial"/>
        </w:rPr>
        <w:t>f)</w:t>
      </w:r>
      <w:r w:rsidRPr="005D19F7">
        <w:rPr>
          <w:rFonts w:ascii="Arial" w:hAnsi="Arial" w:cs="Arial"/>
        </w:rPr>
        <w:t>, with respect to cleared swaps; and CFTC Rule 30.7, 17 C.F.R. § 30.7, with respect to non-U.S. futures.</w:t>
      </w:r>
    </w:p>
  </w:footnote>
  <w:footnote w:id="5">
    <w:p w:rsidR="008F484D" w:rsidRPr="001E2375" w:rsidRDefault="008F484D" w:rsidP="008F484D">
      <w:pPr>
        <w:pStyle w:val="FootnoteText"/>
        <w:spacing w:before="120" w:after="120"/>
        <w:rPr>
          <w:rFonts w:ascii="Arial" w:hAnsi="Arial" w:cs="Arial"/>
        </w:rPr>
      </w:pPr>
      <w:r w:rsidRPr="001E2375">
        <w:rPr>
          <w:rStyle w:val="FootnoteReference"/>
          <w:rFonts w:ascii="Arial" w:hAnsi="Arial" w:cs="Arial"/>
        </w:rPr>
        <w:footnoteRef/>
      </w:r>
      <w:r w:rsidRPr="001E2375">
        <w:rPr>
          <w:rFonts w:ascii="Arial" w:hAnsi="Arial" w:cs="Arial"/>
        </w:rPr>
        <w:t xml:space="preserve"> </w:t>
      </w:r>
      <w:r>
        <w:rPr>
          <w:rFonts w:ascii="Arial" w:hAnsi="Arial" w:cs="Arial"/>
        </w:rPr>
        <w:tab/>
        <w:t>CFTC Rule 1.20(e), 22.2(c), and 30.7(e), 17 C.F.R. §§ 1.20(a), 22.2(c) and 30.7(e).</w:t>
      </w:r>
    </w:p>
  </w:footnote>
  <w:footnote w:id="6">
    <w:p w:rsidR="008F484D" w:rsidRPr="004E2D26" w:rsidRDefault="008F484D" w:rsidP="008F484D">
      <w:pPr>
        <w:pStyle w:val="FootnoteText"/>
        <w:spacing w:before="120" w:after="120"/>
        <w:rPr>
          <w:rFonts w:ascii="Arial" w:hAnsi="Arial" w:cs="Arial"/>
        </w:rPr>
      </w:pPr>
      <w:r w:rsidRPr="004E2D26">
        <w:rPr>
          <w:rStyle w:val="FootnoteReference"/>
          <w:rFonts w:ascii="Arial" w:hAnsi="Arial" w:cs="Arial"/>
        </w:rPr>
        <w:footnoteRef/>
      </w:r>
      <w:r w:rsidRPr="004E2D26">
        <w:rPr>
          <w:rFonts w:ascii="Arial" w:hAnsi="Arial" w:cs="Arial"/>
        </w:rPr>
        <w:t xml:space="preserve"> </w:t>
      </w:r>
      <w:r w:rsidRPr="004E2D26">
        <w:rPr>
          <w:rFonts w:ascii="Arial" w:hAnsi="Arial" w:cs="Arial"/>
        </w:rPr>
        <w:tab/>
      </w:r>
      <w:r>
        <w:rPr>
          <w:rFonts w:ascii="Arial" w:hAnsi="Arial" w:cs="Arial"/>
        </w:rPr>
        <w:t xml:space="preserve">CFTC </w:t>
      </w:r>
      <w:r w:rsidRPr="004E2D26">
        <w:rPr>
          <w:rFonts w:ascii="Arial" w:hAnsi="Arial" w:cs="Arial"/>
        </w:rPr>
        <w:t>Rule 190.01(a)(1), 17 C.F.R. § 190.01(a)(1).</w:t>
      </w:r>
    </w:p>
  </w:footnote>
  <w:footnote w:id="7">
    <w:p w:rsidR="008F484D" w:rsidRPr="004E2D26" w:rsidRDefault="008F484D" w:rsidP="008F484D">
      <w:pPr>
        <w:pStyle w:val="FootnoteText"/>
        <w:spacing w:before="120" w:after="120"/>
        <w:rPr>
          <w:rFonts w:ascii="Arial" w:hAnsi="Arial" w:cs="Arial"/>
        </w:rPr>
      </w:pPr>
      <w:r w:rsidRPr="004E2D26">
        <w:rPr>
          <w:rStyle w:val="FootnoteReference"/>
          <w:rFonts w:ascii="Arial" w:hAnsi="Arial" w:cs="Arial"/>
        </w:rPr>
        <w:footnoteRef/>
      </w:r>
      <w:r w:rsidRPr="004E2D26">
        <w:rPr>
          <w:rFonts w:ascii="Arial" w:hAnsi="Arial" w:cs="Arial"/>
        </w:rPr>
        <w:t xml:space="preserve"> </w:t>
      </w:r>
      <w:r w:rsidRPr="004E2D26">
        <w:rPr>
          <w:rFonts w:ascii="Arial" w:hAnsi="Arial" w:cs="Arial"/>
        </w:rPr>
        <w:tab/>
      </w:r>
      <w:r>
        <w:rPr>
          <w:rFonts w:ascii="Arial" w:hAnsi="Arial" w:cs="Arial"/>
        </w:rPr>
        <w:t xml:space="preserve">CFTC </w:t>
      </w:r>
      <w:r w:rsidRPr="004E2D26">
        <w:rPr>
          <w:rFonts w:ascii="Arial" w:hAnsi="Arial" w:cs="Arial"/>
        </w:rPr>
        <w:t>Rule 1.20(</w:t>
      </w:r>
      <w:r>
        <w:rPr>
          <w:rFonts w:ascii="Arial" w:hAnsi="Arial" w:cs="Arial"/>
        </w:rPr>
        <w:t>e</w:t>
      </w:r>
      <w:r w:rsidRPr="004E2D26">
        <w:rPr>
          <w:rFonts w:ascii="Arial" w:hAnsi="Arial" w:cs="Arial"/>
        </w:rPr>
        <w:t>), 22.2(</w:t>
      </w:r>
      <w:r>
        <w:rPr>
          <w:rFonts w:ascii="Arial" w:hAnsi="Arial" w:cs="Arial"/>
        </w:rPr>
        <w:t>c</w:t>
      </w:r>
      <w:r w:rsidRPr="004E2D26">
        <w:rPr>
          <w:rFonts w:ascii="Arial" w:hAnsi="Arial" w:cs="Arial"/>
        </w:rPr>
        <w:t>), and 30.7(</w:t>
      </w:r>
      <w:r>
        <w:rPr>
          <w:rFonts w:ascii="Arial" w:hAnsi="Arial" w:cs="Arial"/>
        </w:rPr>
        <w:t>e</w:t>
      </w:r>
      <w:r w:rsidRPr="004E2D26">
        <w:rPr>
          <w:rFonts w:ascii="Arial" w:hAnsi="Arial" w:cs="Arial"/>
        </w:rPr>
        <w:t>), 17 C.F.R. §§ 1.20(a), 22.2(</w:t>
      </w:r>
      <w:r>
        <w:rPr>
          <w:rFonts w:ascii="Arial" w:hAnsi="Arial" w:cs="Arial"/>
        </w:rPr>
        <w:t>c</w:t>
      </w:r>
      <w:r w:rsidRPr="004E2D26">
        <w:rPr>
          <w:rFonts w:ascii="Arial" w:hAnsi="Arial" w:cs="Arial"/>
        </w:rPr>
        <w:t>) and 30.7(</w:t>
      </w:r>
      <w:r>
        <w:rPr>
          <w:rFonts w:ascii="Arial" w:hAnsi="Arial" w:cs="Arial"/>
        </w:rPr>
        <w:t>e</w:t>
      </w:r>
      <w:r w:rsidRPr="004E2D26">
        <w:rPr>
          <w:rFonts w:ascii="Arial" w:hAnsi="Arial" w:cs="Arial"/>
        </w:rPr>
        <w:t>).</w:t>
      </w:r>
    </w:p>
  </w:footnote>
  <w:footnote w:id="8">
    <w:p w:rsidR="008F484D" w:rsidRPr="00F27112" w:rsidRDefault="008F484D" w:rsidP="008F484D">
      <w:pPr>
        <w:pStyle w:val="FootnoteText"/>
        <w:spacing w:before="120" w:after="120"/>
        <w:rPr>
          <w:rFonts w:ascii="Arial" w:hAnsi="Arial" w:cs="Arial"/>
        </w:rPr>
      </w:pPr>
      <w:r w:rsidRPr="0020663D">
        <w:rPr>
          <w:rStyle w:val="FootnoteReference"/>
          <w:rFonts w:ascii="Arial" w:hAnsi="Arial" w:cs="Arial"/>
        </w:rPr>
        <w:footnoteRef/>
      </w:r>
      <w:r w:rsidRPr="0020663D">
        <w:rPr>
          <w:rFonts w:ascii="Arial" w:hAnsi="Arial" w:cs="Arial"/>
        </w:rPr>
        <w:t xml:space="preserve"> </w:t>
      </w:r>
      <w:r>
        <w:rPr>
          <w:rFonts w:ascii="Arial" w:hAnsi="Arial" w:cs="Arial"/>
        </w:rPr>
        <w:tab/>
      </w:r>
      <w:r w:rsidRPr="00F27112">
        <w:rPr>
          <w:rFonts w:ascii="Arial" w:hAnsi="Arial" w:cs="Arial"/>
        </w:rPr>
        <w:t xml:space="preserve">CEA Section 4d(f), 7 U.S.C. § 6d(f); </w:t>
      </w:r>
      <w:r w:rsidR="00A45E79">
        <w:rPr>
          <w:rFonts w:ascii="Arial" w:hAnsi="Arial" w:cs="Arial"/>
        </w:rPr>
        <w:t>CFTC</w:t>
      </w:r>
      <w:r w:rsidRPr="00F27112">
        <w:rPr>
          <w:rFonts w:ascii="Arial" w:hAnsi="Arial" w:cs="Arial"/>
        </w:rPr>
        <w:t xml:space="preserve"> Rule 22.2(d), 17 C.F.R. § 22.2(d).</w:t>
      </w:r>
    </w:p>
  </w:footnote>
  <w:footnote w:id="9">
    <w:p w:rsidR="008F484D" w:rsidRPr="00F27112" w:rsidRDefault="008F484D" w:rsidP="008F484D">
      <w:pPr>
        <w:pStyle w:val="FootnoteText"/>
        <w:spacing w:before="120" w:after="120"/>
        <w:rPr>
          <w:rFonts w:ascii="Arial" w:hAnsi="Arial" w:cs="Arial"/>
        </w:rPr>
      </w:pPr>
      <w:r w:rsidRPr="00F27112">
        <w:rPr>
          <w:rStyle w:val="FootnoteReference"/>
          <w:rFonts w:ascii="Arial" w:hAnsi="Arial" w:cs="Arial"/>
        </w:rPr>
        <w:footnoteRef/>
      </w:r>
      <w:r w:rsidRPr="00F27112">
        <w:rPr>
          <w:rFonts w:ascii="Arial" w:hAnsi="Arial" w:cs="Arial"/>
        </w:rPr>
        <w:t xml:space="preserve"> </w:t>
      </w:r>
      <w:r w:rsidRPr="00F27112">
        <w:rPr>
          <w:rFonts w:ascii="Arial" w:hAnsi="Arial" w:cs="Arial"/>
        </w:rPr>
        <w:tab/>
      </w:r>
      <w:r>
        <w:rPr>
          <w:rFonts w:ascii="Arial" w:hAnsi="Arial" w:cs="Arial"/>
        </w:rPr>
        <w:t xml:space="preserve">CFTC </w:t>
      </w:r>
      <w:r w:rsidRPr="00F27112">
        <w:rPr>
          <w:rFonts w:ascii="Arial" w:hAnsi="Arial" w:cs="Arial"/>
        </w:rPr>
        <w:t>Rule 22.12, 17 C.F.R. § 22.12.</w:t>
      </w:r>
    </w:p>
  </w:footnote>
  <w:footnote w:id="10">
    <w:p w:rsidR="008F484D" w:rsidRPr="00736909" w:rsidRDefault="008F484D" w:rsidP="008F484D">
      <w:pPr>
        <w:pStyle w:val="FootnoteText"/>
        <w:spacing w:before="120" w:after="120"/>
        <w:rPr>
          <w:rFonts w:ascii="Arial" w:hAnsi="Arial" w:cs="Arial"/>
        </w:rPr>
      </w:pPr>
      <w:r w:rsidRPr="004E2D26">
        <w:rPr>
          <w:rStyle w:val="FootnoteReference"/>
          <w:rFonts w:ascii="Arial" w:hAnsi="Arial" w:cs="Arial"/>
        </w:rPr>
        <w:footnoteRef/>
      </w:r>
      <w:r w:rsidRPr="004E2D26">
        <w:rPr>
          <w:rFonts w:ascii="Arial" w:hAnsi="Arial" w:cs="Arial"/>
        </w:rPr>
        <w:t xml:space="preserve"> </w:t>
      </w:r>
      <w:r w:rsidRPr="004E2D26">
        <w:rPr>
          <w:rFonts w:ascii="Arial" w:hAnsi="Arial" w:cs="Arial"/>
        </w:rPr>
        <w:tab/>
      </w:r>
      <w:r>
        <w:rPr>
          <w:rFonts w:ascii="Arial" w:hAnsi="Arial" w:cs="Arial"/>
        </w:rPr>
        <w:t xml:space="preserve">CFTC </w:t>
      </w:r>
      <w:r w:rsidRPr="00F27112">
        <w:rPr>
          <w:rFonts w:ascii="Arial" w:hAnsi="Arial" w:cs="Arial"/>
        </w:rPr>
        <w:t>Rule 22.1</w:t>
      </w:r>
      <w:r>
        <w:rPr>
          <w:rFonts w:ascii="Arial" w:hAnsi="Arial" w:cs="Arial"/>
        </w:rPr>
        <w:t>3</w:t>
      </w:r>
      <w:r w:rsidRPr="00F27112">
        <w:rPr>
          <w:rFonts w:ascii="Arial" w:hAnsi="Arial" w:cs="Arial"/>
        </w:rPr>
        <w:t>, 17 C.F.R. § 22.1</w:t>
      </w:r>
      <w:r>
        <w:rPr>
          <w:rFonts w:ascii="Arial" w:hAnsi="Arial" w:cs="Arial"/>
        </w:rPr>
        <w:t>3</w:t>
      </w:r>
      <w:r w:rsidRPr="00F27112">
        <w:rPr>
          <w:rFonts w:ascii="Arial" w:hAnsi="Arial" w:cs="Arial"/>
        </w:rPr>
        <w:t>.</w:t>
      </w:r>
      <w:r>
        <w:rPr>
          <w:rFonts w:ascii="Arial" w:hAnsi="Arial" w:cs="Arial"/>
        </w:rPr>
        <w:t xml:space="preserve">  </w:t>
      </w:r>
      <w:r w:rsidRPr="004E2D26">
        <w:rPr>
          <w:rFonts w:ascii="Arial" w:hAnsi="Arial" w:cs="Arial"/>
        </w:rPr>
        <w:t>For example</w:t>
      </w:r>
      <w:r>
        <w:rPr>
          <w:rFonts w:ascii="Arial" w:hAnsi="Arial" w:cs="Arial"/>
        </w:rPr>
        <w:t>, b</w:t>
      </w:r>
      <w:r w:rsidRPr="005D19F7">
        <w:rPr>
          <w:rFonts w:ascii="Arial" w:hAnsi="Arial" w:cs="Arial"/>
        </w:rPr>
        <w:t xml:space="preserve">oth ICE Clear Europe and LCH.Clearnet Limited have adopted rules that permit clearing member FCMs to deposit excess cleared </w:t>
      </w:r>
      <w:r w:rsidRPr="00736909">
        <w:rPr>
          <w:rFonts w:ascii="Arial" w:hAnsi="Arial" w:cs="Arial"/>
        </w:rPr>
        <w:t xml:space="preserve">swaps customer collateral. </w:t>
      </w:r>
    </w:p>
  </w:footnote>
  <w:footnote w:id="11">
    <w:p w:rsidR="008F484D" w:rsidRPr="00736909" w:rsidRDefault="008F484D" w:rsidP="008F484D">
      <w:pPr>
        <w:pStyle w:val="FootnoteText"/>
        <w:spacing w:before="120" w:after="120"/>
        <w:rPr>
          <w:rFonts w:ascii="Arial" w:hAnsi="Arial" w:cs="Arial"/>
        </w:rPr>
      </w:pPr>
      <w:r w:rsidRPr="00736909">
        <w:rPr>
          <w:rStyle w:val="FootnoteReference"/>
          <w:rFonts w:ascii="Arial" w:hAnsi="Arial" w:cs="Arial"/>
        </w:rPr>
        <w:footnoteRef/>
      </w:r>
      <w:r w:rsidRPr="00736909">
        <w:rPr>
          <w:rFonts w:ascii="Arial" w:hAnsi="Arial" w:cs="Arial"/>
        </w:rPr>
        <w:t xml:space="preserve"> </w:t>
      </w:r>
      <w:r w:rsidRPr="00736909">
        <w:rPr>
          <w:rFonts w:ascii="Arial" w:hAnsi="Arial" w:cs="Arial"/>
        </w:rPr>
        <w:tab/>
      </w:r>
      <w:r>
        <w:rPr>
          <w:rFonts w:ascii="Arial" w:hAnsi="Arial" w:cs="Arial"/>
        </w:rPr>
        <w:t xml:space="preserve">CFTC </w:t>
      </w:r>
      <w:r w:rsidRPr="00736909">
        <w:rPr>
          <w:rFonts w:ascii="Arial" w:hAnsi="Arial" w:cs="Arial"/>
        </w:rPr>
        <w:t>Rule 1.37, 17 C.F.R. § 1.37.</w:t>
      </w:r>
    </w:p>
  </w:footnote>
  <w:footnote w:id="12">
    <w:p w:rsidR="008F484D" w:rsidRPr="00736909" w:rsidRDefault="008F484D" w:rsidP="008F484D">
      <w:pPr>
        <w:pStyle w:val="FootnoteText"/>
        <w:spacing w:before="120" w:after="120"/>
        <w:rPr>
          <w:rFonts w:ascii="Arial" w:hAnsi="Arial" w:cs="Arial"/>
        </w:rPr>
      </w:pPr>
      <w:r w:rsidRPr="00736909">
        <w:rPr>
          <w:rStyle w:val="FootnoteReference"/>
          <w:rFonts w:ascii="Arial" w:hAnsi="Arial" w:cs="Arial"/>
        </w:rPr>
        <w:footnoteRef/>
      </w:r>
      <w:r w:rsidRPr="00736909">
        <w:rPr>
          <w:rFonts w:ascii="Arial" w:hAnsi="Arial" w:cs="Arial"/>
        </w:rPr>
        <w:t xml:space="preserve"> </w:t>
      </w:r>
      <w:r w:rsidRPr="00736909">
        <w:rPr>
          <w:rFonts w:ascii="Arial" w:hAnsi="Arial" w:cs="Arial"/>
        </w:rPr>
        <w:tab/>
      </w:r>
      <w:r>
        <w:rPr>
          <w:rFonts w:ascii="Arial" w:hAnsi="Arial" w:cs="Arial"/>
        </w:rPr>
        <w:t xml:space="preserve">CFTC </w:t>
      </w:r>
      <w:r w:rsidRPr="00736909">
        <w:rPr>
          <w:rFonts w:ascii="Arial" w:hAnsi="Arial" w:cs="Arial"/>
        </w:rPr>
        <w:t>Rule 1.33, 17 C.F.R. § 1.33.</w:t>
      </w:r>
    </w:p>
  </w:footnote>
  <w:footnote w:id="13">
    <w:p w:rsidR="008F484D" w:rsidRPr="00736909" w:rsidRDefault="008F484D" w:rsidP="008F484D">
      <w:pPr>
        <w:pStyle w:val="FootnoteText"/>
        <w:spacing w:before="120" w:after="120"/>
        <w:rPr>
          <w:rFonts w:ascii="Arial" w:hAnsi="Arial" w:cs="Arial"/>
        </w:rPr>
      </w:pPr>
      <w:r w:rsidRPr="00736909">
        <w:rPr>
          <w:rStyle w:val="FootnoteReference"/>
          <w:rFonts w:ascii="Arial" w:hAnsi="Arial" w:cs="Arial"/>
        </w:rPr>
        <w:footnoteRef/>
      </w:r>
      <w:r w:rsidRPr="00736909">
        <w:rPr>
          <w:rFonts w:ascii="Arial" w:hAnsi="Arial" w:cs="Arial"/>
        </w:rPr>
        <w:t xml:space="preserve"> </w:t>
      </w:r>
      <w:r w:rsidRPr="00736909">
        <w:rPr>
          <w:rFonts w:ascii="Arial" w:hAnsi="Arial" w:cs="Arial"/>
        </w:rPr>
        <w:tab/>
      </w:r>
      <w:r>
        <w:rPr>
          <w:rFonts w:ascii="Arial" w:hAnsi="Arial" w:cs="Arial"/>
        </w:rPr>
        <w:t xml:space="preserve">CFTC </w:t>
      </w:r>
      <w:r w:rsidRPr="00736909">
        <w:rPr>
          <w:rFonts w:ascii="Arial" w:hAnsi="Arial" w:cs="Arial"/>
        </w:rPr>
        <w:t>Rule 1.36, 17 C.F.R. § 1.36.</w:t>
      </w:r>
    </w:p>
  </w:footnote>
  <w:footnote w:id="14">
    <w:p w:rsidR="008F484D" w:rsidRPr="00736909" w:rsidRDefault="008F484D" w:rsidP="008F484D">
      <w:pPr>
        <w:pStyle w:val="FootnoteText"/>
        <w:spacing w:before="120" w:after="120"/>
        <w:rPr>
          <w:rFonts w:ascii="Arial" w:hAnsi="Arial" w:cs="Arial"/>
        </w:rPr>
      </w:pPr>
      <w:r w:rsidRPr="00736909">
        <w:rPr>
          <w:rStyle w:val="FootnoteReference"/>
          <w:rFonts w:ascii="Arial" w:hAnsi="Arial" w:cs="Arial"/>
        </w:rPr>
        <w:footnoteRef/>
      </w:r>
      <w:r w:rsidRPr="00736909">
        <w:rPr>
          <w:rFonts w:ascii="Arial" w:hAnsi="Arial" w:cs="Arial"/>
        </w:rPr>
        <w:t xml:space="preserve"> </w:t>
      </w:r>
      <w:r w:rsidRPr="00736909">
        <w:rPr>
          <w:rFonts w:ascii="Arial" w:hAnsi="Arial" w:cs="Arial"/>
        </w:rPr>
        <w:tab/>
      </w:r>
      <w:r>
        <w:rPr>
          <w:rFonts w:ascii="Arial" w:hAnsi="Arial" w:cs="Arial"/>
        </w:rPr>
        <w:t xml:space="preserve">CFTC </w:t>
      </w:r>
      <w:r w:rsidRPr="00736909">
        <w:rPr>
          <w:rFonts w:ascii="Arial" w:hAnsi="Arial" w:cs="Arial"/>
        </w:rPr>
        <w:t>Rule 1.58, 17 C.F.R. § 1.58.</w:t>
      </w:r>
    </w:p>
  </w:footnote>
  <w:footnote w:id="15">
    <w:p w:rsidR="008F484D" w:rsidRPr="00736909" w:rsidRDefault="008F484D" w:rsidP="008F484D">
      <w:pPr>
        <w:pStyle w:val="FootnoteText"/>
        <w:spacing w:before="120" w:after="120"/>
        <w:rPr>
          <w:rFonts w:ascii="Arial" w:hAnsi="Arial" w:cs="Arial"/>
        </w:rPr>
      </w:pPr>
      <w:r w:rsidRPr="00736909">
        <w:rPr>
          <w:rStyle w:val="FootnoteReference"/>
          <w:rFonts w:ascii="Arial" w:hAnsi="Arial" w:cs="Arial"/>
        </w:rPr>
        <w:footnoteRef/>
      </w:r>
      <w:r w:rsidRPr="00736909">
        <w:rPr>
          <w:rFonts w:ascii="Arial" w:hAnsi="Arial" w:cs="Arial"/>
        </w:rPr>
        <w:t xml:space="preserve"> </w:t>
      </w:r>
      <w:r w:rsidRPr="00736909">
        <w:rPr>
          <w:rFonts w:ascii="Arial" w:hAnsi="Arial" w:cs="Arial"/>
        </w:rPr>
        <w:tab/>
      </w:r>
      <w:r>
        <w:rPr>
          <w:rFonts w:ascii="Arial" w:hAnsi="Arial" w:cs="Arial"/>
        </w:rPr>
        <w:t xml:space="preserve">CFTC </w:t>
      </w:r>
      <w:r w:rsidRPr="00736909">
        <w:rPr>
          <w:rFonts w:ascii="Arial" w:hAnsi="Arial" w:cs="Arial"/>
        </w:rPr>
        <w:t>Rule 39.13(g)(8), 17 C.F.R. § 39.13(g)(8).</w:t>
      </w:r>
    </w:p>
  </w:footnote>
  <w:footnote w:id="16">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 xml:space="preserve">The CFTC’s approval is necessary to assure that any such transfer will not be subject to challenge.  Section 764(b) of the Code provides that a “transfer made before seven days after” the filing of a bankruptcy petition may not be avoided, if such transfer is approved by the CFTC and is “a transfer of a commodity contract entered into or carried by or through the debtor on behalf of a customer, and any cash, securities or other property margining or securing such commodity contract”.  The CFTC’s approval, therefore, removes any legal uncertainty surrounding a transfer of customer positions and margin.  </w:t>
      </w:r>
    </w:p>
  </w:footnote>
  <w:footnote w:id="17">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CFTC Rule 190.02(e), 17 C.F.R. § 190.02(e).  This best efforts obligation is reinforced by CFTC Rule 39.16(c)(2)(ii), which requires each DCO to maintain default procedures that include the “prompt transfer” of customer positions.</w:t>
      </w:r>
    </w:p>
  </w:footnote>
  <w:footnote w:id="18">
    <w:p w:rsidR="008F484D" w:rsidRPr="00931914" w:rsidRDefault="008F484D" w:rsidP="008F484D">
      <w:pPr>
        <w:pStyle w:val="FootnoteText"/>
        <w:spacing w:before="120" w:after="120"/>
        <w:rPr>
          <w:rFonts w:ascii="Arial" w:hAnsi="Arial" w:cs="Arial"/>
        </w:rPr>
      </w:pPr>
      <w:r w:rsidRPr="00931914">
        <w:rPr>
          <w:rStyle w:val="FootnoteReference"/>
          <w:rFonts w:ascii="Arial" w:hAnsi="Arial" w:cs="Arial"/>
        </w:rPr>
        <w:footnoteRef/>
      </w:r>
      <w:r w:rsidRPr="00931914">
        <w:rPr>
          <w:rFonts w:ascii="Arial" w:hAnsi="Arial" w:cs="Arial"/>
        </w:rPr>
        <w:t xml:space="preserve"> </w:t>
      </w:r>
      <w:r>
        <w:rPr>
          <w:rFonts w:ascii="Arial" w:hAnsi="Arial" w:cs="Arial"/>
        </w:rPr>
        <w:tab/>
        <w:t xml:space="preserve">Importantly, the trustee is not required to obtain the consent of the customers whose positions and collateral comprise the LSOC account or relevant futures account to effect transfer.  </w:t>
      </w:r>
    </w:p>
  </w:footnote>
  <w:footnote w:id="19">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 xml:space="preserve">Although the Code and, in particular, the CFTC’s Rules reflect a preference that customer positions and collateral be transferred to a non-defaulting FCM in lieu of liquidation, Section 556 of the Code nonetheless provides that the “contractual right of a commodity broker” (which includes an FCM and </w:t>
      </w:r>
      <w:r>
        <w:rPr>
          <w:rFonts w:ascii="Arial" w:hAnsi="Arial" w:cs="Arial"/>
        </w:rPr>
        <w:t xml:space="preserve">a </w:t>
      </w:r>
      <w:r w:rsidRPr="005D19F7">
        <w:rPr>
          <w:rFonts w:ascii="Arial" w:hAnsi="Arial" w:cs="Arial"/>
        </w:rPr>
        <w:t>DCO) to cause the liquidation, termination, or acceleration of a commodity contract (which includes cleared swaps, U.S. futures and non-U.S. futures) “shall not be stayed, avoided or otherwise limited”.</w:t>
      </w:r>
    </w:p>
  </w:footnote>
  <w:footnote w:id="20">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17 C.F.R. § 190.02(f).</w:t>
      </w:r>
    </w:p>
  </w:footnote>
  <w:footnote w:id="21">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11 U.S.C</w:t>
      </w:r>
      <w:r>
        <w:rPr>
          <w:rFonts w:ascii="Arial" w:hAnsi="Arial" w:cs="Arial"/>
        </w:rPr>
        <w:t>.</w:t>
      </w:r>
      <w:r w:rsidRPr="005D19F7">
        <w:rPr>
          <w:rFonts w:ascii="Arial" w:hAnsi="Arial" w:cs="Arial"/>
        </w:rPr>
        <w:t xml:space="preserve"> § 766(h)</w:t>
      </w:r>
    </w:p>
  </w:footnote>
  <w:footnote w:id="22">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17 C</w:t>
      </w:r>
      <w:r>
        <w:rPr>
          <w:rFonts w:ascii="Arial" w:hAnsi="Arial" w:cs="Arial"/>
        </w:rPr>
        <w:t>.</w:t>
      </w:r>
      <w:r w:rsidRPr="005D19F7">
        <w:rPr>
          <w:rFonts w:ascii="Arial" w:hAnsi="Arial" w:cs="Arial"/>
        </w:rPr>
        <w:t>F</w:t>
      </w:r>
      <w:r>
        <w:rPr>
          <w:rFonts w:ascii="Arial" w:hAnsi="Arial" w:cs="Arial"/>
        </w:rPr>
        <w:t>.</w:t>
      </w:r>
      <w:r w:rsidRPr="005D19F7">
        <w:rPr>
          <w:rFonts w:ascii="Arial" w:hAnsi="Arial" w:cs="Arial"/>
        </w:rPr>
        <w:t>R</w:t>
      </w:r>
      <w:r>
        <w:rPr>
          <w:rFonts w:ascii="Arial" w:hAnsi="Arial" w:cs="Arial"/>
        </w:rPr>
        <w:t>.</w:t>
      </w:r>
      <w:r w:rsidRPr="005D19F7">
        <w:rPr>
          <w:rFonts w:ascii="Arial" w:hAnsi="Arial" w:cs="Arial"/>
        </w:rPr>
        <w:t xml:space="preserve"> § 190.08(c).</w:t>
      </w:r>
    </w:p>
  </w:footnote>
  <w:footnote w:id="23">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Please note that our response analogizes cleared swaps under the CFTC Rules with OTC derivatives under EMIR.</w:t>
      </w:r>
    </w:p>
  </w:footnote>
  <w:footnote w:id="24">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r>
      <w:r w:rsidRPr="005D19F7">
        <w:rPr>
          <w:rFonts w:ascii="Arial" w:hAnsi="Arial" w:cs="Arial"/>
          <w:i/>
        </w:rPr>
        <w:t>See</w:t>
      </w:r>
      <w:r w:rsidRPr="005D19F7">
        <w:rPr>
          <w:rFonts w:ascii="Arial" w:hAnsi="Arial" w:cs="Arial"/>
        </w:rPr>
        <w:t xml:space="preserve"> Recital (10) to the proposed RTS.</w:t>
      </w:r>
    </w:p>
  </w:footnote>
  <w:footnote w:id="25">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 xml:space="preserve">Another advantage of the statutory, rather than contractual, approach to customer protection in the </w:t>
      </w:r>
      <w:r>
        <w:rPr>
          <w:rFonts w:ascii="Arial" w:hAnsi="Arial" w:cs="Arial"/>
        </w:rPr>
        <w:t>United States</w:t>
      </w:r>
      <w:r w:rsidRPr="005D19F7">
        <w:rPr>
          <w:rFonts w:ascii="Arial" w:hAnsi="Arial" w:cs="Arial"/>
        </w:rPr>
        <w:t xml:space="preserve"> is that any intermediary in the U</w:t>
      </w:r>
      <w:r>
        <w:rPr>
          <w:rFonts w:ascii="Arial" w:hAnsi="Arial" w:cs="Arial"/>
        </w:rPr>
        <w:t>nited States</w:t>
      </w:r>
      <w:r w:rsidRPr="005D19F7">
        <w:rPr>
          <w:rFonts w:ascii="Arial" w:hAnsi="Arial" w:cs="Arial"/>
        </w:rPr>
        <w:t xml:space="preserve"> that holds customer funds in connection with trading or clearing </w:t>
      </w:r>
      <w:r>
        <w:rPr>
          <w:rFonts w:ascii="Arial" w:hAnsi="Arial" w:cs="Arial"/>
        </w:rPr>
        <w:t xml:space="preserve">cleared </w:t>
      </w:r>
      <w:r w:rsidRPr="005D19F7">
        <w:rPr>
          <w:rFonts w:ascii="Arial" w:hAnsi="Arial" w:cs="Arial"/>
        </w:rPr>
        <w:t xml:space="preserve">derivatives products must be registered with the CFTC as an FCM.  Therefore, no matter how long the chain of indirect clearing relationships in the United States, each such intermediary must, by statute, be registered as an FCM, comply with the customer segregation obligations described in our introductory comments, and be subject to the FCM insolvency regime, thereby reducing or eliminating many of the complications identified in FIA Europe’s response regarding longer clearing chains that rely on a purely contractual approach.  </w:t>
      </w:r>
    </w:p>
  </w:footnote>
  <w:footnote w:id="26">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17 C.F.R. § 190.08(c).</w:t>
      </w:r>
    </w:p>
  </w:footnote>
  <w:footnote w:id="27">
    <w:p w:rsidR="008F484D" w:rsidRPr="005D19F7" w:rsidRDefault="008F484D" w:rsidP="008F484D">
      <w:pPr>
        <w:pStyle w:val="FootnoteText"/>
        <w:spacing w:before="120" w:after="120"/>
        <w:rPr>
          <w:rFonts w:ascii="Arial" w:hAnsi="Arial" w:cs="Arial"/>
        </w:rPr>
      </w:pPr>
      <w:r w:rsidRPr="005D19F7">
        <w:rPr>
          <w:rStyle w:val="FootnoteReference"/>
          <w:rFonts w:ascii="Arial" w:hAnsi="Arial" w:cs="Arial"/>
        </w:rPr>
        <w:footnoteRef/>
      </w:r>
      <w:r w:rsidRPr="005D19F7">
        <w:rPr>
          <w:rFonts w:ascii="Arial" w:hAnsi="Arial" w:cs="Arial"/>
        </w:rPr>
        <w:t xml:space="preserve"> </w:t>
      </w:r>
      <w:r w:rsidRPr="005D19F7">
        <w:rPr>
          <w:rFonts w:ascii="Arial" w:hAnsi="Arial" w:cs="Arial"/>
        </w:rPr>
        <w:tab/>
        <w:t>11 U.S.C. § 766(h)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68" w:rsidRDefault="00844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68" w:rsidRDefault="008445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68" w:rsidRDefault="00844568">
    <w:pPr>
      <w:pStyle w:val="Header"/>
    </w:pPr>
    <w:r>
      <w:rPr>
        <w:noProof/>
        <w:lang w:val="en-US"/>
      </w:rPr>
      <w:drawing>
        <wp:anchor distT="0" distB="0" distL="114300" distR="114300" simplePos="0" relativeHeight="251661312" behindDoc="0" locked="0" layoutInCell="1" allowOverlap="1" wp14:anchorId="2D4D4D9A" wp14:editId="09A6D5A1">
          <wp:simplePos x="0" y="0"/>
          <wp:positionH relativeFrom="page">
            <wp:posOffset>366395</wp:posOffset>
          </wp:positionH>
          <wp:positionV relativeFrom="page">
            <wp:posOffset>372745</wp:posOffset>
          </wp:positionV>
          <wp:extent cx="2209800" cy="904875"/>
          <wp:effectExtent l="0" t="0" r="0" b="9525"/>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05E3C4E" wp14:editId="1A3C6CBB">
          <wp:simplePos x="0" y="0"/>
          <wp:positionH relativeFrom="page">
            <wp:align>right</wp:align>
          </wp:positionH>
          <wp:positionV relativeFrom="page">
            <wp:align>bottom</wp:align>
          </wp:positionV>
          <wp:extent cx="7560310" cy="6800850"/>
          <wp:effectExtent l="0" t="0" r="2540" b="0"/>
          <wp:wrapNone/>
          <wp:docPr id="6"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68" w:rsidRDefault="00844568" w:rsidP="00B50534">
    <w:pPr>
      <w:pStyle w:val="Header"/>
      <w:jc w:val="right"/>
      <w:rPr>
        <w:b/>
        <w:color w:val="FF0000"/>
        <w:sz w:val="20"/>
      </w:rPr>
    </w:pPr>
  </w:p>
  <w:p w:rsidR="00844568" w:rsidRPr="00D73444" w:rsidRDefault="00844568" w:rsidP="00B50534">
    <w:pPr>
      <w:pStyle w:val="Header"/>
      <w:jc w:val="right"/>
      <w:rPr>
        <w:b/>
        <w:color w:val="FF0000"/>
        <w:sz w:val="20"/>
      </w:rPr>
    </w:pPr>
    <w:r w:rsidRPr="00D73444">
      <w:rPr>
        <w:rFonts w:ascii="Arial" w:hAnsi="Arial" w:cs="Arial"/>
        <w:noProof/>
        <w:sz w:val="20"/>
        <w:lang w:val="en-US"/>
      </w:rPr>
      <mc:AlternateContent>
        <mc:Choice Requires="wps">
          <w:drawing>
            <wp:anchor distT="0" distB="0" distL="114300" distR="114300" simplePos="0" relativeHeight="251672576" behindDoc="0" locked="0" layoutInCell="1" allowOverlap="1" wp14:anchorId="522729C2" wp14:editId="4379CA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844568" w:rsidRPr="00B50534" w:rsidRDefault="00844568" w:rsidP="00B50534">
    <w:pPr>
      <w:pStyle w:val="Header"/>
      <w:jc w:val="right"/>
      <w:rPr>
        <w:b/>
        <w:color w:val="FF0000"/>
      </w:rPr>
    </w:pPr>
    <w:r w:rsidRPr="00D73444">
      <w:rPr>
        <w:b/>
        <w:noProof/>
        <w:color w:val="FF0000"/>
        <w:sz w:val="20"/>
        <w:lang w:val="en-US"/>
      </w:rPr>
      <w:drawing>
        <wp:anchor distT="0" distB="0" distL="114300" distR="114300" simplePos="0" relativeHeight="251668480" behindDoc="0" locked="0" layoutInCell="1" allowOverlap="1" wp14:anchorId="3268AD39" wp14:editId="74CA1FDF">
          <wp:simplePos x="0" y="0"/>
          <wp:positionH relativeFrom="page">
            <wp:posOffset>899795</wp:posOffset>
          </wp:positionH>
          <wp:positionV relativeFrom="page">
            <wp:posOffset>448945</wp:posOffset>
          </wp:positionV>
          <wp:extent cx="561975" cy="561975"/>
          <wp:effectExtent l="0" t="0" r="9525" b="9525"/>
          <wp:wrapNone/>
          <wp:docPr id="39" name="Picture 39"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B03D2"/>
    <w:multiLevelType w:val="hybridMultilevel"/>
    <w:tmpl w:val="89366462"/>
    <w:lvl w:ilvl="0" w:tplc="9BA80E9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A442C"/>
    <w:multiLevelType w:val="hybridMultilevel"/>
    <w:tmpl w:val="0BFE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169E8"/>
    <w:multiLevelType w:val="multilevel"/>
    <w:tmpl w:val="1D8CEFF6"/>
    <w:lvl w:ilvl="0">
      <w:start w:val="1"/>
      <w:numFmt w:val="none"/>
      <w:pStyle w:val="RTSLevel1"/>
      <w:suff w:val="space"/>
      <w:lvlText w:val=""/>
      <w:lvlJc w:val="left"/>
      <w:pPr>
        <w:ind w:left="0" w:firstLine="0"/>
      </w:pPr>
      <w:rPr>
        <w:rFonts w:ascii="Arial" w:hAnsi="Arial" w:hint="default"/>
        <w:b/>
        <w:i w:val="0"/>
        <w:sz w:val="32"/>
      </w:rPr>
    </w:lvl>
    <w:lvl w:ilvl="1">
      <w:start w:val="1"/>
      <w:numFmt w:val="none"/>
      <w:lvlRestart w:val="0"/>
      <w:pStyle w:val="RTSLevel2"/>
      <w:suff w:val="nothing"/>
      <w:lvlText w:val="%2"/>
      <w:lvlJc w:val="left"/>
      <w:pPr>
        <w:ind w:left="0" w:firstLine="0"/>
      </w:pPr>
      <w:rPr>
        <w:rFonts w:hint="default"/>
      </w:rPr>
    </w:lvl>
    <w:lvl w:ilvl="2">
      <w:start w:val="1"/>
      <w:numFmt w:val="none"/>
      <w:lvlRestart w:val="0"/>
      <w:pStyle w:val="RTSLevel3"/>
      <w:suff w:val="nothing"/>
      <w:lvlText w:val="%3"/>
      <w:lvlJc w:val="center"/>
      <w:pPr>
        <w:ind w:left="0" w:firstLine="0"/>
      </w:pPr>
      <w:rPr>
        <w:rFonts w:hint="default"/>
      </w:rPr>
    </w:lvl>
    <w:lvl w:ilvl="3">
      <w:start w:val="1"/>
      <w:numFmt w:val="none"/>
      <w:lvlRestart w:val="0"/>
      <w:pStyle w:val="RTSLevel4"/>
      <w:suff w:val="nothing"/>
      <w:lvlText w:val="%4"/>
      <w:lvlJc w:val="center"/>
      <w:pPr>
        <w:ind w:left="0" w:firstLine="0"/>
      </w:pPr>
      <w:rPr>
        <w:rFonts w:hint="default"/>
      </w:rPr>
    </w:lvl>
    <w:lvl w:ilvl="4">
      <w:start w:val="1"/>
      <w:numFmt w:val="decimal"/>
      <w:lvlText w:val="%5."/>
      <w:lvlJc w:val="left"/>
      <w:pPr>
        <w:tabs>
          <w:tab w:val="num" w:pos="425"/>
        </w:tabs>
        <w:ind w:left="0" w:firstLine="0"/>
      </w:pPr>
      <w:rPr>
        <w:rFonts w:hint="default"/>
      </w:rPr>
    </w:lvl>
    <w:lvl w:ilvl="5">
      <w:start w:val="1"/>
      <w:numFmt w:val="decimal"/>
      <w:pStyle w:val="RTS1Par"/>
      <w:lvlText w:val="(%6)"/>
      <w:lvlJc w:val="left"/>
      <w:pPr>
        <w:ind w:left="425" w:hanging="4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RTSaPar"/>
      <w:lvlText w:val="(%7)"/>
      <w:lvlJc w:val="left"/>
      <w:pPr>
        <w:ind w:left="851" w:hanging="42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pStyle w:val="RTSi"/>
      <w:lvlText w:val="(%8)"/>
      <w:lvlJc w:val="left"/>
      <w:pPr>
        <w:ind w:left="1276" w:hanging="425"/>
      </w:pPr>
      <w:rPr>
        <w:rFonts w:hint="default"/>
      </w:rPr>
    </w:lvl>
    <w:lvl w:ilvl="8">
      <w:start w:val="1"/>
      <w:numFmt w:val="lowerRoman"/>
      <w:lvlText w:val="%9."/>
      <w:lvlJc w:val="right"/>
      <w:pPr>
        <w:ind w:left="6480" w:hanging="180"/>
      </w:pPr>
      <w:rPr>
        <w:rFonts w:hint="default"/>
      </w:rPr>
    </w:lvl>
  </w:abstractNum>
  <w:abstractNum w:abstractNumId="5">
    <w:nsid w:val="235105F0"/>
    <w:multiLevelType w:val="hybridMultilevel"/>
    <w:tmpl w:val="0D525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2F1590"/>
    <w:multiLevelType w:val="multilevel"/>
    <w:tmpl w:val="E1841B74"/>
    <w:lvl w:ilvl="0">
      <w:start w:val="2"/>
      <w:numFmt w:val="upperRoman"/>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41D6808"/>
    <w:multiLevelType w:val="hybridMultilevel"/>
    <w:tmpl w:val="E5965DAE"/>
    <w:lvl w:ilvl="0" w:tplc="502E89C4">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5A7A63"/>
    <w:multiLevelType w:val="hybridMultilevel"/>
    <w:tmpl w:val="D7BA852A"/>
    <w:lvl w:ilvl="0" w:tplc="277284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1FF0BFE8">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97E5A13"/>
    <w:multiLevelType w:val="hybridMultilevel"/>
    <w:tmpl w:val="A5ECEA2A"/>
    <w:lvl w:ilvl="0" w:tplc="EB6A0684">
      <w:start w:val="1"/>
      <w:numFmt w:val="decimal"/>
      <w:pStyle w:val="AnnexHeading1"/>
      <w:lvlText w:val="%1."/>
      <w:lvlJc w:val="left"/>
      <w:pPr>
        <w:ind w:left="720" w:hanging="360"/>
      </w:pPr>
    </w:lvl>
    <w:lvl w:ilvl="1" w:tplc="08090019" w:tentative="1">
      <w:start w:val="1"/>
      <w:numFmt w:val="lowerLetter"/>
      <w:pStyle w:val="AnnexHeading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846409"/>
    <w:multiLevelType w:val="hybridMultilevel"/>
    <w:tmpl w:val="9536B416"/>
    <w:lvl w:ilvl="0" w:tplc="81B0B234">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261A85"/>
    <w:multiLevelType w:val="hybridMultilevel"/>
    <w:tmpl w:val="A59AA36A"/>
    <w:lvl w:ilvl="0" w:tplc="8E68A54A">
      <w:start w:val="1"/>
      <w:numFmt w:val="decimal"/>
      <w:pStyle w:val="04aNumbering"/>
      <w:lvlText w:val="%1."/>
      <w:lvlJc w:val="left"/>
      <w:pPr>
        <w:tabs>
          <w:tab w:val="num" w:pos="4679"/>
        </w:tabs>
        <w:ind w:left="4679" w:hanging="284"/>
      </w:pPr>
      <w:rPr>
        <w:rFonts w:ascii="Georgia" w:hAnsi="Georgia" w:hint="default"/>
        <w:b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4AB0C0A"/>
    <w:multiLevelType w:val="hybridMultilevel"/>
    <w:tmpl w:val="06F89C1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nsid w:val="499B0760"/>
    <w:multiLevelType w:val="hybridMultilevel"/>
    <w:tmpl w:val="264A43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34640D"/>
    <w:multiLevelType w:val="hybridMultilevel"/>
    <w:tmpl w:val="FC6C6D2C"/>
    <w:lvl w:ilvl="0" w:tplc="56AA4C28">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nsid w:val="4A8501C1"/>
    <w:multiLevelType w:val="hybridMultilevel"/>
    <w:tmpl w:val="24566D9E"/>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60F13"/>
    <w:multiLevelType w:val="multilevel"/>
    <w:tmpl w:val="EC120F24"/>
    <w:lvl w:ilvl="0">
      <w:start w:val="2"/>
      <w:numFmt w:val="upperRoman"/>
      <w:lvlText w:val="%1."/>
      <w:lvlJc w:val="left"/>
      <w:pPr>
        <w:tabs>
          <w:tab w:val="num" w:pos="567"/>
        </w:tabs>
        <w:ind w:left="567" w:hanging="567"/>
      </w:pPr>
      <w:rPr>
        <w:rFonts w:ascii="Georgia" w:hAnsi="Georgia" w:hint="default"/>
        <w:b/>
        <w:i w:val="0"/>
        <w:sz w:val="20"/>
      </w:rPr>
    </w:lvl>
    <w:lvl w:ilvl="1">
      <w:start w:val="4"/>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F17769"/>
    <w:multiLevelType w:val="hybridMultilevel"/>
    <w:tmpl w:val="DC984FB8"/>
    <w:lvl w:ilvl="0" w:tplc="D818C6E6">
      <w:start w:val="1"/>
      <w:numFmt w:val="decimal"/>
      <w:pStyle w:val="RTS1Par0"/>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5616613E"/>
    <w:multiLevelType w:val="hybridMultilevel"/>
    <w:tmpl w:val="CAE09E6E"/>
    <w:lvl w:ilvl="0" w:tplc="82B84314">
      <w:start w:val="1"/>
      <w:numFmt w:val="decimal"/>
      <w:pStyle w:val="Style1"/>
      <w:lvlText w:val="%1."/>
      <w:lvlJc w:val="left"/>
      <w:pPr>
        <w:ind w:left="360" w:hanging="360"/>
      </w:pPr>
      <w:rPr>
        <w:rFonts w:hint="default"/>
      </w:rPr>
    </w:lvl>
    <w:lvl w:ilvl="1" w:tplc="6E2ACFA8">
      <w:start w:val="1"/>
      <w:numFmt w:val="bullet"/>
      <w:pStyle w:val="Style1"/>
      <w:lvlText w:val=""/>
      <w:lvlJc w:val="left"/>
      <w:pPr>
        <w:ind w:left="785"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nsid w:val="5A3559FC"/>
    <w:multiLevelType w:val="hybridMultilevel"/>
    <w:tmpl w:val="E86AD7C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2E0353"/>
    <w:multiLevelType w:val="hybridMultilevel"/>
    <w:tmpl w:val="637C1214"/>
    <w:lvl w:ilvl="0" w:tplc="82B84314">
      <w:start w:val="1"/>
      <w:numFmt w:val="decimal"/>
      <w:lvlText w:val="%1."/>
      <w:lvlJc w:val="left"/>
      <w:pPr>
        <w:ind w:left="360" w:hanging="360"/>
      </w:pPr>
      <w:rPr>
        <w:rFonts w:hint="default"/>
      </w:rPr>
    </w:lvl>
    <w:lvl w:ilvl="1" w:tplc="AA1C88FE">
      <w:start w:val="1"/>
      <w:numFmt w:val="lowerLetter"/>
      <w:lvlText w:val="(%2)"/>
      <w:lvlJc w:val="left"/>
      <w:pPr>
        <w:ind w:left="785" w:hanging="360"/>
      </w:pPr>
      <w:rPr>
        <w:rFont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nsid w:val="618332DF"/>
    <w:multiLevelType w:val="hybridMultilevel"/>
    <w:tmpl w:val="080E4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6BAD1101"/>
    <w:multiLevelType w:val="multilevel"/>
    <w:tmpl w:val="2E62C9E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70745D26"/>
    <w:multiLevelType w:val="hybridMultilevel"/>
    <w:tmpl w:val="6D2A8376"/>
    <w:lvl w:ilvl="0" w:tplc="62968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26"/>
  </w:num>
  <w:num w:numId="4">
    <w:abstractNumId w:val="14"/>
  </w:num>
  <w:num w:numId="5">
    <w:abstractNumId w:val="11"/>
  </w:num>
  <w:num w:numId="6">
    <w:abstractNumId w:val="2"/>
  </w:num>
  <w:num w:numId="7">
    <w:abstractNumId w:val="19"/>
  </w:num>
  <w:num w:numId="8">
    <w:abstractNumId w:val="13"/>
    <w:lvlOverride w:ilvl="0">
      <w:startOverride w:val="1"/>
    </w:lvlOverride>
  </w:num>
  <w:num w:numId="9">
    <w:abstractNumId w:val="13"/>
  </w:num>
  <w:num w:numId="10">
    <w:abstractNumId w:val="21"/>
  </w:num>
  <w:num w:numId="11">
    <w:abstractNumId w:val="24"/>
  </w:num>
  <w:num w:numId="12">
    <w:abstractNumId w:val="9"/>
  </w:num>
  <w:num w:numId="13">
    <w:abstractNumId w:val="12"/>
  </w:num>
  <w:num w:numId="14">
    <w:abstractNumId w:val="17"/>
  </w:num>
  <w:num w:numId="15">
    <w:abstractNumId w:val="10"/>
  </w:num>
  <w:num w:numId="16">
    <w:abstractNumId w:val="10"/>
    <w:lvlOverride w:ilvl="0">
      <w:startOverride w:val="1"/>
    </w:lvlOverride>
  </w:num>
  <w:num w:numId="17">
    <w:abstractNumId w:val="23"/>
  </w:num>
  <w:num w:numId="18">
    <w:abstractNumId w:val="3"/>
  </w:num>
  <w:num w:numId="19">
    <w:abstractNumId w:val="10"/>
  </w:num>
  <w:num w:numId="20">
    <w:abstractNumId w:val="10"/>
    <w:lvlOverride w:ilvl="0">
      <w:startOverride w:val="1"/>
    </w:lvlOverride>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3">
    <w:abstractNumId w:val="2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6"/>
  </w:num>
  <w:num w:numId="36">
    <w:abstractNumId w:val="26"/>
  </w:num>
  <w:num w:numId="37">
    <w:abstractNumId w:val="4"/>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6"/>
  </w:num>
  <w:num w:numId="42">
    <w:abstractNumId w:val="18"/>
  </w:num>
  <w:num w:numId="43">
    <w:abstractNumId w:val="18"/>
    <w:lvlOverride w:ilvl="0">
      <w:startOverride w:val="1"/>
    </w:lvlOverride>
  </w:num>
  <w:num w:numId="44">
    <w:abstractNumId w:val="18"/>
    <w:lvlOverride w:ilvl="0">
      <w:startOverride w:val="1"/>
    </w:lvlOverride>
  </w:num>
  <w:num w:numId="45">
    <w:abstractNumId w:val="15"/>
  </w:num>
  <w:num w:numId="46">
    <w:abstractNumId w:val="22"/>
  </w:num>
  <w:num w:numId="47">
    <w:abstractNumId w:val="16"/>
  </w:num>
  <w:num w:numId="48">
    <w:abstractNumId w:val="1"/>
  </w:num>
  <w:num w:numId="49">
    <w:abstractNumId w:val="27"/>
  </w:num>
  <w:num w:numId="5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ocumentProtection w:edit="readOnly" w:enforcement="1" w:cryptProviderType="rsaFull" w:cryptAlgorithmClass="hash" w:cryptAlgorithmType="typeAny" w:cryptAlgorithmSid="4" w:cryptSpinCount="100000" w:hash="2uPgAc543h4rrgY/KT42o74EDpc=" w:salt="PuNQMQdkPvDKVX+R93t9Sw=="/>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32"/>
    <w:rsid w:val="00000E36"/>
    <w:rsid w:val="00000EE8"/>
    <w:rsid w:val="00001C90"/>
    <w:rsid w:val="00001EC0"/>
    <w:rsid w:val="00005A9D"/>
    <w:rsid w:val="00006413"/>
    <w:rsid w:val="0000796B"/>
    <w:rsid w:val="00011510"/>
    <w:rsid w:val="00012C5D"/>
    <w:rsid w:val="00012D68"/>
    <w:rsid w:val="00013585"/>
    <w:rsid w:val="00015DDD"/>
    <w:rsid w:val="0001600E"/>
    <w:rsid w:val="0001781C"/>
    <w:rsid w:val="00020300"/>
    <w:rsid w:val="000240E4"/>
    <w:rsid w:val="0003359C"/>
    <w:rsid w:val="000335F0"/>
    <w:rsid w:val="00036453"/>
    <w:rsid w:val="00036888"/>
    <w:rsid w:val="000369D4"/>
    <w:rsid w:val="00036AC6"/>
    <w:rsid w:val="00036B12"/>
    <w:rsid w:val="000372BF"/>
    <w:rsid w:val="00040E6C"/>
    <w:rsid w:val="0004185C"/>
    <w:rsid w:val="00042B77"/>
    <w:rsid w:val="0004325E"/>
    <w:rsid w:val="00043F2A"/>
    <w:rsid w:val="00044C5A"/>
    <w:rsid w:val="00045C83"/>
    <w:rsid w:val="0004696E"/>
    <w:rsid w:val="00052AC6"/>
    <w:rsid w:val="00055DF0"/>
    <w:rsid w:val="0006147C"/>
    <w:rsid w:val="00063981"/>
    <w:rsid w:val="00064B7A"/>
    <w:rsid w:val="0006502D"/>
    <w:rsid w:val="0006662D"/>
    <w:rsid w:val="00070417"/>
    <w:rsid w:val="00073676"/>
    <w:rsid w:val="000742B5"/>
    <w:rsid w:val="0007452D"/>
    <w:rsid w:val="00076380"/>
    <w:rsid w:val="0007681E"/>
    <w:rsid w:val="000768F7"/>
    <w:rsid w:val="000804C2"/>
    <w:rsid w:val="00083924"/>
    <w:rsid w:val="00085BCD"/>
    <w:rsid w:val="00086597"/>
    <w:rsid w:val="00090B9C"/>
    <w:rsid w:val="00093A06"/>
    <w:rsid w:val="00096695"/>
    <w:rsid w:val="00097E32"/>
    <w:rsid w:val="000A1026"/>
    <w:rsid w:val="000A41F6"/>
    <w:rsid w:val="000A5FBA"/>
    <w:rsid w:val="000A74C2"/>
    <w:rsid w:val="000B1699"/>
    <w:rsid w:val="000B51B5"/>
    <w:rsid w:val="000B5D3D"/>
    <w:rsid w:val="000B63FD"/>
    <w:rsid w:val="000C0CE0"/>
    <w:rsid w:val="000C24FB"/>
    <w:rsid w:val="000C2EC0"/>
    <w:rsid w:val="000C2EF2"/>
    <w:rsid w:val="000C3FEB"/>
    <w:rsid w:val="000C4453"/>
    <w:rsid w:val="000C4A0A"/>
    <w:rsid w:val="000C514F"/>
    <w:rsid w:val="000C5ACF"/>
    <w:rsid w:val="000D1038"/>
    <w:rsid w:val="000D302B"/>
    <w:rsid w:val="000D48A2"/>
    <w:rsid w:val="000D4AE0"/>
    <w:rsid w:val="000D51E9"/>
    <w:rsid w:val="000D54C1"/>
    <w:rsid w:val="000D5935"/>
    <w:rsid w:val="000D63C3"/>
    <w:rsid w:val="000D7D50"/>
    <w:rsid w:val="000E2C3F"/>
    <w:rsid w:val="000E385D"/>
    <w:rsid w:val="000E443A"/>
    <w:rsid w:val="000E5047"/>
    <w:rsid w:val="000E55F7"/>
    <w:rsid w:val="000F0771"/>
    <w:rsid w:val="000F0BDF"/>
    <w:rsid w:val="000F0C1B"/>
    <w:rsid w:val="000F2EFC"/>
    <w:rsid w:val="000F405A"/>
    <w:rsid w:val="000F46FE"/>
    <w:rsid w:val="000F5E19"/>
    <w:rsid w:val="000F6F03"/>
    <w:rsid w:val="000F72F5"/>
    <w:rsid w:val="00100541"/>
    <w:rsid w:val="00104A6C"/>
    <w:rsid w:val="00106272"/>
    <w:rsid w:val="0011041B"/>
    <w:rsid w:val="00110BA9"/>
    <w:rsid w:val="00111D6D"/>
    <w:rsid w:val="0011206D"/>
    <w:rsid w:val="00112109"/>
    <w:rsid w:val="001137FE"/>
    <w:rsid w:val="0011410F"/>
    <w:rsid w:val="00114392"/>
    <w:rsid w:val="00115E88"/>
    <w:rsid w:val="0011645B"/>
    <w:rsid w:val="00124616"/>
    <w:rsid w:val="001248B9"/>
    <w:rsid w:val="00130EF9"/>
    <w:rsid w:val="0013143E"/>
    <w:rsid w:val="001315BC"/>
    <w:rsid w:val="00136D6F"/>
    <w:rsid w:val="00143AE6"/>
    <w:rsid w:val="00144AAD"/>
    <w:rsid w:val="0014562E"/>
    <w:rsid w:val="00146F2C"/>
    <w:rsid w:val="001472F3"/>
    <w:rsid w:val="00150216"/>
    <w:rsid w:val="00151995"/>
    <w:rsid w:val="0015355F"/>
    <w:rsid w:val="001535A7"/>
    <w:rsid w:val="00154950"/>
    <w:rsid w:val="00155366"/>
    <w:rsid w:val="00157225"/>
    <w:rsid w:val="00165267"/>
    <w:rsid w:val="00165640"/>
    <w:rsid w:val="00171F71"/>
    <w:rsid w:val="00176F81"/>
    <w:rsid w:val="0017701D"/>
    <w:rsid w:val="00177377"/>
    <w:rsid w:val="00177821"/>
    <w:rsid w:val="00177B40"/>
    <w:rsid w:val="00180B0D"/>
    <w:rsid w:val="00181C90"/>
    <w:rsid w:val="001907D0"/>
    <w:rsid w:val="0019303F"/>
    <w:rsid w:val="00194163"/>
    <w:rsid w:val="00194440"/>
    <w:rsid w:val="001949DF"/>
    <w:rsid w:val="001A0052"/>
    <w:rsid w:val="001A0286"/>
    <w:rsid w:val="001A02B7"/>
    <w:rsid w:val="001A098A"/>
    <w:rsid w:val="001A1099"/>
    <w:rsid w:val="001A27CF"/>
    <w:rsid w:val="001A337D"/>
    <w:rsid w:val="001A594C"/>
    <w:rsid w:val="001A67CC"/>
    <w:rsid w:val="001A77C2"/>
    <w:rsid w:val="001B19B1"/>
    <w:rsid w:val="001B2151"/>
    <w:rsid w:val="001B4996"/>
    <w:rsid w:val="001B5AF2"/>
    <w:rsid w:val="001B6F4B"/>
    <w:rsid w:val="001B7025"/>
    <w:rsid w:val="001C23FA"/>
    <w:rsid w:val="001C3F45"/>
    <w:rsid w:val="001C4031"/>
    <w:rsid w:val="001C6676"/>
    <w:rsid w:val="001D0DC0"/>
    <w:rsid w:val="001D152F"/>
    <w:rsid w:val="001D2BE8"/>
    <w:rsid w:val="001D2F44"/>
    <w:rsid w:val="001D4DBB"/>
    <w:rsid w:val="001E39CC"/>
    <w:rsid w:val="001E3F76"/>
    <w:rsid w:val="001E4F92"/>
    <w:rsid w:val="001E7DF7"/>
    <w:rsid w:val="001F0318"/>
    <w:rsid w:val="001F0712"/>
    <w:rsid w:val="001F0DCC"/>
    <w:rsid w:val="001F1214"/>
    <w:rsid w:val="001F4193"/>
    <w:rsid w:val="001F512A"/>
    <w:rsid w:val="002011E1"/>
    <w:rsid w:val="00202090"/>
    <w:rsid w:val="00206321"/>
    <w:rsid w:val="00207CC9"/>
    <w:rsid w:val="002124F6"/>
    <w:rsid w:val="00214A02"/>
    <w:rsid w:val="0022168D"/>
    <w:rsid w:val="00221B30"/>
    <w:rsid w:val="00222596"/>
    <w:rsid w:val="00230150"/>
    <w:rsid w:val="0023212B"/>
    <w:rsid w:val="002367EC"/>
    <w:rsid w:val="00236BF9"/>
    <w:rsid w:val="00237AF3"/>
    <w:rsid w:val="00240389"/>
    <w:rsid w:val="00245078"/>
    <w:rsid w:val="00245630"/>
    <w:rsid w:val="00245FA1"/>
    <w:rsid w:val="00253DAE"/>
    <w:rsid w:val="00255F57"/>
    <w:rsid w:val="00256B22"/>
    <w:rsid w:val="002574D1"/>
    <w:rsid w:val="00260087"/>
    <w:rsid w:val="00260256"/>
    <w:rsid w:val="002648DE"/>
    <w:rsid w:val="0027167B"/>
    <w:rsid w:val="00271DDF"/>
    <w:rsid w:val="00271E41"/>
    <w:rsid w:val="00272993"/>
    <w:rsid w:val="00272DCF"/>
    <w:rsid w:val="0027308F"/>
    <w:rsid w:val="002736FD"/>
    <w:rsid w:val="002769D0"/>
    <w:rsid w:val="0027745A"/>
    <w:rsid w:val="0027745B"/>
    <w:rsid w:val="0028068F"/>
    <w:rsid w:val="002869C0"/>
    <w:rsid w:val="00286E4C"/>
    <w:rsid w:val="00286EB2"/>
    <w:rsid w:val="00287A38"/>
    <w:rsid w:val="00292B49"/>
    <w:rsid w:val="002941CC"/>
    <w:rsid w:val="00294E5E"/>
    <w:rsid w:val="0029682C"/>
    <w:rsid w:val="0029715F"/>
    <w:rsid w:val="002A0C4F"/>
    <w:rsid w:val="002A116A"/>
    <w:rsid w:val="002A570E"/>
    <w:rsid w:val="002A67B8"/>
    <w:rsid w:val="002B0430"/>
    <w:rsid w:val="002B2AE5"/>
    <w:rsid w:val="002B4EC1"/>
    <w:rsid w:val="002B657E"/>
    <w:rsid w:val="002B6BE2"/>
    <w:rsid w:val="002B7220"/>
    <w:rsid w:val="002C0882"/>
    <w:rsid w:val="002C0B03"/>
    <w:rsid w:val="002C0C12"/>
    <w:rsid w:val="002C27A0"/>
    <w:rsid w:val="002D16E7"/>
    <w:rsid w:val="002D30B1"/>
    <w:rsid w:val="002D557C"/>
    <w:rsid w:val="002E117F"/>
    <w:rsid w:val="002E1C11"/>
    <w:rsid w:val="002E289E"/>
    <w:rsid w:val="002E3671"/>
    <w:rsid w:val="002E3873"/>
    <w:rsid w:val="002E51A5"/>
    <w:rsid w:val="002F16C6"/>
    <w:rsid w:val="002F44D8"/>
    <w:rsid w:val="002F7657"/>
    <w:rsid w:val="0030187E"/>
    <w:rsid w:val="00301937"/>
    <w:rsid w:val="003035A3"/>
    <w:rsid w:val="00303A21"/>
    <w:rsid w:val="003052CF"/>
    <w:rsid w:val="00312215"/>
    <w:rsid w:val="003128E1"/>
    <w:rsid w:val="00313E90"/>
    <w:rsid w:val="00314117"/>
    <w:rsid w:val="00316CF4"/>
    <w:rsid w:val="00316D82"/>
    <w:rsid w:val="00317EDF"/>
    <w:rsid w:val="00320D1C"/>
    <w:rsid w:val="00321552"/>
    <w:rsid w:val="00323C1B"/>
    <w:rsid w:val="00326A1C"/>
    <w:rsid w:val="003279E7"/>
    <w:rsid w:val="00331173"/>
    <w:rsid w:val="00332D0C"/>
    <w:rsid w:val="0033324D"/>
    <w:rsid w:val="0033367E"/>
    <w:rsid w:val="00334272"/>
    <w:rsid w:val="00334E2C"/>
    <w:rsid w:val="0033594E"/>
    <w:rsid w:val="0033702F"/>
    <w:rsid w:val="00337320"/>
    <w:rsid w:val="00340148"/>
    <w:rsid w:val="003416B2"/>
    <w:rsid w:val="003422B5"/>
    <w:rsid w:val="0034292D"/>
    <w:rsid w:val="003454ED"/>
    <w:rsid w:val="003472DD"/>
    <w:rsid w:val="00350E69"/>
    <w:rsid w:val="0035149E"/>
    <w:rsid w:val="00351C26"/>
    <w:rsid w:val="003530F8"/>
    <w:rsid w:val="0035791C"/>
    <w:rsid w:val="00364488"/>
    <w:rsid w:val="00366D42"/>
    <w:rsid w:val="00366D60"/>
    <w:rsid w:val="00367693"/>
    <w:rsid w:val="00370C87"/>
    <w:rsid w:val="0037177D"/>
    <w:rsid w:val="0037306F"/>
    <w:rsid w:val="00373FC2"/>
    <w:rsid w:val="003750D6"/>
    <w:rsid w:val="00376282"/>
    <w:rsid w:val="003773B1"/>
    <w:rsid w:val="003824C4"/>
    <w:rsid w:val="00384B8C"/>
    <w:rsid w:val="003853B6"/>
    <w:rsid w:val="00391079"/>
    <w:rsid w:val="003910C9"/>
    <w:rsid w:val="00391AD5"/>
    <w:rsid w:val="00392E3F"/>
    <w:rsid w:val="00397D1F"/>
    <w:rsid w:val="003A1D28"/>
    <w:rsid w:val="003A58FD"/>
    <w:rsid w:val="003B10F8"/>
    <w:rsid w:val="003B247D"/>
    <w:rsid w:val="003B2E19"/>
    <w:rsid w:val="003B3BD8"/>
    <w:rsid w:val="003B4375"/>
    <w:rsid w:val="003B5202"/>
    <w:rsid w:val="003B54D2"/>
    <w:rsid w:val="003B6724"/>
    <w:rsid w:val="003B73BA"/>
    <w:rsid w:val="003B7C7C"/>
    <w:rsid w:val="003C12D5"/>
    <w:rsid w:val="003C4EB5"/>
    <w:rsid w:val="003C54BF"/>
    <w:rsid w:val="003C62DA"/>
    <w:rsid w:val="003D0AB6"/>
    <w:rsid w:val="003D1C98"/>
    <w:rsid w:val="003D3599"/>
    <w:rsid w:val="003D37AE"/>
    <w:rsid w:val="003D4BAE"/>
    <w:rsid w:val="003D5C79"/>
    <w:rsid w:val="003D6DA1"/>
    <w:rsid w:val="003D7226"/>
    <w:rsid w:val="003E0B61"/>
    <w:rsid w:val="003E12A9"/>
    <w:rsid w:val="003E43D7"/>
    <w:rsid w:val="003E684D"/>
    <w:rsid w:val="003F0667"/>
    <w:rsid w:val="003F263E"/>
    <w:rsid w:val="003F3164"/>
    <w:rsid w:val="003F317E"/>
    <w:rsid w:val="003F3838"/>
    <w:rsid w:val="003F39B1"/>
    <w:rsid w:val="003F3D1B"/>
    <w:rsid w:val="00401E5F"/>
    <w:rsid w:val="0040640C"/>
    <w:rsid w:val="00407A30"/>
    <w:rsid w:val="00407AA0"/>
    <w:rsid w:val="004114AF"/>
    <w:rsid w:val="004116B1"/>
    <w:rsid w:val="00411F04"/>
    <w:rsid w:val="0042048F"/>
    <w:rsid w:val="004206B2"/>
    <w:rsid w:val="00420B59"/>
    <w:rsid w:val="00421291"/>
    <w:rsid w:val="0042383C"/>
    <w:rsid w:val="00424573"/>
    <w:rsid w:val="00426F84"/>
    <w:rsid w:val="00433474"/>
    <w:rsid w:val="00434028"/>
    <w:rsid w:val="0043433F"/>
    <w:rsid w:val="00434D29"/>
    <w:rsid w:val="0043522A"/>
    <w:rsid w:val="00435FE9"/>
    <w:rsid w:val="00441373"/>
    <w:rsid w:val="004433B9"/>
    <w:rsid w:val="00445696"/>
    <w:rsid w:val="00450C7C"/>
    <w:rsid w:val="00452D62"/>
    <w:rsid w:val="0045377D"/>
    <w:rsid w:val="00455FF7"/>
    <w:rsid w:val="004561BB"/>
    <w:rsid w:val="004566D9"/>
    <w:rsid w:val="00457CEC"/>
    <w:rsid w:val="00457E6A"/>
    <w:rsid w:val="004622EB"/>
    <w:rsid w:val="0046392B"/>
    <w:rsid w:val="00463BD8"/>
    <w:rsid w:val="00470ABD"/>
    <w:rsid w:val="00471083"/>
    <w:rsid w:val="00471464"/>
    <w:rsid w:val="00473A50"/>
    <w:rsid w:val="00473F2B"/>
    <w:rsid w:val="00474571"/>
    <w:rsid w:val="004746AA"/>
    <w:rsid w:val="004746F4"/>
    <w:rsid w:val="0048000F"/>
    <w:rsid w:val="00481C61"/>
    <w:rsid w:val="00481E99"/>
    <w:rsid w:val="004828BC"/>
    <w:rsid w:val="004849C7"/>
    <w:rsid w:val="00484C21"/>
    <w:rsid w:val="004900E9"/>
    <w:rsid w:val="00490FE0"/>
    <w:rsid w:val="0049111E"/>
    <w:rsid w:val="00491FA1"/>
    <w:rsid w:val="004928B9"/>
    <w:rsid w:val="00492FA4"/>
    <w:rsid w:val="0049373A"/>
    <w:rsid w:val="0049496C"/>
    <w:rsid w:val="004A09DE"/>
    <w:rsid w:val="004A13D6"/>
    <w:rsid w:val="004A2903"/>
    <w:rsid w:val="004A52F7"/>
    <w:rsid w:val="004A5621"/>
    <w:rsid w:val="004A66CB"/>
    <w:rsid w:val="004A6C4B"/>
    <w:rsid w:val="004A703B"/>
    <w:rsid w:val="004A7630"/>
    <w:rsid w:val="004A76F7"/>
    <w:rsid w:val="004B5C9B"/>
    <w:rsid w:val="004B7325"/>
    <w:rsid w:val="004C255D"/>
    <w:rsid w:val="004C78FB"/>
    <w:rsid w:val="004D1217"/>
    <w:rsid w:val="004D2DCC"/>
    <w:rsid w:val="004D2FAF"/>
    <w:rsid w:val="004D4899"/>
    <w:rsid w:val="004D4C4E"/>
    <w:rsid w:val="004D528A"/>
    <w:rsid w:val="004D5FD6"/>
    <w:rsid w:val="004D6E93"/>
    <w:rsid w:val="004D703D"/>
    <w:rsid w:val="004D7430"/>
    <w:rsid w:val="004E087B"/>
    <w:rsid w:val="004E3445"/>
    <w:rsid w:val="004E52A6"/>
    <w:rsid w:val="004F0AAC"/>
    <w:rsid w:val="004F362D"/>
    <w:rsid w:val="004F5D42"/>
    <w:rsid w:val="00505AC9"/>
    <w:rsid w:val="0051190D"/>
    <w:rsid w:val="0051552F"/>
    <w:rsid w:val="0051603A"/>
    <w:rsid w:val="00516CB6"/>
    <w:rsid w:val="005173F5"/>
    <w:rsid w:val="00523D85"/>
    <w:rsid w:val="005256B8"/>
    <w:rsid w:val="00526E5D"/>
    <w:rsid w:val="00527690"/>
    <w:rsid w:val="00530F35"/>
    <w:rsid w:val="00531CB9"/>
    <w:rsid w:val="005356A4"/>
    <w:rsid w:val="00540052"/>
    <w:rsid w:val="00541D2B"/>
    <w:rsid w:val="00543C9D"/>
    <w:rsid w:val="00543FCB"/>
    <w:rsid w:val="005442AF"/>
    <w:rsid w:val="00544891"/>
    <w:rsid w:val="00550754"/>
    <w:rsid w:val="0055109C"/>
    <w:rsid w:val="00551BBB"/>
    <w:rsid w:val="00554823"/>
    <w:rsid w:val="00555A18"/>
    <w:rsid w:val="0055634B"/>
    <w:rsid w:val="00557550"/>
    <w:rsid w:val="005604B5"/>
    <w:rsid w:val="005647A1"/>
    <w:rsid w:val="00565193"/>
    <w:rsid w:val="0057181B"/>
    <w:rsid w:val="00571858"/>
    <w:rsid w:val="005748A7"/>
    <w:rsid w:val="005755CF"/>
    <w:rsid w:val="0058032B"/>
    <w:rsid w:val="00582809"/>
    <w:rsid w:val="00583803"/>
    <w:rsid w:val="00584D85"/>
    <w:rsid w:val="00585992"/>
    <w:rsid w:val="00585FF5"/>
    <w:rsid w:val="0058616E"/>
    <w:rsid w:val="00587568"/>
    <w:rsid w:val="0059716C"/>
    <w:rsid w:val="005A31A4"/>
    <w:rsid w:val="005A36CD"/>
    <w:rsid w:val="005A3AD0"/>
    <w:rsid w:val="005A426F"/>
    <w:rsid w:val="005A7FC4"/>
    <w:rsid w:val="005B0A22"/>
    <w:rsid w:val="005B0E03"/>
    <w:rsid w:val="005B12FF"/>
    <w:rsid w:val="005B269A"/>
    <w:rsid w:val="005B6B12"/>
    <w:rsid w:val="005C7C98"/>
    <w:rsid w:val="005D1039"/>
    <w:rsid w:val="005D1DD6"/>
    <w:rsid w:val="005D3940"/>
    <w:rsid w:val="005D3EDB"/>
    <w:rsid w:val="005D4AC4"/>
    <w:rsid w:val="005D6E82"/>
    <w:rsid w:val="005D7008"/>
    <w:rsid w:val="005D712B"/>
    <w:rsid w:val="005E64DF"/>
    <w:rsid w:val="005F2F6D"/>
    <w:rsid w:val="005F4568"/>
    <w:rsid w:val="005F7530"/>
    <w:rsid w:val="0060014B"/>
    <w:rsid w:val="006009B0"/>
    <w:rsid w:val="00605B2A"/>
    <w:rsid w:val="006069F3"/>
    <w:rsid w:val="006111EE"/>
    <w:rsid w:val="00611928"/>
    <w:rsid w:val="00612B93"/>
    <w:rsid w:val="00613F36"/>
    <w:rsid w:val="0061624C"/>
    <w:rsid w:val="0062249A"/>
    <w:rsid w:val="0062300E"/>
    <w:rsid w:val="006234E7"/>
    <w:rsid w:val="0062455F"/>
    <w:rsid w:val="00624703"/>
    <w:rsid w:val="00624B3F"/>
    <w:rsid w:val="006257F3"/>
    <w:rsid w:val="006272EE"/>
    <w:rsid w:val="0062748E"/>
    <w:rsid w:val="00627A12"/>
    <w:rsid w:val="006300AF"/>
    <w:rsid w:val="00630566"/>
    <w:rsid w:val="006314C2"/>
    <w:rsid w:val="00634903"/>
    <w:rsid w:val="00634C8F"/>
    <w:rsid w:val="0063565E"/>
    <w:rsid w:val="006359BD"/>
    <w:rsid w:val="00636E02"/>
    <w:rsid w:val="006419C6"/>
    <w:rsid w:val="00641F00"/>
    <w:rsid w:val="00642297"/>
    <w:rsid w:val="00644A34"/>
    <w:rsid w:val="00645628"/>
    <w:rsid w:val="00645AD3"/>
    <w:rsid w:val="00646BB2"/>
    <w:rsid w:val="00651BBD"/>
    <w:rsid w:val="00655249"/>
    <w:rsid w:val="00656CD3"/>
    <w:rsid w:val="00656D9C"/>
    <w:rsid w:val="00662882"/>
    <w:rsid w:val="00665A7C"/>
    <w:rsid w:val="00666DED"/>
    <w:rsid w:val="00667AD1"/>
    <w:rsid w:val="00671363"/>
    <w:rsid w:val="00672563"/>
    <w:rsid w:val="00672FBE"/>
    <w:rsid w:val="00675B43"/>
    <w:rsid w:val="0067692B"/>
    <w:rsid w:val="00676DE2"/>
    <w:rsid w:val="00681AE9"/>
    <w:rsid w:val="00683094"/>
    <w:rsid w:val="00683928"/>
    <w:rsid w:val="00685435"/>
    <w:rsid w:val="006854FD"/>
    <w:rsid w:val="0069103B"/>
    <w:rsid w:val="006911DC"/>
    <w:rsid w:val="00692E69"/>
    <w:rsid w:val="00695598"/>
    <w:rsid w:val="00695807"/>
    <w:rsid w:val="0069788E"/>
    <w:rsid w:val="0069794A"/>
    <w:rsid w:val="006A2EBA"/>
    <w:rsid w:val="006A6374"/>
    <w:rsid w:val="006A7A10"/>
    <w:rsid w:val="006B0DA4"/>
    <w:rsid w:val="006B1B6B"/>
    <w:rsid w:val="006B1C6D"/>
    <w:rsid w:val="006B2684"/>
    <w:rsid w:val="006B271F"/>
    <w:rsid w:val="006B3169"/>
    <w:rsid w:val="006B44DC"/>
    <w:rsid w:val="006B541E"/>
    <w:rsid w:val="006C0537"/>
    <w:rsid w:val="006C1186"/>
    <w:rsid w:val="006C257F"/>
    <w:rsid w:val="006C4B5F"/>
    <w:rsid w:val="006C6480"/>
    <w:rsid w:val="006D1492"/>
    <w:rsid w:val="006D5784"/>
    <w:rsid w:val="006D5894"/>
    <w:rsid w:val="006D7566"/>
    <w:rsid w:val="006E08A8"/>
    <w:rsid w:val="006E2297"/>
    <w:rsid w:val="006E38BE"/>
    <w:rsid w:val="006E4D30"/>
    <w:rsid w:val="006E6DDF"/>
    <w:rsid w:val="006E78F3"/>
    <w:rsid w:val="006F0E9E"/>
    <w:rsid w:val="006F3DEF"/>
    <w:rsid w:val="006F4121"/>
    <w:rsid w:val="006F4714"/>
    <w:rsid w:val="006F53E8"/>
    <w:rsid w:val="006F73F4"/>
    <w:rsid w:val="006F7FC9"/>
    <w:rsid w:val="00700F59"/>
    <w:rsid w:val="00704715"/>
    <w:rsid w:val="00706072"/>
    <w:rsid w:val="0070629A"/>
    <w:rsid w:val="00706ED1"/>
    <w:rsid w:val="00707046"/>
    <w:rsid w:val="0070722C"/>
    <w:rsid w:val="00707926"/>
    <w:rsid w:val="007100A0"/>
    <w:rsid w:val="00712BBE"/>
    <w:rsid w:val="00713918"/>
    <w:rsid w:val="00714908"/>
    <w:rsid w:val="007151BF"/>
    <w:rsid w:val="00716F6F"/>
    <w:rsid w:val="00717488"/>
    <w:rsid w:val="00724328"/>
    <w:rsid w:val="0072782E"/>
    <w:rsid w:val="0073218E"/>
    <w:rsid w:val="00732A82"/>
    <w:rsid w:val="00734057"/>
    <w:rsid w:val="0073539C"/>
    <w:rsid w:val="00736999"/>
    <w:rsid w:val="00737DB3"/>
    <w:rsid w:val="00740C04"/>
    <w:rsid w:val="00741EC2"/>
    <w:rsid w:val="0074269D"/>
    <w:rsid w:val="0074487D"/>
    <w:rsid w:val="007452F0"/>
    <w:rsid w:val="007465E6"/>
    <w:rsid w:val="0075013C"/>
    <w:rsid w:val="007552F1"/>
    <w:rsid w:val="0075667F"/>
    <w:rsid w:val="00762719"/>
    <w:rsid w:val="007640B6"/>
    <w:rsid w:val="00767F98"/>
    <w:rsid w:val="00770540"/>
    <w:rsid w:val="00771121"/>
    <w:rsid w:val="0077236B"/>
    <w:rsid w:val="0077336F"/>
    <w:rsid w:val="00777EE4"/>
    <w:rsid w:val="0078371E"/>
    <w:rsid w:val="00784F49"/>
    <w:rsid w:val="00786DAC"/>
    <w:rsid w:val="007921EB"/>
    <w:rsid w:val="00792D18"/>
    <w:rsid w:val="0079316C"/>
    <w:rsid w:val="00793A49"/>
    <w:rsid w:val="0079716C"/>
    <w:rsid w:val="00797D2C"/>
    <w:rsid w:val="00797E0C"/>
    <w:rsid w:val="007A0A39"/>
    <w:rsid w:val="007A1998"/>
    <w:rsid w:val="007A4A23"/>
    <w:rsid w:val="007A4C0B"/>
    <w:rsid w:val="007A5B31"/>
    <w:rsid w:val="007B18A0"/>
    <w:rsid w:val="007B2DA2"/>
    <w:rsid w:val="007B5680"/>
    <w:rsid w:val="007B5EC6"/>
    <w:rsid w:val="007B6D02"/>
    <w:rsid w:val="007C01F8"/>
    <w:rsid w:val="007C0ECE"/>
    <w:rsid w:val="007C25D9"/>
    <w:rsid w:val="007C65AA"/>
    <w:rsid w:val="007C6A68"/>
    <w:rsid w:val="007D50D4"/>
    <w:rsid w:val="007D5397"/>
    <w:rsid w:val="007D7886"/>
    <w:rsid w:val="007E1AF8"/>
    <w:rsid w:val="007E38D6"/>
    <w:rsid w:val="007E53DD"/>
    <w:rsid w:val="007E5EEA"/>
    <w:rsid w:val="007E7997"/>
    <w:rsid w:val="007E7AC8"/>
    <w:rsid w:val="007F0B57"/>
    <w:rsid w:val="007F3DC9"/>
    <w:rsid w:val="007F52EA"/>
    <w:rsid w:val="007F538D"/>
    <w:rsid w:val="007F6E3C"/>
    <w:rsid w:val="00800863"/>
    <w:rsid w:val="00800BEF"/>
    <w:rsid w:val="00804EFA"/>
    <w:rsid w:val="00806A31"/>
    <w:rsid w:val="008073FD"/>
    <w:rsid w:val="00810C3D"/>
    <w:rsid w:val="00811476"/>
    <w:rsid w:val="008150E3"/>
    <w:rsid w:val="00815671"/>
    <w:rsid w:val="00815B07"/>
    <w:rsid w:val="00817900"/>
    <w:rsid w:val="00820FBC"/>
    <w:rsid w:val="0082121D"/>
    <w:rsid w:val="008212F3"/>
    <w:rsid w:val="00824F5E"/>
    <w:rsid w:val="008274A6"/>
    <w:rsid w:val="0083729B"/>
    <w:rsid w:val="00840D29"/>
    <w:rsid w:val="0084197B"/>
    <w:rsid w:val="00842F5B"/>
    <w:rsid w:val="00844568"/>
    <w:rsid w:val="00847A12"/>
    <w:rsid w:val="00852947"/>
    <w:rsid w:val="00852B48"/>
    <w:rsid w:val="00856CCE"/>
    <w:rsid w:val="00861E6E"/>
    <w:rsid w:val="00870225"/>
    <w:rsid w:val="00870F96"/>
    <w:rsid w:val="008735F0"/>
    <w:rsid w:val="00873A10"/>
    <w:rsid w:val="00874C2D"/>
    <w:rsid w:val="008767F2"/>
    <w:rsid w:val="00876D7F"/>
    <w:rsid w:val="0087749A"/>
    <w:rsid w:val="00884129"/>
    <w:rsid w:val="00884D40"/>
    <w:rsid w:val="0089052A"/>
    <w:rsid w:val="0089075A"/>
    <w:rsid w:val="00891D0A"/>
    <w:rsid w:val="0089552A"/>
    <w:rsid w:val="0089580A"/>
    <w:rsid w:val="008965DD"/>
    <w:rsid w:val="008A2BA8"/>
    <w:rsid w:val="008A2C60"/>
    <w:rsid w:val="008A3671"/>
    <w:rsid w:val="008A3DDE"/>
    <w:rsid w:val="008A41C1"/>
    <w:rsid w:val="008A702D"/>
    <w:rsid w:val="008B2822"/>
    <w:rsid w:val="008B36E2"/>
    <w:rsid w:val="008B3AF9"/>
    <w:rsid w:val="008B55FF"/>
    <w:rsid w:val="008B671C"/>
    <w:rsid w:val="008B76A2"/>
    <w:rsid w:val="008C633A"/>
    <w:rsid w:val="008C767A"/>
    <w:rsid w:val="008C76FE"/>
    <w:rsid w:val="008D252F"/>
    <w:rsid w:val="008D2928"/>
    <w:rsid w:val="008D5152"/>
    <w:rsid w:val="008D54A4"/>
    <w:rsid w:val="008D5A5A"/>
    <w:rsid w:val="008D5C28"/>
    <w:rsid w:val="008D78EF"/>
    <w:rsid w:val="008E10C5"/>
    <w:rsid w:val="008E142F"/>
    <w:rsid w:val="008E472D"/>
    <w:rsid w:val="008E6F16"/>
    <w:rsid w:val="008E7267"/>
    <w:rsid w:val="008E750E"/>
    <w:rsid w:val="008E7FEB"/>
    <w:rsid w:val="008F11C3"/>
    <w:rsid w:val="008F30F2"/>
    <w:rsid w:val="008F484D"/>
    <w:rsid w:val="008F48BB"/>
    <w:rsid w:val="008F4AAD"/>
    <w:rsid w:val="008F4B13"/>
    <w:rsid w:val="008F568F"/>
    <w:rsid w:val="008F5FCE"/>
    <w:rsid w:val="008F793A"/>
    <w:rsid w:val="00906176"/>
    <w:rsid w:val="0090645C"/>
    <w:rsid w:val="009108BD"/>
    <w:rsid w:val="00910ECF"/>
    <w:rsid w:val="00911BA3"/>
    <w:rsid w:val="00913CDA"/>
    <w:rsid w:val="00917B57"/>
    <w:rsid w:val="0092001E"/>
    <w:rsid w:val="00923931"/>
    <w:rsid w:val="00925B12"/>
    <w:rsid w:val="00926469"/>
    <w:rsid w:val="009329E5"/>
    <w:rsid w:val="0093320B"/>
    <w:rsid w:val="00934C4F"/>
    <w:rsid w:val="00935F0F"/>
    <w:rsid w:val="0093601D"/>
    <w:rsid w:val="00944029"/>
    <w:rsid w:val="00944DC5"/>
    <w:rsid w:val="009518B0"/>
    <w:rsid w:val="009525F6"/>
    <w:rsid w:val="009536A6"/>
    <w:rsid w:val="00956A40"/>
    <w:rsid w:val="00962DEB"/>
    <w:rsid w:val="0096679B"/>
    <w:rsid w:val="0097191E"/>
    <w:rsid w:val="00973722"/>
    <w:rsid w:val="00975DD5"/>
    <w:rsid w:val="00976174"/>
    <w:rsid w:val="00977486"/>
    <w:rsid w:val="009828D9"/>
    <w:rsid w:val="009830AF"/>
    <w:rsid w:val="009832B6"/>
    <w:rsid w:val="009843AE"/>
    <w:rsid w:val="00985096"/>
    <w:rsid w:val="00987F5C"/>
    <w:rsid w:val="009906FA"/>
    <w:rsid w:val="00991432"/>
    <w:rsid w:val="00993E99"/>
    <w:rsid w:val="00993FF3"/>
    <w:rsid w:val="0099526D"/>
    <w:rsid w:val="009A0719"/>
    <w:rsid w:val="009A1D02"/>
    <w:rsid w:val="009A2773"/>
    <w:rsid w:val="009A2D19"/>
    <w:rsid w:val="009A3562"/>
    <w:rsid w:val="009B05CB"/>
    <w:rsid w:val="009B26E3"/>
    <w:rsid w:val="009B36CB"/>
    <w:rsid w:val="009B5379"/>
    <w:rsid w:val="009C1839"/>
    <w:rsid w:val="009C1962"/>
    <w:rsid w:val="009C5016"/>
    <w:rsid w:val="009C5EAC"/>
    <w:rsid w:val="009C7694"/>
    <w:rsid w:val="009D02CA"/>
    <w:rsid w:val="009D1E52"/>
    <w:rsid w:val="009D32FE"/>
    <w:rsid w:val="009D5AB7"/>
    <w:rsid w:val="009D71E8"/>
    <w:rsid w:val="009D7294"/>
    <w:rsid w:val="009E0D0E"/>
    <w:rsid w:val="009E2896"/>
    <w:rsid w:val="009E301D"/>
    <w:rsid w:val="009E61B3"/>
    <w:rsid w:val="009E7959"/>
    <w:rsid w:val="009F08EE"/>
    <w:rsid w:val="009F1EB8"/>
    <w:rsid w:val="009F5681"/>
    <w:rsid w:val="009F5C76"/>
    <w:rsid w:val="009F610F"/>
    <w:rsid w:val="00A00C98"/>
    <w:rsid w:val="00A026A4"/>
    <w:rsid w:val="00A04698"/>
    <w:rsid w:val="00A06923"/>
    <w:rsid w:val="00A114A2"/>
    <w:rsid w:val="00A169B5"/>
    <w:rsid w:val="00A20384"/>
    <w:rsid w:val="00A20707"/>
    <w:rsid w:val="00A25BF2"/>
    <w:rsid w:val="00A26C88"/>
    <w:rsid w:val="00A333F4"/>
    <w:rsid w:val="00A33EEF"/>
    <w:rsid w:val="00A34508"/>
    <w:rsid w:val="00A347F4"/>
    <w:rsid w:val="00A3537B"/>
    <w:rsid w:val="00A35B12"/>
    <w:rsid w:val="00A36908"/>
    <w:rsid w:val="00A37387"/>
    <w:rsid w:val="00A410CC"/>
    <w:rsid w:val="00A412E3"/>
    <w:rsid w:val="00A42A06"/>
    <w:rsid w:val="00A43213"/>
    <w:rsid w:val="00A43F09"/>
    <w:rsid w:val="00A457AE"/>
    <w:rsid w:val="00A45E79"/>
    <w:rsid w:val="00A461F5"/>
    <w:rsid w:val="00A4655B"/>
    <w:rsid w:val="00A513E2"/>
    <w:rsid w:val="00A527C3"/>
    <w:rsid w:val="00A52B21"/>
    <w:rsid w:val="00A533D8"/>
    <w:rsid w:val="00A53EDB"/>
    <w:rsid w:val="00A547EB"/>
    <w:rsid w:val="00A622EB"/>
    <w:rsid w:val="00A6306C"/>
    <w:rsid w:val="00A66D5D"/>
    <w:rsid w:val="00A7107B"/>
    <w:rsid w:val="00A72298"/>
    <w:rsid w:val="00A762F5"/>
    <w:rsid w:val="00A76BF5"/>
    <w:rsid w:val="00A82D1B"/>
    <w:rsid w:val="00A84D45"/>
    <w:rsid w:val="00A859F2"/>
    <w:rsid w:val="00A86B00"/>
    <w:rsid w:val="00A90F07"/>
    <w:rsid w:val="00A91673"/>
    <w:rsid w:val="00A91D91"/>
    <w:rsid w:val="00A92565"/>
    <w:rsid w:val="00A92595"/>
    <w:rsid w:val="00A9533C"/>
    <w:rsid w:val="00A95E60"/>
    <w:rsid w:val="00A96C72"/>
    <w:rsid w:val="00AA054E"/>
    <w:rsid w:val="00AA12F3"/>
    <w:rsid w:val="00AA164E"/>
    <w:rsid w:val="00AA3A92"/>
    <w:rsid w:val="00AB065A"/>
    <w:rsid w:val="00AB3D9C"/>
    <w:rsid w:val="00AB4940"/>
    <w:rsid w:val="00AB6180"/>
    <w:rsid w:val="00AB62F8"/>
    <w:rsid w:val="00AB70A3"/>
    <w:rsid w:val="00AB7542"/>
    <w:rsid w:val="00AB75FA"/>
    <w:rsid w:val="00AC3F9F"/>
    <w:rsid w:val="00AC425E"/>
    <w:rsid w:val="00AC5458"/>
    <w:rsid w:val="00AC59F7"/>
    <w:rsid w:val="00AC6856"/>
    <w:rsid w:val="00AC7081"/>
    <w:rsid w:val="00AC79E0"/>
    <w:rsid w:val="00AD106D"/>
    <w:rsid w:val="00AD3C40"/>
    <w:rsid w:val="00AD49FC"/>
    <w:rsid w:val="00AD6CE7"/>
    <w:rsid w:val="00AD6CF5"/>
    <w:rsid w:val="00AE27D8"/>
    <w:rsid w:val="00AE29EE"/>
    <w:rsid w:val="00AE2A06"/>
    <w:rsid w:val="00AE37EE"/>
    <w:rsid w:val="00AE389A"/>
    <w:rsid w:val="00AE4308"/>
    <w:rsid w:val="00AE4FC7"/>
    <w:rsid w:val="00AE53E7"/>
    <w:rsid w:val="00AE7063"/>
    <w:rsid w:val="00AE7781"/>
    <w:rsid w:val="00AF00C5"/>
    <w:rsid w:val="00AF29E8"/>
    <w:rsid w:val="00AF4884"/>
    <w:rsid w:val="00AF60D7"/>
    <w:rsid w:val="00AF6466"/>
    <w:rsid w:val="00AF682E"/>
    <w:rsid w:val="00AF6895"/>
    <w:rsid w:val="00AF7434"/>
    <w:rsid w:val="00B00FAA"/>
    <w:rsid w:val="00B01C8C"/>
    <w:rsid w:val="00B02C96"/>
    <w:rsid w:val="00B04283"/>
    <w:rsid w:val="00B05B37"/>
    <w:rsid w:val="00B0780F"/>
    <w:rsid w:val="00B07AF3"/>
    <w:rsid w:val="00B1030B"/>
    <w:rsid w:val="00B1342C"/>
    <w:rsid w:val="00B15411"/>
    <w:rsid w:val="00B15C0B"/>
    <w:rsid w:val="00B16182"/>
    <w:rsid w:val="00B17623"/>
    <w:rsid w:val="00B17AF3"/>
    <w:rsid w:val="00B22FEE"/>
    <w:rsid w:val="00B2400F"/>
    <w:rsid w:val="00B242C7"/>
    <w:rsid w:val="00B26393"/>
    <w:rsid w:val="00B26610"/>
    <w:rsid w:val="00B2691B"/>
    <w:rsid w:val="00B27499"/>
    <w:rsid w:val="00B307C6"/>
    <w:rsid w:val="00B31781"/>
    <w:rsid w:val="00B34076"/>
    <w:rsid w:val="00B34E4B"/>
    <w:rsid w:val="00B37208"/>
    <w:rsid w:val="00B37C04"/>
    <w:rsid w:val="00B37F37"/>
    <w:rsid w:val="00B40B94"/>
    <w:rsid w:val="00B40D81"/>
    <w:rsid w:val="00B4164A"/>
    <w:rsid w:val="00B44555"/>
    <w:rsid w:val="00B45452"/>
    <w:rsid w:val="00B47F9E"/>
    <w:rsid w:val="00B50534"/>
    <w:rsid w:val="00B50923"/>
    <w:rsid w:val="00B50AB0"/>
    <w:rsid w:val="00B52E10"/>
    <w:rsid w:val="00B53263"/>
    <w:rsid w:val="00B54CE4"/>
    <w:rsid w:val="00B55A72"/>
    <w:rsid w:val="00B55CF9"/>
    <w:rsid w:val="00B56646"/>
    <w:rsid w:val="00B56EA3"/>
    <w:rsid w:val="00B60558"/>
    <w:rsid w:val="00B606A2"/>
    <w:rsid w:val="00B62075"/>
    <w:rsid w:val="00B647FD"/>
    <w:rsid w:val="00B655D1"/>
    <w:rsid w:val="00B667DB"/>
    <w:rsid w:val="00B73281"/>
    <w:rsid w:val="00B7765E"/>
    <w:rsid w:val="00B81AC2"/>
    <w:rsid w:val="00B81C83"/>
    <w:rsid w:val="00B87AE5"/>
    <w:rsid w:val="00B90945"/>
    <w:rsid w:val="00B91A8C"/>
    <w:rsid w:val="00B91B6E"/>
    <w:rsid w:val="00B92DCE"/>
    <w:rsid w:val="00B94DF8"/>
    <w:rsid w:val="00B94F32"/>
    <w:rsid w:val="00BA179A"/>
    <w:rsid w:val="00BA53B7"/>
    <w:rsid w:val="00BA717B"/>
    <w:rsid w:val="00BA7703"/>
    <w:rsid w:val="00BB0419"/>
    <w:rsid w:val="00BB449C"/>
    <w:rsid w:val="00BB4B72"/>
    <w:rsid w:val="00BB4D38"/>
    <w:rsid w:val="00BB5C41"/>
    <w:rsid w:val="00BC00C1"/>
    <w:rsid w:val="00BC0CBE"/>
    <w:rsid w:val="00BC0E05"/>
    <w:rsid w:val="00BC10C2"/>
    <w:rsid w:val="00BC1539"/>
    <w:rsid w:val="00BC15CC"/>
    <w:rsid w:val="00BC1713"/>
    <w:rsid w:val="00BC2561"/>
    <w:rsid w:val="00BC422A"/>
    <w:rsid w:val="00BC497F"/>
    <w:rsid w:val="00BC6A89"/>
    <w:rsid w:val="00BD0895"/>
    <w:rsid w:val="00BD24FA"/>
    <w:rsid w:val="00BD5CC8"/>
    <w:rsid w:val="00BD64BC"/>
    <w:rsid w:val="00BE0BD7"/>
    <w:rsid w:val="00BE225E"/>
    <w:rsid w:val="00BE2B4F"/>
    <w:rsid w:val="00BE4CA9"/>
    <w:rsid w:val="00BE702C"/>
    <w:rsid w:val="00BF2088"/>
    <w:rsid w:val="00BF25CD"/>
    <w:rsid w:val="00BF3C57"/>
    <w:rsid w:val="00BF6958"/>
    <w:rsid w:val="00BF7928"/>
    <w:rsid w:val="00C0696A"/>
    <w:rsid w:val="00C11C77"/>
    <w:rsid w:val="00C123AA"/>
    <w:rsid w:val="00C1259D"/>
    <w:rsid w:val="00C13F39"/>
    <w:rsid w:val="00C14871"/>
    <w:rsid w:val="00C17153"/>
    <w:rsid w:val="00C21A4A"/>
    <w:rsid w:val="00C2492F"/>
    <w:rsid w:val="00C24E9F"/>
    <w:rsid w:val="00C261FB"/>
    <w:rsid w:val="00C317B1"/>
    <w:rsid w:val="00C3528C"/>
    <w:rsid w:val="00C3538A"/>
    <w:rsid w:val="00C35CA3"/>
    <w:rsid w:val="00C36046"/>
    <w:rsid w:val="00C366EB"/>
    <w:rsid w:val="00C37F64"/>
    <w:rsid w:val="00C404EE"/>
    <w:rsid w:val="00C4171D"/>
    <w:rsid w:val="00C41958"/>
    <w:rsid w:val="00C43030"/>
    <w:rsid w:val="00C433CC"/>
    <w:rsid w:val="00C43D3A"/>
    <w:rsid w:val="00C44221"/>
    <w:rsid w:val="00C44969"/>
    <w:rsid w:val="00C45B03"/>
    <w:rsid w:val="00C46470"/>
    <w:rsid w:val="00C50AD1"/>
    <w:rsid w:val="00C50B69"/>
    <w:rsid w:val="00C50C17"/>
    <w:rsid w:val="00C51B69"/>
    <w:rsid w:val="00C51EC5"/>
    <w:rsid w:val="00C52BAA"/>
    <w:rsid w:val="00C57FFE"/>
    <w:rsid w:val="00C614DE"/>
    <w:rsid w:val="00C64214"/>
    <w:rsid w:val="00C64909"/>
    <w:rsid w:val="00C66E03"/>
    <w:rsid w:val="00C6739C"/>
    <w:rsid w:val="00C735B3"/>
    <w:rsid w:val="00C73ABA"/>
    <w:rsid w:val="00C73C45"/>
    <w:rsid w:val="00C74FBD"/>
    <w:rsid w:val="00C80C33"/>
    <w:rsid w:val="00C81C0E"/>
    <w:rsid w:val="00C84A0F"/>
    <w:rsid w:val="00C8728B"/>
    <w:rsid w:val="00C87F76"/>
    <w:rsid w:val="00C907BE"/>
    <w:rsid w:val="00C91E08"/>
    <w:rsid w:val="00C9260D"/>
    <w:rsid w:val="00C957E9"/>
    <w:rsid w:val="00C960DA"/>
    <w:rsid w:val="00C97280"/>
    <w:rsid w:val="00CA324D"/>
    <w:rsid w:val="00CA4152"/>
    <w:rsid w:val="00CA5707"/>
    <w:rsid w:val="00CB084F"/>
    <w:rsid w:val="00CB14FC"/>
    <w:rsid w:val="00CB163C"/>
    <w:rsid w:val="00CB3DD9"/>
    <w:rsid w:val="00CB50EF"/>
    <w:rsid w:val="00CB5C08"/>
    <w:rsid w:val="00CB680D"/>
    <w:rsid w:val="00CB68FA"/>
    <w:rsid w:val="00CB7465"/>
    <w:rsid w:val="00CB791A"/>
    <w:rsid w:val="00CB7E07"/>
    <w:rsid w:val="00CC017F"/>
    <w:rsid w:val="00CC1FE5"/>
    <w:rsid w:val="00CC3698"/>
    <w:rsid w:val="00CC44DC"/>
    <w:rsid w:val="00CC56F0"/>
    <w:rsid w:val="00CC57BF"/>
    <w:rsid w:val="00CC5808"/>
    <w:rsid w:val="00CC6842"/>
    <w:rsid w:val="00CD02E4"/>
    <w:rsid w:val="00CD0783"/>
    <w:rsid w:val="00CD0F94"/>
    <w:rsid w:val="00CD1060"/>
    <w:rsid w:val="00CD47B2"/>
    <w:rsid w:val="00CD665A"/>
    <w:rsid w:val="00CE019C"/>
    <w:rsid w:val="00CE06A1"/>
    <w:rsid w:val="00CE07BB"/>
    <w:rsid w:val="00CE2187"/>
    <w:rsid w:val="00CE2A21"/>
    <w:rsid w:val="00CE31DC"/>
    <w:rsid w:val="00CE4529"/>
    <w:rsid w:val="00CE49F8"/>
    <w:rsid w:val="00CE5403"/>
    <w:rsid w:val="00CE66AA"/>
    <w:rsid w:val="00CE7798"/>
    <w:rsid w:val="00CF31E5"/>
    <w:rsid w:val="00CF36C9"/>
    <w:rsid w:val="00CF4CEB"/>
    <w:rsid w:val="00CF56D1"/>
    <w:rsid w:val="00CF682E"/>
    <w:rsid w:val="00CF6BB6"/>
    <w:rsid w:val="00D0266D"/>
    <w:rsid w:val="00D02D3D"/>
    <w:rsid w:val="00D02D8E"/>
    <w:rsid w:val="00D06430"/>
    <w:rsid w:val="00D07902"/>
    <w:rsid w:val="00D07BE6"/>
    <w:rsid w:val="00D1180F"/>
    <w:rsid w:val="00D11A49"/>
    <w:rsid w:val="00D12EDE"/>
    <w:rsid w:val="00D16A47"/>
    <w:rsid w:val="00D204C0"/>
    <w:rsid w:val="00D21ED3"/>
    <w:rsid w:val="00D22F2F"/>
    <w:rsid w:val="00D232E8"/>
    <w:rsid w:val="00D23A01"/>
    <w:rsid w:val="00D2651B"/>
    <w:rsid w:val="00D2659E"/>
    <w:rsid w:val="00D27627"/>
    <w:rsid w:val="00D27AEB"/>
    <w:rsid w:val="00D3372F"/>
    <w:rsid w:val="00D36DBB"/>
    <w:rsid w:val="00D40767"/>
    <w:rsid w:val="00D40F91"/>
    <w:rsid w:val="00D41621"/>
    <w:rsid w:val="00D41EEB"/>
    <w:rsid w:val="00D46275"/>
    <w:rsid w:val="00D4721E"/>
    <w:rsid w:val="00D5022D"/>
    <w:rsid w:val="00D52812"/>
    <w:rsid w:val="00D52941"/>
    <w:rsid w:val="00D539BF"/>
    <w:rsid w:val="00D55264"/>
    <w:rsid w:val="00D60C99"/>
    <w:rsid w:val="00D61B32"/>
    <w:rsid w:val="00D62DA4"/>
    <w:rsid w:val="00D64A17"/>
    <w:rsid w:val="00D664E6"/>
    <w:rsid w:val="00D71CA5"/>
    <w:rsid w:val="00D7274D"/>
    <w:rsid w:val="00D73338"/>
    <w:rsid w:val="00D73444"/>
    <w:rsid w:val="00D73824"/>
    <w:rsid w:val="00D73E75"/>
    <w:rsid w:val="00D774CA"/>
    <w:rsid w:val="00D77A96"/>
    <w:rsid w:val="00D801F4"/>
    <w:rsid w:val="00D83FD1"/>
    <w:rsid w:val="00D8636F"/>
    <w:rsid w:val="00D91780"/>
    <w:rsid w:val="00D92E27"/>
    <w:rsid w:val="00D93AF3"/>
    <w:rsid w:val="00DA1CE7"/>
    <w:rsid w:val="00DA1DB1"/>
    <w:rsid w:val="00DA3AD6"/>
    <w:rsid w:val="00DA434A"/>
    <w:rsid w:val="00DA58BC"/>
    <w:rsid w:val="00DA5ACD"/>
    <w:rsid w:val="00DA5D4C"/>
    <w:rsid w:val="00DA684E"/>
    <w:rsid w:val="00DA74C1"/>
    <w:rsid w:val="00DB202F"/>
    <w:rsid w:val="00DB3895"/>
    <w:rsid w:val="00DB4AD8"/>
    <w:rsid w:val="00DC1CB0"/>
    <w:rsid w:val="00DC41DA"/>
    <w:rsid w:val="00DC767F"/>
    <w:rsid w:val="00DD0CA7"/>
    <w:rsid w:val="00DD1BAD"/>
    <w:rsid w:val="00DD2CCF"/>
    <w:rsid w:val="00DD35E9"/>
    <w:rsid w:val="00DD3E52"/>
    <w:rsid w:val="00DD478A"/>
    <w:rsid w:val="00DD6A2E"/>
    <w:rsid w:val="00DD6C42"/>
    <w:rsid w:val="00DE26CF"/>
    <w:rsid w:val="00DE2D77"/>
    <w:rsid w:val="00DE31BA"/>
    <w:rsid w:val="00DE3731"/>
    <w:rsid w:val="00DE38E2"/>
    <w:rsid w:val="00DE45E6"/>
    <w:rsid w:val="00DE56CC"/>
    <w:rsid w:val="00DF1446"/>
    <w:rsid w:val="00DF192F"/>
    <w:rsid w:val="00DF299A"/>
    <w:rsid w:val="00DF3785"/>
    <w:rsid w:val="00DF5319"/>
    <w:rsid w:val="00DF552D"/>
    <w:rsid w:val="00E001E3"/>
    <w:rsid w:val="00E01C92"/>
    <w:rsid w:val="00E02A15"/>
    <w:rsid w:val="00E07700"/>
    <w:rsid w:val="00E07A2E"/>
    <w:rsid w:val="00E07EE5"/>
    <w:rsid w:val="00E115FB"/>
    <w:rsid w:val="00E12120"/>
    <w:rsid w:val="00E15E28"/>
    <w:rsid w:val="00E204D2"/>
    <w:rsid w:val="00E22187"/>
    <w:rsid w:val="00E22CA7"/>
    <w:rsid w:val="00E24806"/>
    <w:rsid w:val="00E2781C"/>
    <w:rsid w:val="00E30065"/>
    <w:rsid w:val="00E3156B"/>
    <w:rsid w:val="00E31AC9"/>
    <w:rsid w:val="00E3456B"/>
    <w:rsid w:val="00E34D08"/>
    <w:rsid w:val="00E3529D"/>
    <w:rsid w:val="00E35F8E"/>
    <w:rsid w:val="00E41CB8"/>
    <w:rsid w:val="00E43ED1"/>
    <w:rsid w:val="00E50EDC"/>
    <w:rsid w:val="00E5445D"/>
    <w:rsid w:val="00E54F31"/>
    <w:rsid w:val="00E60E5D"/>
    <w:rsid w:val="00E61248"/>
    <w:rsid w:val="00E618AD"/>
    <w:rsid w:val="00E61BEB"/>
    <w:rsid w:val="00E67447"/>
    <w:rsid w:val="00E67F9C"/>
    <w:rsid w:val="00E73B4A"/>
    <w:rsid w:val="00E76F42"/>
    <w:rsid w:val="00E82FE5"/>
    <w:rsid w:val="00E859A0"/>
    <w:rsid w:val="00E901F7"/>
    <w:rsid w:val="00E914CC"/>
    <w:rsid w:val="00E91E45"/>
    <w:rsid w:val="00E9511F"/>
    <w:rsid w:val="00E96669"/>
    <w:rsid w:val="00E97EF9"/>
    <w:rsid w:val="00EA21A7"/>
    <w:rsid w:val="00EA3D18"/>
    <w:rsid w:val="00EA46A7"/>
    <w:rsid w:val="00EA6CEE"/>
    <w:rsid w:val="00EA73CB"/>
    <w:rsid w:val="00EA7EAD"/>
    <w:rsid w:val="00EB4898"/>
    <w:rsid w:val="00EC106B"/>
    <w:rsid w:val="00EC5C5F"/>
    <w:rsid w:val="00EC5C87"/>
    <w:rsid w:val="00EC6826"/>
    <w:rsid w:val="00EC6BD8"/>
    <w:rsid w:val="00ED0BA6"/>
    <w:rsid w:val="00ED0E19"/>
    <w:rsid w:val="00ED20AC"/>
    <w:rsid w:val="00ED21F8"/>
    <w:rsid w:val="00ED35A2"/>
    <w:rsid w:val="00ED40B5"/>
    <w:rsid w:val="00ED5AEE"/>
    <w:rsid w:val="00ED6E77"/>
    <w:rsid w:val="00ED708F"/>
    <w:rsid w:val="00ED74D7"/>
    <w:rsid w:val="00ED78A3"/>
    <w:rsid w:val="00EE2096"/>
    <w:rsid w:val="00EE3478"/>
    <w:rsid w:val="00EE47CB"/>
    <w:rsid w:val="00EE55E6"/>
    <w:rsid w:val="00EE7B2C"/>
    <w:rsid w:val="00EF6B95"/>
    <w:rsid w:val="00EF7646"/>
    <w:rsid w:val="00F023E8"/>
    <w:rsid w:val="00F04F3B"/>
    <w:rsid w:val="00F06482"/>
    <w:rsid w:val="00F14EE4"/>
    <w:rsid w:val="00F1522E"/>
    <w:rsid w:val="00F15A6D"/>
    <w:rsid w:val="00F15EE0"/>
    <w:rsid w:val="00F226E0"/>
    <w:rsid w:val="00F22F82"/>
    <w:rsid w:val="00F24B9D"/>
    <w:rsid w:val="00F256DB"/>
    <w:rsid w:val="00F260BA"/>
    <w:rsid w:val="00F26493"/>
    <w:rsid w:val="00F27E67"/>
    <w:rsid w:val="00F31805"/>
    <w:rsid w:val="00F31903"/>
    <w:rsid w:val="00F33474"/>
    <w:rsid w:val="00F33EED"/>
    <w:rsid w:val="00F34422"/>
    <w:rsid w:val="00F346D0"/>
    <w:rsid w:val="00F36A40"/>
    <w:rsid w:val="00F37214"/>
    <w:rsid w:val="00F4087A"/>
    <w:rsid w:val="00F43212"/>
    <w:rsid w:val="00F4524E"/>
    <w:rsid w:val="00F51277"/>
    <w:rsid w:val="00F515FB"/>
    <w:rsid w:val="00F52105"/>
    <w:rsid w:val="00F5210E"/>
    <w:rsid w:val="00F53A19"/>
    <w:rsid w:val="00F53E50"/>
    <w:rsid w:val="00F5405A"/>
    <w:rsid w:val="00F552B0"/>
    <w:rsid w:val="00F55EB2"/>
    <w:rsid w:val="00F578D8"/>
    <w:rsid w:val="00F61565"/>
    <w:rsid w:val="00F61903"/>
    <w:rsid w:val="00F6349E"/>
    <w:rsid w:val="00F637DB"/>
    <w:rsid w:val="00F67E25"/>
    <w:rsid w:val="00F67EBD"/>
    <w:rsid w:val="00F71EC7"/>
    <w:rsid w:val="00F71F91"/>
    <w:rsid w:val="00F734E4"/>
    <w:rsid w:val="00F73595"/>
    <w:rsid w:val="00F74209"/>
    <w:rsid w:val="00F76B30"/>
    <w:rsid w:val="00F80103"/>
    <w:rsid w:val="00F801FC"/>
    <w:rsid w:val="00F80FAB"/>
    <w:rsid w:val="00F81A31"/>
    <w:rsid w:val="00F82981"/>
    <w:rsid w:val="00F83282"/>
    <w:rsid w:val="00F8640E"/>
    <w:rsid w:val="00F87D9F"/>
    <w:rsid w:val="00F9083A"/>
    <w:rsid w:val="00F93A6D"/>
    <w:rsid w:val="00F94870"/>
    <w:rsid w:val="00F95705"/>
    <w:rsid w:val="00F9725A"/>
    <w:rsid w:val="00F9799A"/>
    <w:rsid w:val="00FA0C95"/>
    <w:rsid w:val="00FA2EC8"/>
    <w:rsid w:val="00FA531E"/>
    <w:rsid w:val="00FA64EC"/>
    <w:rsid w:val="00FA6E43"/>
    <w:rsid w:val="00FA76D6"/>
    <w:rsid w:val="00FA770C"/>
    <w:rsid w:val="00FA79F0"/>
    <w:rsid w:val="00FB0312"/>
    <w:rsid w:val="00FB05F9"/>
    <w:rsid w:val="00FB0D46"/>
    <w:rsid w:val="00FB1A27"/>
    <w:rsid w:val="00FB3AE8"/>
    <w:rsid w:val="00FB5DC2"/>
    <w:rsid w:val="00FB5FCB"/>
    <w:rsid w:val="00FC043A"/>
    <w:rsid w:val="00FC12FC"/>
    <w:rsid w:val="00FC1A08"/>
    <w:rsid w:val="00FC3BED"/>
    <w:rsid w:val="00FC3DA5"/>
    <w:rsid w:val="00FC5456"/>
    <w:rsid w:val="00FC7672"/>
    <w:rsid w:val="00FD03C3"/>
    <w:rsid w:val="00FD4230"/>
    <w:rsid w:val="00FD4533"/>
    <w:rsid w:val="00FD4C0F"/>
    <w:rsid w:val="00FE1A54"/>
    <w:rsid w:val="00FE23E5"/>
    <w:rsid w:val="00FE28D3"/>
    <w:rsid w:val="00FE2EF1"/>
    <w:rsid w:val="00FE2F87"/>
    <w:rsid w:val="00FE3647"/>
    <w:rsid w:val="00FE4683"/>
    <w:rsid w:val="00FE49BB"/>
    <w:rsid w:val="00FE53C8"/>
    <w:rsid w:val="00FE6D8F"/>
    <w:rsid w:val="00FE7F23"/>
    <w:rsid w:val="00FF0328"/>
    <w:rsid w:val="00FF3B8C"/>
    <w:rsid w:val="00FF6839"/>
    <w:rsid w:val="00FF6860"/>
    <w:rsid w:val="00FF759D"/>
    <w:rsid w:val="00FF77FA"/>
    <w:rsid w:val="00FF7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9" w:qFormat="1"/>
    <w:lsdException w:name="header" w:uiPriority="0"/>
    <w:lsdException w:name="caption" w:uiPriority="0" w:qFormat="1"/>
    <w:lsdException w:name="footnote reference" w:uiPriority="1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Heading6"/>
    <w:next w:val="Normal"/>
    <w:link w:val="Heading5Char"/>
    <w:uiPriority w:val="9"/>
    <w:unhideWhenUsed/>
    <w:qFormat/>
    <w:rsid w:val="002E117F"/>
    <w:pPr>
      <w:numPr>
        <w:ilvl w:val="4"/>
      </w:numPr>
      <w:outlineLvl w:val="4"/>
    </w:pPr>
  </w:style>
  <w:style w:type="paragraph" w:styleId="Heading6">
    <w:name w:val="heading 6"/>
    <w:basedOn w:val="Normal"/>
    <w:next w:val="Normal"/>
    <w:link w:val="Heading6Char"/>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0"/>
      </w:numPr>
      <w:ind w:left="792" w:hanging="432"/>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Paragraphe de liste"/>
    <w:basedOn w:val="Normal"/>
    <w:link w:val="ListParagraphChar"/>
    <w:autoRedefine/>
    <w:uiPriority w:val="34"/>
    <w:qFormat/>
    <w:rsid w:val="009E0D0E"/>
    <w:pPr>
      <w:numPr>
        <w:numId w:val="48"/>
      </w:numPr>
      <w:spacing w:after="0"/>
    </w:pPr>
    <w:rPr>
      <w:sz w:val="20"/>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lang w:val="en-GB"/>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2E117F"/>
    <w:rPr>
      <w:rFonts w:asciiTheme="majorHAnsi" w:eastAsiaTheme="majorEastAsia" w:hAnsiTheme="majorHAnsi" w:cstheme="majorBidi"/>
      <w:i/>
      <w:iCs/>
      <w:color w:val="44546A" w:themeColor="text2"/>
      <w:sz w:val="21"/>
      <w:szCs w:val="21"/>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nhideWhenUsed/>
    <w:qFormat/>
    <w:rsid w:val="00B53263"/>
    <w:pPr>
      <w:keepNext/>
      <w:spacing w:before="120" w:after="120" w:line="240" w:lineRule="auto"/>
      <w:ind w:left="709"/>
      <w:jc w:val="left"/>
    </w:pPr>
    <w:rPr>
      <w:b/>
      <w:bCs/>
      <w:color w:val="000000" w:themeColor="text1"/>
      <w:spacing w:val="6"/>
      <w:sz w:val="20"/>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ind w:left="432" w:hanging="432"/>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CA324D"/>
    <w:pPr>
      <w:tabs>
        <w:tab w:val="left" w:pos="709"/>
        <w:tab w:val="right" w:leader="dot" w:pos="9781"/>
      </w:tabs>
      <w:spacing w:after="100"/>
    </w:pPr>
  </w:style>
  <w:style w:type="paragraph" w:styleId="TOC2">
    <w:name w:val="toc 2"/>
    <w:basedOn w:val="Normal"/>
    <w:next w:val="Normal"/>
    <w:autoRedefine/>
    <w:uiPriority w:val="39"/>
    <w:unhideWhenUsed/>
    <w:rsid w:val="00CA324D"/>
    <w:pPr>
      <w:tabs>
        <w:tab w:val="left" w:pos="709"/>
        <w:tab w:val="right" w:leader="dot" w:pos="9781"/>
      </w:tabs>
      <w:spacing w:after="10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Char3,Footnote text,Testo nota a piè di pagina_Rientro,stile 1,Footnote1,Footnote2,Footnote3,Footnote4,Footnote5,Footnote6,Footnote7,Footnote8,Footnote9,Footnote10,Footnote11,Footnote21,Footnote31,Footnote41,Footnote51,Footnote61"/>
    <w:basedOn w:val="Normal"/>
    <w:link w:val="FootnoteTextChar"/>
    <w:autoRedefine/>
    <w:uiPriority w:val="19"/>
    <w:unhideWhenUsed/>
    <w:qFormat/>
    <w:rsid w:val="006F53E8"/>
    <w:pPr>
      <w:spacing w:after="0" w:line="240" w:lineRule="auto"/>
    </w:pPr>
    <w:rPr>
      <w:sz w:val="16"/>
    </w:rPr>
  </w:style>
  <w:style w:type="character" w:customStyle="1" w:styleId="FootnoteTextChar">
    <w:name w:val="Footnote Text Char"/>
    <w:aliases w:val="Car Char,Char3 Char,Footnote text Char,Testo nota a piè di pagina_Rientro Char,stile 1 Char,Footnote1 Char,Footnote2 Char,Footnote3 Char,Footnote4 Char,Footnote5 Char,Footnote6 Char,Footnote7 Char,Footnote8 Char,Footnote9 Char"/>
    <w:basedOn w:val="DefaultParagraphFont"/>
    <w:link w:val="FootnoteText"/>
    <w:uiPriority w:val="99"/>
    <w:rsid w:val="006F53E8"/>
    <w:rPr>
      <w:sz w:val="16"/>
      <w:lang w:val="en-GB"/>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E Fußnotenzeichen"/>
    <w:basedOn w:val="DefaultParagraphFont"/>
    <w:uiPriority w:val="1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customStyle="1" w:styleId="04BodyText">
    <w:name w:val="04_Body Text"/>
    <w:basedOn w:val="Normal"/>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efaultParagraphFont"/>
    <w:link w:val="04BodyText"/>
    <w:rsid w:val="00D61B32"/>
    <w:rPr>
      <w:rFonts w:ascii="Georgia" w:eastAsia="Times New Roman" w:hAnsi="Georgia" w:cs="Times New Roman"/>
      <w:szCs w:val="24"/>
      <w:lang w:val="en-GB" w:eastAsia="de-DE"/>
    </w:rPr>
  </w:style>
  <w:style w:type="paragraph" w:customStyle="1" w:styleId="05aTitle">
    <w:name w:val="05a_Title"/>
    <w:basedOn w:val="Normal"/>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ListParagraphChar">
    <w:name w:val="List Paragraph Char"/>
    <w:aliases w:val="Paragraphe EI Char,Paragraphe de liste1 Char,EC Char,Paragraphe de liste Char"/>
    <w:link w:val="ListParagraph"/>
    <w:uiPriority w:val="34"/>
    <w:rsid w:val="009E0D0E"/>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CaptionChar">
    <w:name w:val="Caption Char"/>
    <w:basedOn w:val="DefaultParagraphFont"/>
    <w:link w:val="Caption"/>
    <w:rsid w:val="00B53263"/>
    <w:rPr>
      <w:b/>
      <w:bCs/>
      <w:color w:val="000000" w:themeColor="text1"/>
      <w:spacing w:val="6"/>
      <w:lang w:val="en-GB"/>
    </w:rPr>
  </w:style>
  <w:style w:type="paragraph" w:customStyle="1" w:styleId="Questions">
    <w:name w:val="Questions"/>
    <w:basedOn w:val="Caption"/>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CaptionChar"/>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CommentReference">
    <w:name w:val="annotation reference"/>
    <w:basedOn w:val="DefaultParagraphFont"/>
    <w:uiPriority w:val="99"/>
    <w:semiHidden/>
    <w:unhideWhenUsed/>
    <w:rsid w:val="00090B9C"/>
    <w:rPr>
      <w:sz w:val="16"/>
      <w:szCs w:val="16"/>
    </w:rPr>
  </w:style>
  <w:style w:type="paragraph" w:styleId="CommentText">
    <w:name w:val="annotation text"/>
    <w:basedOn w:val="Normal"/>
    <w:link w:val="CommentTextChar"/>
    <w:uiPriority w:val="99"/>
    <w:unhideWhenUsed/>
    <w:rsid w:val="00090B9C"/>
    <w:pPr>
      <w:spacing w:line="240" w:lineRule="auto"/>
    </w:pPr>
    <w:rPr>
      <w:sz w:val="20"/>
    </w:rPr>
  </w:style>
  <w:style w:type="character" w:customStyle="1" w:styleId="CommentTextChar">
    <w:name w:val="Comment Text Char"/>
    <w:basedOn w:val="DefaultParagraphFont"/>
    <w:link w:val="CommentText"/>
    <w:uiPriority w:val="99"/>
    <w:rsid w:val="00090B9C"/>
    <w:rPr>
      <w:lang w:val="en-GB"/>
    </w:rPr>
  </w:style>
  <w:style w:type="paragraph" w:styleId="CommentSubject">
    <w:name w:val="annotation subject"/>
    <w:basedOn w:val="CommentText"/>
    <w:next w:val="CommentText"/>
    <w:link w:val="CommentSubjectChar"/>
    <w:uiPriority w:val="99"/>
    <w:semiHidden/>
    <w:unhideWhenUsed/>
    <w:rsid w:val="00090B9C"/>
    <w:rPr>
      <w:b/>
      <w:bCs/>
    </w:rPr>
  </w:style>
  <w:style w:type="character" w:customStyle="1" w:styleId="CommentSubjectChar">
    <w:name w:val="Comment Subject Char"/>
    <w:basedOn w:val="CommentTextChar"/>
    <w:link w:val="CommentSubject"/>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Revision">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ListParagraph"/>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ListParagraphChar"/>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ListParagraph"/>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Heading1Char"/>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
    <w:link w:val="MYSourceChar"/>
    <w:qFormat/>
    <w:rsid w:val="00B53263"/>
    <w:pPr>
      <w:ind w:left="709"/>
    </w:pPr>
    <w:rPr>
      <w:i/>
      <w:sz w:val="20"/>
    </w:rPr>
  </w:style>
  <w:style w:type="character" w:customStyle="1" w:styleId="MYSourceChar">
    <w:name w:val="MY Source Char"/>
    <w:basedOn w:val="DefaultParagraphFont"/>
    <w:link w:val="MYSource"/>
    <w:rsid w:val="00B53263"/>
    <w:rPr>
      <w:i/>
      <w:lang w:val="en-GB"/>
    </w:rPr>
  </w:style>
  <w:style w:type="paragraph" w:customStyle="1" w:styleId="RTSLevel1">
    <w:name w:val="RTS_Level1"/>
    <w:basedOn w:val="Heading1"/>
    <w:qFormat/>
    <w:rsid w:val="00321552"/>
    <w:pPr>
      <w:numPr>
        <w:numId w:val="21"/>
      </w:numPr>
      <w:spacing w:before="250"/>
    </w:pPr>
    <w:rPr>
      <w:rFonts w:cstheme="majorHAnsi"/>
      <w:lang w:val="en-US"/>
    </w:rPr>
  </w:style>
  <w:style w:type="paragraph" w:customStyle="1" w:styleId="RTSLevel2">
    <w:name w:val="RTS_Level2"/>
    <w:basedOn w:val="Heading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
    <w:link w:val="CPNoNumParChar"/>
    <w:qFormat/>
    <w:rsid w:val="00321552"/>
    <w:pPr>
      <w:spacing w:before="250"/>
    </w:pPr>
    <w:rPr>
      <w:rFonts w:ascii="Times New Roman" w:hAnsi="Times New Roman"/>
      <w:sz w:val="24"/>
    </w:rPr>
  </w:style>
  <w:style w:type="character" w:customStyle="1" w:styleId="CPNoNumParChar">
    <w:name w:val="CP_NoNumPar Char"/>
    <w:basedOn w:val="DefaultParagraphFont"/>
    <w:link w:val="CPNoNumPar"/>
    <w:rsid w:val="00321552"/>
    <w:rPr>
      <w:rFonts w:ascii="Times New Roman" w:hAnsi="Times New Roman"/>
      <w:sz w:val="24"/>
      <w:lang w:val="en-GB"/>
    </w:rPr>
  </w:style>
  <w:style w:type="paragraph" w:customStyle="1" w:styleId="RTS1Par">
    <w:name w:val="RTS_(1)Par"/>
    <w:basedOn w:val="Normal"/>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
    <w:next w:val="Normal"/>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efaultParagraphFont"/>
    <w:link w:val="RTS1Par"/>
    <w:rsid w:val="00321552"/>
    <w:rPr>
      <w:rFonts w:ascii="Times New Roman" w:hAnsi="Times New Roman"/>
      <w:sz w:val="24"/>
      <w:lang w:val="en-GB"/>
    </w:rPr>
  </w:style>
  <w:style w:type="paragraph" w:customStyle="1" w:styleId="RTSi">
    <w:name w:val="RTS_(i)"/>
    <w:basedOn w:val="Normal"/>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efaultParagraphFont"/>
    <w:link w:val="RTSaPar"/>
    <w:rsid w:val="00321552"/>
    <w:rPr>
      <w:rFonts w:ascii="Times New Roman" w:hAnsi="Times New Roman"/>
      <w:sz w:val="24"/>
      <w:lang w:val="en-GB"/>
    </w:rPr>
  </w:style>
  <w:style w:type="paragraph" w:customStyle="1" w:styleId="RTSArticle">
    <w:name w:val="RTS_Article"/>
    <w:basedOn w:val="Normal"/>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efaultParagraphFont"/>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DocumentMap">
    <w:name w:val="Document Map"/>
    <w:basedOn w:val="Normal"/>
    <w:link w:val="DocumentMapChar"/>
    <w:rsid w:val="00656CD3"/>
    <w:pPr>
      <w:spacing w:after="0" w:line="240" w:lineRule="auto"/>
      <w:jc w:val="left"/>
    </w:pPr>
    <w:rPr>
      <w:rFonts w:ascii="Tahoma" w:eastAsia="Times New Roman" w:hAnsi="Tahoma" w:cs="Tahoma"/>
      <w:sz w:val="16"/>
      <w:szCs w:val="16"/>
      <w:lang w:eastAsia="de-DE"/>
    </w:rPr>
  </w:style>
  <w:style w:type="character" w:customStyle="1" w:styleId="DocumentMapChar">
    <w:name w:val="Document Map Char"/>
    <w:basedOn w:val="DefaultParagraphFont"/>
    <w:link w:val="DocumentMap"/>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
    <w:link w:val="CPQuestionsChar"/>
    <w:qFormat/>
    <w:rsid w:val="00656CD3"/>
    <w:pPr>
      <w:numPr>
        <w:numId w:val="42"/>
      </w:numPr>
      <w:spacing w:before="250"/>
    </w:pPr>
    <w:rPr>
      <w:rFonts w:ascii="Arial" w:hAnsi="Arial"/>
      <w:b/>
    </w:rPr>
  </w:style>
  <w:style w:type="character" w:customStyle="1" w:styleId="CPQuestionsChar">
    <w:name w:val="CP_Questions Char"/>
    <w:basedOn w:val="DefaultParagraphFont"/>
    <w:link w:val="CPQuestions"/>
    <w:rsid w:val="00656CD3"/>
    <w:rPr>
      <w:rFonts w:ascii="Arial" w:hAnsi="Arial"/>
      <w:b/>
      <w:sz w:val="22"/>
      <w:lang w:val="en-GB"/>
    </w:rPr>
  </w:style>
  <w:style w:type="paragraph" w:customStyle="1" w:styleId="BodyTextSingle">
    <w:name w:val="Body Text_Single"/>
    <w:aliases w:val="Body SS"/>
    <w:basedOn w:val="Normal"/>
    <w:link w:val="BodyTextSingleChar"/>
    <w:qFormat/>
    <w:rsid w:val="001D2BE8"/>
    <w:pPr>
      <w:spacing w:after="240" w:line="240" w:lineRule="auto"/>
    </w:pPr>
    <w:rPr>
      <w:rFonts w:ascii="Times New Roman" w:eastAsia="Times New Roman" w:hAnsi="Times New Roman" w:cs="Times New Roman"/>
      <w:sz w:val="24"/>
      <w:szCs w:val="24"/>
      <w:lang w:val="en-US"/>
    </w:rPr>
  </w:style>
  <w:style w:type="character" w:customStyle="1" w:styleId="BodyTextSingleChar">
    <w:name w:val="Body Text_Single Char"/>
    <w:aliases w:val="Body SS Char"/>
    <w:basedOn w:val="DefaultParagraphFont"/>
    <w:link w:val="BodyTextSingle"/>
    <w:rsid w:val="001D2BE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9" w:qFormat="1"/>
    <w:lsdException w:name="header" w:uiPriority="0"/>
    <w:lsdException w:name="caption" w:uiPriority="0" w:qFormat="1"/>
    <w:lsdException w:name="footnote reference" w:uiPriority="1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Heading6"/>
    <w:next w:val="Normal"/>
    <w:link w:val="Heading5Char"/>
    <w:uiPriority w:val="9"/>
    <w:unhideWhenUsed/>
    <w:qFormat/>
    <w:rsid w:val="002E117F"/>
    <w:pPr>
      <w:numPr>
        <w:ilvl w:val="4"/>
      </w:numPr>
      <w:outlineLvl w:val="4"/>
    </w:pPr>
  </w:style>
  <w:style w:type="paragraph" w:styleId="Heading6">
    <w:name w:val="heading 6"/>
    <w:basedOn w:val="Normal"/>
    <w:next w:val="Normal"/>
    <w:link w:val="Heading6Char"/>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0"/>
      </w:numPr>
      <w:ind w:left="792" w:hanging="432"/>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Paragraphe de liste"/>
    <w:basedOn w:val="Normal"/>
    <w:link w:val="ListParagraphChar"/>
    <w:autoRedefine/>
    <w:uiPriority w:val="34"/>
    <w:qFormat/>
    <w:rsid w:val="009E0D0E"/>
    <w:pPr>
      <w:numPr>
        <w:numId w:val="48"/>
      </w:numPr>
      <w:spacing w:after="0"/>
    </w:pPr>
    <w:rPr>
      <w:sz w:val="20"/>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lang w:val="en-GB"/>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2E117F"/>
    <w:rPr>
      <w:rFonts w:asciiTheme="majorHAnsi" w:eastAsiaTheme="majorEastAsia" w:hAnsiTheme="majorHAnsi" w:cstheme="majorBidi"/>
      <w:i/>
      <w:iCs/>
      <w:color w:val="44546A" w:themeColor="text2"/>
      <w:sz w:val="21"/>
      <w:szCs w:val="21"/>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nhideWhenUsed/>
    <w:qFormat/>
    <w:rsid w:val="00B53263"/>
    <w:pPr>
      <w:keepNext/>
      <w:spacing w:before="120" w:after="120" w:line="240" w:lineRule="auto"/>
      <w:ind w:left="709"/>
      <w:jc w:val="left"/>
    </w:pPr>
    <w:rPr>
      <w:b/>
      <w:bCs/>
      <w:color w:val="000000" w:themeColor="text1"/>
      <w:spacing w:val="6"/>
      <w:sz w:val="20"/>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ind w:left="432" w:hanging="432"/>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CA324D"/>
    <w:pPr>
      <w:tabs>
        <w:tab w:val="left" w:pos="709"/>
        <w:tab w:val="right" w:leader="dot" w:pos="9781"/>
      </w:tabs>
      <w:spacing w:after="100"/>
    </w:pPr>
  </w:style>
  <w:style w:type="paragraph" w:styleId="TOC2">
    <w:name w:val="toc 2"/>
    <w:basedOn w:val="Normal"/>
    <w:next w:val="Normal"/>
    <w:autoRedefine/>
    <w:uiPriority w:val="39"/>
    <w:unhideWhenUsed/>
    <w:rsid w:val="00CA324D"/>
    <w:pPr>
      <w:tabs>
        <w:tab w:val="left" w:pos="709"/>
        <w:tab w:val="right" w:leader="dot" w:pos="9781"/>
      </w:tabs>
      <w:spacing w:after="10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Char3,Footnote text,Testo nota a piè di pagina_Rientro,stile 1,Footnote1,Footnote2,Footnote3,Footnote4,Footnote5,Footnote6,Footnote7,Footnote8,Footnote9,Footnote10,Footnote11,Footnote21,Footnote31,Footnote41,Footnote51,Footnote61"/>
    <w:basedOn w:val="Normal"/>
    <w:link w:val="FootnoteTextChar"/>
    <w:autoRedefine/>
    <w:uiPriority w:val="19"/>
    <w:unhideWhenUsed/>
    <w:qFormat/>
    <w:rsid w:val="006F53E8"/>
    <w:pPr>
      <w:spacing w:after="0" w:line="240" w:lineRule="auto"/>
    </w:pPr>
    <w:rPr>
      <w:sz w:val="16"/>
    </w:rPr>
  </w:style>
  <w:style w:type="character" w:customStyle="1" w:styleId="FootnoteTextChar">
    <w:name w:val="Footnote Text Char"/>
    <w:aliases w:val="Car Char,Char3 Char,Footnote text Char,Testo nota a piè di pagina_Rientro Char,stile 1 Char,Footnote1 Char,Footnote2 Char,Footnote3 Char,Footnote4 Char,Footnote5 Char,Footnote6 Char,Footnote7 Char,Footnote8 Char,Footnote9 Char"/>
    <w:basedOn w:val="DefaultParagraphFont"/>
    <w:link w:val="FootnoteText"/>
    <w:uiPriority w:val="99"/>
    <w:rsid w:val="006F53E8"/>
    <w:rPr>
      <w:sz w:val="16"/>
      <w:lang w:val="en-GB"/>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E Fußnotenzeichen"/>
    <w:basedOn w:val="DefaultParagraphFont"/>
    <w:uiPriority w:val="1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customStyle="1" w:styleId="04BodyText">
    <w:name w:val="04_Body Text"/>
    <w:basedOn w:val="Normal"/>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efaultParagraphFont"/>
    <w:link w:val="04BodyText"/>
    <w:rsid w:val="00D61B32"/>
    <w:rPr>
      <w:rFonts w:ascii="Georgia" w:eastAsia="Times New Roman" w:hAnsi="Georgia" w:cs="Times New Roman"/>
      <w:szCs w:val="24"/>
      <w:lang w:val="en-GB" w:eastAsia="de-DE"/>
    </w:rPr>
  </w:style>
  <w:style w:type="paragraph" w:customStyle="1" w:styleId="05aTitle">
    <w:name w:val="05a_Title"/>
    <w:basedOn w:val="Normal"/>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ListParagraphChar">
    <w:name w:val="List Paragraph Char"/>
    <w:aliases w:val="Paragraphe EI Char,Paragraphe de liste1 Char,EC Char,Paragraphe de liste Char"/>
    <w:link w:val="ListParagraph"/>
    <w:uiPriority w:val="34"/>
    <w:rsid w:val="009E0D0E"/>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CaptionChar">
    <w:name w:val="Caption Char"/>
    <w:basedOn w:val="DefaultParagraphFont"/>
    <w:link w:val="Caption"/>
    <w:rsid w:val="00B53263"/>
    <w:rPr>
      <w:b/>
      <w:bCs/>
      <w:color w:val="000000" w:themeColor="text1"/>
      <w:spacing w:val="6"/>
      <w:lang w:val="en-GB"/>
    </w:rPr>
  </w:style>
  <w:style w:type="paragraph" w:customStyle="1" w:styleId="Questions">
    <w:name w:val="Questions"/>
    <w:basedOn w:val="Caption"/>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CaptionChar"/>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CommentReference">
    <w:name w:val="annotation reference"/>
    <w:basedOn w:val="DefaultParagraphFont"/>
    <w:uiPriority w:val="99"/>
    <w:semiHidden/>
    <w:unhideWhenUsed/>
    <w:rsid w:val="00090B9C"/>
    <w:rPr>
      <w:sz w:val="16"/>
      <w:szCs w:val="16"/>
    </w:rPr>
  </w:style>
  <w:style w:type="paragraph" w:styleId="CommentText">
    <w:name w:val="annotation text"/>
    <w:basedOn w:val="Normal"/>
    <w:link w:val="CommentTextChar"/>
    <w:uiPriority w:val="99"/>
    <w:unhideWhenUsed/>
    <w:rsid w:val="00090B9C"/>
    <w:pPr>
      <w:spacing w:line="240" w:lineRule="auto"/>
    </w:pPr>
    <w:rPr>
      <w:sz w:val="20"/>
    </w:rPr>
  </w:style>
  <w:style w:type="character" w:customStyle="1" w:styleId="CommentTextChar">
    <w:name w:val="Comment Text Char"/>
    <w:basedOn w:val="DefaultParagraphFont"/>
    <w:link w:val="CommentText"/>
    <w:uiPriority w:val="99"/>
    <w:rsid w:val="00090B9C"/>
    <w:rPr>
      <w:lang w:val="en-GB"/>
    </w:rPr>
  </w:style>
  <w:style w:type="paragraph" w:styleId="CommentSubject">
    <w:name w:val="annotation subject"/>
    <w:basedOn w:val="CommentText"/>
    <w:next w:val="CommentText"/>
    <w:link w:val="CommentSubjectChar"/>
    <w:uiPriority w:val="99"/>
    <w:semiHidden/>
    <w:unhideWhenUsed/>
    <w:rsid w:val="00090B9C"/>
    <w:rPr>
      <w:b/>
      <w:bCs/>
    </w:rPr>
  </w:style>
  <w:style w:type="character" w:customStyle="1" w:styleId="CommentSubjectChar">
    <w:name w:val="Comment Subject Char"/>
    <w:basedOn w:val="CommentTextChar"/>
    <w:link w:val="CommentSubject"/>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Revision">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ListParagraph"/>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ListParagraphChar"/>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ListParagraph"/>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Heading1Char"/>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
    <w:link w:val="MYSourceChar"/>
    <w:qFormat/>
    <w:rsid w:val="00B53263"/>
    <w:pPr>
      <w:ind w:left="709"/>
    </w:pPr>
    <w:rPr>
      <w:i/>
      <w:sz w:val="20"/>
    </w:rPr>
  </w:style>
  <w:style w:type="character" w:customStyle="1" w:styleId="MYSourceChar">
    <w:name w:val="MY Source Char"/>
    <w:basedOn w:val="DefaultParagraphFont"/>
    <w:link w:val="MYSource"/>
    <w:rsid w:val="00B53263"/>
    <w:rPr>
      <w:i/>
      <w:lang w:val="en-GB"/>
    </w:rPr>
  </w:style>
  <w:style w:type="paragraph" w:customStyle="1" w:styleId="RTSLevel1">
    <w:name w:val="RTS_Level1"/>
    <w:basedOn w:val="Heading1"/>
    <w:qFormat/>
    <w:rsid w:val="00321552"/>
    <w:pPr>
      <w:numPr>
        <w:numId w:val="21"/>
      </w:numPr>
      <w:spacing w:before="250"/>
    </w:pPr>
    <w:rPr>
      <w:rFonts w:cstheme="majorHAnsi"/>
      <w:lang w:val="en-US"/>
    </w:rPr>
  </w:style>
  <w:style w:type="paragraph" w:customStyle="1" w:styleId="RTSLevel2">
    <w:name w:val="RTS_Level2"/>
    <w:basedOn w:val="Heading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
    <w:link w:val="CPNoNumParChar"/>
    <w:qFormat/>
    <w:rsid w:val="00321552"/>
    <w:pPr>
      <w:spacing w:before="250"/>
    </w:pPr>
    <w:rPr>
      <w:rFonts w:ascii="Times New Roman" w:hAnsi="Times New Roman"/>
      <w:sz w:val="24"/>
    </w:rPr>
  </w:style>
  <w:style w:type="character" w:customStyle="1" w:styleId="CPNoNumParChar">
    <w:name w:val="CP_NoNumPar Char"/>
    <w:basedOn w:val="DefaultParagraphFont"/>
    <w:link w:val="CPNoNumPar"/>
    <w:rsid w:val="00321552"/>
    <w:rPr>
      <w:rFonts w:ascii="Times New Roman" w:hAnsi="Times New Roman"/>
      <w:sz w:val="24"/>
      <w:lang w:val="en-GB"/>
    </w:rPr>
  </w:style>
  <w:style w:type="paragraph" w:customStyle="1" w:styleId="RTS1Par">
    <w:name w:val="RTS_(1)Par"/>
    <w:basedOn w:val="Normal"/>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
    <w:next w:val="Normal"/>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efaultParagraphFont"/>
    <w:link w:val="RTS1Par"/>
    <w:rsid w:val="00321552"/>
    <w:rPr>
      <w:rFonts w:ascii="Times New Roman" w:hAnsi="Times New Roman"/>
      <w:sz w:val="24"/>
      <w:lang w:val="en-GB"/>
    </w:rPr>
  </w:style>
  <w:style w:type="paragraph" w:customStyle="1" w:styleId="RTSi">
    <w:name w:val="RTS_(i)"/>
    <w:basedOn w:val="Normal"/>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efaultParagraphFont"/>
    <w:link w:val="RTSaPar"/>
    <w:rsid w:val="00321552"/>
    <w:rPr>
      <w:rFonts w:ascii="Times New Roman" w:hAnsi="Times New Roman"/>
      <w:sz w:val="24"/>
      <w:lang w:val="en-GB"/>
    </w:rPr>
  </w:style>
  <w:style w:type="paragraph" w:customStyle="1" w:styleId="RTSArticle">
    <w:name w:val="RTS_Article"/>
    <w:basedOn w:val="Normal"/>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efaultParagraphFont"/>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DocumentMap">
    <w:name w:val="Document Map"/>
    <w:basedOn w:val="Normal"/>
    <w:link w:val="DocumentMapChar"/>
    <w:rsid w:val="00656CD3"/>
    <w:pPr>
      <w:spacing w:after="0" w:line="240" w:lineRule="auto"/>
      <w:jc w:val="left"/>
    </w:pPr>
    <w:rPr>
      <w:rFonts w:ascii="Tahoma" w:eastAsia="Times New Roman" w:hAnsi="Tahoma" w:cs="Tahoma"/>
      <w:sz w:val="16"/>
      <w:szCs w:val="16"/>
      <w:lang w:eastAsia="de-DE"/>
    </w:rPr>
  </w:style>
  <w:style w:type="character" w:customStyle="1" w:styleId="DocumentMapChar">
    <w:name w:val="Document Map Char"/>
    <w:basedOn w:val="DefaultParagraphFont"/>
    <w:link w:val="DocumentMap"/>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
    <w:link w:val="CPQuestionsChar"/>
    <w:qFormat/>
    <w:rsid w:val="00656CD3"/>
    <w:pPr>
      <w:numPr>
        <w:numId w:val="42"/>
      </w:numPr>
      <w:spacing w:before="250"/>
    </w:pPr>
    <w:rPr>
      <w:rFonts w:ascii="Arial" w:hAnsi="Arial"/>
      <w:b/>
    </w:rPr>
  </w:style>
  <w:style w:type="character" w:customStyle="1" w:styleId="CPQuestionsChar">
    <w:name w:val="CP_Questions Char"/>
    <w:basedOn w:val="DefaultParagraphFont"/>
    <w:link w:val="CPQuestions"/>
    <w:rsid w:val="00656CD3"/>
    <w:rPr>
      <w:rFonts w:ascii="Arial" w:hAnsi="Arial"/>
      <w:b/>
      <w:sz w:val="22"/>
      <w:lang w:val="en-GB"/>
    </w:rPr>
  </w:style>
  <w:style w:type="paragraph" w:customStyle="1" w:styleId="BodyTextSingle">
    <w:name w:val="Body Text_Single"/>
    <w:aliases w:val="Body SS"/>
    <w:basedOn w:val="Normal"/>
    <w:link w:val="BodyTextSingleChar"/>
    <w:qFormat/>
    <w:rsid w:val="001D2BE8"/>
    <w:pPr>
      <w:spacing w:after="240" w:line="240" w:lineRule="auto"/>
    </w:pPr>
    <w:rPr>
      <w:rFonts w:ascii="Times New Roman" w:eastAsia="Times New Roman" w:hAnsi="Times New Roman" w:cs="Times New Roman"/>
      <w:sz w:val="24"/>
      <w:szCs w:val="24"/>
      <w:lang w:val="en-US"/>
    </w:rPr>
  </w:style>
  <w:style w:type="character" w:customStyle="1" w:styleId="BodyTextSingleChar">
    <w:name w:val="Body Text_Single Char"/>
    <w:aliases w:val="Body SS Char"/>
    <w:basedOn w:val="DefaultParagraphFont"/>
    <w:link w:val="BodyTextSingle"/>
    <w:rsid w:val="001D2BE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046">
      <w:bodyDiv w:val="1"/>
      <w:marLeft w:val="0"/>
      <w:marRight w:val="0"/>
      <w:marTop w:val="0"/>
      <w:marBottom w:val="0"/>
      <w:divBdr>
        <w:top w:val="none" w:sz="0" w:space="0" w:color="auto"/>
        <w:left w:val="none" w:sz="0" w:space="0" w:color="auto"/>
        <w:bottom w:val="none" w:sz="0" w:space="0" w:color="auto"/>
        <w:right w:val="none" w:sz="0" w:space="0" w:color="auto"/>
      </w:divBdr>
    </w:div>
    <w:div w:id="202450583">
      <w:bodyDiv w:val="1"/>
      <w:marLeft w:val="0"/>
      <w:marRight w:val="0"/>
      <w:marTop w:val="0"/>
      <w:marBottom w:val="0"/>
      <w:divBdr>
        <w:top w:val="none" w:sz="0" w:space="0" w:color="auto"/>
        <w:left w:val="none" w:sz="0" w:space="0" w:color="auto"/>
        <w:bottom w:val="none" w:sz="0" w:space="0" w:color="auto"/>
        <w:right w:val="none" w:sz="0" w:space="0" w:color="auto"/>
      </w:divBdr>
    </w:div>
    <w:div w:id="336618147">
      <w:bodyDiv w:val="1"/>
      <w:marLeft w:val="0"/>
      <w:marRight w:val="0"/>
      <w:marTop w:val="0"/>
      <w:marBottom w:val="0"/>
      <w:divBdr>
        <w:top w:val="none" w:sz="0" w:space="0" w:color="auto"/>
        <w:left w:val="none" w:sz="0" w:space="0" w:color="auto"/>
        <w:bottom w:val="none" w:sz="0" w:space="0" w:color="auto"/>
        <w:right w:val="none" w:sz="0" w:space="0" w:color="auto"/>
      </w:divBdr>
    </w:div>
    <w:div w:id="963925688">
      <w:bodyDiv w:val="1"/>
      <w:marLeft w:val="0"/>
      <w:marRight w:val="0"/>
      <w:marTop w:val="0"/>
      <w:marBottom w:val="0"/>
      <w:divBdr>
        <w:top w:val="none" w:sz="0" w:space="0" w:color="auto"/>
        <w:left w:val="none" w:sz="0" w:space="0" w:color="auto"/>
        <w:bottom w:val="none" w:sz="0" w:space="0" w:color="auto"/>
        <w:right w:val="none" w:sz="0" w:space="0" w:color="auto"/>
      </w:divBdr>
    </w:div>
    <w:div w:id="1025863617">
      <w:bodyDiv w:val="1"/>
      <w:marLeft w:val="0"/>
      <w:marRight w:val="0"/>
      <w:marTop w:val="0"/>
      <w:marBottom w:val="0"/>
      <w:divBdr>
        <w:top w:val="none" w:sz="0" w:space="0" w:color="auto"/>
        <w:left w:val="none" w:sz="0" w:space="0" w:color="auto"/>
        <w:bottom w:val="none" w:sz="0" w:space="0" w:color="auto"/>
        <w:right w:val="none" w:sz="0" w:space="0" w:color="auto"/>
      </w:divBdr>
    </w:div>
    <w:div w:id="103877336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886944926">
      <w:bodyDiv w:val="1"/>
      <w:marLeft w:val="0"/>
      <w:marRight w:val="0"/>
      <w:marTop w:val="0"/>
      <w:marBottom w:val="0"/>
      <w:divBdr>
        <w:top w:val="none" w:sz="0" w:space="0" w:color="auto"/>
        <w:left w:val="none" w:sz="0" w:space="0" w:color="auto"/>
        <w:bottom w:val="none" w:sz="0" w:space="0" w:color="auto"/>
        <w:right w:val="none" w:sz="0" w:space="0" w:color="auto"/>
      </w:divBdr>
    </w:div>
    <w:div w:id="20951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sma.europa.eu/legal-notice" TargetMode="External"/><Relationship Id="rId2" Type="http://schemas.openxmlformats.org/officeDocument/2006/relationships/numbering" Target="numbering.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sma.europa.eu"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E197-1790-471D-8F95-3E19394B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5046</Words>
  <Characters>28766</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Katten Muchin Rosenman LLP</Company>
  <LinksUpToDate>false</LinksUpToDate>
  <CharactersWithSpaces>33745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Picandet</dc:creator>
  <cp:lastModifiedBy>Foley, Kevin M.</cp:lastModifiedBy>
  <cp:revision>3</cp:revision>
  <cp:lastPrinted>2015-12-17T10:28:00Z</cp:lastPrinted>
  <dcterms:created xsi:type="dcterms:W3CDTF">2015-12-17T15:04:00Z</dcterms:created>
  <dcterms:modified xsi:type="dcterms:W3CDTF">2015-12-17T15:16:00Z</dcterms:modified>
</cp:coreProperties>
</file>