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Rubrik1"/>
        <w:numPr>
          <w:ilvl w:val="0"/>
          <w:numId w:val="0"/>
        </w:numPr>
        <w:ind w:left="431" w:hanging="431"/>
      </w:pPr>
      <w:r>
        <w:lastRenderedPageBreak/>
        <w:t>Introduction</w:t>
      </w:r>
    </w:p>
    <w:p w:rsidR="00D34282" w:rsidRPr="001D47A5" w:rsidRDefault="00D34282" w:rsidP="00D34282">
      <w:pPr>
        <w:rPr>
          <w:rStyle w:val="Starkbetoning"/>
        </w:rPr>
      </w:pPr>
      <w:r w:rsidRPr="001D47A5">
        <w:rPr>
          <w:rStyle w:val="Starkbetoning"/>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06305D" w:rsidRDefault="0006305D" w:rsidP="0006305D">
      <w:pPr>
        <w:jc w:val="both"/>
      </w:pPr>
      <w:permStart w:id="2002803157" w:edGrp="everyone"/>
      <w:r>
        <w:rPr>
          <w:lang w:val="en"/>
        </w:rPr>
        <w:t>The Confederation of Swedish Enterprise (Svenskt Näringsliv) is Sweden’s largest and most influential bus</w:t>
      </w:r>
      <w:r w:rsidR="00343315">
        <w:rPr>
          <w:lang w:val="en"/>
        </w:rPr>
        <w:t>iness federation representing 50</w:t>
      </w:r>
      <w:r>
        <w:rPr>
          <w:lang w:val="en"/>
        </w:rPr>
        <w:t xml:space="preserve"> member organizations and 60 000 member companies with over 1.6 million employees.</w:t>
      </w:r>
      <w:r>
        <w:t xml:space="preserve">Our comments on this consultation </w:t>
      </w:r>
      <w:r w:rsidR="00D35293">
        <w:t xml:space="preserve">thus </w:t>
      </w:r>
      <w:r>
        <w:t>represent the view of a large majority of Swedish issuers.</w:t>
      </w:r>
    </w:p>
    <w:p w:rsidR="0006305D" w:rsidRDefault="0006305D" w:rsidP="0006305D">
      <w:pPr>
        <w:jc w:val="both"/>
      </w:pPr>
    </w:p>
    <w:p w:rsidR="00D34282" w:rsidRDefault="0006305D" w:rsidP="0006305D">
      <w:pPr>
        <w:jc w:val="both"/>
      </w:pPr>
      <w:r>
        <w:t xml:space="preserve">Our main </w:t>
      </w:r>
      <w:r w:rsidR="00D35293">
        <w:t>remarks</w:t>
      </w:r>
      <w:r>
        <w:t xml:space="preserve"> regarding the consultation can be summarised as follows:</w:t>
      </w:r>
    </w:p>
    <w:p w:rsidR="0006305D" w:rsidRDefault="0006305D" w:rsidP="0006305D">
      <w:pPr>
        <w:jc w:val="both"/>
      </w:pPr>
    </w:p>
    <w:p w:rsidR="0067204E" w:rsidRDefault="0006305D" w:rsidP="0006305D">
      <w:pPr>
        <w:jc w:val="both"/>
      </w:pPr>
      <w:r>
        <w:t>We believe that the requirement of electronic fili</w:t>
      </w:r>
      <w:r w:rsidR="0067204E">
        <w:t>ng within the Transparency D</w:t>
      </w:r>
      <w:r>
        <w:t>irective</w:t>
      </w:r>
      <w:r w:rsidR="00D73C2B">
        <w:t xml:space="preserve"> puts</w:t>
      </w:r>
      <w:r>
        <w:t xml:space="preserve"> an unnecessary </w:t>
      </w:r>
      <w:r w:rsidR="00D73C2B">
        <w:t xml:space="preserve">administrative </w:t>
      </w:r>
      <w:r>
        <w:t xml:space="preserve">burden upon issuers. </w:t>
      </w:r>
      <w:r w:rsidR="00D73C2B">
        <w:t xml:space="preserve">In our experience, there is no demand for electronic filing from users of financial information (investors, analysts and other market actors). The primary source of input to the analytic models developed by users’ of financial information, is the interim reports and the press releases with annual financial information. By the time the financial information in the Annual Financial Report will be available in electronic form, the information will already be outdated. </w:t>
      </w:r>
    </w:p>
    <w:p w:rsidR="0067204E" w:rsidRDefault="0067204E" w:rsidP="0006305D">
      <w:pPr>
        <w:jc w:val="both"/>
      </w:pPr>
    </w:p>
    <w:p w:rsidR="0067204E" w:rsidRDefault="0067204E" w:rsidP="0006305D">
      <w:pPr>
        <w:jc w:val="both"/>
      </w:pPr>
      <w:r>
        <w:t xml:space="preserve">In addition, the required system and administrative </w:t>
      </w:r>
      <w:r w:rsidR="008A686C">
        <w:t>changes</w:t>
      </w:r>
      <w:r>
        <w:t xml:space="preserve"> required to be able to file electronically can be both costly and time consuming</w:t>
      </w:r>
      <w:r w:rsidR="00343315">
        <w:t xml:space="preserve"> for many issuers</w:t>
      </w:r>
      <w:r>
        <w:t>. Experiences from the financial sector, where XBRL-based reporting has been required for some time, shows that</w:t>
      </w:r>
      <w:r w:rsidR="00343315">
        <w:t xml:space="preserve"> institutions</w:t>
      </w:r>
      <w:r>
        <w:t xml:space="preserve"> </w:t>
      </w:r>
      <w:r w:rsidR="00343315">
        <w:t>has spent</w:t>
      </w:r>
      <w:r>
        <w:t xml:space="preserve"> a lot of time and resources </w:t>
      </w:r>
      <w:r w:rsidR="008A686C">
        <w:t xml:space="preserve">on the proper adjustments </w:t>
      </w:r>
      <w:r>
        <w:t xml:space="preserve">to be able to report electronically. </w:t>
      </w:r>
    </w:p>
    <w:p w:rsidR="0067204E" w:rsidRDefault="0067204E" w:rsidP="0006305D">
      <w:pPr>
        <w:jc w:val="both"/>
      </w:pPr>
    </w:p>
    <w:p w:rsidR="0067204E" w:rsidRDefault="0067204E" w:rsidP="0006305D">
      <w:pPr>
        <w:jc w:val="both"/>
      </w:pPr>
      <w:r>
        <w:t>The structured fo</w:t>
      </w:r>
      <w:r w:rsidR="008A686C">
        <w:t xml:space="preserve">rmat is </w:t>
      </w:r>
      <w:r w:rsidR="00343315">
        <w:t>a restraint on how the information in the financial reports can be presented, especially within the notes. This constraint contradicts the principles based approach, which the IFRS is based upon</w:t>
      </w:r>
      <w:r w:rsidR="008A686C">
        <w:t>,</w:t>
      </w:r>
      <w:r w:rsidR="00343315">
        <w:t xml:space="preserve"> and impairs the information value of the financial reports.</w:t>
      </w:r>
    </w:p>
    <w:p w:rsidR="008A686C" w:rsidRDefault="008A686C" w:rsidP="0006305D">
      <w:pPr>
        <w:jc w:val="both"/>
      </w:pPr>
    </w:p>
    <w:p w:rsidR="008A686C" w:rsidRDefault="008A686C" w:rsidP="0006305D">
      <w:pPr>
        <w:jc w:val="both"/>
      </w:pPr>
      <w:r>
        <w:t>We believe it is unfortunate that the requirement of electronic reporting in the Transparency directive was not preceded by a proper impact assessment by the Commission. In addition, the cost-benefit analysis performed by ESMA has deficiencies and among the scarce respondents there are only a few issuers and even fewer users.</w:t>
      </w:r>
    </w:p>
    <w:p w:rsidR="00343315" w:rsidRDefault="00343315" w:rsidP="0006305D">
      <w:pPr>
        <w:jc w:val="both"/>
      </w:pPr>
    </w:p>
    <w:p w:rsidR="0006305D" w:rsidRDefault="008A686C" w:rsidP="0006305D">
      <w:pPr>
        <w:jc w:val="both"/>
      </w:pPr>
      <w:r>
        <w:t>Thus, there are little or</w:t>
      </w:r>
      <w:r w:rsidR="00D73C2B">
        <w:t xml:space="preserve"> no indication</w:t>
      </w:r>
      <w:r>
        <w:t>s</w:t>
      </w:r>
      <w:r w:rsidR="00D73C2B">
        <w:t xml:space="preserve"> that electronic filing will </w:t>
      </w:r>
      <w:r w:rsidR="0067204E">
        <w:t>fulfil the policy objectives of the Transparency Directive.</w:t>
      </w:r>
      <w:r w:rsidR="00343315">
        <w:t xml:space="preserve"> According to our view, the only reasonable way forward is to allow issuers to file </w:t>
      </w:r>
      <w:r>
        <w:t xml:space="preserve">the Annual Financial Report in an unstructured format such as pdf. </w:t>
      </w:r>
      <w:bookmarkStart w:id="3" w:name="_GoBack"/>
      <w:bookmarkEnd w:id="3"/>
    </w:p>
    <w:permEnd w:id="2002803157"/>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8701E5" w:rsidRPr="008701E5" w:rsidRDefault="00CC272A" w:rsidP="008701E5">
      <w:pPr>
        <w:rPr>
          <w:lang w:eastAsia="en-US"/>
        </w:rPr>
      </w:pPr>
      <w:permStart w:id="1872920560" w:edGrp="everyone"/>
      <w:r>
        <w:rPr>
          <w:lang w:eastAsia="en-US"/>
        </w:rPr>
        <w:t xml:space="preserve">Yes we believe that a wider assessment should be performed of the benefits of electronic reporting and a single reporting format. </w:t>
      </w:r>
      <w:r w:rsidR="00155B96">
        <w:rPr>
          <w:lang w:eastAsia="en-US"/>
        </w:rPr>
        <w:t>We are concerned that there is no real market demand for electronic filing and that the requirement will be costly and burdensome for issuers.</w:t>
      </w:r>
      <w:r w:rsidR="000E5C1D">
        <w:rPr>
          <w:lang w:eastAsia="en-US"/>
        </w:rPr>
        <w:t xml:space="preserve"> We also fear that the XBRL-taxonomy will form a constraint on the presentation of financial information and thus to the principle based reporting framework</w:t>
      </w:r>
      <w:r w:rsidR="00922252">
        <w:rPr>
          <w:lang w:eastAsia="en-US"/>
        </w:rPr>
        <w:t xml:space="preserve"> for listed companies</w:t>
      </w:r>
      <w:r w:rsidR="000E5C1D">
        <w:rPr>
          <w:lang w:eastAsia="en-US"/>
        </w:rPr>
        <w:t>.</w:t>
      </w:r>
      <w:r w:rsidR="009E4A64">
        <w:rPr>
          <w:lang w:eastAsia="en-US"/>
        </w:rPr>
        <w:t xml:space="preserve"> Given the lack of evidence of the benefits of electronic reporting, we believe it is remarkable that the EC has not performed an impact assessment</w:t>
      </w:r>
      <w:r w:rsidR="00D646A5">
        <w:rPr>
          <w:lang w:eastAsia="en-US"/>
        </w:rPr>
        <w:t xml:space="preserve"> and that the CBA presented by ESMA is of poor quality. </w:t>
      </w:r>
    </w:p>
    <w:permEnd w:id="1872920560"/>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73643A" w:rsidRDefault="0073643A" w:rsidP="008701E5">
      <w:pPr>
        <w:rPr>
          <w:lang w:eastAsia="en-US"/>
        </w:rPr>
      </w:pPr>
      <w:permStart w:id="1855414207" w:edGrp="everyone"/>
      <w:r>
        <w:rPr>
          <w:lang w:eastAsia="en-US"/>
        </w:rPr>
        <w:t>W</w:t>
      </w:r>
      <w:r w:rsidR="00FF51C6">
        <w:rPr>
          <w:lang w:eastAsia="en-US"/>
        </w:rPr>
        <w:t xml:space="preserve">e can’t see how electronic filing will facilitate for </w:t>
      </w:r>
      <w:r>
        <w:rPr>
          <w:lang w:eastAsia="en-US"/>
        </w:rPr>
        <w:t>neither issuers nor users</w:t>
      </w:r>
      <w:r w:rsidR="00FF51C6">
        <w:rPr>
          <w:lang w:eastAsia="en-US"/>
        </w:rPr>
        <w:t xml:space="preserve">. </w:t>
      </w:r>
      <w:r>
        <w:rPr>
          <w:lang w:eastAsia="en-US"/>
        </w:rPr>
        <w:t xml:space="preserve">As explained earlier, there is no demand for this on the Swedish market. Investors will still have their own way of gathering, digest and compare financial information regardless of how it is filed. As XBRL will be a constraint on how the information can be presented, we believe that electronic filing may even impair the quality of financial reports from a user perspective. </w:t>
      </w:r>
      <w:r w:rsidR="002702D3">
        <w:rPr>
          <w:lang w:eastAsia="en-US"/>
        </w:rPr>
        <w:t>In addition, the fact that interim financial reports and press releases are investors’ prime sources for information and only the annual reports will be available in electronic format is also contradictory to the policy objectives.</w:t>
      </w:r>
    </w:p>
    <w:p w:rsidR="0073643A" w:rsidRDefault="0073643A" w:rsidP="008701E5">
      <w:pPr>
        <w:rPr>
          <w:lang w:eastAsia="en-US"/>
        </w:rPr>
      </w:pPr>
    </w:p>
    <w:p w:rsidR="00695C20" w:rsidRDefault="00695C20" w:rsidP="008701E5">
      <w:pPr>
        <w:rPr>
          <w:lang w:eastAsia="en-US"/>
        </w:rPr>
      </w:pPr>
      <w:r>
        <w:rPr>
          <w:lang w:eastAsia="en-US"/>
        </w:rPr>
        <w:t>E</w:t>
      </w:r>
      <w:r w:rsidR="0073643A">
        <w:rPr>
          <w:lang w:eastAsia="en-US"/>
        </w:rPr>
        <w:t>lectronic filing may</w:t>
      </w:r>
      <w:r>
        <w:rPr>
          <w:lang w:eastAsia="en-US"/>
        </w:rPr>
        <w:t xml:space="preserve"> however very well</w:t>
      </w:r>
      <w:r w:rsidR="0073643A">
        <w:rPr>
          <w:lang w:eastAsia="en-US"/>
        </w:rPr>
        <w:t xml:space="preserve"> be in the interest of competent authorities</w:t>
      </w:r>
      <w:r>
        <w:rPr>
          <w:lang w:eastAsia="en-US"/>
        </w:rPr>
        <w:t>,</w:t>
      </w:r>
      <w:r w:rsidR="0073643A">
        <w:rPr>
          <w:lang w:eastAsia="en-US"/>
        </w:rPr>
        <w:t xml:space="preserve"> as the information will become easier to file</w:t>
      </w:r>
      <w:r>
        <w:rPr>
          <w:lang w:eastAsia="en-US"/>
        </w:rPr>
        <w:t>,</w:t>
      </w:r>
      <w:r w:rsidR="0073643A">
        <w:rPr>
          <w:lang w:eastAsia="en-US"/>
        </w:rPr>
        <w:t xml:space="preserve"> process</w:t>
      </w:r>
      <w:r>
        <w:rPr>
          <w:lang w:eastAsia="en-US"/>
        </w:rPr>
        <w:t xml:space="preserve"> and survey</w:t>
      </w:r>
      <w:r w:rsidR="0073643A">
        <w:rPr>
          <w:lang w:eastAsia="en-US"/>
        </w:rPr>
        <w:t xml:space="preserve">. </w:t>
      </w:r>
      <w:r w:rsidR="00FF51C6">
        <w:rPr>
          <w:lang w:eastAsia="en-US"/>
        </w:rPr>
        <w:t xml:space="preserve"> </w:t>
      </w:r>
      <w:r>
        <w:rPr>
          <w:lang w:eastAsia="en-US"/>
        </w:rPr>
        <w:t>We are</w:t>
      </w:r>
      <w:r w:rsidR="009739B6">
        <w:rPr>
          <w:lang w:eastAsia="en-US"/>
        </w:rPr>
        <w:t xml:space="preserve"> </w:t>
      </w:r>
      <w:r w:rsidR="003D64DD">
        <w:rPr>
          <w:lang w:eastAsia="en-US"/>
        </w:rPr>
        <w:t xml:space="preserve">also </w:t>
      </w:r>
      <w:r>
        <w:rPr>
          <w:lang w:eastAsia="en-US"/>
        </w:rPr>
        <w:t>concerned that th</w:t>
      </w:r>
      <w:r w:rsidR="003D64DD">
        <w:rPr>
          <w:lang w:eastAsia="en-US"/>
        </w:rPr>
        <w:t xml:space="preserve">e electronic filing </w:t>
      </w:r>
      <w:r>
        <w:rPr>
          <w:lang w:eastAsia="en-US"/>
        </w:rPr>
        <w:t xml:space="preserve">will encourage </w:t>
      </w:r>
      <w:r w:rsidR="003D64DD">
        <w:rPr>
          <w:lang w:eastAsia="en-US"/>
        </w:rPr>
        <w:t xml:space="preserve">rather than counteract </w:t>
      </w:r>
      <w:r>
        <w:rPr>
          <w:lang w:eastAsia="en-US"/>
        </w:rPr>
        <w:t xml:space="preserve">the kind of </w:t>
      </w:r>
      <w:r w:rsidR="0073643A">
        <w:rPr>
          <w:lang w:eastAsia="en-US"/>
        </w:rPr>
        <w:t>“check the box” supervision that</w:t>
      </w:r>
      <w:r w:rsidR="003D64DD">
        <w:rPr>
          <w:lang w:eastAsia="en-US"/>
        </w:rPr>
        <w:t xml:space="preserve"> several supervisory authorities, including ESMA, aims to avoid going forward</w:t>
      </w:r>
      <w:r>
        <w:rPr>
          <w:lang w:eastAsia="en-US"/>
        </w:rPr>
        <w:t xml:space="preserve">. </w:t>
      </w:r>
    </w:p>
    <w:permEnd w:id="1855414207"/>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8701E5" w:rsidRPr="008701E5" w:rsidRDefault="005D15E4" w:rsidP="008701E5">
      <w:pPr>
        <w:rPr>
          <w:lang w:eastAsia="en-US"/>
        </w:rPr>
      </w:pPr>
      <w:permStart w:id="1505981066" w:edGrp="everyone"/>
      <w:r>
        <w:rPr>
          <w:lang w:eastAsia="en-US"/>
        </w:rPr>
        <w:t>No, we don’t think electronic reporting will have a material impact on the conditions for performing correct audits.</w:t>
      </w:r>
    </w:p>
    <w:permEnd w:id="1505981066"/>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8701E5" w:rsidRPr="008701E5" w:rsidRDefault="00F96DC8" w:rsidP="008701E5">
      <w:pPr>
        <w:rPr>
          <w:lang w:eastAsia="en-US"/>
        </w:rPr>
      </w:pPr>
      <w:permStart w:id="1067411837" w:edGrp="everyone"/>
      <w:r>
        <w:rPr>
          <w:lang w:eastAsia="en-US"/>
        </w:rPr>
        <w:t xml:space="preserve">No, to our knowledge, we </w:t>
      </w:r>
      <w:r w:rsidR="00980E65">
        <w:rPr>
          <w:lang w:eastAsia="en-US"/>
        </w:rPr>
        <w:t>believe</w:t>
      </w:r>
      <w:r>
        <w:rPr>
          <w:lang w:eastAsia="en-US"/>
        </w:rPr>
        <w:t xml:space="preserve"> the picture provided in the CP is correct.</w:t>
      </w:r>
    </w:p>
    <w:permEnd w:id="1067411837"/>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980E65" w:rsidRDefault="00980E65" w:rsidP="008701E5">
      <w:pPr>
        <w:rPr>
          <w:lang w:eastAsia="en-US"/>
        </w:rPr>
      </w:pPr>
      <w:permStart w:id="1609499189" w:edGrp="everyone"/>
      <w:r>
        <w:rPr>
          <w:lang w:eastAsia="en-US"/>
        </w:rPr>
        <w:t>As we have limited knowledge of the technologies, we refrain from answering this question.</w:t>
      </w:r>
    </w:p>
    <w:permEnd w:id="1609499189"/>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750636" w:rsidRDefault="00980E65" w:rsidP="008701E5">
      <w:pPr>
        <w:rPr>
          <w:lang w:eastAsia="en-US"/>
        </w:rPr>
      </w:pPr>
      <w:permStart w:id="1340547789" w:edGrp="everyone"/>
      <w:r>
        <w:rPr>
          <w:lang w:eastAsia="en-US"/>
        </w:rPr>
        <w:t xml:space="preserve">As mentioned above, we have only limited knowledge of the technologies. However, we would like to underline that it is essential that </w:t>
      </w:r>
      <w:r w:rsidR="00750636">
        <w:rPr>
          <w:lang w:eastAsia="en-US"/>
        </w:rPr>
        <w:t xml:space="preserve">the policy decisions based on this CP should not be </w:t>
      </w:r>
      <w:r>
        <w:rPr>
          <w:lang w:eastAsia="en-US"/>
        </w:rPr>
        <w:t xml:space="preserve">a </w:t>
      </w:r>
      <w:r w:rsidR="00750636">
        <w:rPr>
          <w:lang w:eastAsia="en-US"/>
        </w:rPr>
        <w:t>limit</w:t>
      </w:r>
      <w:r>
        <w:rPr>
          <w:lang w:eastAsia="en-US"/>
        </w:rPr>
        <w:t xml:space="preserve"> </w:t>
      </w:r>
      <w:r w:rsidR="00750636">
        <w:rPr>
          <w:lang w:eastAsia="en-US"/>
        </w:rPr>
        <w:t>to the future</w:t>
      </w:r>
      <w:r>
        <w:rPr>
          <w:lang w:eastAsia="en-US"/>
        </w:rPr>
        <w:t xml:space="preserve"> </w:t>
      </w:r>
      <w:r w:rsidR="00750636">
        <w:rPr>
          <w:lang w:eastAsia="en-US"/>
        </w:rPr>
        <w:t>progress</w:t>
      </w:r>
      <w:r>
        <w:rPr>
          <w:lang w:eastAsia="en-US"/>
        </w:rPr>
        <w:t xml:space="preserve"> in this area. It would be extremely unfortunate if the cho</w:t>
      </w:r>
      <w:r w:rsidR="00750636">
        <w:rPr>
          <w:lang w:eastAsia="en-US"/>
        </w:rPr>
        <w:t>sen filing system should restrain the development of</w:t>
      </w:r>
      <w:r>
        <w:rPr>
          <w:lang w:eastAsia="en-US"/>
        </w:rPr>
        <w:t xml:space="preserve"> other superior </w:t>
      </w:r>
      <w:r w:rsidR="00750636">
        <w:rPr>
          <w:lang w:eastAsia="en-US"/>
        </w:rPr>
        <w:t xml:space="preserve">reporting </w:t>
      </w:r>
      <w:r>
        <w:rPr>
          <w:lang w:eastAsia="en-US"/>
        </w:rPr>
        <w:t>formats.</w:t>
      </w:r>
    </w:p>
    <w:permEnd w:id="1340547789"/>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8701E5" w:rsidRPr="008701E5" w:rsidRDefault="0060649D" w:rsidP="008701E5">
      <w:pPr>
        <w:rPr>
          <w:lang w:eastAsia="en-US"/>
        </w:rPr>
      </w:pPr>
      <w:permStart w:id="1273505155" w:edGrp="everyone"/>
      <w:r>
        <w:rPr>
          <w:lang w:eastAsia="en-US"/>
        </w:rPr>
        <w:t>Yes, we agree.</w:t>
      </w:r>
    </w:p>
    <w:permEnd w:id="1273505155"/>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8701E5" w:rsidRPr="008701E5" w:rsidRDefault="00BA5264" w:rsidP="008701E5">
      <w:pPr>
        <w:rPr>
          <w:lang w:eastAsia="en-US"/>
        </w:rPr>
      </w:pPr>
      <w:permStart w:id="425940851" w:edGrp="everyone"/>
      <w:r>
        <w:rPr>
          <w:lang w:eastAsia="en-US"/>
        </w:rPr>
        <w:t>Yes we agree with the conclusion not to use extensions. As there is a lack of evidence of the advantages of extensions, it will only be an additional administrative burden on both preparers and the authorities responsible for the development of such extensions.</w:t>
      </w:r>
    </w:p>
    <w:permEnd w:id="425940851"/>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0C5A8A" w:rsidP="008701E5">
      <w:pPr>
        <w:rPr>
          <w:lang w:eastAsia="en-US"/>
        </w:rPr>
      </w:pPr>
      <w:permStart w:id="319761057" w:edGrp="everyone"/>
      <w:r>
        <w:rPr>
          <w:lang w:eastAsia="en-US"/>
        </w:rPr>
        <w:t>Yes we agree.</w:t>
      </w:r>
    </w:p>
    <w:permEnd w:id="319761057"/>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8701E5" w:rsidRPr="008701E5" w:rsidRDefault="00FC0F82" w:rsidP="008701E5">
      <w:pPr>
        <w:rPr>
          <w:lang w:eastAsia="en-US"/>
        </w:rPr>
      </w:pPr>
      <w:permStart w:id="1067010991" w:edGrp="everyone"/>
      <w:r>
        <w:rPr>
          <w:lang w:eastAsia="en-US"/>
        </w:rPr>
        <w:t>No we don’t think the taxonomy shall be developed for other parts of the AFR.</w:t>
      </w:r>
    </w:p>
    <w:permEnd w:id="1067010991"/>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8701E5" w:rsidRPr="008701E5" w:rsidRDefault="00B709BF" w:rsidP="008701E5">
      <w:pPr>
        <w:rPr>
          <w:lang w:eastAsia="en-US"/>
        </w:rPr>
      </w:pPr>
      <w:permStart w:id="1231230318" w:edGrp="everyone"/>
      <w:r>
        <w:rPr>
          <w:lang w:eastAsia="en-US"/>
        </w:rPr>
        <w:t>Yes we agree that non-structured electronic reporting in PDF should be required for the AFR.</w:t>
      </w:r>
    </w:p>
    <w:permEnd w:id="1231230318"/>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8701E5" w:rsidRPr="008701E5" w:rsidRDefault="006A7D8A" w:rsidP="008701E5">
      <w:pPr>
        <w:rPr>
          <w:lang w:eastAsia="en-US"/>
        </w:rPr>
      </w:pPr>
      <w:permStart w:id="581448117" w:edGrp="everyone"/>
      <w:r>
        <w:rPr>
          <w:lang w:eastAsia="en-US"/>
        </w:rPr>
        <w:lastRenderedPageBreak/>
        <w:t>No, we believe that option A is the preferred choice. The reasons are explained in the answers to questions 1-2.</w:t>
      </w:r>
    </w:p>
    <w:permEnd w:id="581448117"/>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701E5" w:rsidRPr="008701E5" w:rsidRDefault="006A7D8A" w:rsidP="008701E5">
      <w:pPr>
        <w:rPr>
          <w:lang w:eastAsia="en-US"/>
        </w:rPr>
      </w:pPr>
      <w:permStart w:id="1969507352" w:edGrp="everyone"/>
      <w:r>
        <w:rPr>
          <w:lang w:eastAsia="en-US"/>
        </w:rPr>
        <w:t>We refrain from answering this question. As mentioned under question 6, we believe that the reporting format should not hamper the development of other formats or techniques for electronic filing.</w:t>
      </w:r>
    </w:p>
    <w:permEnd w:id="1969507352"/>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8701E5" w:rsidRPr="008701E5" w:rsidRDefault="006A7D8A" w:rsidP="008701E5">
      <w:pPr>
        <w:rPr>
          <w:lang w:eastAsia="en-US"/>
        </w:rPr>
      </w:pPr>
      <w:permStart w:id="822363905" w:edGrp="everyone"/>
      <w:r>
        <w:rPr>
          <w:lang w:eastAsia="en-US"/>
        </w:rPr>
        <w:t>See question 13.</w:t>
      </w:r>
    </w:p>
    <w:permEnd w:id="822363905"/>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701E5" w:rsidRPr="008701E5" w:rsidRDefault="006A7D8A" w:rsidP="008701E5">
      <w:pPr>
        <w:rPr>
          <w:lang w:eastAsia="en-US"/>
        </w:rPr>
      </w:pPr>
      <w:permStart w:id="1443830006" w:edGrp="everyone"/>
      <w:r>
        <w:rPr>
          <w:lang w:eastAsia="en-US"/>
        </w:rPr>
        <w:t>See question 12. We don’t think it should be required for neither the consolidated nor the individual financial statements.</w:t>
      </w:r>
    </w:p>
    <w:permEnd w:id="1443830006"/>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9B6EF1" w:rsidP="008701E5">
      <w:pPr>
        <w:rPr>
          <w:lang w:eastAsia="en-US"/>
        </w:rPr>
      </w:pPr>
      <w:permStart w:id="1869954214" w:edGrp="everyone"/>
      <w:r>
        <w:rPr>
          <w:lang w:eastAsia="en-US"/>
        </w:rPr>
        <w:t>We agree with the different approach but as mentioned, we believe the best solution is not to require structured reporting at all.</w:t>
      </w:r>
    </w:p>
    <w:permEnd w:id="1869954214"/>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701E5" w:rsidRPr="008701E5" w:rsidRDefault="009B6EF1" w:rsidP="008701E5">
      <w:pPr>
        <w:rPr>
          <w:lang w:eastAsia="en-US"/>
        </w:rPr>
      </w:pPr>
      <w:permStart w:id="1373322362" w:edGrp="everyone"/>
      <w:r>
        <w:rPr>
          <w:lang w:eastAsia="en-US"/>
        </w:rPr>
        <w:t>We don’t see the need for an EU core taxonomy. As the potential benefits are not obvious to us, it’s very difficult to justify the time and resources such a project will require.</w:t>
      </w:r>
    </w:p>
    <w:permEnd w:id="1373322362"/>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9B6EF1" w:rsidP="008701E5">
      <w:pPr>
        <w:rPr>
          <w:lang w:eastAsia="en-US"/>
        </w:rPr>
      </w:pPr>
      <w:permStart w:id="1040808706" w:edGrp="everyone"/>
      <w:r>
        <w:rPr>
          <w:lang w:eastAsia="en-US"/>
        </w:rPr>
        <w:t>Yes, we agree.</w:t>
      </w:r>
    </w:p>
    <w:permEnd w:id="1040808706"/>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8701E5" w:rsidRPr="008701E5" w:rsidRDefault="00C41DFE" w:rsidP="008701E5">
      <w:pPr>
        <w:rPr>
          <w:lang w:eastAsia="en-US"/>
        </w:rPr>
      </w:pPr>
      <w:permStart w:id="904210635" w:edGrp="everyone"/>
      <w:r>
        <w:rPr>
          <w:lang w:eastAsia="en-US"/>
        </w:rPr>
        <w:lastRenderedPageBreak/>
        <w:t xml:space="preserve">We don’t agree with the conclusion in the CP that the ESEF could enhance the visibility of SME’s. We are </w:t>
      </w:r>
      <w:r w:rsidR="00FE5E4A">
        <w:rPr>
          <w:lang w:eastAsia="en-US"/>
        </w:rPr>
        <w:t>also un</w:t>
      </w:r>
      <w:r>
        <w:rPr>
          <w:lang w:eastAsia="en-US"/>
        </w:rPr>
        <w:t>sure of the ba</w:t>
      </w:r>
      <w:r w:rsidR="00FE5E4A">
        <w:rPr>
          <w:lang w:eastAsia="en-US"/>
        </w:rPr>
        <w:t>sis</w:t>
      </w:r>
      <w:r>
        <w:rPr>
          <w:lang w:eastAsia="en-US"/>
        </w:rPr>
        <w:t xml:space="preserve"> for this question, as reporting issues for SME’s are not a part of ESMA’s assignment under the TD.</w:t>
      </w:r>
    </w:p>
    <w:permEnd w:id="904210635"/>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8701E5" w:rsidRPr="008701E5" w:rsidRDefault="00FE5E4A" w:rsidP="008701E5">
      <w:pPr>
        <w:rPr>
          <w:lang w:eastAsia="en-US"/>
        </w:rPr>
      </w:pPr>
      <w:permStart w:id="1637830963" w:edGrp="everyone"/>
      <w:r>
        <w:rPr>
          <w:lang w:eastAsia="en-US"/>
        </w:rPr>
        <w:t>No other comments.</w:t>
      </w:r>
    </w:p>
    <w:permEnd w:id="1637830963"/>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A686C">
            <w:rPr>
              <w:rFonts w:cs="Arial"/>
              <w:noProof/>
              <w:sz w:val="22"/>
              <w:szCs w:val="22"/>
            </w:rPr>
            <w:t>8</w:t>
          </w:r>
          <w:r w:rsidRPr="00616B9B">
            <w:rPr>
              <w:rFonts w:cs="Arial"/>
              <w:noProof/>
              <w:sz w:val="22"/>
              <w:szCs w:val="22"/>
            </w:rPr>
            <w:fldChar w:fldCharType="end"/>
          </w:r>
        </w:p>
      </w:tc>
    </w:tr>
  </w:tbl>
  <w:p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08C1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Sidhuvud"/>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highlight w:val="yellow"/>
        <w:lang w:val="fr-FR"/>
      </w:rPr>
    </w:pPr>
  </w:p>
  <w:p w:rsidR="00811EDA" w:rsidRDefault="00DE66EB">
    <w:pPr>
      <w:pStyle w:val="Sidhuvud"/>
    </w:pPr>
    <w:r>
      <w:rPr>
        <w:noProof/>
        <w:lang w:val="sv-SE" w:eastAsia="sv-S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747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455"/>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05D"/>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A8A"/>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C1D"/>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B96"/>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2D3"/>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3315"/>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4DD"/>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15E4"/>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49D"/>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04E"/>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C20"/>
    <w:rsid w:val="00695F80"/>
    <w:rsid w:val="006966CD"/>
    <w:rsid w:val="00696735"/>
    <w:rsid w:val="0069780E"/>
    <w:rsid w:val="00697D13"/>
    <w:rsid w:val="006A2CA2"/>
    <w:rsid w:val="006A4869"/>
    <w:rsid w:val="006A7D8A"/>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43A"/>
    <w:rsid w:val="0073673C"/>
    <w:rsid w:val="00736935"/>
    <w:rsid w:val="00743DE7"/>
    <w:rsid w:val="0074509E"/>
    <w:rsid w:val="00745B9F"/>
    <w:rsid w:val="0074726F"/>
    <w:rsid w:val="0075015C"/>
    <w:rsid w:val="0075063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86C"/>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25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9B6"/>
    <w:rsid w:val="00974881"/>
    <w:rsid w:val="0097606C"/>
    <w:rsid w:val="009771D1"/>
    <w:rsid w:val="0098012D"/>
    <w:rsid w:val="00980845"/>
    <w:rsid w:val="00980E6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6EF1"/>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4A6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9BF"/>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264"/>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1DFE"/>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5A49"/>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72A"/>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5293"/>
    <w:rsid w:val="00D366B1"/>
    <w:rsid w:val="00D37AE0"/>
    <w:rsid w:val="00D416A8"/>
    <w:rsid w:val="00D4217D"/>
    <w:rsid w:val="00D4257C"/>
    <w:rsid w:val="00D425AC"/>
    <w:rsid w:val="00D42823"/>
    <w:rsid w:val="00D42BB9"/>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6A5"/>
    <w:rsid w:val="00D67101"/>
    <w:rsid w:val="00D71B45"/>
    <w:rsid w:val="00D71F8A"/>
    <w:rsid w:val="00D73C2B"/>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E9A"/>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DC8"/>
    <w:rsid w:val="00F975CA"/>
    <w:rsid w:val="00FA0B60"/>
    <w:rsid w:val="00FA2528"/>
    <w:rsid w:val="00FA5535"/>
    <w:rsid w:val="00FA7206"/>
    <w:rsid w:val="00FA7EFB"/>
    <w:rsid w:val="00FB0816"/>
    <w:rsid w:val="00FB08C2"/>
    <w:rsid w:val="00FB3DD1"/>
    <w:rsid w:val="00FB51FD"/>
    <w:rsid w:val="00FB5667"/>
    <w:rsid w:val="00FB7A97"/>
    <w:rsid w:val="00FC0F82"/>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E5E4A"/>
    <w:rsid w:val="00FF097B"/>
    <w:rsid w:val="00FF0B6E"/>
    <w:rsid w:val="00FF1C1B"/>
    <w:rsid w:val="00FF2067"/>
    <w:rsid w:val="00FF3BC4"/>
    <w:rsid w:val="00FF4B66"/>
    <w:rsid w:val="00FF51C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399E1E0E-6935-4EE9-A87B-BC33BA8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50FA1-5B48-4DD3-9DA0-12CE61A8A20D}">
  <ds:schemaRefs>
    <ds:schemaRef ds:uri="http://schemas.openxmlformats.org/officeDocument/2006/bibliography"/>
  </ds:schemaRefs>
</ds:datastoreItem>
</file>

<file path=customXml/itemProps2.xml><?xml version="1.0" encoding="utf-8"?>
<ds:datastoreItem xmlns:ds="http://schemas.openxmlformats.org/officeDocument/2006/customXml" ds:itemID="{C8B81C36-1AB6-4C76-94DF-B22BE8DB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Pages>
  <Words>2203</Words>
  <Characters>11677</Characters>
  <Application>Microsoft Office Word</Application>
  <DocSecurity>8</DocSecurity>
  <Lines>97</Lines>
  <Paragraphs>27</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CP</vt:lpstr>
      <vt:lpstr>Reply form for the ESEF CP</vt:lpstr>
      <vt:lpstr>20110000</vt:lpstr>
      <vt:lpstr>20110000</vt:lpstr>
      <vt:lpstr>20110000</vt:lpstr>
      <vt:lpstr>20110000</vt:lpstr>
    </vt:vector>
  </TitlesOfParts>
  <Company>ESMA</Company>
  <LinksUpToDate>false</LinksUpToDate>
  <CharactersWithSpaces>13853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Bildstein-Hagberg, Sofia</cp:lastModifiedBy>
  <cp:revision>21</cp:revision>
  <cp:lastPrinted>2015-02-18T11:01:00Z</cp:lastPrinted>
  <dcterms:created xsi:type="dcterms:W3CDTF">2015-12-06T12:23:00Z</dcterms:created>
  <dcterms:modified xsi:type="dcterms:W3CDTF">2015-12-21T13:59:00Z</dcterms:modified>
</cp:coreProperties>
</file>