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C81798" w:rsidP="00C81798">
            <w:pPr>
              <w:pStyle w:val="00bDBInfo"/>
              <w:rPr>
                <w:rFonts w:cs="Arial"/>
              </w:rPr>
            </w:pPr>
            <w:permStart w:id="1566462726" w:edGrp="everyone"/>
            <w:permEnd w:id="1566462726"/>
            <w:r>
              <w:rPr>
                <w:rFonts w:cs="Arial"/>
              </w:rPr>
              <w:t>31</w:t>
            </w:r>
            <w:r w:rsidR="003A5DAC">
              <w:rPr>
                <w:rFonts w:cs="Arial"/>
              </w:rPr>
              <w:t xml:space="preserve"> </w:t>
            </w:r>
            <w:r>
              <w:rPr>
                <w:rFonts w:cs="Arial"/>
              </w:rPr>
              <w:t>August</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3A5DAC">
              <w:rPr>
                <w:rFonts w:cs="Arial"/>
              </w:rPr>
              <w:t xml:space="preserve">Consultation Paper </w:t>
            </w:r>
            <w:r w:rsidR="00EF0769">
              <w:rPr>
                <w:rFonts w:cs="Arial"/>
              </w:rPr>
              <w:t xml:space="preserve">on </w:t>
            </w:r>
            <w:r w:rsidR="00C81798">
              <w:rPr>
                <w:rFonts w:cs="Arial"/>
              </w:rPr>
              <w:t xml:space="preserve">Draft Implementing Technical Standards under </w:t>
            </w:r>
            <w:r w:rsidR="00EF0769">
              <w:rPr>
                <w:rFonts w:cs="Arial"/>
              </w:rPr>
              <w:t>MiFID II</w:t>
            </w:r>
            <w:r w:rsidR="00422A7D" w:rsidRPr="00616B9B">
              <w:rPr>
                <w:rFonts w:cs="Arial"/>
              </w:rPr>
              <w:t xml:space="preserve"> </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C81798">
            <w:pPr>
              <w:pStyle w:val="02Date"/>
              <w:rPr>
                <w:rFonts w:cs="Arial"/>
              </w:rPr>
            </w:pPr>
            <w:r w:rsidRPr="004E49B0">
              <w:rPr>
                <w:rFonts w:cs="Arial"/>
              </w:rPr>
              <w:lastRenderedPageBreak/>
              <w:t xml:space="preserve">Date: </w:t>
            </w:r>
            <w:r w:rsidR="00C81798">
              <w:rPr>
                <w:rFonts w:cs="Arial"/>
              </w:rPr>
              <w:t>31</w:t>
            </w:r>
            <w:r w:rsidR="004E49B0" w:rsidRPr="004E49B0">
              <w:rPr>
                <w:rFonts w:cs="Arial"/>
              </w:rPr>
              <w:t xml:space="preserve"> </w:t>
            </w:r>
            <w:r w:rsidR="00C81798">
              <w:rPr>
                <w:rFonts w:cs="Arial"/>
              </w:rPr>
              <w:t>August</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E90774">
        <w:rPr>
          <w:rFonts w:cs="Arial"/>
        </w:rPr>
        <w:t>Draft Implementing Technical Standards under MiFID II</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E90774">
        <w:rPr>
          <w:rFonts w:cs="Arial"/>
        </w:rPr>
        <w:t>ITS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ESMA_MiFID_</w:t>
      </w:r>
      <w:r w:rsidR="00E90774">
        <w:rPr>
          <w:rFonts w:cs="Arial"/>
        </w:rPr>
        <w:t>ITS</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E90774">
        <w:rPr>
          <w:rFonts w:cs="Arial"/>
        </w:rPr>
        <w:t>ITS</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E90774">
        <w:rPr>
          <w:rFonts w:cs="Arial"/>
        </w:rPr>
        <w:t>ITS</w:t>
      </w:r>
      <w:r w:rsidRPr="00EF0769">
        <w:rPr>
          <w:rFonts w:cs="Arial"/>
        </w:rPr>
        <w:t>_ESMA_ANNEX1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E90774">
        <w:rPr>
          <w:rFonts w:cs="Arial"/>
          <w:b/>
        </w:rPr>
        <w:t>31 October</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ipervnculo"/>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ipervnculo"/>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Ttul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551892262" w:edGrp="everyone" w:colFirst="1" w:colLast="1"/>
            <w:r w:rsidRPr="00AB6D88">
              <w:rPr>
                <w:rFonts w:cs="Arial"/>
              </w:rPr>
              <w:t>Name of the company / organisation</w:t>
            </w:r>
          </w:p>
        </w:tc>
        <w:sdt>
          <w:sdtPr>
            <w:rPr>
              <w:rStyle w:val="Textodelmarcadordeposicin"/>
              <w:rFonts w:cs="Arial"/>
            </w:rPr>
            <w:id w:val="-1905066999"/>
            <w:text/>
          </w:sdtPr>
          <w:sdtEndPr>
            <w:rPr>
              <w:rStyle w:val="Textodelmarcadordeposicin"/>
            </w:rPr>
          </w:sdtEndPr>
          <w:sdtContent>
            <w:permStart w:id="335033113" w:edGrp="everyone" w:displacedByCustomXml="prev"/>
            <w:tc>
              <w:tcPr>
                <w:tcW w:w="5595" w:type="dxa"/>
                <w:shd w:val="clear" w:color="auto" w:fill="auto"/>
              </w:tcPr>
              <w:p w:rsidR="00D34282" w:rsidRPr="00AB6D88" w:rsidRDefault="00513F18" w:rsidP="00513F18">
                <w:pPr>
                  <w:rPr>
                    <w:rStyle w:val="Textodelmarcadordeposicin"/>
                    <w:rFonts w:cs="Arial"/>
                  </w:rPr>
                </w:pPr>
                <w:r>
                  <w:rPr>
                    <w:rStyle w:val="Textodelmarcadordeposicin"/>
                    <w:rFonts w:cs="Arial"/>
                  </w:rPr>
                  <w:t>CNMV Advisory Committee</w:t>
                </w:r>
              </w:p>
            </w:tc>
            <w:permEnd w:id="335033113" w:displacedByCustomXml="next"/>
          </w:sdtContent>
        </w:sdt>
      </w:tr>
      <w:tr w:rsidR="00D34282" w:rsidRPr="00AB6D88" w:rsidTr="001F03CA">
        <w:tc>
          <w:tcPr>
            <w:tcW w:w="3929" w:type="dxa"/>
            <w:shd w:val="clear" w:color="auto" w:fill="auto"/>
          </w:tcPr>
          <w:p w:rsidR="00D34282" w:rsidRPr="00AB6D88" w:rsidRDefault="00D34282" w:rsidP="001F03CA">
            <w:pPr>
              <w:rPr>
                <w:rFonts w:cs="Arial"/>
              </w:rPr>
            </w:pPr>
            <w:permStart w:id="483337378" w:edGrp="everyone" w:colFirst="1" w:colLast="1"/>
            <w:permEnd w:id="551892262"/>
            <w:r w:rsidRPr="00AB6D88">
              <w:rPr>
                <w:rFonts w:cs="Arial"/>
              </w:rPr>
              <w:t>Activity</w:t>
            </w:r>
          </w:p>
        </w:tc>
        <w:tc>
          <w:tcPr>
            <w:tcW w:w="5595" w:type="dxa"/>
            <w:shd w:val="clear" w:color="auto" w:fill="auto"/>
          </w:tcPr>
          <w:p w:rsidR="00D34282" w:rsidRPr="00AB6D88" w:rsidRDefault="00B24D39"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515328918" w:edGrp="everyone"/>
                <w:r w:rsidR="00513F18">
                  <w:rPr>
                    <w:rFonts w:cs="Arial"/>
                  </w:rPr>
                  <w:t>Government, Regulatory and Enforcement</w:t>
                </w:r>
                <w:permEnd w:id="1515328918"/>
              </w:sdtContent>
            </w:sdt>
          </w:p>
        </w:tc>
      </w:tr>
      <w:tr w:rsidR="00D34282" w:rsidRPr="00AB6D88" w:rsidTr="001F03CA">
        <w:tc>
          <w:tcPr>
            <w:tcW w:w="3929" w:type="dxa"/>
            <w:shd w:val="clear" w:color="auto" w:fill="auto"/>
          </w:tcPr>
          <w:p w:rsidR="00D34282" w:rsidRPr="00AB6D88" w:rsidRDefault="00D34282" w:rsidP="001F03CA">
            <w:pPr>
              <w:rPr>
                <w:rFonts w:cs="Arial"/>
              </w:rPr>
            </w:pPr>
            <w:permStart w:id="1081760395" w:edGrp="everyone" w:colFirst="1" w:colLast="1"/>
            <w:permEnd w:id="483337378"/>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rsidR="00D34282" w:rsidRPr="00AB6D88" w:rsidRDefault="00D34282" w:rsidP="001F03CA">
                <w:pPr>
                  <w:rPr>
                    <w:rFonts w:cs="Arial"/>
                  </w:rPr>
                </w:pPr>
                <w:r w:rsidRPr="00AB6D88">
                  <w:rPr>
                    <w:rFonts w:ascii="MS Gothic" w:eastAsia="MS Gothic" w:hAnsi="MS Gothic" w:cs="MS Gothic"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612782236" w:edGrp="everyone" w:colFirst="1" w:colLast="1"/>
            <w:permEnd w:id="1081760395"/>
            <w:r w:rsidRPr="00AB6D88">
              <w:rPr>
                <w:rFonts w:cs="Arial"/>
              </w:rPr>
              <w:t>Country/Region</w:t>
            </w:r>
          </w:p>
        </w:tc>
        <w:permStart w:id="184943856"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D34282" w:rsidRPr="00AB6D88" w:rsidRDefault="00513F18" w:rsidP="00513F18">
                <w:pPr>
                  <w:rPr>
                    <w:rFonts w:cs="Arial"/>
                  </w:rPr>
                </w:pPr>
                <w:r>
                  <w:rPr>
                    <w:rFonts w:cs="Arial"/>
                  </w:rPr>
                  <w:t>Spain</w:t>
                </w:r>
              </w:p>
            </w:tc>
          </w:sdtContent>
        </w:sdt>
        <w:permEnd w:id="184943856" w:displacedByCustomXml="prev"/>
      </w:tr>
      <w:permEnd w:id="612782236"/>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Ttulo1"/>
        <w:numPr>
          <w:ilvl w:val="0"/>
          <w:numId w:val="0"/>
        </w:numPr>
        <w:ind w:left="431" w:hanging="431"/>
      </w:pPr>
      <w:r>
        <w:t>Introduction</w:t>
      </w:r>
    </w:p>
    <w:p w:rsidR="00D34282" w:rsidRPr="001D47A5" w:rsidRDefault="00D34282" w:rsidP="00D34282">
      <w:pPr>
        <w:rPr>
          <w:rStyle w:val="nfasisintenso"/>
        </w:rPr>
      </w:pPr>
      <w:r w:rsidRPr="001D47A5">
        <w:rPr>
          <w:rStyle w:val="nfasisintenso"/>
        </w:rPr>
        <w:t>Please make your introductory comments below, if any:</w:t>
      </w:r>
    </w:p>
    <w:p w:rsidR="00D34282" w:rsidRPr="00C25863" w:rsidRDefault="00D34282" w:rsidP="00D34282">
      <w:r w:rsidRPr="00C25863">
        <w:t>&lt;</w:t>
      </w:r>
      <w:r w:rsidRPr="00D74C9D">
        <w:t xml:space="preserve"> </w:t>
      </w:r>
      <w:r>
        <w:t>ESMA_COMMENT</w:t>
      </w:r>
      <w:r w:rsidR="00D920D1">
        <w:t>_MIFID_ITS</w:t>
      </w:r>
      <w:r w:rsidRPr="00C25863">
        <w:t>_1&gt;</w:t>
      </w:r>
    </w:p>
    <w:p w:rsidR="00513F18" w:rsidRDefault="00513F18" w:rsidP="00513F18">
      <w:pPr>
        <w:jc w:val="both"/>
        <w:rPr>
          <w:b/>
        </w:rPr>
      </w:pPr>
      <w:permStart w:id="624518428" w:edGrp="everyone"/>
      <w:r w:rsidRPr="00223035">
        <w:rPr>
          <w:b/>
        </w:rPr>
        <w:t>The CNMV Advisory Committee has been set by the Spanish Securities Market Law as the consu</w:t>
      </w:r>
      <w:r w:rsidRPr="00223035">
        <w:rPr>
          <w:b/>
        </w:rPr>
        <w:t>l</w:t>
      </w:r>
      <w:r w:rsidRPr="00223035">
        <w:rPr>
          <w:b/>
        </w:rPr>
        <w:t>tative body of the CNMV. This Committee is composed by market participants (members of se</w:t>
      </w:r>
      <w:r w:rsidRPr="00223035">
        <w:rPr>
          <w:b/>
        </w:rPr>
        <w:t>c</w:t>
      </w:r>
      <w:r w:rsidRPr="00223035">
        <w:rPr>
          <w:b/>
        </w:rPr>
        <w:t xml:space="preserve">ondary markets, issuers, retail investors, intermediaries, the collective investment industry, </w:t>
      </w:r>
      <w:proofErr w:type="spellStart"/>
      <w:r w:rsidRPr="00223035">
        <w:rPr>
          <w:b/>
        </w:rPr>
        <w:t>etc</w:t>
      </w:r>
      <w:proofErr w:type="spellEnd"/>
      <w:r w:rsidRPr="00223035">
        <w:rPr>
          <w:b/>
        </w:rPr>
        <w:t>) and its opinions are independent from those of the CNMV.</w:t>
      </w:r>
    </w:p>
    <w:p w:rsidR="00513F18" w:rsidRDefault="00513F18" w:rsidP="00513F18">
      <w:pPr>
        <w:jc w:val="both"/>
        <w:rPr>
          <w:b/>
        </w:rPr>
      </w:pPr>
    </w:p>
    <w:p w:rsidR="00513F18" w:rsidRPr="005F3BE4" w:rsidRDefault="00513F18" w:rsidP="00513F18">
      <w:pPr>
        <w:pStyle w:val="asesora"/>
        <w:ind w:firstLine="0"/>
        <w:rPr>
          <w:rFonts w:cs="Arial"/>
          <w:lang w:val="en-GB"/>
        </w:rPr>
      </w:pPr>
      <w:r w:rsidRPr="005F3BE4">
        <w:rPr>
          <w:rFonts w:cs="Arial"/>
          <w:lang w:val="en-GB"/>
        </w:rPr>
        <w:t>The CNMV Advisory Committee is grateful for the opportunity to express an opinion on the Consultation Paper regarding Draft implementing technical standards under MiFID II. The consultation paper seeks the viewpoint of parties connected with the business. ESMA is required to draw up draft technical standards under Directive 2014/65/EU (MiFID II); accordingly, the opinions expressed by stakeholders during the consultation process will guide ESMA in drafting the final report to the European Commission.</w:t>
      </w:r>
    </w:p>
    <w:p w:rsidR="00513F18" w:rsidRPr="005F3BE4" w:rsidRDefault="00513F18" w:rsidP="00513F18">
      <w:pPr>
        <w:pStyle w:val="asesora"/>
        <w:ind w:firstLine="360"/>
        <w:rPr>
          <w:rFonts w:cs="Arial"/>
          <w:lang w:val="en-GB"/>
        </w:rPr>
      </w:pPr>
      <w:r w:rsidRPr="005F3BE4">
        <w:rPr>
          <w:rFonts w:cs="Arial"/>
          <w:lang w:val="en-GB"/>
        </w:rPr>
        <w:t>This consultation paper refers to three draft Implementing Technical Standards (ITS):</w:t>
      </w:r>
    </w:p>
    <w:p w:rsidR="00513F18" w:rsidRPr="005F3BE4" w:rsidRDefault="00513F18" w:rsidP="00513F18">
      <w:pPr>
        <w:pStyle w:val="asesora"/>
        <w:ind w:firstLine="0"/>
        <w:rPr>
          <w:rFonts w:cs="Arial"/>
          <w:lang w:val="en-GB"/>
        </w:rPr>
      </w:pPr>
    </w:p>
    <w:p w:rsidR="00513F18" w:rsidRPr="005F3BE4" w:rsidRDefault="00513F18" w:rsidP="00513F18">
      <w:pPr>
        <w:pStyle w:val="asesora"/>
        <w:numPr>
          <w:ilvl w:val="0"/>
          <w:numId w:val="51"/>
        </w:numPr>
        <w:rPr>
          <w:rFonts w:cs="Arial"/>
          <w:lang w:val="en-GB"/>
        </w:rPr>
      </w:pPr>
      <w:r w:rsidRPr="005F3BE4">
        <w:rPr>
          <w:rFonts w:cs="Arial"/>
          <w:lang w:val="en-GB"/>
        </w:rPr>
        <w:t>Suspension and removal of financial instruments from trading on a trading venue.</w:t>
      </w:r>
    </w:p>
    <w:p w:rsidR="00513F18" w:rsidRPr="005F3BE4" w:rsidRDefault="00513F18" w:rsidP="00513F18">
      <w:pPr>
        <w:pStyle w:val="asesora"/>
        <w:ind w:left="720" w:firstLine="0"/>
        <w:rPr>
          <w:rFonts w:cs="Arial"/>
          <w:lang w:val="en-GB"/>
        </w:rPr>
      </w:pPr>
      <w:r w:rsidRPr="005F3BE4">
        <w:rPr>
          <w:rFonts w:cs="Arial"/>
          <w:lang w:val="en-GB"/>
        </w:rPr>
        <w:t>This refers to the time periods and formats for the publications envisaged in MiFID II in the event of suspension or removal of a financial instrument from trading.</w:t>
      </w:r>
    </w:p>
    <w:p w:rsidR="00513F18" w:rsidRPr="005F3BE4" w:rsidRDefault="00513F18" w:rsidP="00513F18">
      <w:pPr>
        <w:pStyle w:val="asesora"/>
        <w:ind w:left="720" w:firstLine="0"/>
        <w:rPr>
          <w:rFonts w:cs="Arial"/>
          <w:lang w:val="en-GB"/>
        </w:rPr>
      </w:pPr>
    </w:p>
    <w:p w:rsidR="00513F18" w:rsidRPr="005F3BE4" w:rsidRDefault="00513F18" w:rsidP="00513F18">
      <w:pPr>
        <w:pStyle w:val="asesora"/>
        <w:numPr>
          <w:ilvl w:val="0"/>
          <w:numId w:val="51"/>
        </w:numPr>
        <w:rPr>
          <w:rFonts w:cs="Arial"/>
          <w:lang w:val="en-GB"/>
        </w:rPr>
      </w:pPr>
      <w:r w:rsidRPr="005F3BE4">
        <w:rPr>
          <w:rFonts w:cs="Arial"/>
          <w:lang w:val="en-GB"/>
        </w:rPr>
        <w:t>Notification and provision of information for data reporting service providers (DRSPs)</w:t>
      </w:r>
    </w:p>
    <w:p w:rsidR="00513F18" w:rsidRPr="005F3BE4" w:rsidRDefault="00513F18" w:rsidP="00513F18">
      <w:pPr>
        <w:pStyle w:val="asesora"/>
        <w:ind w:left="720" w:firstLine="0"/>
        <w:rPr>
          <w:rFonts w:cs="Arial"/>
          <w:lang w:val="en-GB"/>
        </w:rPr>
      </w:pPr>
      <w:r w:rsidRPr="005F3BE4">
        <w:rPr>
          <w:rFonts w:cs="Arial"/>
          <w:lang w:val="en-GB"/>
        </w:rPr>
        <w:t>This refers to the forms and procedures for notification and disclosure on the part of data reporting service providers (DRSPs) in connection with both the application for authorisation by DRSP applicants as well as the notification of members of the management body of a DRSP and of any changes to its membership</w:t>
      </w:r>
      <w:r>
        <w:rPr>
          <w:rFonts w:cs="Arial"/>
          <w:lang w:val="en-GB"/>
        </w:rPr>
        <w:t>.</w:t>
      </w:r>
    </w:p>
    <w:p w:rsidR="00513F18" w:rsidRPr="005F3BE4" w:rsidRDefault="00513F18" w:rsidP="00513F18">
      <w:pPr>
        <w:pStyle w:val="asesora"/>
        <w:ind w:left="720" w:firstLine="0"/>
        <w:rPr>
          <w:rFonts w:cs="Arial"/>
          <w:lang w:val="en-GB"/>
        </w:rPr>
      </w:pPr>
    </w:p>
    <w:p w:rsidR="00513F18" w:rsidRPr="005F3BE4" w:rsidRDefault="00513F18" w:rsidP="00513F18">
      <w:pPr>
        <w:pStyle w:val="asesora"/>
        <w:numPr>
          <w:ilvl w:val="0"/>
          <w:numId w:val="51"/>
        </w:numPr>
        <w:rPr>
          <w:rFonts w:cs="Arial"/>
          <w:lang w:val="en-GB"/>
        </w:rPr>
      </w:pPr>
      <w:r w:rsidRPr="005F3BE4">
        <w:rPr>
          <w:rFonts w:cs="Arial"/>
          <w:lang w:val="en-GB"/>
        </w:rPr>
        <w:t>Weekly aggregated position reports for commodity derivatives, emission allowances and derivatives of the latter</w:t>
      </w:r>
    </w:p>
    <w:p w:rsidR="009040DA" w:rsidRPr="009040DA" w:rsidRDefault="00513F18" w:rsidP="009040DA">
      <w:pPr>
        <w:pStyle w:val="asesora"/>
        <w:ind w:left="720" w:firstLine="0"/>
        <w:rPr>
          <w:rFonts w:cs="Arial"/>
          <w:lang w:val="en-GB"/>
        </w:rPr>
      </w:pPr>
      <w:r w:rsidRPr="005F3BE4">
        <w:rPr>
          <w:rFonts w:cs="Arial"/>
          <w:lang w:val="en-GB"/>
        </w:rPr>
        <w:t>The draft ITS on the weekly report of the aggregate positions seeks to provide transparency and oversight vis-à-vis the new rules on position limits. Article 58 requires that trading venues draw up and publish, subject to certain minimum requirements, a weekly report on the aggregate market positions in commodity derivatives, emission allowances and derivatives of the latter. In this consultation paper, ESMA asks, in the context of article 58(7), about the submission of this weekly report to ESMA for it to publish the aggregate market positions.</w:t>
      </w:r>
    </w:p>
    <w:permEnd w:id="624518428"/>
    <w:p w:rsidR="00D34282" w:rsidRPr="00C25863" w:rsidRDefault="00D34282" w:rsidP="00D34282">
      <w:r w:rsidRPr="00C25863">
        <w:t>&lt;</w:t>
      </w:r>
      <w:r w:rsidRPr="00D74C9D">
        <w:t xml:space="preserve"> </w:t>
      </w:r>
      <w:r>
        <w:t>ESMA_COMMENT</w:t>
      </w:r>
      <w:r w:rsidR="00D920D1">
        <w:t>_MIFID_ITS</w:t>
      </w:r>
      <w:r w:rsidRPr="00C25863">
        <w:t>_1&gt;</w:t>
      </w:r>
    </w:p>
    <w:p w:rsidR="00A8728B" w:rsidRPr="00B62727" w:rsidRDefault="00F32462" w:rsidP="00A8728B">
      <w:pPr>
        <w:pStyle w:val="CPQuestions"/>
        <w:ind w:left="714" w:hanging="357"/>
      </w:pPr>
      <w:r>
        <w:rPr>
          <w:rFonts w:cs="Arial"/>
          <w:szCs w:val="22"/>
        </w:rPr>
        <w:br w:type="page"/>
      </w:r>
      <w:r w:rsidR="00431DA4" w:rsidRPr="00431DA4">
        <w:lastRenderedPageBreak/>
        <w:t>Do you agree with the draft ITS on the timing and format of communications and publications?</w:t>
      </w:r>
    </w:p>
    <w:p w:rsidR="00A8728B" w:rsidRDefault="00A8728B" w:rsidP="00A8728B">
      <w:r>
        <w:t>&lt;ESMA_QUESTION</w:t>
      </w:r>
      <w:r w:rsidR="00D920D1">
        <w:t>_MIFID_ITS</w:t>
      </w:r>
      <w:r>
        <w:t>_1&gt;</w:t>
      </w:r>
    </w:p>
    <w:p w:rsidR="00513F18" w:rsidRPr="005F3BE4" w:rsidRDefault="00513F18" w:rsidP="00513F18">
      <w:pPr>
        <w:pStyle w:val="Textosinformato"/>
        <w:ind w:firstLine="708"/>
        <w:jc w:val="both"/>
        <w:rPr>
          <w:rFonts w:ascii="Arial" w:hAnsi="Arial" w:cs="Arial"/>
          <w:lang w:val="en-GB"/>
        </w:rPr>
      </w:pPr>
      <w:permStart w:id="523649298" w:edGrp="everyone"/>
      <w:r w:rsidRPr="005F3BE4">
        <w:rPr>
          <w:rFonts w:ascii="Arial" w:hAnsi="Arial" w:cs="Arial"/>
          <w:lang w:val="en-GB"/>
        </w:rPr>
        <w:t>The web should be an additional place to publish the notice of suspension, but not the main channel for publication. The markets already have provide fast, effective mechanisms for commun</w:t>
      </w:r>
      <w:r w:rsidRPr="005F3BE4">
        <w:rPr>
          <w:rFonts w:ascii="Arial" w:hAnsi="Arial" w:cs="Arial"/>
          <w:lang w:val="en-GB"/>
        </w:rPr>
        <w:t>i</w:t>
      </w:r>
      <w:r w:rsidRPr="005F3BE4">
        <w:rPr>
          <w:rFonts w:ascii="Arial" w:hAnsi="Arial" w:cs="Arial"/>
          <w:lang w:val="en-GB"/>
        </w:rPr>
        <w:t>cating with their members and with the competent authority. This information is also relayed in real time by DRSPs in a form that can be processed by information retrieval systems.</w:t>
      </w:r>
    </w:p>
    <w:p w:rsidR="00513F18" w:rsidRPr="005F3BE4" w:rsidRDefault="00513F18" w:rsidP="00513F18">
      <w:pPr>
        <w:pStyle w:val="Textosinformato"/>
        <w:jc w:val="both"/>
        <w:rPr>
          <w:rFonts w:ascii="Arial" w:hAnsi="Arial" w:cs="Arial"/>
          <w:lang w:val="en-GB"/>
        </w:rPr>
      </w:pPr>
    </w:p>
    <w:p w:rsidR="00513F18" w:rsidRPr="005F3BE4" w:rsidRDefault="00513F18" w:rsidP="00513F18">
      <w:pPr>
        <w:pStyle w:val="Textosinformato"/>
        <w:ind w:firstLine="708"/>
        <w:jc w:val="both"/>
        <w:rPr>
          <w:rFonts w:ascii="Arial" w:hAnsi="Arial" w:cs="Arial"/>
          <w:lang w:val="en-GB"/>
        </w:rPr>
      </w:pPr>
      <w:r w:rsidRPr="005F3BE4">
        <w:rPr>
          <w:rFonts w:ascii="Arial" w:hAnsi="Arial" w:cs="Arial"/>
          <w:lang w:val="en-GB"/>
        </w:rPr>
        <w:t>The formats for giving notice of suspension should provide the immediacy that a suspension of trading requires and, therefore, should be as automated as possible, without requiring time to draft and publish that might delay the suspension.</w:t>
      </w:r>
    </w:p>
    <w:p w:rsidR="00513F18" w:rsidRPr="005F3BE4" w:rsidRDefault="00513F18" w:rsidP="00513F18">
      <w:pPr>
        <w:pStyle w:val="Textosinformato"/>
        <w:jc w:val="both"/>
        <w:rPr>
          <w:rFonts w:ascii="Arial" w:hAnsi="Arial" w:cs="Arial"/>
          <w:lang w:val="en-GB"/>
        </w:rPr>
      </w:pPr>
    </w:p>
    <w:p w:rsidR="00513F18" w:rsidRPr="005F3BE4" w:rsidRDefault="00513F18" w:rsidP="00513F18">
      <w:pPr>
        <w:pStyle w:val="Textosinformato"/>
        <w:ind w:firstLine="708"/>
        <w:jc w:val="both"/>
        <w:rPr>
          <w:rFonts w:ascii="Arial" w:hAnsi="Arial" w:cs="Arial"/>
          <w:lang w:val="en-GB"/>
        </w:rPr>
      </w:pPr>
      <w:r w:rsidRPr="005F3BE4">
        <w:rPr>
          <w:rFonts w:ascii="Arial" w:hAnsi="Arial" w:cs="Arial"/>
          <w:lang w:val="en-GB"/>
        </w:rPr>
        <w:t>The reasons for suspension as set out in Annex I should be listed and established befor</w:t>
      </w:r>
      <w:r w:rsidRPr="005F3BE4">
        <w:rPr>
          <w:rFonts w:ascii="Arial" w:hAnsi="Arial" w:cs="Arial"/>
          <w:lang w:val="en-GB"/>
        </w:rPr>
        <w:t>e</w:t>
      </w:r>
      <w:r w:rsidRPr="005F3BE4">
        <w:rPr>
          <w:rFonts w:ascii="Arial" w:hAnsi="Arial" w:cs="Arial"/>
          <w:lang w:val="en-GB"/>
        </w:rPr>
        <w:t>hand so as not to delay or suspend dissemination of the event.</w:t>
      </w:r>
    </w:p>
    <w:p w:rsidR="00513F18" w:rsidRPr="005F3BE4" w:rsidRDefault="00513F18" w:rsidP="00513F18">
      <w:pPr>
        <w:pStyle w:val="Textosinformato"/>
        <w:jc w:val="both"/>
        <w:rPr>
          <w:rFonts w:ascii="Arial" w:hAnsi="Arial" w:cs="Arial"/>
          <w:lang w:val="en-GB"/>
        </w:rPr>
      </w:pPr>
    </w:p>
    <w:p w:rsidR="00513F18" w:rsidRPr="005F3BE4" w:rsidRDefault="00513F18" w:rsidP="00513F18">
      <w:pPr>
        <w:pStyle w:val="Textosinformato"/>
        <w:ind w:firstLine="708"/>
        <w:jc w:val="both"/>
        <w:rPr>
          <w:rFonts w:ascii="Arial" w:hAnsi="Arial" w:cs="Arial"/>
          <w:lang w:val="en-GB"/>
        </w:rPr>
      </w:pPr>
      <w:r w:rsidRPr="005F3BE4">
        <w:rPr>
          <w:rFonts w:ascii="Arial" w:hAnsi="Arial" w:cs="Arial"/>
          <w:lang w:val="en-GB"/>
        </w:rPr>
        <w:t>Moreover, it should be considered that there may be a large number of derivative products associated with the security and that it might be very costly to draw up a full list, as Annex 1 requires. This is the case of warrants and options, for example. The system should make it possible, if so desired, to suspend derivatives automatically if the underlying is suspended. This suspension should be publicised using similar channels to the suspension of the underlying.</w:t>
      </w:r>
    </w:p>
    <w:p w:rsidR="00513F18" w:rsidRPr="005F3BE4" w:rsidRDefault="00513F18" w:rsidP="00513F18">
      <w:pPr>
        <w:pStyle w:val="Textosinformato"/>
        <w:jc w:val="both"/>
        <w:rPr>
          <w:rFonts w:ascii="Arial" w:hAnsi="Arial" w:cs="Arial"/>
          <w:lang w:val="en-GB"/>
        </w:rPr>
      </w:pPr>
    </w:p>
    <w:p w:rsidR="00A8728B" w:rsidRPr="00513F18" w:rsidRDefault="00513F18" w:rsidP="00513F18">
      <w:pPr>
        <w:pStyle w:val="Textosinformato"/>
        <w:ind w:firstLine="708"/>
        <w:jc w:val="both"/>
        <w:rPr>
          <w:rFonts w:ascii="Arial" w:hAnsi="Arial" w:cs="Arial"/>
          <w:lang w:val="en-GB"/>
        </w:rPr>
      </w:pPr>
      <w:r w:rsidRPr="005F3BE4">
        <w:rPr>
          <w:rFonts w:ascii="Arial" w:hAnsi="Arial" w:cs="Arial"/>
          <w:lang w:val="en-GB"/>
        </w:rPr>
        <w:t>As for Article 4.2, it should be considered that suspension of a security automatically triggers messages in this connection to market players and DRSPs. The web mechanisms that are proposed should conform to this approach.</w:t>
      </w:r>
    </w:p>
    <w:permEnd w:id="523649298"/>
    <w:p w:rsidR="00A8728B" w:rsidRDefault="00A8728B" w:rsidP="00A8728B">
      <w:r>
        <w:t>&lt;ESMA_QUESTION</w:t>
      </w:r>
      <w:r w:rsidR="00D920D1">
        <w:t>_MIFID_ITS</w:t>
      </w:r>
      <w:r>
        <w:t>_1&gt;</w:t>
      </w:r>
    </w:p>
    <w:p w:rsidR="00431DA4" w:rsidRPr="00431DA4" w:rsidRDefault="00431DA4" w:rsidP="00431DA4">
      <w:pPr>
        <w:pStyle w:val="CPQuestions"/>
      </w:pPr>
      <w:r w:rsidRPr="00431DA4">
        <w:t>Do you agree with the draft implementing technical standards for data reporting services providers? Please provide reasons.</w:t>
      </w:r>
    </w:p>
    <w:p w:rsidR="00A8728B" w:rsidRDefault="00A8728B" w:rsidP="00A8728B">
      <w:r>
        <w:t>&lt;ESMA_QUESTION</w:t>
      </w:r>
      <w:r w:rsidR="00D920D1">
        <w:t>_MIFID_ITS</w:t>
      </w:r>
      <w:r>
        <w:t>_2&gt;</w:t>
      </w:r>
    </w:p>
    <w:p w:rsidR="00513F18" w:rsidRPr="004D67F8" w:rsidRDefault="00513F18" w:rsidP="00513F18">
      <w:pPr>
        <w:spacing w:after="240"/>
        <w:jc w:val="both"/>
        <w:rPr>
          <w:rFonts w:cs="Arial"/>
          <w:lang w:val="es-ES"/>
        </w:rPr>
      </w:pPr>
      <w:permStart w:id="535041989" w:edGrp="everyone"/>
      <w:r w:rsidRPr="004D67F8">
        <w:rPr>
          <w:rFonts w:cs="Arial"/>
          <w:lang w:val="es-ES"/>
        </w:rPr>
        <w:t>Yes</w:t>
      </w:r>
    </w:p>
    <w:permEnd w:id="535041989"/>
    <w:p w:rsidR="00A8728B" w:rsidRDefault="00A8728B" w:rsidP="00A8728B">
      <w:r>
        <w:t>&lt;ESMA_QUESTION</w:t>
      </w:r>
      <w:r w:rsidR="00D920D1">
        <w:t>_MIFID_ITS</w:t>
      </w:r>
      <w:r>
        <w:t>_2&gt;</w:t>
      </w:r>
    </w:p>
    <w:p w:rsidR="00A8728B" w:rsidRPr="00B62727" w:rsidRDefault="00431DA4" w:rsidP="00431DA4">
      <w:pPr>
        <w:pStyle w:val="CPQuestions"/>
      </w:pPr>
      <w:r w:rsidRPr="00431DA4">
        <w:t>Do you a</w:t>
      </w:r>
      <w:bookmarkStart w:id="3" w:name="_GoBack"/>
      <w:bookmarkEnd w:id="3"/>
      <w:r w:rsidRPr="00431DA4">
        <w:t>gree with the proposed time and day for submission? If not, please e</w:t>
      </w:r>
      <w:r w:rsidRPr="00431DA4">
        <w:t>x</w:t>
      </w:r>
      <w:r w:rsidRPr="00431DA4">
        <w:t>plain why and provide an alternative time and/or day.</w:t>
      </w:r>
    </w:p>
    <w:p w:rsidR="00A8728B" w:rsidRDefault="00A8728B" w:rsidP="00A8728B">
      <w:r>
        <w:t>&lt;ESMA_QUESTION</w:t>
      </w:r>
      <w:r w:rsidR="00D920D1">
        <w:t>_MIFID_ITS</w:t>
      </w:r>
      <w:r>
        <w:t>_3&gt;</w:t>
      </w:r>
    </w:p>
    <w:p w:rsidR="00A8728B" w:rsidRPr="00513F18" w:rsidRDefault="00513F18" w:rsidP="00513F18">
      <w:pPr>
        <w:spacing w:after="240"/>
        <w:ind w:firstLine="708"/>
        <w:jc w:val="both"/>
        <w:rPr>
          <w:rFonts w:cs="Arial"/>
        </w:rPr>
      </w:pPr>
      <w:permStart w:id="269555933" w:edGrp="everyone"/>
      <w:r w:rsidRPr="005F3BE4">
        <w:rPr>
          <w:rFonts w:cs="Arial"/>
        </w:rPr>
        <w:t>It will be possible to draw up the required reports in line with the proposed time and day of su</w:t>
      </w:r>
      <w:r w:rsidRPr="005F3BE4">
        <w:rPr>
          <w:rFonts w:cs="Arial"/>
        </w:rPr>
        <w:t>b</w:t>
      </w:r>
      <w:r w:rsidRPr="005F3BE4">
        <w:rPr>
          <w:rFonts w:cs="Arial"/>
        </w:rPr>
        <w:t>mission.</w:t>
      </w:r>
    </w:p>
    <w:permEnd w:id="269555933"/>
    <w:p w:rsidR="00A8728B" w:rsidRDefault="00A8728B" w:rsidP="00A8728B">
      <w:r>
        <w:t>&lt;ESMA_QUESTION</w:t>
      </w:r>
      <w:r w:rsidR="00D920D1">
        <w:t>_MIFID_ITS</w:t>
      </w:r>
      <w:r>
        <w:t>_3&gt;</w:t>
      </w:r>
    </w:p>
    <w:p w:rsidR="00A8728B" w:rsidRPr="00B62727" w:rsidRDefault="00431DA4" w:rsidP="00431DA4">
      <w:pPr>
        <w:pStyle w:val="CPQuestions"/>
      </w:pPr>
      <w:r w:rsidRPr="00431DA4">
        <w:t>Do you have any comments on the format or fields for the weekly position report?</w:t>
      </w:r>
    </w:p>
    <w:p w:rsidR="00A8728B" w:rsidRDefault="00A8728B" w:rsidP="00A8728B">
      <w:r>
        <w:t>&lt;ESMA_QUESTION</w:t>
      </w:r>
      <w:r w:rsidR="00D920D1">
        <w:t>_MIFID_ITS</w:t>
      </w:r>
      <w:r>
        <w:t>_4&gt;</w:t>
      </w:r>
    </w:p>
    <w:p w:rsidR="00513F18" w:rsidRPr="005F3BE4" w:rsidRDefault="00513F18" w:rsidP="00513F18">
      <w:pPr>
        <w:spacing w:after="240"/>
        <w:ind w:firstLine="708"/>
        <w:jc w:val="both"/>
        <w:rPr>
          <w:rFonts w:cs="Arial"/>
        </w:rPr>
      </w:pPr>
      <w:permStart w:id="538316177" w:edGrp="everyone"/>
      <w:r w:rsidRPr="005F3BE4">
        <w:rPr>
          <w:rFonts w:cs="Arial"/>
        </w:rPr>
        <w:t xml:space="preserve">In principle, a market governing body that manages a trading venue for commodity derivatives will not be in a position to make the required classification, detailing the type of activity (risk mitigation, etc.). This detail would be known only to the trading firm. </w:t>
      </w:r>
    </w:p>
    <w:p w:rsidR="00513F18" w:rsidRPr="005F3BE4" w:rsidRDefault="00513F18" w:rsidP="00513F18">
      <w:pPr>
        <w:spacing w:after="240"/>
        <w:ind w:firstLine="708"/>
        <w:jc w:val="both"/>
        <w:rPr>
          <w:rFonts w:cs="Arial"/>
        </w:rPr>
      </w:pPr>
      <w:r w:rsidRPr="005F3BE4">
        <w:rPr>
          <w:rFonts w:cs="Arial"/>
        </w:rPr>
        <w:t>This Advisory Committee considers that the definition of "Risk reducing" refers to directly mitiga</w:t>
      </w:r>
      <w:r w:rsidRPr="005F3BE4">
        <w:rPr>
          <w:rFonts w:cs="Arial"/>
        </w:rPr>
        <w:t>t</w:t>
      </w:r>
      <w:r w:rsidRPr="005F3BE4">
        <w:rPr>
          <w:rFonts w:cs="Arial"/>
        </w:rPr>
        <w:t xml:space="preserve">ing the risk, e.g. by hedging or closing a position; therefore, any report by the governing body detailing the </w:t>
      </w:r>
      <w:r w:rsidRPr="005F3BE4">
        <w:rPr>
          <w:rFonts w:cs="Arial"/>
        </w:rPr>
        <w:lastRenderedPageBreak/>
        <w:t xml:space="preserve">type of activity will be based on information submitted by market participants and not on the governing body's interpretation of the members' activity. </w:t>
      </w:r>
      <w:bookmarkStart w:id="4" w:name="OLE_LINK12"/>
      <w:bookmarkStart w:id="5" w:name="OLE_LINK13"/>
      <w:r w:rsidRPr="005F3BE4">
        <w:rPr>
          <w:rFonts w:cs="Arial"/>
        </w:rPr>
        <w:t xml:space="preserve">If this is what is being proposed, and the regulated market had to </w:t>
      </w:r>
      <w:r>
        <w:rPr>
          <w:rFonts w:cs="Arial"/>
        </w:rPr>
        <w:t xml:space="preserve">receive </w:t>
      </w:r>
      <w:r w:rsidRPr="005F3BE4">
        <w:rPr>
          <w:rFonts w:cs="Arial"/>
        </w:rPr>
        <w:t xml:space="preserve">this information from participants, it would be easier and more efficient for the latter to report the classification of their activities. </w:t>
      </w:r>
      <w:bookmarkEnd w:id="4"/>
      <w:bookmarkEnd w:id="5"/>
    </w:p>
    <w:p w:rsidR="00513F18" w:rsidRPr="005F3BE4" w:rsidRDefault="00513F18" w:rsidP="00513F18">
      <w:pPr>
        <w:spacing w:after="240"/>
        <w:ind w:firstLine="708"/>
        <w:jc w:val="both"/>
        <w:rPr>
          <w:rFonts w:cs="Arial"/>
        </w:rPr>
      </w:pPr>
      <w:r w:rsidRPr="005F3BE4">
        <w:rPr>
          <w:rFonts w:cs="Arial"/>
        </w:rPr>
        <w:t>In this connection, it's worth noting that market participants already report under EMIR, REMIT and MiFID, which is occasionally costly and requires duplicated efforts. This should be considered in order to make the weekly report as simple as possible.</w:t>
      </w:r>
    </w:p>
    <w:permEnd w:id="538316177"/>
    <w:p w:rsidR="00A8728B" w:rsidRDefault="00A8728B" w:rsidP="00A8728B">
      <w:r>
        <w:t>&lt;ESMA_QUESTION</w:t>
      </w:r>
      <w:r w:rsidR="00D920D1">
        <w:t>_MIFID_ITS</w:t>
      </w:r>
      <w:r>
        <w:t>_4&gt;</w:t>
      </w:r>
    </w:p>
    <w:p w:rsidR="00431DA4" w:rsidRPr="00B62727" w:rsidRDefault="00431DA4" w:rsidP="00431DA4">
      <w:pPr>
        <w:pStyle w:val="CPQuestions"/>
      </w:pPr>
      <w:r w:rsidRPr="00431DA4">
        <w:t>Do you have any comments on the validation and error management checks pr</w:t>
      </w:r>
      <w:r w:rsidRPr="00431DA4">
        <w:t>o</w:t>
      </w:r>
      <w:r w:rsidRPr="00431DA4">
        <w:t>posed?</w:t>
      </w:r>
    </w:p>
    <w:p w:rsidR="00A8728B" w:rsidRDefault="00A8728B" w:rsidP="00A8728B">
      <w:r>
        <w:t>&lt;ESMA_QUESTION</w:t>
      </w:r>
      <w:r w:rsidR="00D920D1">
        <w:t>_MIFID_ITS</w:t>
      </w:r>
      <w:r>
        <w:t>_5&gt;</w:t>
      </w:r>
    </w:p>
    <w:p w:rsidR="00A8728B" w:rsidRPr="00513F18" w:rsidRDefault="00513F18" w:rsidP="00513F18">
      <w:pPr>
        <w:spacing w:after="240"/>
        <w:ind w:firstLine="708"/>
        <w:jc w:val="both"/>
        <w:rPr>
          <w:rFonts w:cs="Arial"/>
        </w:rPr>
      </w:pPr>
      <w:permStart w:id="890250089" w:edGrp="everyone"/>
      <w:r w:rsidRPr="005F3BE4">
        <w:rPr>
          <w:rFonts w:cs="Arial"/>
        </w:rPr>
        <w:t>No comment in this connection. All the validations proposed by the ESMA are welcome and pr</w:t>
      </w:r>
      <w:r w:rsidRPr="005F3BE4">
        <w:rPr>
          <w:rFonts w:cs="Arial"/>
        </w:rPr>
        <w:t>o</w:t>
      </w:r>
      <w:r w:rsidRPr="005F3BE4">
        <w:rPr>
          <w:rFonts w:cs="Arial"/>
        </w:rPr>
        <w:t>vide certainty that the notification has been made correctly.</w:t>
      </w:r>
    </w:p>
    <w:permEnd w:id="890250089"/>
    <w:p w:rsidR="00A8728B" w:rsidRDefault="00A8728B" w:rsidP="00A8728B">
      <w:r>
        <w:t>&lt;ESMA_QUESTION</w:t>
      </w:r>
      <w:r w:rsidR="00D920D1">
        <w:t>_MIFID_ITS</w:t>
      </w:r>
      <w:r>
        <w:t>_5&gt;</w:t>
      </w:r>
    </w:p>
    <w:p w:rsidR="00431DA4" w:rsidRPr="000E6B5B" w:rsidRDefault="00431DA4" w:rsidP="00431DA4">
      <w:pPr>
        <w:pStyle w:val="CPQuestions"/>
      </w:pPr>
      <w:r w:rsidRPr="00431DA4">
        <w:t>Do you agree with ESMA’s proposals? Please specify those proposals with which you do not agree, with the reasons why, and provide an alternative proposal.</w:t>
      </w:r>
    </w:p>
    <w:p w:rsidR="00A8728B" w:rsidRDefault="00A8728B" w:rsidP="00A8728B">
      <w:r>
        <w:t>&lt;ESMA_QUESTION</w:t>
      </w:r>
      <w:r w:rsidR="00D920D1">
        <w:t>_MIFID_ITS</w:t>
      </w:r>
      <w:r>
        <w:t>_6&gt;</w:t>
      </w:r>
    </w:p>
    <w:p w:rsidR="00A8728B" w:rsidRPr="00513F18" w:rsidRDefault="00513F18" w:rsidP="00513F18">
      <w:pPr>
        <w:spacing w:after="240"/>
        <w:ind w:firstLine="708"/>
        <w:jc w:val="both"/>
        <w:rPr>
          <w:rFonts w:cs="Arial"/>
        </w:rPr>
      </w:pPr>
      <w:permStart w:id="1320645671" w:edGrp="everyone"/>
      <w:r w:rsidRPr="005F3BE4">
        <w:rPr>
          <w:rFonts w:cs="Arial"/>
        </w:rPr>
        <w:t>Yes, we agree with the ESMA proposal as regards publication of the information.</w:t>
      </w:r>
    </w:p>
    <w:permEnd w:id="1320645671"/>
    <w:p w:rsidR="00A8728B" w:rsidRDefault="00A8728B" w:rsidP="00A8728B">
      <w:r>
        <w:t>&lt;ESMA_QUESTION</w:t>
      </w:r>
      <w:r w:rsidR="00D920D1">
        <w:t>_MIFID_ITS</w:t>
      </w:r>
      <w:r>
        <w:t>_6&gt;</w:t>
      </w:r>
    </w:p>
    <w:p w:rsidR="00A8728B" w:rsidRDefault="00A8728B" w:rsidP="00A8728B"/>
    <w:p w:rsidR="00F32462" w:rsidRDefault="00F32462">
      <w:pPr>
        <w:rPr>
          <w:rFonts w:cs="Arial"/>
          <w:b/>
          <w:sz w:val="22"/>
          <w:szCs w:val="22"/>
          <w:lang w:eastAsia="en-US"/>
        </w:rPr>
      </w:pPr>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5BA" w:rsidRDefault="009855BA">
      <w:r>
        <w:separator/>
      </w:r>
    </w:p>
    <w:p w:rsidR="009855BA" w:rsidRDefault="009855BA"/>
  </w:endnote>
  <w:endnote w:type="continuationSeparator" w:id="0">
    <w:p w:rsidR="009855BA" w:rsidRDefault="009855BA">
      <w:r>
        <w:continuationSeparator/>
      </w:r>
    </w:p>
    <w:p w:rsidR="009855BA" w:rsidRDefault="009855BA"/>
  </w:endnote>
  <w:endnote w:type="continuationNotice" w:id="1">
    <w:p w:rsidR="009855BA" w:rsidRDefault="00985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Celeste"/>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Myriad Pro Light"/>
    <w:panose1 w:val="020B0403030403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B24D39">
            <w:rPr>
              <w:rFonts w:cs="Arial"/>
              <w:noProof/>
              <w:sz w:val="22"/>
              <w:szCs w:val="22"/>
            </w:rPr>
            <w:t>3</w:t>
          </w:r>
          <w:r w:rsidRPr="00616B9B">
            <w:rPr>
              <w:rFonts w:cs="Arial"/>
              <w:noProof/>
              <w:sz w:val="22"/>
              <w:szCs w:val="22"/>
            </w:rPr>
            <w:fldChar w:fldCharType="end"/>
          </w:r>
        </w:p>
      </w:tc>
    </w:tr>
  </w:tbl>
  <w:p w:rsidR="00811EDA" w:rsidRDefault="00811E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5BA" w:rsidRDefault="009855BA">
      <w:r>
        <w:separator/>
      </w:r>
    </w:p>
    <w:p w:rsidR="009855BA" w:rsidRDefault="009855BA"/>
  </w:footnote>
  <w:footnote w:type="continuationSeparator" w:id="0">
    <w:p w:rsidR="009855BA" w:rsidRDefault="009855BA">
      <w:r>
        <w:continuationSeparator/>
      </w:r>
    </w:p>
    <w:p w:rsidR="009855BA" w:rsidRDefault="009855BA"/>
  </w:footnote>
  <w:footnote w:type="continuationNotice" w:id="1">
    <w:p w:rsidR="009855BA" w:rsidRDefault="009855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Encabezado"/>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Encabezado"/>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Encabezado"/>
      <w:rPr>
        <w:lang w:val="fr-FR"/>
      </w:rPr>
    </w:pPr>
  </w:p>
  <w:p w:rsidR="00811EDA" w:rsidRPr="002F4496" w:rsidRDefault="00811EDA" w:rsidP="000C06C9">
    <w:pPr>
      <w:pStyle w:val="Encabezado"/>
      <w:tabs>
        <w:tab w:val="clear" w:pos="4536"/>
        <w:tab w:val="clear" w:pos="9072"/>
        <w:tab w:val="left" w:pos="8227"/>
      </w:tabs>
      <w:rPr>
        <w:lang w:val="fr-FR"/>
      </w:rPr>
    </w:pPr>
  </w:p>
  <w:p w:rsidR="00811EDA" w:rsidRPr="002F4496" w:rsidRDefault="00811EDA" w:rsidP="000C06C9">
    <w:pPr>
      <w:pStyle w:val="Encabezado"/>
      <w:tabs>
        <w:tab w:val="clear" w:pos="4536"/>
        <w:tab w:val="clear" w:pos="9072"/>
        <w:tab w:val="left" w:pos="8227"/>
      </w:tabs>
      <w:rPr>
        <w:lang w:val="fr-FR"/>
      </w:rPr>
    </w:pPr>
  </w:p>
  <w:p w:rsidR="00811EDA" w:rsidRPr="002F4496" w:rsidRDefault="00811EDA">
    <w:pPr>
      <w:pStyle w:val="Encabezado"/>
      <w:rPr>
        <w:lang w:val="fr-FR"/>
      </w:rPr>
    </w:pPr>
  </w:p>
  <w:p w:rsidR="00811EDA" w:rsidRPr="002F4496" w:rsidRDefault="00811EDA">
    <w:pPr>
      <w:pStyle w:val="Encabezado"/>
      <w:rPr>
        <w:lang w:val="fr-FR"/>
      </w:rPr>
    </w:pPr>
  </w:p>
  <w:p w:rsidR="00811EDA" w:rsidRPr="002F4496" w:rsidRDefault="00811EDA">
    <w:pPr>
      <w:pStyle w:val="Encabezado"/>
      <w:rPr>
        <w:lang w:val="fr-FR"/>
      </w:rPr>
    </w:pPr>
  </w:p>
  <w:p w:rsidR="00811EDA" w:rsidRPr="002F4496" w:rsidRDefault="00811EDA">
    <w:pPr>
      <w:pStyle w:val="Encabezado"/>
      <w:rPr>
        <w:lang w:val="fr-FR"/>
      </w:rPr>
    </w:pPr>
  </w:p>
  <w:p w:rsidR="00811EDA" w:rsidRPr="002F4496" w:rsidRDefault="00811EDA">
    <w:pPr>
      <w:pStyle w:val="Encabezado"/>
      <w:rPr>
        <w:highlight w:val="yellow"/>
        <w:lang w:val="fr-FR"/>
      </w:rPr>
    </w:pPr>
  </w:p>
  <w:p w:rsidR="00811EDA" w:rsidRDefault="00DE66EB">
    <w:pPr>
      <w:pStyle w:val="Encabezado"/>
    </w:pPr>
    <w:r>
      <w:rPr>
        <w:noProof/>
        <w:lang w:val="en-US" w:eastAsia="en-US"/>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aconviet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Textoindependien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Listaconviet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aconviet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aconnmeros"/>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FF36991"/>
    <w:multiLevelType w:val="hybridMultilevel"/>
    <w:tmpl w:val="E02A6AF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6"/>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3"/>
    <w:lvlOverride w:ilvl="0">
      <w:startOverride w:val="1"/>
    </w:lvlOverride>
  </w:num>
  <w:num w:numId="37">
    <w:abstractNumId w:val="33"/>
    <w:lvlOverride w:ilvl="0">
      <w:startOverride w:val="1"/>
    </w:lvlOverride>
  </w:num>
  <w:num w:numId="38">
    <w:abstractNumId w:val="33"/>
    <w:lvlOverride w:ilvl="0">
      <w:startOverride w:val="1"/>
    </w:lvlOverride>
  </w:num>
  <w:num w:numId="39">
    <w:abstractNumId w:val="33"/>
    <w:lvlOverride w:ilvl="0">
      <w:startOverride w:val="1"/>
    </w:lvlOverride>
  </w:num>
  <w:num w:numId="40">
    <w:abstractNumId w:val="33"/>
    <w:lvlOverride w:ilvl="0">
      <w:startOverride w:val="1"/>
    </w:lvlOverride>
  </w:num>
  <w:num w:numId="41">
    <w:abstractNumId w:val="33"/>
  </w:num>
  <w:num w:numId="42">
    <w:abstractNumId w:val="33"/>
    <w:lvlOverride w:ilvl="0">
      <w:startOverride w:val="1"/>
    </w:lvlOverride>
  </w:num>
  <w:num w:numId="43">
    <w:abstractNumId w:val="33"/>
    <w:lvlOverride w:ilvl="0">
      <w:startOverride w:val="1"/>
    </w:lvlOverride>
  </w:num>
  <w:num w:numId="44">
    <w:abstractNumId w:val="33"/>
    <w:lvlOverride w:ilvl="0">
      <w:startOverride w:val="1"/>
    </w:lvlOverride>
  </w:num>
  <w:num w:numId="45">
    <w:abstractNumId w:val="33"/>
    <w:lvlOverride w:ilvl="0">
      <w:startOverride w:val="1"/>
    </w:lvlOverride>
  </w:num>
  <w:num w:numId="46">
    <w:abstractNumId w:val="33"/>
    <w:lvlOverride w:ilvl="0">
      <w:startOverride w:val="1"/>
    </w:lvlOverride>
  </w:num>
  <w:num w:numId="47">
    <w:abstractNumId w:val="3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num>
  <w:num w:numId="50">
    <w:abstractNumId w:val="19"/>
  </w:num>
  <w:num w:numId="51">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3sjFH0M+JbBT4mUV/aHHoXh3RVw=" w:salt="YoamJveZbxAcv4DL2dM/8A=="/>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3255"/>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F18"/>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0DA"/>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4C55"/>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55BA"/>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39"/>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0AE1"/>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tulo1">
    <w:name w:val="heading 1"/>
    <w:basedOn w:val="Normal"/>
    <w:next w:val="Normal"/>
    <w:link w:val="Ttulo1Car"/>
    <w:qFormat/>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
    <w:qFormat/>
    <w:rsid w:val="00886A60"/>
    <w:pPr>
      <w:keepNext/>
      <w:keepLines/>
      <w:spacing w:before="200" w:after="120"/>
      <w:outlineLvl w:val="1"/>
    </w:pPr>
    <w:rPr>
      <w:b/>
      <w:bCs/>
      <w:szCs w:val="26"/>
    </w:rPr>
  </w:style>
  <w:style w:type="paragraph" w:styleId="Ttulo3">
    <w:name w:val="heading 3"/>
    <w:basedOn w:val="Normal"/>
    <w:next w:val="Normal"/>
    <w:link w:val="Ttulo3Ca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qFormat/>
    <w:rsid w:val="00E9344E"/>
    <w:pPr>
      <w:keepNext/>
      <w:keepLines/>
      <w:numPr>
        <w:numId w:val="13"/>
      </w:numPr>
      <w:spacing w:before="200"/>
      <w:jc w:val="both"/>
      <w:outlineLvl w:val="4"/>
    </w:pPr>
    <w:rPr>
      <w:b/>
    </w:rPr>
  </w:style>
  <w:style w:type="paragraph" w:styleId="Ttulo6">
    <w:name w:val="heading 6"/>
    <w:basedOn w:val="Normal"/>
    <w:next w:val="Normal"/>
    <w:link w:val="Ttulo6Ca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rsid w:val="00A06867"/>
    <w:pPr>
      <w:tabs>
        <w:tab w:val="num" w:pos="1584"/>
      </w:tabs>
      <w:spacing w:before="240" w:after="60"/>
      <w:ind w:left="1584" w:hanging="1584"/>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B64CB"/>
    <w:pPr>
      <w:tabs>
        <w:tab w:val="center" w:pos="4536"/>
        <w:tab w:val="right" w:pos="9072"/>
      </w:tabs>
    </w:pPr>
  </w:style>
  <w:style w:type="paragraph" w:styleId="Piedepgina">
    <w:name w:val="footer"/>
    <w:basedOn w:val="Normal"/>
    <w:link w:val="PiedepginaCar"/>
    <w:rsid w:val="005B64CB"/>
    <w:pPr>
      <w:tabs>
        <w:tab w:val="center" w:pos="4536"/>
        <w:tab w:val="right" w:pos="9072"/>
      </w:tabs>
    </w:pPr>
  </w:style>
  <w:style w:type="table" w:styleId="Tablaconcuadrcula">
    <w:name w:val="Table Grid"/>
    <w:basedOn w:val="Tabla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Fuentedeprrafopredeter"/>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vnculo">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
    <w:basedOn w:val="Normal"/>
    <w:link w:val="TextonotapieCar"/>
    <w:qFormat/>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D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ario">
    <w:name w:val="annotation reference"/>
    <w:rsid w:val="004B1E61"/>
    <w:rPr>
      <w:sz w:val="16"/>
      <w:szCs w:val="16"/>
    </w:rPr>
  </w:style>
  <w:style w:type="paragraph" w:styleId="Textocomentario">
    <w:name w:val="annotation text"/>
    <w:basedOn w:val="Normal"/>
    <w:link w:val="TextocomentarioCar"/>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
    <w:basedOn w:val="Normal"/>
    <w:link w:val="PrrafodelistaCar"/>
    <w:uiPriority w:val="34"/>
    <w:qFormat/>
    <w:rsid w:val="002A0C82"/>
    <w:pPr>
      <w:ind w:left="720"/>
      <w:contextualSpacing/>
    </w:pPr>
  </w:style>
  <w:style w:type="paragraph" w:styleId="TtulodeTDC">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is">
    <w:name w:val="Emphasis"/>
    <w:uiPriority w:val="20"/>
    <w:qFormat/>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Epgraf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eldocumento">
    <w:name w:val="Document Map"/>
    <w:basedOn w:val="Normal"/>
    <w:link w:val="MapadeldocumentoCar"/>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iPriority w:val="99"/>
    <w:unhideWhenUsed/>
    <w:rsid w:val="00AA016B"/>
    <w:rPr>
      <w:rFonts w:ascii="Consolas" w:hAnsi="Consolas"/>
      <w:sz w:val="21"/>
      <w:szCs w:val="21"/>
      <w:lang w:val="de-DE"/>
    </w:rPr>
  </w:style>
  <w:style w:type="character" w:customStyle="1" w:styleId="TextosinformatoCar">
    <w:name w:val="Texto sin formato Car"/>
    <w:link w:val="Textosinformato"/>
    <w:uiPriority w:val="99"/>
    <w:rsid w:val="00AA016B"/>
    <w:rPr>
      <w:rFonts w:ascii="Consolas" w:hAnsi="Consolas"/>
      <w:sz w:val="21"/>
      <w:szCs w:val="21"/>
      <w:lang w:val="de-DE" w:eastAsia="de-DE"/>
    </w:rPr>
  </w:style>
  <w:style w:type="paragraph" w:styleId="Textoindependiente">
    <w:name w:val="Body Text"/>
    <w:basedOn w:val="Normal"/>
    <w:link w:val="TextoindependienteCar"/>
    <w:unhideWhenUsed/>
    <w:rsid w:val="00AA016B"/>
    <w:pPr>
      <w:numPr>
        <w:numId w:val="8"/>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Textoennegrita">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rsid w:val="002D6E1A"/>
  </w:style>
  <w:style w:type="character" w:styleId="Hipervnculovisitado">
    <w:name w:val="FollowedHyperlink"/>
    <w:unhideWhenUsed/>
    <w:rsid w:val="002D6E1A"/>
    <w:rPr>
      <w:color w:val="800080"/>
      <w:u w:val="single"/>
    </w:rPr>
  </w:style>
  <w:style w:type="character" w:customStyle="1" w:styleId="EncabezadoCar">
    <w:name w:val="Encabezado Car"/>
    <w:link w:val="Encabezado"/>
    <w:rsid w:val="002D6E1A"/>
    <w:rPr>
      <w:rFonts w:ascii="Georgia" w:hAnsi="Georgia"/>
      <w:sz w:val="22"/>
      <w:szCs w:val="24"/>
      <w:lang w:eastAsia="de-DE"/>
    </w:rPr>
  </w:style>
  <w:style w:type="character" w:customStyle="1" w:styleId="PiedepginaCar">
    <w:name w:val="Pie de página Car"/>
    <w:link w:val="Piedepgina"/>
    <w:rsid w:val="002D6E1A"/>
    <w:rPr>
      <w:rFonts w:ascii="Georgia" w:hAnsi="Georgia"/>
      <w:sz w:val="22"/>
      <w:szCs w:val="24"/>
      <w:lang w:eastAsia="de-DE"/>
    </w:rPr>
  </w:style>
  <w:style w:type="paragraph" w:styleId="Textonotaalfinal">
    <w:name w:val="endnote text"/>
    <w:basedOn w:val="Normal"/>
    <w:link w:val="TextonotaalfinalCar"/>
    <w:unhideWhenUs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
    <w:link w:val="Prrafode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Refdenotaalfinal">
    <w:name w:val="endnote reference"/>
    <w:unhideWhenUsed/>
    <w:rsid w:val="002D6E1A"/>
    <w:rPr>
      <w:vertAlign w:val="superscript"/>
    </w:rPr>
  </w:style>
  <w:style w:type="character" w:styleId="Textodelmarcadordeposicin">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a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Epgraf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
    <w:name w:val="Título 5 Car"/>
    <w:aliases w:val="Questions Car"/>
    <w:link w:val="Ttulo5"/>
    <w:rsid w:val="00E9344E"/>
    <w:rPr>
      <w:rFonts w:ascii="Georgia" w:hAnsi="Georgia"/>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connme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tulo">
    <w:name w:val="Title"/>
    <w:basedOn w:val="Normal"/>
    <w:next w:val="Normal"/>
    <w:link w:val="Ttulo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tuloCar">
    <w:name w:val="Título Ca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Fuentedeprrafopredeter"/>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isintenso">
    <w:name w:val="Intense Emphasis"/>
    <w:basedOn w:val="Fuentedeprrafopredeter"/>
    <w:uiPriority w:val="21"/>
    <w:qFormat/>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asesora">
    <w:name w:val="asesoría"/>
    <w:basedOn w:val="Normal"/>
    <w:qFormat/>
    <w:rsid w:val="00513F18"/>
    <w:pPr>
      <w:suppressAutoHyphens/>
      <w:spacing w:after="120"/>
      <w:ind w:firstLine="709"/>
      <w:jc w:val="both"/>
    </w:pPr>
    <w:rPr>
      <w:rFonts w:eastAsia="Calibri"/>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tulo1">
    <w:name w:val="heading 1"/>
    <w:basedOn w:val="Normal"/>
    <w:next w:val="Normal"/>
    <w:link w:val="Ttulo1Car"/>
    <w:qFormat/>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
    <w:qFormat/>
    <w:rsid w:val="00886A60"/>
    <w:pPr>
      <w:keepNext/>
      <w:keepLines/>
      <w:spacing w:before="200" w:after="120"/>
      <w:outlineLvl w:val="1"/>
    </w:pPr>
    <w:rPr>
      <w:b/>
      <w:bCs/>
      <w:szCs w:val="26"/>
    </w:rPr>
  </w:style>
  <w:style w:type="paragraph" w:styleId="Ttulo3">
    <w:name w:val="heading 3"/>
    <w:basedOn w:val="Normal"/>
    <w:next w:val="Normal"/>
    <w:link w:val="Ttulo3Ca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qFormat/>
    <w:rsid w:val="00E9344E"/>
    <w:pPr>
      <w:keepNext/>
      <w:keepLines/>
      <w:numPr>
        <w:numId w:val="13"/>
      </w:numPr>
      <w:spacing w:before="200"/>
      <w:jc w:val="both"/>
      <w:outlineLvl w:val="4"/>
    </w:pPr>
    <w:rPr>
      <w:b/>
    </w:rPr>
  </w:style>
  <w:style w:type="paragraph" w:styleId="Ttulo6">
    <w:name w:val="heading 6"/>
    <w:basedOn w:val="Normal"/>
    <w:next w:val="Normal"/>
    <w:link w:val="Ttulo6Ca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rsid w:val="00A06867"/>
    <w:pPr>
      <w:tabs>
        <w:tab w:val="num" w:pos="1584"/>
      </w:tabs>
      <w:spacing w:before="240" w:after="60"/>
      <w:ind w:left="1584" w:hanging="1584"/>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B64CB"/>
    <w:pPr>
      <w:tabs>
        <w:tab w:val="center" w:pos="4536"/>
        <w:tab w:val="right" w:pos="9072"/>
      </w:tabs>
    </w:pPr>
  </w:style>
  <w:style w:type="paragraph" w:styleId="Piedepgina">
    <w:name w:val="footer"/>
    <w:basedOn w:val="Normal"/>
    <w:link w:val="PiedepginaCar"/>
    <w:rsid w:val="005B64CB"/>
    <w:pPr>
      <w:tabs>
        <w:tab w:val="center" w:pos="4536"/>
        <w:tab w:val="right" w:pos="9072"/>
      </w:tabs>
    </w:pPr>
  </w:style>
  <w:style w:type="table" w:styleId="Tablaconcuadrcula">
    <w:name w:val="Table Grid"/>
    <w:basedOn w:val="Tabla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Fuentedeprrafopredeter"/>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vnculo">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
    <w:basedOn w:val="Normal"/>
    <w:link w:val="TextonotapieCar"/>
    <w:qFormat/>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D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ario">
    <w:name w:val="annotation reference"/>
    <w:rsid w:val="004B1E61"/>
    <w:rPr>
      <w:sz w:val="16"/>
      <w:szCs w:val="16"/>
    </w:rPr>
  </w:style>
  <w:style w:type="paragraph" w:styleId="Textocomentario">
    <w:name w:val="annotation text"/>
    <w:basedOn w:val="Normal"/>
    <w:link w:val="TextocomentarioCar"/>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
    <w:basedOn w:val="Normal"/>
    <w:link w:val="PrrafodelistaCar"/>
    <w:uiPriority w:val="34"/>
    <w:qFormat/>
    <w:rsid w:val="002A0C82"/>
    <w:pPr>
      <w:ind w:left="720"/>
      <w:contextualSpacing/>
    </w:pPr>
  </w:style>
  <w:style w:type="paragraph" w:styleId="TtulodeTDC">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is">
    <w:name w:val="Emphasis"/>
    <w:uiPriority w:val="20"/>
    <w:qFormat/>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Epgraf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eldocumento">
    <w:name w:val="Document Map"/>
    <w:basedOn w:val="Normal"/>
    <w:link w:val="MapadeldocumentoCar"/>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iPriority w:val="99"/>
    <w:unhideWhenUsed/>
    <w:rsid w:val="00AA016B"/>
    <w:rPr>
      <w:rFonts w:ascii="Consolas" w:hAnsi="Consolas"/>
      <w:sz w:val="21"/>
      <w:szCs w:val="21"/>
      <w:lang w:val="de-DE"/>
    </w:rPr>
  </w:style>
  <w:style w:type="character" w:customStyle="1" w:styleId="TextosinformatoCar">
    <w:name w:val="Texto sin formato Car"/>
    <w:link w:val="Textosinformato"/>
    <w:uiPriority w:val="99"/>
    <w:rsid w:val="00AA016B"/>
    <w:rPr>
      <w:rFonts w:ascii="Consolas" w:hAnsi="Consolas"/>
      <w:sz w:val="21"/>
      <w:szCs w:val="21"/>
      <w:lang w:val="de-DE" w:eastAsia="de-DE"/>
    </w:rPr>
  </w:style>
  <w:style w:type="paragraph" w:styleId="Textoindependiente">
    <w:name w:val="Body Text"/>
    <w:basedOn w:val="Normal"/>
    <w:link w:val="TextoindependienteCar"/>
    <w:unhideWhenUsed/>
    <w:rsid w:val="00AA016B"/>
    <w:pPr>
      <w:numPr>
        <w:numId w:val="8"/>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Textoennegrita">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rsid w:val="002D6E1A"/>
  </w:style>
  <w:style w:type="character" w:styleId="Hipervnculovisitado">
    <w:name w:val="FollowedHyperlink"/>
    <w:unhideWhenUsed/>
    <w:rsid w:val="002D6E1A"/>
    <w:rPr>
      <w:color w:val="800080"/>
      <w:u w:val="single"/>
    </w:rPr>
  </w:style>
  <w:style w:type="character" w:customStyle="1" w:styleId="EncabezadoCar">
    <w:name w:val="Encabezado Car"/>
    <w:link w:val="Encabezado"/>
    <w:rsid w:val="002D6E1A"/>
    <w:rPr>
      <w:rFonts w:ascii="Georgia" w:hAnsi="Georgia"/>
      <w:sz w:val="22"/>
      <w:szCs w:val="24"/>
      <w:lang w:eastAsia="de-DE"/>
    </w:rPr>
  </w:style>
  <w:style w:type="character" w:customStyle="1" w:styleId="PiedepginaCar">
    <w:name w:val="Pie de página Car"/>
    <w:link w:val="Piedepgina"/>
    <w:rsid w:val="002D6E1A"/>
    <w:rPr>
      <w:rFonts w:ascii="Georgia" w:hAnsi="Georgia"/>
      <w:sz w:val="22"/>
      <w:szCs w:val="24"/>
      <w:lang w:eastAsia="de-DE"/>
    </w:rPr>
  </w:style>
  <w:style w:type="paragraph" w:styleId="Textonotaalfinal">
    <w:name w:val="endnote text"/>
    <w:basedOn w:val="Normal"/>
    <w:link w:val="TextonotaalfinalCar"/>
    <w:unhideWhenUs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
    <w:link w:val="Prrafode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Refdenotaalfinal">
    <w:name w:val="endnote reference"/>
    <w:unhideWhenUsed/>
    <w:rsid w:val="002D6E1A"/>
    <w:rPr>
      <w:vertAlign w:val="superscript"/>
    </w:rPr>
  </w:style>
  <w:style w:type="character" w:styleId="Textodelmarcadordeposicin">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a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Epgraf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
    <w:name w:val="Título 5 Car"/>
    <w:aliases w:val="Questions Car"/>
    <w:link w:val="Ttulo5"/>
    <w:rsid w:val="00E9344E"/>
    <w:rPr>
      <w:rFonts w:ascii="Georgia" w:hAnsi="Georgia"/>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connme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tulo">
    <w:name w:val="Title"/>
    <w:basedOn w:val="Normal"/>
    <w:next w:val="Normal"/>
    <w:link w:val="Ttulo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tuloCar">
    <w:name w:val="Título Ca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Fuentedeprrafopredeter"/>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isintenso">
    <w:name w:val="Intense Emphasis"/>
    <w:basedOn w:val="Fuentedeprrafopredeter"/>
    <w:uiPriority w:val="21"/>
    <w:qFormat/>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asesora">
    <w:name w:val="asesoría"/>
    <w:basedOn w:val="Normal"/>
    <w:qFormat/>
    <w:rsid w:val="00513F18"/>
    <w:pPr>
      <w:suppressAutoHyphens/>
      <w:spacing w:after="120"/>
      <w:ind w:firstLine="709"/>
      <w:jc w:val="both"/>
    </w:pPr>
    <w:rPr>
      <w:rFonts w:eastAsia="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C7269-B353-4B56-9860-6E4054CE745D}">
  <ds:schemaRefs>
    <ds:schemaRef ds:uri="http://schemas.openxmlformats.org/officeDocument/2006/bibliography"/>
  </ds:schemaRefs>
</ds:datastoreItem>
</file>

<file path=customXml/itemProps2.xml><?xml version="1.0" encoding="utf-8"?>
<ds:datastoreItem xmlns:ds="http://schemas.openxmlformats.org/officeDocument/2006/customXml" ds:itemID="{D71F2DBD-996A-4951-98BB-F62784C3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1389</Words>
  <Characters>7918</Characters>
  <Application>Microsoft Office Word</Application>
  <DocSecurity>12</DocSecurity>
  <Lines>65</Lines>
  <Paragraphs>18</Paragraphs>
  <ScaleCrop>false</ScaleCrop>
  <HeadingPairs>
    <vt:vector size="10" baseType="variant">
      <vt:variant>
        <vt:lpstr>Título</vt:lpstr>
      </vt:variant>
      <vt:variant>
        <vt:i4>1</vt:i4>
      </vt: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9289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Javier Blázquez Arenas</cp:lastModifiedBy>
  <cp:revision>2</cp:revision>
  <cp:lastPrinted>2015-02-18T11:01:00Z</cp:lastPrinted>
  <dcterms:created xsi:type="dcterms:W3CDTF">2015-10-28T15:13:00Z</dcterms:created>
  <dcterms:modified xsi:type="dcterms:W3CDTF">2015-10-28T15:13:00Z</dcterms:modified>
</cp:coreProperties>
</file>