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8643A6" w:rsidP="00BF557C">
            <w:pPr>
              <w:pStyle w:val="00bDBInfo"/>
              <w:rPr>
                <w:rFonts w:cs="Arial"/>
              </w:rPr>
            </w:pPr>
            <w:r>
              <w:rPr>
                <w:rFonts w:cs="Arial"/>
              </w:rPr>
              <w:t>23 July 2015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A053D" w:rsidP="009A053D">
            <w:pPr>
              <w:pStyle w:val="01aDBTitle"/>
              <w:rPr>
                <w:rFonts w:cs="Arial"/>
                <w:sz w:val="32"/>
              </w:rPr>
            </w:pPr>
            <w:r w:rsidRPr="009A053D">
              <w:rPr>
                <w:sz w:val="32"/>
              </w:rPr>
              <w:t>Guidelines on sound remuneration policies under the UCITS Directive and AIFMD</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8643A6">
            <w:pPr>
              <w:pStyle w:val="02Date"/>
              <w:rPr>
                <w:rFonts w:cs="Arial"/>
              </w:rPr>
            </w:pPr>
            <w:r w:rsidRPr="004E49B0">
              <w:rPr>
                <w:rFonts w:cs="Arial"/>
              </w:rPr>
              <w:lastRenderedPageBreak/>
              <w:t xml:space="preserve">Date: </w:t>
            </w:r>
            <w:r w:rsidR="008643A6">
              <w:rPr>
                <w:rFonts w:cs="Arial"/>
              </w:rPr>
              <w:t>23 July</w:t>
            </w:r>
            <w:r w:rsidR="004E49B0" w:rsidRPr="004E49B0">
              <w:rPr>
                <w:rFonts w:cs="Arial"/>
              </w:rPr>
              <w:t xml:space="preserve"> 201</w:t>
            </w:r>
            <w:r w:rsidR="003A5DAC">
              <w:rPr>
                <w:rFonts w:cs="Arial"/>
              </w:rPr>
              <w:t>5</w:t>
            </w:r>
          </w:p>
          <w:p w:rsidR="00404159" w:rsidRPr="004E49B0" w:rsidRDefault="00404159" w:rsidP="008643A6">
            <w:pPr>
              <w:pStyle w:val="02Date"/>
              <w:rPr>
                <w:rFonts w:cs="Arial"/>
              </w:rPr>
            </w:pPr>
            <w:r>
              <w:rPr>
                <w:rFonts w:cs="Arial"/>
              </w:rPr>
              <w:t>2015/ESMA/1210</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BF557C">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824EAF" w:rsidRPr="00824EAF">
        <w:rPr>
          <w:rFonts w:cs="Arial"/>
        </w:rPr>
        <w:t xml:space="preserve">Consultation Paper </w:t>
      </w:r>
      <w:r w:rsidR="00BF557C">
        <w:rPr>
          <w:rFonts w:cs="Arial"/>
        </w:rPr>
        <w:t>“</w:t>
      </w:r>
      <w:r w:rsidR="00824EAF" w:rsidRPr="00824EAF">
        <w:rPr>
          <w:rFonts w:cs="Arial"/>
        </w:rPr>
        <w:t>Guidelines on sound remuneration policies under the UCITS Directive and AIFMD</w:t>
      </w:r>
      <w:r w:rsidR="00BF557C">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A10776">
        <w:t>UCITS_V_AIMFD_REM</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bookmarkStart w:id="1" w:name="_GoBack"/>
      <w:r w:rsidRPr="00EF0769">
        <w:rPr>
          <w:rFonts w:cs="Arial"/>
        </w:rPr>
        <w:t>ESMA_</w:t>
      </w:r>
      <w:r w:rsidR="009252EC" w:rsidRPr="009252EC">
        <w:t xml:space="preserve"> </w:t>
      </w:r>
      <w:r w:rsidR="009252EC">
        <w:t>UCITS_V_AIMFD_REM</w:t>
      </w:r>
      <w:r w:rsidR="00332304">
        <w:rPr>
          <w:rFonts w:cs="Arial"/>
        </w:rPr>
        <w:t>_</w:t>
      </w:r>
      <w:r>
        <w:rPr>
          <w:rFonts w:cs="Arial"/>
        </w:rPr>
        <w:t>XXXX</w:t>
      </w:r>
      <w:r w:rsidR="00021E83" w:rsidRPr="00EF0769">
        <w:rPr>
          <w:rFonts w:cs="Arial"/>
        </w:rPr>
        <w:t>_REPLYFORM</w:t>
      </w:r>
      <w:bookmarkEnd w:id="1"/>
      <w:r w:rsidR="00021E83" w:rsidRPr="00EF0769">
        <w:rPr>
          <w:rFonts w:cs="Arial"/>
        </w:rPr>
        <w:t xml:space="preserve"> or </w:t>
      </w:r>
    </w:p>
    <w:p w:rsidR="000D17AA"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F6E3E" w:rsidRPr="00BF6E3E">
        <w:rPr>
          <w:rFonts w:cs="Arial"/>
          <w:b/>
        </w:rPr>
        <w:t>23 October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981224961"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1167802443" w:edGrp="everyone" w:displacedByCustomXml="prev"/>
            <w:tc>
              <w:tcPr>
                <w:tcW w:w="5595" w:type="dxa"/>
                <w:shd w:val="clear" w:color="auto" w:fill="auto"/>
              </w:tcPr>
              <w:p w:rsidR="00D34282" w:rsidRPr="00AB6D88" w:rsidRDefault="00442040" w:rsidP="00442040">
                <w:pPr>
                  <w:rPr>
                    <w:rStyle w:val="PlaceholderText"/>
                    <w:rFonts w:cs="Arial"/>
                  </w:rPr>
                </w:pPr>
                <w:r>
                  <w:rPr>
                    <w:rStyle w:val="PlaceholderText"/>
                    <w:rFonts w:cs="Arial"/>
                  </w:rPr>
                  <w:t>The Investment Association</w:t>
                </w:r>
              </w:p>
            </w:tc>
            <w:permEnd w:id="1167802443"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1041329424" w:edGrp="everyone" w:colFirst="1" w:colLast="1"/>
            <w:permEnd w:id="981224961"/>
            <w:r w:rsidRPr="00AB6D88">
              <w:rPr>
                <w:rFonts w:cs="Arial"/>
              </w:rPr>
              <w:t>Activity</w:t>
            </w:r>
          </w:p>
        </w:tc>
        <w:tc>
          <w:tcPr>
            <w:tcW w:w="5595" w:type="dxa"/>
            <w:shd w:val="clear" w:color="auto" w:fill="auto"/>
          </w:tcPr>
          <w:p w:rsidR="00D34282" w:rsidRPr="00AB6D88" w:rsidRDefault="00442040"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564546871" w:edGrp="everyone"/>
                <w:r>
                  <w:rPr>
                    <w:rFonts w:cs="Arial"/>
                  </w:rPr>
                  <w:t>Investment Services</w:t>
                </w:r>
                <w:permEnd w:id="1564546871"/>
              </w:sdtContent>
            </w:sdt>
          </w:p>
        </w:tc>
      </w:tr>
      <w:tr w:rsidR="00D34282" w:rsidRPr="00AB6D88" w:rsidTr="001F03CA">
        <w:tc>
          <w:tcPr>
            <w:tcW w:w="3929" w:type="dxa"/>
            <w:shd w:val="clear" w:color="auto" w:fill="auto"/>
          </w:tcPr>
          <w:p w:rsidR="00D34282" w:rsidRPr="00AB6D88" w:rsidRDefault="00D34282" w:rsidP="001F03CA">
            <w:pPr>
              <w:rPr>
                <w:rFonts w:cs="Arial"/>
              </w:rPr>
            </w:pPr>
            <w:permStart w:id="1704674724" w:edGrp="everyone" w:colFirst="1" w:colLast="1"/>
            <w:permEnd w:id="1041329424"/>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442040"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320102442" w:edGrp="everyone" w:colFirst="1" w:colLast="1"/>
            <w:permEnd w:id="1704674724"/>
            <w:r w:rsidRPr="00AB6D88">
              <w:rPr>
                <w:rFonts w:cs="Arial"/>
              </w:rPr>
              <w:t>Country/Region</w:t>
            </w:r>
          </w:p>
        </w:tc>
        <w:permStart w:id="1595878755"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368017079" w:edGrp="everyone" w:displacedByCustomXml="prev"/>
            <w:tc>
              <w:tcPr>
                <w:tcW w:w="5595" w:type="dxa"/>
                <w:shd w:val="clear" w:color="auto" w:fill="auto"/>
              </w:tcPr>
              <w:p w:rsidR="00D34282" w:rsidRPr="00AB6D88" w:rsidRDefault="00442040" w:rsidP="001F03CA">
                <w:pPr>
                  <w:rPr>
                    <w:rFonts w:cs="Arial"/>
                  </w:rPr>
                </w:pPr>
                <w:r>
                  <w:rPr>
                    <w:rFonts w:cs="Arial"/>
                  </w:rPr>
                  <w:t>UK</w:t>
                </w:r>
              </w:p>
            </w:tc>
            <w:permEnd w:id="368017079" w:displacedByCustomXml="next"/>
          </w:sdtContent>
        </w:sdt>
        <w:permEnd w:id="1595878755" w:displacedByCustomXml="prev"/>
      </w:tr>
      <w:permEnd w:id="1320102442"/>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8643A6" w:rsidRDefault="00AD7675" w:rsidP="00D34282"/>
    <w:p w:rsidR="00D34282" w:rsidRPr="00D61A37" w:rsidRDefault="00D34282" w:rsidP="00D34282">
      <w:pPr>
        <w:rPr>
          <w:lang w:val="fr-FR"/>
        </w:rPr>
      </w:pPr>
      <w:r w:rsidRPr="00D61A37">
        <w:rPr>
          <w:lang w:val="fr-FR"/>
        </w:rPr>
        <w:t>&lt;</w:t>
      </w:r>
      <w:r w:rsidR="00D61A37" w:rsidRPr="00D61A37">
        <w:rPr>
          <w:lang w:val="fr-FR"/>
        </w:rPr>
        <w:t>ESMA_COMMENT_UCITS_V_AIMFD_REM_1</w:t>
      </w:r>
      <w:r w:rsidRPr="00D61A37">
        <w:rPr>
          <w:lang w:val="fr-FR"/>
        </w:rPr>
        <w:t>&gt;</w:t>
      </w:r>
    </w:p>
    <w:p w:rsidR="00442040" w:rsidRDefault="00442040" w:rsidP="00442040">
      <w:permStart w:id="1636844560" w:edGrp="everyone"/>
      <w:r>
        <w:t>The Investment Association represents UK investment managers. We have over 200 members who manage more than £5.5 trillion for clients around the world, helping them to achieve their financial goals. Our aim is to make investment better for clients, companies and the economy so that everyone prospers.</w:t>
      </w:r>
    </w:p>
    <w:p w:rsidR="00442040" w:rsidRDefault="00442040" w:rsidP="00442040"/>
    <w:p w:rsidR="00442040" w:rsidRDefault="00442040" w:rsidP="00442040">
      <w:r>
        <w:t xml:space="preserve">The Investment Association appreciates the opportunity to respond to this consultation. We welcome that ESMA has decided to align their proposals for guidelines on sound remuneration policies under UCITS in a reasonable manner with the guidelines on sound remuneration principles under AIFMD. The unnecessary and ill-founded change in the legal interpretation of proportionality by EBA must not be transferred to other pieces of sectorial legislation. </w:t>
      </w:r>
    </w:p>
    <w:p w:rsidR="00442040" w:rsidRDefault="00442040" w:rsidP="00442040">
      <w:r>
        <w:t>Asset managers are subject to up to four different regimes with regard to their remuneration</w:t>
      </w:r>
      <w:r>
        <w:rPr>
          <w:rStyle w:val="FootnoteReference"/>
        </w:rPr>
        <w:footnoteReference w:id="2"/>
      </w:r>
      <w:r>
        <w:t xml:space="preserve">. UCITS and AIFMD were designed for the agency based business model of asset managers. Both directives take into account that asset managers are not taking balance-sheet risks as banks do and that assets are segregated and not commonly held by managers. Ownership of the assets remains always with investors. According to both directives, asset managers are required to align their remuneration principles with the interest of investors. </w:t>
      </w:r>
    </w:p>
    <w:p w:rsidR="00442040" w:rsidRDefault="00442040" w:rsidP="00442040">
      <w:r>
        <w:t xml:space="preserve">UCITS and AIFMD regulated Asset Managers have the same risk profile as MIFID asset managers. They all are making investment decisions in respect of assets held by a third party, and pose broadly comparable prudential risks. There are some differing conduct risks as MIFID asset managers do not face the same level of product regulation as UCITS and AIFMD managers, but MIFID itself deals with that. </w:t>
      </w:r>
    </w:p>
    <w:p w:rsidR="00442040" w:rsidRDefault="00442040" w:rsidP="00442040">
      <w:r>
        <w:t>There is, therefore, no need for significantly differing remuneration regimes. AIFMD has proven to be a workable and effective regime, which provides the required and useful alignment between incentives for individuals and the interest of investors.</w:t>
      </w:r>
    </w:p>
    <w:p w:rsidR="00442040" w:rsidRDefault="00442040" w:rsidP="00442040">
      <w:r>
        <w:t>The draft guidelines now presented by ESMA are an important step in the right direction. Those guidelines would allow national supervisors to implement universal remuneration regimes for managers of collective investment undertakings. It is not helpful that investment firms that are managing assets for investors under segregated mandates are still caught by the unsuitable regime of CRD and that EBA has decided to apply it in in an even more unsuitable and disproportionate manner. It is, therefore, crucial to keep the alignment between the AIFMD and the UCITS guidelines as close as possible.</w:t>
      </w:r>
    </w:p>
    <w:permEnd w:id="1636844560"/>
    <w:p w:rsidR="00D34282" w:rsidRPr="008643A6" w:rsidRDefault="00D34282" w:rsidP="00D34282">
      <w:r w:rsidRPr="008643A6">
        <w:t>&lt;</w:t>
      </w:r>
      <w:r w:rsidR="00D61A37" w:rsidRPr="008643A6">
        <w:t>ESMA_COMMENT_UCITS_V_AIMFD_REM_1</w:t>
      </w:r>
      <w:r w:rsidRPr="008643A6">
        <w:t>&gt;</w:t>
      </w:r>
    </w:p>
    <w:p w:rsidR="00F31E57" w:rsidRPr="008643A6" w:rsidRDefault="00F31E57" w:rsidP="00D34282"/>
    <w:p w:rsidR="0075015C" w:rsidRDefault="00F31E57" w:rsidP="0075015C">
      <w:pPr>
        <w:pStyle w:val="QuestionsFORM"/>
        <w:ind w:left="284" w:hanging="284"/>
      </w:pPr>
      <w:r w:rsidRPr="0075015C">
        <w:br w:type="page"/>
      </w:r>
      <w:r w:rsidR="0075015C">
        <w:lastRenderedPageBreak/>
        <w:t xml:space="preserve">In this consultation paper ESMA proposes an approach on proportionality which is in line with the AIFMD Remuneration Guidelines and allows for the disapplication of certain requirements </w:t>
      </w:r>
      <w:r w:rsidR="0075015C" w:rsidRPr="003D52D7">
        <w:t>on an exceptional basis and taking into account specific facts</w:t>
      </w:r>
      <w:r w:rsidR="0075015C">
        <w:t xml:space="preserve">. Notwithstanding this, ESMA is interested in assessing the impact </w:t>
      </w:r>
      <w:r w:rsidR="0075015C" w:rsidRPr="00B24B4A">
        <w:t xml:space="preserve">from a general perspective and more precisely </w:t>
      </w:r>
      <w:r w:rsidR="0075015C">
        <w:t>in terms of costs and administrative burden that a different approach would have</w:t>
      </w:r>
      <w:r w:rsidR="0075015C" w:rsidRPr="002C160E">
        <w:t xml:space="preserve"> </w:t>
      </w:r>
      <w:r w:rsidR="0075015C">
        <w:t xml:space="preserve">on management companies. For this reason, management companies are invited to provide ESMA with </w:t>
      </w:r>
      <w:r w:rsidR="0075015C" w:rsidRPr="00B24B4A">
        <w:t xml:space="preserve">information and </w:t>
      </w:r>
      <w:r w:rsidR="0075015C">
        <w:t>data on the following aspects:</w:t>
      </w:r>
    </w:p>
    <w:p w:rsidR="00081148" w:rsidRDefault="00081148" w:rsidP="00081148">
      <w:pPr>
        <w:pStyle w:val="FORM2"/>
        <w:numPr>
          <w:ilvl w:val="0"/>
          <w:numId w:val="52"/>
        </w:numPr>
      </w:pPr>
      <w:r>
        <w:t>All management companies (i.e. those that hold a separate AIFMD licence and those that do not) are invited to provide details on the following:</w:t>
      </w:r>
    </w:p>
    <w:p w:rsidR="00081148" w:rsidRDefault="00081148" w:rsidP="00081148">
      <w:pPr>
        <w:pStyle w:val="FORM2"/>
        <w:numPr>
          <w:ilvl w:val="1"/>
          <w:numId w:val="52"/>
        </w:numPr>
      </w:pPr>
      <w:r>
        <w:t xml:space="preserve">compliance impacts and costs (one-off and ongoing costs, encompassing technological/ IT costs and human resources), and </w:t>
      </w:r>
    </w:p>
    <w:p w:rsidR="00081148" w:rsidRDefault="00081148" w:rsidP="00081148">
      <w:pPr>
        <w:pStyle w:val="FORM2"/>
        <w:numPr>
          <w:ilvl w:val="1"/>
          <w:numId w:val="52"/>
        </w:numPr>
      </w:pPr>
      <w:r w:rsidRPr="00081148">
        <w:t>difficulties in applying in any circumstances the remuneration principles that could otherwise be disapplied according to the provisions under Section 7.1 of the draft UCITS Remuneration Guidelines (Annex IV to this consultation paper).</w:t>
      </w:r>
    </w:p>
    <w:p w:rsidR="00081148" w:rsidRDefault="00081148" w:rsidP="00081148">
      <w:pPr>
        <w:pStyle w:val="FORM2"/>
        <w:numPr>
          <w:ilvl w:val="0"/>
          <w:numId w:val="52"/>
        </w:numPr>
      </w:pPr>
      <w:r w:rsidRPr="00081148">
        <w:t>Management companies that also hold an AIFMD licence and benefit from the disapplication of certain of the remuneration rules under the AIFMD Remuneration Guidelines are asked to provide an estimate of the compliance costs in absolute and relative terms and to identify impediments resulting from their nature, including their legal form, if they were required to apply, for the variable remuneration of identified staff:</w:t>
      </w:r>
    </w:p>
    <w:p w:rsidR="00081148" w:rsidRDefault="00081148" w:rsidP="00081148">
      <w:pPr>
        <w:pStyle w:val="FORM2"/>
        <w:numPr>
          <w:ilvl w:val="1"/>
          <w:numId w:val="52"/>
        </w:numPr>
      </w:pPr>
      <w:r>
        <w:t>deferral arrangements (in particular, a minimum deferral period of three years);</w:t>
      </w:r>
    </w:p>
    <w:p w:rsidR="00081148" w:rsidRDefault="00081148" w:rsidP="00081148">
      <w:pPr>
        <w:pStyle w:val="FORM2"/>
        <w:numPr>
          <w:ilvl w:val="1"/>
          <w:numId w:val="52"/>
        </w:numPr>
      </w:pPr>
      <w:r>
        <w:t xml:space="preserve">retention; </w:t>
      </w:r>
    </w:p>
    <w:p w:rsidR="00081148" w:rsidRDefault="00081148" w:rsidP="00081148">
      <w:pPr>
        <w:pStyle w:val="FORM2"/>
        <w:numPr>
          <w:ilvl w:val="1"/>
          <w:numId w:val="52"/>
        </w:numPr>
      </w:pPr>
      <w:r>
        <w:t xml:space="preserve">the pay out in instruments; and </w:t>
      </w:r>
    </w:p>
    <w:p w:rsidR="00081148" w:rsidRDefault="00081148" w:rsidP="00081148">
      <w:pPr>
        <w:pStyle w:val="FORM2"/>
        <w:numPr>
          <w:ilvl w:val="1"/>
          <w:numId w:val="52"/>
        </w:numPr>
      </w:pPr>
      <w:r>
        <w:t xml:space="preserve">malus (with respect to the deferred variable remuneration). </w:t>
      </w:r>
    </w:p>
    <w:p w:rsidR="00081148" w:rsidRDefault="00081148" w:rsidP="00081148">
      <w:pPr>
        <w:pStyle w:val="QuestionsFORM"/>
        <w:numPr>
          <w:ilvl w:val="0"/>
          <w:numId w:val="0"/>
        </w:numPr>
        <w:ind w:left="284"/>
      </w:pPr>
      <w:r>
        <w:t>Wherever possible, the estimated impact and costs should be quantified, supported by a short explanation of the methodology applied for their estimation and provided separately, if possible, for the four listed aspects.</w:t>
      </w:r>
    </w:p>
    <w:p w:rsidR="0075015C" w:rsidRDefault="0075015C" w:rsidP="0075015C">
      <w:r>
        <w:t>&lt;ESMA_QUESTION_UCITS_V_AIMFD_REM_1&gt;</w:t>
      </w:r>
    </w:p>
    <w:p w:rsidR="00442040" w:rsidRDefault="00442040" w:rsidP="00442040">
      <w:permStart w:id="185864105" w:edGrp="everyone"/>
      <w:r>
        <w:t xml:space="preserve">Those firms, which are currently disapplying certain remuneration principles under AIFMD or CRD, are disapplying those principles because it is appropriate and proportional to do so. The impact of a revocation of the current proportionality regime would affect those firms the most. For the same reasons it is difficult for those firms to quantify the estimated impact as required by ESMA. The Investment Association is aware of the importance of a proper impact assessment and welcomes ESMA’s attempt to base its decisions on empirical data. However, ESMA is asking investment firms to give evidence-based estimates for the impact of a hypothetical situation. </w:t>
      </w:r>
    </w:p>
    <w:p w:rsidR="00442040" w:rsidRDefault="00442040" w:rsidP="00442040">
      <w:r>
        <w:t xml:space="preserve">Developing models to provide this data is a lengthy, time consuming process and requires firms either to use expensive third party solutions or to let their internal experts work on the assessment for a significant amount of time. Some of our larger member firms are able to let an equivalent to two or three fulltime senior analysts work on the response of question one for up to two weeks. </w:t>
      </w:r>
    </w:p>
    <w:p w:rsidR="00442040" w:rsidRDefault="00442040" w:rsidP="00442040">
      <w:r>
        <w:t xml:space="preserve">Those firms are a minority in our membership in total numbers and are, with regard to asset under management, not representing the most common business models in our industry. </w:t>
      </w:r>
    </w:p>
    <w:p w:rsidR="00442040" w:rsidRDefault="00442040" w:rsidP="00442040">
      <w:r>
        <w:t xml:space="preserve">A significant number of asset managers in the UK are small and medium sized firms and those firms will not have the resources to produce the answers ESMA is looking for. We have seen the same problem </w:t>
      </w:r>
      <w:r>
        <w:lastRenderedPageBreak/>
        <w:t xml:space="preserve">when EBA was consulting on its draft guidelines on sound remuneration policies under CRD. A small number of responses providing quantified estimates of the impact of new rules must not be seen as an indicator for insignificant impacts. National and European regulators are publishing consultation papers nearly on a weekly basis. Not all consultations are relevant for all firms and trade association are able to provide a filter and to answer a majority of those consultations. However, wherever regulators are asking for business related, empirical data firms do have to respond individually. For a material number of firms it is not feasible to provide this data. This leads to a significant misrepresentation of firms with fewer resources. </w:t>
      </w:r>
    </w:p>
    <w:p w:rsidR="00442040" w:rsidRDefault="00442040" w:rsidP="00442040">
      <w:r>
        <w:t>The Investment Association encourages ESMA to take this into account for the interpretation of the responses to this consultation and to revise its methodologies for future consultations.</w:t>
      </w:r>
    </w:p>
    <w:p w:rsidR="00442040" w:rsidRDefault="00442040" w:rsidP="00442040">
      <w:r>
        <w:t xml:space="preserve">It is crucial that all firms in the spectrum are represented appropriately. We developed, therefore, a survey, which could be answered by all our firms without having to develop complicated methods, which would likely lead to incomparable results. </w:t>
      </w:r>
    </w:p>
    <w:p w:rsidR="00442040" w:rsidRDefault="00442040" w:rsidP="00442040">
      <w:r>
        <w:t xml:space="preserve">We asked firms about their experiences with the implementation of AIFMD. We used the AIFMD implementation as a benchmark and asked firms about their expectations with regard to the implementation of a remuneration regime for UCITS under different assumptions. The number of responses we received might not be representative, but they provided helpful examples given by a wide range of business models. We decided not to calculate the cost in actual numbers, but we asked the firms to compare hours spent by members of staff and external service providers instead. </w:t>
      </w:r>
    </w:p>
    <w:p w:rsidR="00442040" w:rsidRDefault="00442040" w:rsidP="00442040">
      <w:r>
        <w:t xml:space="preserve">Firms are structured differently and differ significantly in their use of external services, but we received responses from a range of firms which are managing between six and 250 AIFs and between 20 and 500 UCITS. Looking at their project data those firms spent approximately between 100 and 1600 man-hours of senior staff on the implementation of the AIFMD remuneration regime. </w:t>
      </w:r>
    </w:p>
    <w:p w:rsidR="00442040" w:rsidRDefault="00442040" w:rsidP="00442040">
      <w:r>
        <w:t xml:space="preserve">The implementation of a new remuneration regime for UCITS can be divided roughly into several steps. Each phase affects different firms in a different way, because the impact on individual firms is related to the internal structure and the business model of the firms. </w:t>
      </w:r>
    </w:p>
    <w:p w:rsidR="00442040" w:rsidRDefault="00442040" w:rsidP="00442040">
      <w:r>
        <w:t xml:space="preserve">Depending on the approach towards proportionality and the disapplication of certain remuneration principles, firms might initially have to find out if they qualify for the disapplication. </w:t>
      </w:r>
    </w:p>
    <w:p w:rsidR="00442040" w:rsidRDefault="00442040" w:rsidP="00442040">
      <w:r>
        <w:t xml:space="preserve">As a next step, firms will have to develop the theoretical framework, which would implement the new regime for their business model. Firms will have to develop the systems and the instruments for the pay out in non-cash instruments. They will have to develop solutions for deferred payments, which will allow them to apply malus and claw back if needed. They will have to develop remuneration policies suitable to their internal structures, their investors and their product range and they will have to develop the compliance structures to ensure the correct application of this new regime. All firms will have to go through this process and the cost and effort will be comparable for the firms irrespective of their size and business model. Most of our member firms have implemented the AIFMD remuneration regime and will benefit from their experience and the systems already in place. Our member firms expect the process to be 25% -50% less time- and cost-consuming than the implementation of AIFMD if ESMA decides to issue the guidelines in line with their draft and closely aligned to AIFMD. </w:t>
      </w:r>
    </w:p>
    <w:p w:rsidR="00442040" w:rsidRDefault="00442040" w:rsidP="00442040">
      <w:r>
        <w:t>If ESMA decides not to align its guidelines on UCITS with AIFMD, firms are expecting the process to be at least as burdensome as the implementation of AIFMD. Most firms, however, responded that the implementation would be much more and up to three times more time and cost intensive. Small and medium sized firms would be affected the most, because a number of larger, international firms have already CRD IV compliant regimes in place and are not allowed to disapply certain remuneration principles. Boutique investment firms and market participants who are applying currently an AIFMD compliant remuneration regime would be penalised in a disproportionate way.</w:t>
      </w:r>
    </w:p>
    <w:p w:rsidR="00442040" w:rsidRDefault="00442040" w:rsidP="00442040">
      <w:r>
        <w:t>Firms will then have to identify the individuals subject to the new remuneration policies and the investment undertakings, which would make their staff subject to the new remuneration regime.</w:t>
      </w:r>
    </w:p>
    <w:p w:rsidR="00442040" w:rsidRDefault="00442040" w:rsidP="00442040">
      <w:r>
        <w:t xml:space="preserve">The next step that requires significant efforts is to apply the new principles to own staff. The application of a new remuneration regime for UCITS will require significant efforts from most of our members. Most members of The Investment Association are managing a higher number of funds and a bigger volume of assets under the UCITS regime than under AIFMD. Rolling out the new policies, even where they are aligned with the AIFMD regime is, therefore, costlier and more time consuming than the implementation of the AIFMD rules. The impact this has on the firms is linked to the number of UCITS they are managing, to the number of intra-group delegations or to the number of delegation arrangements with third party providers. The responses we received from our members indicated that the actual implementation phase </w:t>
      </w:r>
      <w:r>
        <w:lastRenderedPageBreak/>
        <w:t>could be up to five times more time consuming and costly than the implementation of AIFMD if no disapplications on proportionality reasons were permitted.</w:t>
      </w:r>
    </w:p>
    <w:p w:rsidR="0075015C" w:rsidRDefault="00442040" w:rsidP="0075015C">
      <w:r>
        <w:t xml:space="preserve">The final step in the process would be the renegotiation of contracts with individual senior members of staff, with delegators in cases of incoming delegation arrangements and with third party delegates. The impact this might have on firms again depends on the existing structures and business models of the firms. </w:t>
      </w:r>
      <w:permEnd w:id="185864105"/>
      <w:r w:rsidR="0075015C">
        <w:t>&lt;ESMA_QUESTION_UCITS_V_AIMFD_REM_1&gt;</w:t>
      </w:r>
    </w:p>
    <w:p w:rsidR="0075015C" w:rsidRDefault="0075015C" w:rsidP="0075015C"/>
    <w:p w:rsidR="0075015C" w:rsidRDefault="0075015C" w:rsidP="0075015C">
      <w:pPr>
        <w:pStyle w:val="QuestionsFORM"/>
        <w:ind w:left="284" w:hanging="284"/>
      </w:pPr>
      <w:r w:rsidRPr="00736B0C">
        <w:t>Do you agree with the proposal to set out a definition of “performance fees” and with the proposed definition? If not, please explain the reasons why and provide an alternative definition supported by a justification.</w:t>
      </w:r>
    </w:p>
    <w:p w:rsidR="0075015C" w:rsidRDefault="0075015C" w:rsidP="0075015C">
      <w:r>
        <w:t>&lt;ESMA_QUESTION_UCITS_V_AIMFD_REM_2&gt;</w:t>
      </w:r>
    </w:p>
    <w:p w:rsidR="00442040" w:rsidRDefault="00442040" w:rsidP="00442040">
      <w:permStart w:id="923871362" w:edGrp="everyone"/>
      <w:r>
        <w:t>The Investment Association agrees in principle with the alignment of the ESMA guidelines with the IOSCO definition of performance fees. However, IOSCO is currently consulting on its definition of performance fees and it seems not to be helpful to align the definition with something that is likely to be changed in the very near future. Besides that, The Investment Association is slightly concerned about the last part of ESMA’s definition. According to ESMA performance fees are payments made directly by the management company or the UCITS itself for the benefit of identified staff. Even though this is an inaccurate description of performance fees, which is not based on the IOSCO definition and is unlikely to affect investment firms negatively in the context of the remuneration guidelines, it may well be an unhelpful precedent. Variable payments to members of staff based on the performance of a fund are variable remuneration. Charges from the fund for its management are fees. It is irrelevant for the definitions of remuneration or fees who is remunerating the individuals or to whom the fees are paid. It is not necessary and not helpful to define performance fees in guidelines on remuneration. ESMA’s definition which commingles fees and remuneration is likely to cause unnecessary confusion for any regulatory work in the future. Paragraph 3 of Article 14b UCITS clarifies that the remuneration principles apply to any benefit, also those paid directly by the UCITS to individuals, regardless of their classification as performance fees. This gives supervisors all the tools they need to apply the UCITS directive properly and in a coherent way.</w:t>
      </w:r>
    </w:p>
    <w:permEnd w:id="923871362"/>
    <w:p w:rsidR="0075015C" w:rsidRDefault="0075015C" w:rsidP="0075015C">
      <w:r>
        <w:t>&lt;ESMA_QUESTION_UCITS_V_AIMFD_REM_2&gt;</w:t>
      </w:r>
    </w:p>
    <w:p w:rsidR="0075015C" w:rsidRDefault="0075015C" w:rsidP="0075015C"/>
    <w:p w:rsidR="0075015C" w:rsidRDefault="0075015C" w:rsidP="0075015C">
      <w:pPr>
        <w:pStyle w:val="QuestionsFORM"/>
        <w:ind w:left="284" w:hanging="284"/>
      </w:pPr>
      <w:r w:rsidRPr="00736B0C">
        <w:t xml:space="preserve">Do you see any overlap between the proposed definition of ‘supervisory function’ in the UCITS </w:t>
      </w:r>
      <w:r>
        <w:t>Remuneration</w:t>
      </w:r>
      <w:r w:rsidRPr="00736B0C">
        <w:t xml:space="preserve"> Guidelines and the definition of ‘management body’ in the UCTS V Level 1 text? If yes, please provide details and suggest how the definition of ‘supervisory function’ should be amended in the UCITS V Guidelines.</w:t>
      </w:r>
    </w:p>
    <w:p w:rsidR="0075015C" w:rsidRDefault="0075015C" w:rsidP="0075015C">
      <w:r>
        <w:t>&lt;ESMA_QUESTION_UCITS_V_AIMFD_REM_3&gt;</w:t>
      </w:r>
    </w:p>
    <w:p w:rsidR="00442040" w:rsidRPr="00021C72" w:rsidRDefault="00442040" w:rsidP="00442040">
      <w:permStart w:id="993147215" w:edGrp="everyone"/>
      <w:r>
        <w:t>The majority of member firms of The Investment Association saw no overlap between those definitions.</w:t>
      </w:r>
    </w:p>
    <w:permEnd w:id="993147215"/>
    <w:p w:rsidR="0075015C" w:rsidRDefault="0075015C" w:rsidP="0075015C">
      <w:r>
        <w:t>&lt;ESMA_QUESTION_UCITS_V_AIMFD_REM_3&gt;</w:t>
      </w:r>
    </w:p>
    <w:p w:rsidR="0075015C" w:rsidRDefault="0075015C" w:rsidP="0075015C"/>
    <w:p w:rsidR="0075015C" w:rsidRDefault="0075015C" w:rsidP="0075015C">
      <w:pPr>
        <w:pStyle w:val="QuestionsFORM"/>
        <w:ind w:left="284" w:hanging="284"/>
      </w:pPr>
      <w:r w:rsidRPr="00736B0C">
        <w:t xml:space="preserve">Please explain how services subject to different sectoral remuneration principles are performed in practice. E.g. is there a common trading desk/an investment firm providing portfolio management services to UCITS, AIFs and/or individual portfolios of investments? Please provide details on how these services are operated. </w:t>
      </w:r>
    </w:p>
    <w:p w:rsidR="0075015C" w:rsidRDefault="0075015C" w:rsidP="0075015C">
      <w:r>
        <w:t>&lt;ESMA_QUESTION_UCITS_V_AIMFD_REM_4&gt;</w:t>
      </w:r>
    </w:p>
    <w:p w:rsidR="00442040" w:rsidRPr="004E0769" w:rsidRDefault="00442040" w:rsidP="00442040">
      <w:permStart w:id="1158754298" w:edGrp="everyone"/>
      <w:r w:rsidRPr="004E0769">
        <w:t xml:space="preserve">Firms are structured differently and as a trade association we can only provide a few examples of firms, which came back to us. Those examples </w:t>
      </w:r>
      <w:r>
        <w:t>do</w:t>
      </w:r>
      <w:r w:rsidRPr="004E0769">
        <w:t xml:space="preserve"> not represent </w:t>
      </w:r>
      <w:r>
        <w:t>the</w:t>
      </w:r>
      <w:r w:rsidRPr="004E0769">
        <w:t xml:space="preserve"> majority of our member firms, but </w:t>
      </w:r>
      <w:r>
        <w:t>they are not uncommon practice.</w:t>
      </w:r>
    </w:p>
    <w:p w:rsidR="00442040" w:rsidRPr="004E0769" w:rsidRDefault="00442040" w:rsidP="00442040">
      <w:r w:rsidRPr="004E0769">
        <w:t>One firm that responded to our consultation has a common trading desk across all funds and clients. In their group one investment management entity provides all investment services to fund managers managing AIFs and UCITS</w:t>
      </w:r>
      <w:r w:rsidRPr="004E0769" w:rsidDel="005B0EE2">
        <w:t xml:space="preserve"> </w:t>
      </w:r>
      <w:r w:rsidRPr="004E0769">
        <w:t xml:space="preserve">and individual portfolios </w:t>
      </w:r>
      <w:r>
        <w:t>under segregated mandates</w:t>
      </w:r>
      <w:r w:rsidRPr="004E0769">
        <w:t>.</w:t>
      </w:r>
    </w:p>
    <w:p w:rsidR="00442040" w:rsidRPr="004E0769" w:rsidRDefault="00442040" w:rsidP="00442040">
      <w:r w:rsidRPr="004E0769">
        <w:lastRenderedPageBreak/>
        <w:t xml:space="preserve">A number of firms are running group wide global remuneration policies, which are compliant with all three pieces of sectorial legislation and are applied across group all companies.  In those firms all management companies in the </w:t>
      </w:r>
      <w:r>
        <w:t>g</w:t>
      </w:r>
      <w:r w:rsidRPr="004E0769">
        <w:t>roup delegate to a group investment management company.</w:t>
      </w:r>
    </w:p>
    <w:p w:rsidR="00442040" w:rsidRPr="004E0769" w:rsidRDefault="00442040" w:rsidP="00442040">
      <w:r w:rsidRPr="004E0769">
        <w:t>Some other firms delegate the investment management of their funds entirely to third party investment managers, which are required to have suitable r</w:t>
      </w:r>
      <w:r>
        <w:t xml:space="preserve">emuneration policies in place. </w:t>
      </w:r>
    </w:p>
    <w:permEnd w:id="1158754298"/>
    <w:p w:rsidR="0075015C" w:rsidRDefault="0075015C" w:rsidP="0075015C">
      <w:r>
        <w:t>&lt;ESMA_QUESTION_UCITS_V_AIMFD_REM_4&gt;</w:t>
      </w:r>
    </w:p>
    <w:p w:rsidR="0075015C" w:rsidRDefault="0075015C" w:rsidP="0075015C"/>
    <w:p w:rsidR="0075015C" w:rsidRPr="00736B0C" w:rsidRDefault="0075015C" w:rsidP="0075015C">
      <w:pPr>
        <w:pStyle w:val="QuestionsFORM"/>
        <w:ind w:left="284" w:hanging="284"/>
      </w:pPr>
      <w:r w:rsidRPr="00736B0C">
        <w:t>Do you consider that the proposed ‘pro rata’ approach would raise any operational difficulties? If yes, please explain why and provide an alternative solution.</w:t>
      </w:r>
    </w:p>
    <w:p w:rsidR="0075015C" w:rsidRDefault="0075015C" w:rsidP="0075015C"/>
    <w:p w:rsidR="0075015C" w:rsidRDefault="0075015C" w:rsidP="0075015C">
      <w:r>
        <w:t>&lt;ESMA_QUESTION_UCITS_V_AIMFD_REM_5&gt;</w:t>
      </w:r>
    </w:p>
    <w:p w:rsidR="00442040" w:rsidRDefault="00442040" w:rsidP="00442040">
      <w:permStart w:id="1637312634" w:edGrp="everyone"/>
      <w:r>
        <w:t>Most of our member firms expect difficulties arising from the pro rata approach. It would be possible for investment firms to operationalise the pro rata approach, but it is an unnecessary and onerous exercise. It will be difficult for national supervisors to provide guidance on how to apportion remuneration to specific tasks that could ensure a coherent and comparable application of the approach amongst firms within one jurisdiction and in the different EU member states. A patchy and inconsistent implementation of the pro-rata approach will give rise to the risk of a serious distortion of competition.</w:t>
      </w:r>
    </w:p>
    <w:p w:rsidR="00442040" w:rsidRPr="00A03F21" w:rsidRDefault="00442040" w:rsidP="00442040">
      <w:r>
        <w:t>The vast majority of UK asset managers are managing both UCITS and AIFs. Most of those firms are additionally subject to CRD because those managers are managing assets under segregated mandates or providing portfolio management for UCITS or AIFS under delegation arrangements. The risks those managers are able to take, are very similar, regardless of the applicable piece of European legislation. The complexity of their activities has in any case to be assessed by their national supervisors and the FCA methodology has proven to be fit for purpose. Applying up to three remuneration regimes to a single activity is highly inefficient and unnecessarily onerous and bureaucratic. ESMA is required by UCITS V to align their guidelines to the extent possible with their guidelines on AIFMD. There is no objective reason for not aligning the guidelines in their entirety. It would then be the next logical step to allow firms to use a single regime for their activities. The Investment Association is aware that with regard to the reporting requirements, firms might still need to differentiate between their activities under AIFMD and UCITS. However, this shortcoming of the legislative regimes must not prevent supervisors from implementing a better regime where the UCITS and AIFMD permit.</w:t>
      </w:r>
    </w:p>
    <w:permEnd w:id="1637312634"/>
    <w:p w:rsidR="0075015C" w:rsidRDefault="0075015C" w:rsidP="0075015C">
      <w:r>
        <w:t>&lt;ESMA_QUESTION_UCITS_V_AIMFD_REM_5&gt;</w:t>
      </w:r>
    </w:p>
    <w:p w:rsidR="0075015C" w:rsidRDefault="0075015C" w:rsidP="0075015C"/>
    <w:p w:rsidR="0075015C" w:rsidRDefault="0075015C" w:rsidP="0075015C">
      <w:pPr>
        <w:pStyle w:val="QuestionsFORM"/>
        <w:ind w:left="284" w:hanging="284"/>
      </w:pPr>
      <w:r w:rsidRPr="00736B0C">
        <w:t>Do you favour also the proposed alternative approach according to which management companies could decide to voluntarily opt for the sectoral remuneration rules which are deemed more effective in terms of avoiding excessive risk taking and ensuring risk alignment and apply them to all the staff performing services subject to different sectoral remuneration rules? Please explain the reasons behind your answer.</w:t>
      </w:r>
    </w:p>
    <w:p w:rsidR="0075015C" w:rsidRDefault="0075015C" w:rsidP="0075015C">
      <w:r>
        <w:t>&lt;ESMA_QUESTION_UCITS_V_AIMFD_REM_6&gt;</w:t>
      </w:r>
    </w:p>
    <w:p w:rsidR="00442040" w:rsidRPr="00543F80" w:rsidRDefault="00442040" w:rsidP="00442040">
      <w:permStart w:id="1326591931" w:edGrp="everyone"/>
      <w:r>
        <w:t>A significant number of the members of The Investment Association are operating globally under global remuneration policies. We acknowledge that it can be necessary to differentiate between rules on remuneration for banking and deposit taking businesses and those for asset managers. However, t</w:t>
      </w:r>
      <w:r w:rsidRPr="00A2125C">
        <w:t xml:space="preserve">hey all are making investment decisions in respect of assets held by a third party, and pose comparable risks. </w:t>
      </w:r>
      <w:r>
        <w:t>It would, therefore, not only be much easier and more economical for the firms to apply only one regime, it would be the appropriate way to mitigate the risk of misalignment of incentives. A significant share of all assets under management in Europe will be managed by individuals subject to global and in most cases CRD compatible corporate remuneration policies. Where firms manage to apply such global policies achieving the objectives of different pieces of sectoral legislation it is obsolete to attribute parts of remuneration to different pieces of sectoral legislation. Firms should, therefore, be able, in cooperation and coordination with national supervisors, to choose the remuneration regime most suitable for their business. Firms might still have to report remuneration in accordance with different directives and regulations, but allowing firms to harmonise their policies would still increase productivity without causing additional risk to financial stability.</w:t>
      </w:r>
    </w:p>
    <w:permEnd w:id="1326591931"/>
    <w:p w:rsidR="0075015C" w:rsidRDefault="0075015C" w:rsidP="0075015C">
      <w:r>
        <w:t>&lt;ESMA_QUESTION_UCITS_V_AIMFD_REM_6&gt;</w:t>
      </w:r>
    </w:p>
    <w:p w:rsidR="0075015C" w:rsidRDefault="0075015C" w:rsidP="0075015C"/>
    <w:p w:rsidR="0075015C" w:rsidRDefault="0075015C" w:rsidP="0075015C">
      <w:pPr>
        <w:pStyle w:val="QuestionsFORM"/>
        <w:ind w:left="284" w:hanging="284"/>
      </w:pPr>
      <w:r w:rsidRPr="00736B0C">
        <w:t>Do you agree that the performance of ancillary services under Article 6(3) of the UCITS Directive or under Article 6(4) of the AIFMD by personnel of a management company or an AIFM should be subject to the remuneration principles under the UCITS Directive or AIFMD, as applicable? Or do you consider that that MiFID ancillary services do not represent portfolio/risk management types of activities (Annex I of the AIFMD) nor investment management activities (Annex II of the UCITS Directive) and should not be covered by the rules under Article 14b of the UCITS Directive and Annex II of the AIFMD which specifically refer to the UCITS/AIFs that a UCITS/AIFM manages? Please explain the reasons of your response.</w:t>
      </w:r>
    </w:p>
    <w:p w:rsidR="0075015C" w:rsidRDefault="0075015C" w:rsidP="0075015C">
      <w:r>
        <w:t>&lt;ESMA_QUESTION_UCITS_V_AIMFD_REM_7&gt;</w:t>
      </w:r>
    </w:p>
    <w:p w:rsidR="00442040" w:rsidRPr="00BC507F" w:rsidRDefault="00442040" w:rsidP="00442040">
      <w:permStart w:id="226311178" w:edGrp="everyone"/>
      <w:r>
        <w:t>The Investment Association has always considered those activities comparable to the management of a UCITS or an AIF and we agree that ancillary services should be subject to UCITS or AFMD. There is, however, no need to regulate those activities by more than one regime. In the UK those services are currently subject to CRD. Firms managing UCITS and AIFs and providing ancillary service under Article 6(3) UCITS or Article 6(4) AIFMD should be able to apply the most efficient regime and to align their remuneration policies with investor interest.</w:t>
      </w:r>
    </w:p>
    <w:permEnd w:id="226311178"/>
    <w:p w:rsidR="0075015C" w:rsidRDefault="0075015C" w:rsidP="0075015C">
      <w:r>
        <w:t>&lt;ESMA_QUESTION_UCITS_V_AIMFD_REM_7&gt;</w:t>
      </w:r>
    </w:p>
    <w:p w:rsidR="0075015C" w:rsidRDefault="0075015C" w:rsidP="0075015C"/>
    <w:p w:rsidR="0075015C" w:rsidRDefault="0075015C" w:rsidP="0075015C">
      <w:pPr>
        <w:pStyle w:val="QuestionsFORM"/>
        <w:ind w:left="284" w:hanging="284"/>
      </w:pPr>
      <w:r w:rsidRPr="00736B0C">
        <w:t>Do you agree with the proposal to look at individual entities for the purpose of the payment in instruments of at least 50% of the variable remuneration or consider that it would risk favouring the asset managers with a bigger portfolio of UCITS assets under management? Should you disagree, please propose an alternative approach and provide an appropriate justification.</w:t>
      </w:r>
    </w:p>
    <w:p w:rsidR="0075015C" w:rsidRDefault="0075015C" w:rsidP="0075015C">
      <w:r>
        <w:t>&lt;ESMA_QUESTION_UCITS_V_AIMFD_REM_8&gt;</w:t>
      </w:r>
    </w:p>
    <w:p w:rsidR="00442040" w:rsidRPr="005612B2" w:rsidRDefault="00442040" w:rsidP="00442040">
      <w:permStart w:id="779622121" w:edGrp="everyone"/>
      <w:r w:rsidRPr="005612B2">
        <w:t>Our members will respond individually to this question.</w:t>
      </w:r>
    </w:p>
    <w:permEnd w:id="779622121"/>
    <w:p w:rsidR="0075015C" w:rsidRDefault="0075015C" w:rsidP="0075015C">
      <w:r>
        <w:t>&lt;ESMA_QUESTION_UCITS_V_AIMFD_REM_8&gt;</w:t>
      </w:r>
    </w:p>
    <w:p w:rsidR="0075015C" w:rsidRDefault="0075015C" w:rsidP="0075015C"/>
    <w:p w:rsidR="0075015C" w:rsidRDefault="0075015C" w:rsidP="0075015C">
      <w:pPr>
        <w:pStyle w:val="QuestionsFORM"/>
        <w:ind w:left="284" w:hanging="284"/>
      </w:pPr>
      <w:r w:rsidRPr="00736B0C">
        <w:t xml:space="preserve">Do you consider that there is any specific need to include some transitional provisions relating to the date of application of the </w:t>
      </w:r>
      <w:r>
        <w:t>UCITS Remuneration G</w:t>
      </w:r>
      <w:r w:rsidRPr="00736B0C">
        <w:t>uidelines? If yes, please provide details on which sections of the guidelines would deserve any transitional provisions and explain the reasons why, also highlighting the additional costs implied by the proposed date of application. Please be as precise as possible in your answer in order for ESMA to assess the merit of your needs.</w:t>
      </w:r>
    </w:p>
    <w:p w:rsidR="0075015C" w:rsidRDefault="0075015C" w:rsidP="0075015C">
      <w:r>
        <w:t>&lt;ESMA_QUESTION_UCITS_V_AIMFD_REM_9&gt;</w:t>
      </w:r>
    </w:p>
    <w:p w:rsidR="0075015C" w:rsidRDefault="00442040" w:rsidP="0075015C">
      <w:permStart w:id="1732279106" w:edGrp="everyone"/>
      <w:r>
        <w:t xml:space="preserve">The need for a transitional period depends on how much the final guidelines differ from the AIFMD regime and on the amount of time between the publication of the final guidelines and the implementation date of UCITS V. If the guidelines remain fully aligned with the current AIFMD regime and ESMA manages to have the guidelines finalised well before UCITS V comes into force, then the guidelines can apply on the </w:t>
      </w:r>
      <w:r w:rsidRPr="00565D6A">
        <w:t xml:space="preserve">first full performance period </w:t>
      </w:r>
      <w:r>
        <w:t>under UCITS V. If ESMA decides to implement a different regime or fails to provide legal certainty in due time firms will need a longer implementation period.</w:t>
      </w:r>
      <w:permEnd w:id="1732279106"/>
      <w:r w:rsidR="0075015C">
        <w:t>&lt;ESMA_QUESTION_UCITS_V_AIMFD_REM_9&gt;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proportionality? If not, please explain why and provide any available quantitative data on the one-off and ongoing costs that the proposal would imply.</w:t>
      </w:r>
    </w:p>
    <w:p w:rsidR="0075015C" w:rsidRDefault="0075015C" w:rsidP="0075015C">
      <w:r>
        <w:t>&lt;ESMA_QUESTION_UCITS_V_AIMFD_REM_10&gt;</w:t>
      </w:r>
    </w:p>
    <w:p w:rsidR="0075015C" w:rsidRDefault="0075015C" w:rsidP="0075015C">
      <w:permStart w:id="1005475406" w:edGrp="everyone"/>
      <w:r>
        <w:t>TYPE YOUR TEXT HERE</w:t>
      </w:r>
    </w:p>
    <w:permEnd w:id="1005475406"/>
    <w:p w:rsidR="0075015C" w:rsidRDefault="0075015C" w:rsidP="0075015C">
      <w:r>
        <w:t>&lt;ESMA_QUESTION_UCITS_V_AIMFD_REM_10&gt;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the application of different sectoral rules to staff? If not, please explain why and provide any available quantitative data on the one-off and ongoing costs that the proposal would imply.</w:t>
      </w:r>
    </w:p>
    <w:p w:rsidR="0075015C" w:rsidRDefault="0075015C" w:rsidP="0075015C">
      <w:r>
        <w:t>&lt;ESMA_QUESTION_UCITS_V_AIMFD_REM_11&gt;</w:t>
      </w:r>
    </w:p>
    <w:p w:rsidR="0075015C" w:rsidRDefault="0075015C" w:rsidP="0075015C">
      <w:permStart w:id="1820551627" w:edGrp="everyone"/>
      <w:r>
        <w:t>TYPE YOUR TEXT HERE</w:t>
      </w:r>
    </w:p>
    <w:permEnd w:id="1820551627"/>
    <w:p w:rsidR="0075015C" w:rsidRDefault="0075015C" w:rsidP="0075015C">
      <w:r>
        <w:t>&lt;ESMA_QUESTION_UCITS_V_AIMFD_REM_11&gt;</w:t>
      </w:r>
    </w:p>
    <w:p w:rsidR="0075015C" w:rsidRDefault="0075015C" w:rsidP="0075015C"/>
    <w:p w:rsidR="0075015C" w:rsidRPr="0075015C" w:rsidRDefault="0075015C" w:rsidP="0075015C">
      <w:r w:rsidRPr="0075015C">
        <w:t xml:space="preserve"> </w:t>
      </w:r>
    </w:p>
    <w:p w:rsidR="00F31E57" w:rsidRPr="0075015C" w:rsidRDefault="00F31E57">
      <w:p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ABB" w:rsidRDefault="00987ABB">
      <w:r>
        <w:separator/>
      </w:r>
    </w:p>
    <w:p w:rsidR="00987ABB" w:rsidRDefault="00987ABB"/>
  </w:endnote>
  <w:endnote w:type="continuationSeparator" w:id="0">
    <w:p w:rsidR="00987ABB" w:rsidRDefault="00987ABB">
      <w:r>
        <w:continuationSeparator/>
      </w:r>
    </w:p>
    <w:p w:rsidR="00987ABB" w:rsidRDefault="00987ABB"/>
  </w:endnote>
  <w:endnote w:type="continuationNotice" w:id="1">
    <w:p w:rsidR="00987ABB" w:rsidRDefault="00987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42040">
            <w:rPr>
              <w:rFonts w:cs="Arial"/>
              <w:noProof/>
              <w:sz w:val="22"/>
              <w:szCs w:val="22"/>
            </w:rPr>
            <w:t>3</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ABB" w:rsidRDefault="00987ABB">
      <w:r>
        <w:separator/>
      </w:r>
    </w:p>
    <w:p w:rsidR="00987ABB" w:rsidRDefault="00987ABB"/>
  </w:footnote>
  <w:footnote w:type="continuationSeparator" w:id="0">
    <w:p w:rsidR="00987ABB" w:rsidRDefault="00987ABB">
      <w:r>
        <w:continuationSeparator/>
      </w:r>
    </w:p>
    <w:p w:rsidR="00987ABB" w:rsidRDefault="00987ABB"/>
  </w:footnote>
  <w:footnote w:type="continuationNotice" w:id="1">
    <w:p w:rsidR="00987ABB" w:rsidRDefault="00987ABB"/>
  </w:footnote>
  <w:footnote w:id="2">
    <w:p w:rsidR="00442040" w:rsidRPr="00661D5F" w:rsidRDefault="00442040" w:rsidP="00442040">
      <w:pPr>
        <w:pStyle w:val="FootnoteText"/>
      </w:pPr>
      <w:r w:rsidRPr="00614C7A">
        <w:rPr>
          <w:rStyle w:val="FootnoteReference"/>
        </w:rPr>
        <w:footnoteRef/>
      </w:r>
      <w:r w:rsidRPr="00614C7A">
        <w:t xml:space="preserve"> </w:t>
      </w:r>
      <w:r w:rsidRPr="00661D5F">
        <w:rPr>
          <w:rStyle w:val="FootnoteTextChar"/>
        </w:rPr>
        <w:t>UCITS - Directive 2009/65/EC (amended by Directive 2014/91/EU); AIFMD – Directive 2011/61/EU on Alternative Investment Fund Managers; CRD IV - which consist of Directive 2013/36/EU on access to the activity of credit institutions and the prudential supervision of credit institutions and investment firms (CRD) and Regulation (EU) No 575/2013 on prudential requirements for credit institutions and investment firms (CRR)</w:t>
      </w:r>
      <w:r>
        <w:rPr>
          <w:rStyle w:val="FootnoteTextChar"/>
        </w:rPr>
        <w:t xml:space="preserve"> and </w:t>
      </w:r>
      <w:r w:rsidRPr="00661D5F">
        <w:rPr>
          <w:rStyle w:val="FootnoteTextChar"/>
        </w:rPr>
        <w:t>MiFID</w:t>
      </w:r>
      <w:r>
        <w:rPr>
          <w:rStyle w:val="FootnoteTextChar"/>
        </w:rPr>
        <w:t xml:space="preserve"> - </w:t>
      </w:r>
      <w:r w:rsidRPr="00614C7A">
        <w:rPr>
          <w:rStyle w:val="FootnoteTextChar"/>
        </w:rPr>
        <w:t>Directive 2014/65/EU on markets in financial instruments</w:t>
      </w:r>
      <w:r>
        <w:rPr>
          <w:rStyle w:val="FootnoteTextCh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A186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2A5B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fpGizdGrCwtbR478DCxEO5mnGk=" w:salt="86RQcmYaU+W3sIUlgxX43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1E2E"/>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5AC0"/>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159"/>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04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73FA"/>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43A6"/>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30EF"/>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ABB"/>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761"/>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5:docId w15:val="{1439EDA3-AA37-4ACB-A302-48EC1105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21C5-F1AE-4F07-8D4B-3DCD5B50AD43}">
  <ds:schemaRefs>
    <ds:schemaRef ds:uri="http://schemas.openxmlformats.org/officeDocument/2006/bibliography"/>
  </ds:schemaRefs>
</ds:datastoreItem>
</file>

<file path=customXml/itemProps2.xml><?xml version="1.0" encoding="utf-8"?>
<ds:datastoreItem xmlns:ds="http://schemas.openxmlformats.org/officeDocument/2006/customXml" ds:itemID="{2FC8E12C-9B0E-4EC4-B7A5-4CFAC7C6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F409B973</Template>
  <TotalTime>0</TotalTime>
  <Pages>10</Pages>
  <Words>3958</Words>
  <Characters>22565</Characters>
  <Application>Microsoft Office Word</Application>
  <DocSecurity>8</DocSecurity>
  <Lines>188</Lines>
  <Paragraphs>52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26471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Johannes Woelfing</cp:lastModifiedBy>
  <cp:revision>2</cp:revision>
  <cp:lastPrinted>2015-02-18T11:01:00Z</cp:lastPrinted>
  <dcterms:created xsi:type="dcterms:W3CDTF">2015-10-23T10:02:00Z</dcterms:created>
  <dcterms:modified xsi:type="dcterms:W3CDTF">2015-10-23T10:02:00Z</dcterms:modified>
</cp:coreProperties>
</file>