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w:t>
      </w:r>
      <w:r w:rsidR="00F574D0" w:rsidRPr="00EF0769">
        <w:rPr>
          <w:rFonts w:cs="Arial"/>
        </w:rPr>
        <w:t>e</w:t>
      </w:r>
      <w:r w:rsidR="00F574D0" w:rsidRPr="00EF0769">
        <w:rPr>
          <w:rFonts w:cs="Arial"/>
        </w:rPr>
        <w:t>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0" w:edGrp="everyone" w:colFirst="1" w:colLast="1"/>
            <w:r w:rsidRPr="00AB6D88">
              <w:rPr>
                <w:rFonts w:cs="Arial"/>
              </w:rPr>
              <w:t>Name of the company / organisation</w:t>
            </w:r>
          </w:p>
        </w:tc>
        <w:sdt>
          <w:sdtPr>
            <w:rPr>
              <w:rStyle w:val="Platshllartext"/>
              <w:rFonts w:cs="Arial"/>
            </w:rPr>
            <w:id w:val="-1905066999"/>
            <w:text/>
          </w:sdtPr>
          <w:sdtContent>
            <w:permStart w:id="1" w:edGrp="everyone" w:displacedByCustomXml="prev"/>
            <w:tc>
              <w:tcPr>
                <w:tcW w:w="5595" w:type="dxa"/>
                <w:shd w:val="clear" w:color="auto" w:fill="auto"/>
              </w:tcPr>
              <w:p w:rsidR="00D34282" w:rsidRPr="00AB6D88" w:rsidRDefault="00D62202" w:rsidP="00780134">
                <w:pPr>
                  <w:rPr>
                    <w:rStyle w:val="Platshllartext"/>
                    <w:rFonts w:cs="Arial"/>
                  </w:rPr>
                </w:pPr>
                <w:r>
                  <w:rPr>
                    <w:rStyle w:val="Platshllartext"/>
                    <w:rFonts w:cs="Arial"/>
                  </w:rPr>
                  <w:t xml:space="preserve">Swedish Investment </w:t>
                </w:r>
                <w:r w:rsidR="00780134">
                  <w:rPr>
                    <w:rStyle w:val="Platshllartext"/>
                    <w:rFonts w:cs="Arial"/>
                  </w:rPr>
                  <w:t>Association (SIFA)</w:t>
                </w:r>
              </w:p>
            </w:tc>
            <w:permEnd w:id="1"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8F6BA0"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 w:edGrp="everyone"/>
                <w:r w:rsidR="00D62202">
                  <w:rPr>
                    <w:rFonts w:cs="Arial"/>
                  </w:rPr>
                  <w:t>Investment Services</w:t>
                </w:r>
                <w:permEnd w:id="3"/>
              </w:sdtContent>
            </w:sdt>
          </w:p>
        </w:tc>
      </w:tr>
      <w:tr w:rsidR="00D34282" w:rsidRPr="00AB6D88" w:rsidTr="001F03CA">
        <w:tc>
          <w:tcPr>
            <w:tcW w:w="3929" w:type="dxa"/>
            <w:shd w:val="clear" w:color="auto" w:fill="auto"/>
          </w:tcPr>
          <w:p w:rsidR="00D34282" w:rsidRPr="00AB6D88" w:rsidRDefault="00D34282" w:rsidP="001F03CA">
            <w:pPr>
              <w:rPr>
                <w:rFonts w:cs="Arial"/>
              </w:rPr>
            </w:pPr>
            <w:permStart w:id="4"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D62202"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5" w:edGrp="everyone" w:colFirst="1" w:colLast="1"/>
            <w:permEnd w:id="4"/>
            <w:r w:rsidRPr="00AB6D88">
              <w:rPr>
                <w:rFonts w:cs="Arial"/>
              </w:rPr>
              <w:t>Country/Region</w:t>
            </w:r>
          </w:p>
        </w:tc>
        <w:permStart w:id="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7" w:edGrp="everyone" w:displacedByCustomXml="prev"/>
            <w:tc>
              <w:tcPr>
                <w:tcW w:w="5595" w:type="dxa"/>
                <w:shd w:val="clear" w:color="auto" w:fill="auto"/>
              </w:tcPr>
              <w:p w:rsidR="00D34282" w:rsidRPr="00AB6D88" w:rsidRDefault="00D62202" w:rsidP="001F03CA">
                <w:pPr>
                  <w:rPr>
                    <w:rFonts w:cs="Arial"/>
                  </w:rPr>
                </w:pPr>
                <w:r>
                  <w:rPr>
                    <w:rFonts w:cs="Arial"/>
                  </w:rPr>
                  <w:t>Sweden</w:t>
                </w:r>
              </w:p>
            </w:tc>
            <w:permEnd w:id="7" w:displacedByCustomXml="next"/>
          </w:sdtContent>
        </w:sdt>
        <w:permEnd w:id="6" w:displacedByCustomXml="prev"/>
      </w:tr>
      <w:permEnd w:id="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Rubrik1"/>
        <w:numPr>
          <w:ilvl w:val="0"/>
          <w:numId w:val="0"/>
        </w:numPr>
        <w:ind w:left="431" w:hanging="431"/>
      </w:pPr>
      <w:r>
        <w:t>Introduction</w:t>
      </w:r>
    </w:p>
    <w:p w:rsidR="00D34282" w:rsidRPr="001D47A5" w:rsidRDefault="00D34282" w:rsidP="00D34282">
      <w:pPr>
        <w:rPr>
          <w:rStyle w:val="Starkbetoning"/>
        </w:rPr>
      </w:pPr>
      <w:r w:rsidRPr="001D47A5">
        <w:rPr>
          <w:rStyle w:val="Starkbetoning"/>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D34282" w:rsidRDefault="00D34282" w:rsidP="00D34282">
      <w:permStart w:id="8" w:edGrp="everyone"/>
      <w:r>
        <w:t>TYPE YOUR TEXT HERE</w:t>
      </w:r>
    </w:p>
    <w:permEnd w:id="8"/>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w:t>
      </w:r>
      <w:r w:rsidR="0075015C">
        <w:t>n</w:t>
      </w:r>
      <w:r w:rsidR="0075015C">
        <w:t>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compliance impacts and costs (one-off and ongoing costs, encompassing techn</w:t>
      </w:r>
      <w:r>
        <w:t>o</w:t>
      </w:r>
      <w:r>
        <w:t xml:space="preserve">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w:t>
      </w:r>
      <w:r w:rsidRPr="00081148">
        <w:t>i</w:t>
      </w:r>
      <w:r w:rsidRPr="00081148">
        <w:t>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w:t>
      </w:r>
      <w:r>
        <w:t>x</w:t>
      </w:r>
      <w:r>
        <w:t>planation of the methodology applied for their estimation and provided separately, if possible, for the four listed aspects.</w:t>
      </w:r>
    </w:p>
    <w:p w:rsidR="0075015C" w:rsidRDefault="0075015C" w:rsidP="0075015C">
      <w:r>
        <w:t>&lt;ESMA_QUESTION_UCITS_V_AIMFD_REM_1&gt;</w:t>
      </w:r>
    </w:p>
    <w:p w:rsidR="00D62202" w:rsidRPr="00A62897" w:rsidRDefault="00D62202" w:rsidP="006E1DDB">
      <w:permStart w:id="9" w:edGrp="everyone"/>
      <w:r w:rsidRPr="00A62897">
        <w:t xml:space="preserve">SIFA agrees with ESMA’s approach on proportionality and would like to stress that the possibility to apply the remuneration principles in a proportionate manner, as stated in Article 14a(4) of the UCITS V and mirrored by the AIFMD remuneration guidelines is highly important in order to limit the administrative burden and costs, especially for those asset management companies that are small in size, have an uncomplicated internal organization or  whose activities are </w:t>
      </w:r>
      <w:proofErr w:type="spellStart"/>
      <w:r w:rsidRPr="00A62897">
        <w:t>uncomplex</w:t>
      </w:r>
      <w:proofErr w:type="spellEnd"/>
      <w:r w:rsidRPr="00A62897">
        <w:t xml:space="preserve"> in other ways. </w:t>
      </w:r>
    </w:p>
    <w:p w:rsidR="00D62202" w:rsidRPr="00A62897" w:rsidRDefault="00D62202" w:rsidP="006E1DDB"/>
    <w:p w:rsidR="00D62202" w:rsidRPr="00A62897" w:rsidRDefault="00D62202" w:rsidP="006E1DDB">
      <w:r w:rsidRPr="00A62897">
        <w:t>The variety of companies performing UCITS or AIFMD services is wide. Some companies are large in size and their asset management strategies are often complex. Others are small or independent, without resources on a group level to benefit from. The costs and administrative burdens for these companies to, by default, comply with all remuneration rules would be disproportionate</w:t>
      </w:r>
      <w:r w:rsidRPr="00BF4500">
        <w:rPr>
          <w:strike/>
        </w:rPr>
        <w:t xml:space="preserve"> </w:t>
      </w:r>
      <w:r w:rsidRPr="00A62897">
        <w:t xml:space="preserve">considering the purpose of the remuneration rules. </w:t>
      </w:r>
    </w:p>
    <w:p w:rsidR="00D62202" w:rsidRPr="00A62897" w:rsidRDefault="00D62202" w:rsidP="006E1DDB"/>
    <w:p w:rsidR="00D62202" w:rsidRPr="00A62897" w:rsidRDefault="00D62202" w:rsidP="006E1DDB">
      <w:r w:rsidRPr="00A62897">
        <w:t>The alternative to ESMA’s approach, i.e., requiring all asset management companies – regardless of their size or internal organisation or the nature, scope and complexity of their activities – to comply with every single remuneration principle set out in the UCITS V, would entail serious difficulties for smaller asset</w:t>
      </w:r>
      <w:r w:rsidRPr="00A62897">
        <w:rPr>
          <w:u w:val="single"/>
        </w:rPr>
        <w:t xml:space="preserve"> </w:t>
      </w:r>
      <w:r w:rsidRPr="00A62897">
        <w:lastRenderedPageBreak/>
        <w:t>management companies and unnecessary costs and administrative burdens for all. Such alternative interpretation, currently advocated by the EBA, would also be in direct conflict with the legislative intention as clearly stated in Recitals 3 and 9 of the UCITS V.</w:t>
      </w:r>
    </w:p>
    <w:p w:rsidR="00D62202" w:rsidRPr="00A62897" w:rsidRDefault="00D62202" w:rsidP="006E1DDB"/>
    <w:p w:rsidR="00D62202" w:rsidRPr="00166913" w:rsidRDefault="00D62202" w:rsidP="006E1DDB">
      <w:pPr>
        <w:rPr>
          <w:strike/>
        </w:rPr>
      </w:pPr>
      <w:r w:rsidRPr="00A62897">
        <w:t>SIFA agrees with ESMA that the situation for CRD companies is not comparable with asset management companies. CRD companies perform services with a quite different risk profile.</w:t>
      </w:r>
      <w:r w:rsidRPr="00166913">
        <w:rPr>
          <w:strike/>
        </w:rPr>
        <w:t xml:space="preserve"> </w:t>
      </w:r>
      <w:r w:rsidRPr="00A62897">
        <w:t xml:space="preserve">Some asset management </w:t>
      </w:r>
      <w:r w:rsidRPr="00BF4500">
        <w:t>compan</w:t>
      </w:r>
      <w:r w:rsidRPr="00BF4500">
        <w:rPr>
          <w:strike/>
        </w:rPr>
        <w:t>i</w:t>
      </w:r>
      <w:r w:rsidRPr="00BF4500">
        <w:t>es</w:t>
      </w:r>
      <w:r w:rsidRPr="00A62897">
        <w:t xml:space="preserve"> perform very straight forward simple services where it would only make sense to disapply some of the rules.</w:t>
      </w:r>
      <w:r w:rsidRPr="00166913">
        <w:rPr>
          <w:strike/>
        </w:rPr>
        <w:t xml:space="preserve"> </w:t>
      </w:r>
      <w:r w:rsidRPr="00A62897">
        <w:t xml:space="preserve">Therefore it is reasonable to take another stand on the application of proportionality. </w:t>
      </w:r>
    </w:p>
    <w:p w:rsidR="00D62202" w:rsidRPr="00A62897" w:rsidRDefault="00D62202" w:rsidP="006E1DDB"/>
    <w:p w:rsidR="00D62202" w:rsidRDefault="00D62202" w:rsidP="006E1DDB">
      <w:r w:rsidRPr="00A62897">
        <w:t xml:space="preserve">SIFA agrees that where it is reconcilable with the risk profile etc. the principle of proportionality should lead to disapplication of some of the requirements. SIFA would however propose one clarification. In points 23 and 26 of the guidelines ESMA concludes that where no disapplication of a requirement is possible, there should be no variation to the general application of such requirements. SIFA understands that when the management company does not pass the proportionality test for the disapplication of the requirement it has to apply the requirement in its entirety. </w:t>
      </w:r>
      <w:r>
        <w:t xml:space="preserve">However, </w:t>
      </w:r>
      <w:r w:rsidRPr="00A62897">
        <w:t>SIFA urges ESMA to consider the introduction of</w:t>
      </w:r>
      <w:r w:rsidRPr="00166913">
        <w:t xml:space="preserve"> </w:t>
      </w:r>
      <w:r w:rsidRPr="00A62897">
        <w:t xml:space="preserve">thresholds </w:t>
      </w:r>
      <w:r>
        <w:t xml:space="preserve">for </w:t>
      </w:r>
      <w:r w:rsidRPr="00A62897">
        <w:t xml:space="preserve">triggering </w:t>
      </w:r>
      <w:r>
        <w:t xml:space="preserve">the </w:t>
      </w:r>
      <w:r w:rsidRPr="00A62897">
        <w:t xml:space="preserve">application of certain rules. Such thresholds have </w:t>
      </w:r>
      <w:r w:rsidRPr="00BF4500">
        <w:t>already</w:t>
      </w:r>
      <w:r w:rsidRPr="00A62897">
        <w:t xml:space="preserve"> been set by various supervisory authorities under the CRD </w:t>
      </w:r>
      <w:r>
        <w:t xml:space="preserve">III </w:t>
      </w:r>
      <w:r w:rsidRPr="00A62897">
        <w:t>remuneration framework</w:t>
      </w:r>
      <w:r>
        <w:t>. For instance, thresholds for the application of the deferral requirement have been introduced</w:t>
      </w:r>
      <w:r w:rsidRPr="00A62897">
        <w:t xml:space="preserve"> and </w:t>
      </w:r>
      <w:r>
        <w:t xml:space="preserve">these thresholds </w:t>
      </w:r>
      <w:r w:rsidRPr="00A62897">
        <w:t>currently range between EUR 15 000 to EUR 100 000, depending on the country. SIFA is of the opinion that it would be beneficial to apply one threshold throughout the whole of the EU/EEA, e.g. a threshold of EUR 100 000, in order to ensure a level playing field between countries and business sectors</w:t>
      </w:r>
      <w:r w:rsidRPr="00BF4500">
        <w:t>.</w:t>
      </w:r>
      <w:r>
        <w:t xml:space="preserve"> </w:t>
      </w:r>
      <w:r w:rsidRPr="00A62897">
        <w:t xml:space="preserve">It should </w:t>
      </w:r>
      <w:r>
        <w:t>also</w:t>
      </w:r>
      <w:r w:rsidRPr="00A62897">
        <w:t xml:space="preserve"> be made clear that when the management company passes the proportionality test for the disapplication of the requir</w:t>
      </w:r>
      <w:r w:rsidRPr="00A62897">
        <w:t>e</w:t>
      </w:r>
      <w:r w:rsidRPr="00A62897">
        <w:t xml:space="preserve">ment </w:t>
      </w:r>
      <w:r>
        <w:t xml:space="preserve">to apply the UCITS V remuneration provisions </w:t>
      </w:r>
      <w:r w:rsidRPr="00A62897">
        <w:t xml:space="preserve">it is not prevented from -  on a voluntary basis – for example </w:t>
      </w:r>
      <w:r w:rsidRPr="000A6DE9">
        <w:t>paying</w:t>
      </w:r>
      <w:r w:rsidRPr="00A62897">
        <w:t xml:space="preserve"> part of the remuneration in fund units. The rationale being that when a requirement is not applicable the applier must have the discretion to choose how to act.    </w:t>
      </w:r>
    </w:p>
    <w:p w:rsidR="00D62202" w:rsidRDefault="00D62202" w:rsidP="006E1DDB"/>
    <w:p w:rsidR="00D62202" w:rsidRDefault="00D62202" w:rsidP="006E1DDB">
      <w:r>
        <w:t>Additionally, SIFA would like to comment on the strict interpretation of the right to disapply the requirement to set up a remuneration committee under 11.2 of the guidelines. According to the guideline all companies for which the portfolios of UCITS they manage exceed EUR 1.25 billion and have more than 50 emplo</w:t>
      </w:r>
      <w:r>
        <w:t>y</w:t>
      </w:r>
      <w:r>
        <w:t xml:space="preserve">ees are considered significant in size. Even if it might be possible to disapply the rule for other reasons it is still unreasonable to consider fund companies significant if they manage 1.25 billion. </w:t>
      </w:r>
      <w:r w:rsidRPr="00643D17">
        <w:t>The ESMA pr</w:t>
      </w:r>
      <w:r w:rsidRPr="00643D17">
        <w:t>o</w:t>
      </w:r>
      <w:r w:rsidRPr="00643D17">
        <w:t>posal is disproportionate compared to what applies according to the CRD remuneration rules. Under the CRD remuneration rules the Swedish FSA has identified in total 4 firms as being “significant”. Consider</w:t>
      </w:r>
      <w:r w:rsidRPr="00643D17">
        <w:t>a</w:t>
      </w:r>
      <w:r w:rsidRPr="00643D17">
        <w:t>bly more management companies could be classified as “significant” due to ESMA’s proposal. EBA has proposed that “significant institutions” should be institutions referred to in Article 131 of CRD (global sy</w:t>
      </w:r>
      <w:r w:rsidRPr="00643D17">
        <w:t>s</w:t>
      </w:r>
      <w:r w:rsidRPr="00643D17">
        <w:t>temically important institutions or ‘G-SIIs’, and other systemically important institutions or ‘ O-SIIs’), and, as appropriate, other institutions determined by the competent authority, based on an assessment of the institutions’ size, internal organisation and the nature, the scope and the complexity of their activities. In order to achieve a level playing field the thresholds proposed by ESMA should be raised significantly. SIFA proposes that the thresholds should be set at EUR 50 billion and 100 employees.</w:t>
      </w:r>
    </w:p>
    <w:p w:rsidR="00D62202" w:rsidRDefault="00D62202" w:rsidP="006E1DDB"/>
    <w:p w:rsidR="0075015C" w:rsidRDefault="00D62202" w:rsidP="0075015C">
      <w:r>
        <w:t>Finally, a proportionate application of the UCITS V remuneration principles is important also as relates to requirements imposed on delegates, as otherwise; this may lead to a reduction of delegation and cons</w:t>
      </w:r>
      <w:r>
        <w:t>e</w:t>
      </w:r>
      <w:r>
        <w:t>quently a notable reduction of the UCITS product offering. Also, unless proportionality can be argued, this would most likely render delegation much more expe</w:t>
      </w:r>
      <w:r>
        <w:t>n</w:t>
      </w:r>
      <w:r>
        <w:t>sive</w:t>
      </w:r>
      <w:permEnd w:id="9"/>
      <w:r w:rsidR="0075015C">
        <w:t>&lt;ESMA_QUESTION_UCITS_V_AIMFD_REM_1&gt;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t>&lt;ESMA_QUESTION_UCITS_V_AIMFD_REM_2&gt;</w:t>
      </w:r>
    </w:p>
    <w:p w:rsidR="00B12E4D" w:rsidRPr="00F92C3A" w:rsidRDefault="00B12E4D" w:rsidP="00B12E4D">
      <w:permStart w:id="10" w:edGrp="everyone"/>
      <w:r w:rsidRPr="00F92C3A">
        <w:t>SIFA agrees</w:t>
      </w:r>
      <w:r>
        <w:t xml:space="preserve"> but </w:t>
      </w:r>
      <w:r w:rsidRPr="00643D17">
        <w:t>would like a clarification that the definition of performance fee is limited to the specific UCITS remuneration rules to avoid uncertainty. Also SIFA would like further guidance to what ESMA means by “made directly” in the definition.</w:t>
      </w:r>
    </w:p>
    <w:permEnd w:id="10"/>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75015C" w:rsidRDefault="00B12E4D" w:rsidP="0075015C">
      <w:permStart w:id="11" w:edGrp="everyone"/>
      <w:r w:rsidRPr="00B12E4D">
        <w:t xml:space="preserve"> </w:t>
      </w:r>
      <w:r w:rsidRPr="00F92C3A">
        <w:t>No, we do not see any overlap</w:t>
      </w:r>
    </w:p>
    <w:permEnd w:id="11"/>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Please explain how services subject to different sectoral remuneration principles are pe</w:t>
      </w:r>
      <w:r w:rsidRPr="00736B0C">
        <w:t>r</w:t>
      </w:r>
      <w:r w:rsidRPr="00736B0C">
        <w:t xml:space="preserve">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75015C" w:rsidRDefault="00B12E4D" w:rsidP="0075015C">
      <w:permStart w:id="12" w:edGrp="everyone"/>
      <w:r w:rsidRPr="00A62897">
        <w:t>Most</w:t>
      </w:r>
      <w:r w:rsidRPr="00BF4500">
        <w:t xml:space="preserve"> </w:t>
      </w:r>
      <w:r w:rsidRPr="00A62897">
        <w:t>of the SIFA members perform both UCITS and AIFMD services. Many also manage individual portf</w:t>
      </w:r>
      <w:r w:rsidRPr="00A62897">
        <w:t>o</w:t>
      </w:r>
      <w:r w:rsidRPr="00A62897">
        <w:t xml:space="preserve">lios. Employees of a management company will many times perform these services in parallel. Those different types of services could also be performed on the basis of delegation from another management company. </w:t>
      </w:r>
      <w:r>
        <w:t>Other types of employees that might be covered by different sectoral rules are the control functions and the CEO.</w:t>
      </w:r>
      <w:r w:rsidRPr="00F92C3A">
        <w:t>.</w:t>
      </w:r>
      <w:permEnd w:id="12"/>
      <w:r w:rsidR="0075015C">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433E09" w:rsidRPr="00A62897" w:rsidRDefault="00433E09" w:rsidP="00433E09">
      <w:permStart w:id="13" w:edGrp="everyone"/>
      <w:r w:rsidRPr="00A62897">
        <w:t>SIFA would favour a solution where the management company was allowed to choose between the ‘pro rata’ approach and the right to voluntarily opt for the rules deemed more effective. If the pro rata approach is not effective or raise</w:t>
      </w:r>
      <w:r w:rsidRPr="00A62897">
        <w:rPr>
          <w:u w:val="single"/>
        </w:rPr>
        <w:t>s</w:t>
      </w:r>
      <w:r w:rsidRPr="00A62897">
        <w:t xml:space="preserve"> difficulties</w:t>
      </w:r>
      <w:r w:rsidRPr="00A62897">
        <w:rPr>
          <w:u w:val="single"/>
        </w:rPr>
        <w:t>,</w:t>
      </w:r>
      <w:r w:rsidRPr="00A62897">
        <w:t xml:space="preserve"> the other approach would be selected. This could be the case – for example when a pro rata calculation does not take into account the overall risk profile of the company or cannot be made due to the employee not being employed a sufficiently long time or where one task is not significant enough to be calculated. </w:t>
      </w:r>
    </w:p>
    <w:permEnd w:id="13"/>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w:t>
      </w:r>
      <w:r w:rsidRPr="00736B0C">
        <w:t>m</w:t>
      </w:r>
      <w:r w:rsidRPr="00736B0C">
        <w:t>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433E09" w:rsidRPr="00A62897" w:rsidRDefault="00433E09" w:rsidP="00433E09">
      <w:permStart w:id="14" w:edGrp="everyone"/>
      <w:r w:rsidRPr="00A62897">
        <w:t>Yes, SIFA would favour a right to choose between the pro rata approach and an approach where it is possible to voluntarily use the sectoral rules that are more appropriate. As has been explained above, the businesses covered by the guidelines are very diverse and can encompass companies with a few e</w:t>
      </w:r>
      <w:r w:rsidRPr="00A62897">
        <w:t>m</w:t>
      </w:r>
      <w:r w:rsidRPr="00A62897">
        <w:t xml:space="preserve">ployees performing several tasks, or big companies with a large number of employees. </w:t>
      </w:r>
    </w:p>
    <w:p w:rsidR="00433E09" w:rsidRPr="00A62897" w:rsidRDefault="00433E09" w:rsidP="00433E09"/>
    <w:p w:rsidR="00433E09" w:rsidRPr="00A62897" w:rsidRDefault="00433E09" w:rsidP="00433E09">
      <w:r w:rsidRPr="00A62897">
        <w:t>According to ESMA’s suggested guidelines, an asset management company having opted to apply the remuneration rules which are deemed more effective – will be obliged to apply the sector specific rules where there is a conflict between these rules. It is, however; somewhat unclear which UCITS V specific rules, other than the requirement to award instruments in shares/units of UCITS, will be deemed “in co</w:t>
      </w:r>
      <w:r w:rsidRPr="00A62897">
        <w:t>n</w:t>
      </w:r>
      <w:r w:rsidRPr="00A62897">
        <w:t xml:space="preserve">flict” with e.g. the CRD remuneration rules. Having regard to the underlying reason for requiring part of </w:t>
      </w:r>
      <w:r w:rsidRPr="00A62897">
        <w:lastRenderedPageBreak/>
        <w:t>variable remuneration awards to be in shares/units of UCITS, it could be argued that all other rules in other sectoral legislation which may trigger a misalignment of interest should also be deemed in conflict with the UCITS V specific rules. Against this backdrop SIFA welcomes further guidance as to the test to be made by asset management companies when assessing whether or not a rule contained in other sector specific legislation should be deemed in conflict with the UCITS V specific rules. The remuneration principles under CRD, the UCITS Directive and AIFMD respectively are in major parts similar. It is difficult to see the rationale behind being able to use one set of principles if the different sectoral principles – in all parts where they are not similar – would still have to be used.</w:t>
      </w:r>
    </w:p>
    <w:permEnd w:id="14"/>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Dire</w:t>
      </w:r>
      <w:r w:rsidRPr="00736B0C">
        <w:t>c</w:t>
      </w:r>
      <w:r w:rsidRPr="00736B0C">
        <w:t>tive or under Article 6(4) of the AIFMD by personnel of a management company or an AIFM should be subject to the remuneration principles under the UCITS Directive or AIFMD, as applicable? Or do you consider that that MiFID ancillary services do not represent portfolio/risk management types of activities (Annex I of the AIFMD) nor investment management activities (Annex II of the UCITS D</w:t>
      </w:r>
      <w:r w:rsidRPr="00736B0C">
        <w:t>i</w:t>
      </w:r>
      <w:r w:rsidRPr="00736B0C">
        <w:t>rective) and should not be covered by the rules under Article 14b of the UCITS Directive and Annex II of the AIFMD which specifically refer to the UCITS/AIFs that a UCITS/AIFM manages? Please e</w:t>
      </w:r>
      <w:r w:rsidRPr="00736B0C">
        <w:t>x</w:t>
      </w:r>
      <w:r w:rsidRPr="00736B0C">
        <w:t>plain the reasons of your response.</w:t>
      </w:r>
    </w:p>
    <w:p w:rsidR="0075015C" w:rsidRDefault="0075015C" w:rsidP="0075015C">
      <w:r>
        <w:t>&lt;ESMA_QUESTION_UCITS_V_AIMFD_REM_7&gt;</w:t>
      </w:r>
    </w:p>
    <w:p w:rsidR="00433E09" w:rsidRPr="00A62897" w:rsidRDefault="00433E09" w:rsidP="006E1DDB">
      <w:permStart w:id="15" w:edGrp="everyone"/>
      <w:r w:rsidRPr="00A62897">
        <w:t>SIFA agree</w:t>
      </w:r>
      <w:r w:rsidRPr="00BF4500">
        <w:t>s</w:t>
      </w:r>
      <w:r w:rsidRPr="00A62897">
        <w:t xml:space="preserve"> that UCITS or AIFMD remuneration principles, as applicable, should be enough for those employees performing also MiFID ancillary services under the UCITS Directive and AIFMD respectively. The MiFID ancillary services that UCITS and AIF managers could be authorised to perform represent the same type of risks that are addressed in the UCITS and AIFMD remuneration rules.</w:t>
      </w:r>
      <w:r w:rsidRPr="00BF4500">
        <w:t xml:space="preserve"> </w:t>
      </w:r>
    </w:p>
    <w:p w:rsidR="00433E09" w:rsidRPr="00A62897" w:rsidRDefault="00433E09" w:rsidP="006E1DDB"/>
    <w:p w:rsidR="0075015C" w:rsidRDefault="00433E09" w:rsidP="0075015C">
      <w:r w:rsidRPr="00A62897">
        <w:t xml:space="preserve">SIFA would also like to make a few requests for clarification of the statements made under Section 6.4 – Application of the rules to delegates. ESMA states that if entities to </w:t>
      </w:r>
      <w:r w:rsidRPr="00BF4500">
        <w:t>which</w:t>
      </w:r>
      <w:r w:rsidRPr="00A62897">
        <w:t xml:space="preserve"> investment management activ</w:t>
      </w:r>
      <w:r w:rsidRPr="00A62897">
        <w:t>i</w:t>
      </w:r>
      <w:r w:rsidRPr="00A62897">
        <w:t>ties have been delegated are covered by regulatory requirements that are equally as effective, those requirements should be considered sufficient. SIFA is in favour of this approach but would like ESMA to clarify that the term “investment management activities” refers to the first indent of Annex II of the UCITS Directive, and does not include risk management or administration. SIFA would also like ESMA to clarify that MiFID rules are considered</w:t>
      </w:r>
      <w:r w:rsidRPr="00BF4500">
        <w:t xml:space="preserve"> </w:t>
      </w:r>
      <w:r w:rsidRPr="00A62897">
        <w:t xml:space="preserve">equally effective even though those rules might not require payments in the fund units actually managed by the delegate. It would also be welcome if ESMA could clarify in what cases contractual arrangements under b) are appropriate. </w:t>
      </w:r>
      <w:permEnd w:id="15"/>
      <w:r w:rsidR="0075015C">
        <w:t>&lt;ESMA_QUESTION_UCITS_V_AIMFD_REM_7&gt;</w:t>
      </w:r>
    </w:p>
    <w:p w:rsidR="0075015C" w:rsidRDefault="0075015C" w:rsidP="0075015C"/>
    <w:p w:rsidR="0075015C" w:rsidRDefault="0075015C" w:rsidP="0075015C">
      <w:pPr>
        <w:pStyle w:val="QuestionsFORM"/>
        <w:ind w:left="284" w:hanging="284"/>
      </w:pPr>
      <w:r w:rsidRPr="00736B0C">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w:t>
      </w:r>
      <w:r w:rsidRPr="00736B0C">
        <w:t>s</w:t>
      </w:r>
      <w:r w:rsidRPr="00736B0C">
        <w:t>agree, please propose an alternative approach and provide an appropriate justification.</w:t>
      </w:r>
    </w:p>
    <w:p w:rsidR="0075015C" w:rsidRDefault="0075015C" w:rsidP="0075015C">
      <w:r>
        <w:t>&lt;ESMA_QUESTION_UCITS_V_AIMFD_REM_8&gt;</w:t>
      </w:r>
    </w:p>
    <w:p w:rsidR="0075015C" w:rsidRDefault="00433E09" w:rsidP="0075015C">
      <w:permStart w:id="16" w:edGrp="everyone"/>
      <w:r w:rsidRPr="00A62897">
        <w:t>SIFA agrees with the ESMA proposal to look at the individual UCITS in relation to the total portfolio of UCITS funds managed by the management company. It is SIFAs opinion that there is no other way to interpret the directive</w:t>
      </w:r>
      <w:r w:rsidRPr="00166913">
        <w:rPr>
          <w:strike/>
        </w:rPr>
        <w:t xml:space="preserve">. </w:t>
      </w:r>
      <w:r w:rsidRPr="00A62897">
        <w:t xml:space="preserve">Companies with a large portfolio of many UCITS may be favoured by the text of the Directive but smaller companies may, on the other hand, under certain circumstances be exempted under the proportionality rules. </w:t>
      </w:r>
      <w:permEnd w:id="16"/>
      <w:r w:rsidR="0075015C">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 xml:space="preserve">uidelines? If yes, please provide details on which sections of the guidelines would deserve any transitional provisions and explain the reasons </w:t>
      </w:r>
      <w:r w:rsidRPr="00736B0C">
        <w:lastRenderedPageBreak/>
        <w:t>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433E09" w:rsidRPr="00A62897" w:rsidRDefault="00433E09" w:rsidP="006E1DDB">
      <w:permStart w:id="17" w:edGrp="everyone"/>
      <w:r w:rsidRPr="00A62897">
        <w:t xml:space="preserve">Management companies should be given reasonable time to implement the new remuneration rules. SIFA would favour the introduction of transitional rules comparable to those under the AIFMD remuneration guidelines. SIFA therefore suggests that the guidelines take effect as of 1 January 2017. </w:t>
      </w:r>
    </w:p>
    <w:p w:rsidR="00433E09" w:rsidRPr="00A62897" w:rsidRDefault="00433E09" w:rsidP="006E1DDB"/>
    <w:p w:rsidR="0075015C" w:rsidRDefault="00433E09" w:rsidP="0075015C">
      <w:r w:rsidRPr="00A62897">
        <w:t>Furthermore, it should be clarified that the remuneration rules do not apply retroactively and that ma</w:t>
      </w:r>
      <w:r w:rsidRPr="00A62897">
        <w:t>n</w:t>
      </w:r>
      <w:r w:rsidRPr="00A62897">
        <w:t>agement companies will not be obliged to re-negotiate existing co</w:t>
      </w:r>
      <w:r w:rsidRPr="00A62897">
        <w:t>n</w:t>
      </w:r>
      <w:r w:rsidRPr="00A62897">
        <w:t>tracts.</w:t>
      </w:r>
      <w:permEnd w:id="17"/>
      <w:r w:rsidR="0075015C">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75015C" w:rsidRDefault="00433E09" w:rsidP="0075015C">
      <w:permStart w:id="18" w:edGrp="everyone"/>
      <w:r>
        <w:t>No comment</w:t>
      </w:r>
    </w:p>
    <w:permEnd w:id="18"/>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w:t>
      </w:r>
      <w:r w:rsidRPr="002828A1">
        <w:rPr>
          <w:rFonts w:ascii="Arial" w:eastAsia="Times New Roman" w:hAnsi="Arial" w:cs="Times New Roman"/>
        </w:rPr>
        <w:t>o</w:t>
      </w:r>
      <w:r w:rsidRPr="002828A1">
        <w:rPr>
          <w:rFonts w:ascii="Arial" w:eastAsia="Times New Roman" w:hAnsi="Arial" w:cs="Times New Roman"/>
        </w:rPr>
        <w:t>vide any available quantitative data on the one-off and ongoing costs that the proposal would imply.</w:t>
      </w:r>
    </w:p>
    <w:p w:rsidR="0075015C" w:rsidRDefault="0075015C" w:rsidP="0075015C">
      <w:r>
        <w:t>&lt;ESMA_QUESTION_UCITS_V_AIMFD_REM_11&gt;</w:t>
      </w:r>
    </w:p>
    <w:p w:rsidR="0075015C" w:rsidRDefault="00433E09" w:rsidP="0075015C">
      <w:permStart w:id="19" w:edGrp="everyone"/>
      <w:r>
        <w:t>No comment</w:t>
      </w:r>
      <w:bookmarkStart w:id="3" w:name="_GoBack"/>
      <w:bookmarkEnd w:id="3"/>
    </w:p>
    <w:permEnd w:id="19"/>
    <w:p w:rsidR="0075015C" w:rsidRDefault="0075015C" w:rsidP="0075015C">
      <w:r>
        <w:t>&lt;ESMA_QUESTION_UCITS_V_AIMFD_REM_11&gt;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57" w:rsidRDefault="006F4C57">
      <w:r>
        <w:separator/>
      </w:r>
    </w:p>
    <w:p w:rsidR="006F4C57" w:rsidRDefault="006F4C57"/>
  </w:endnote>
  <w:endnote w:type="continuationSeparator" w:id="0">
    <w:p w:rsidR="006F4C57" w:rsidRDefault="006F4C57">
      <w:r>
        <w:continuationSeparator/>
      </w:r>
    </w:p>
    <w:p w:rsidR="006F4C57" w:rsidRDefault="006F4C57"/>
  </w:endnote>
  <w:endnote w:type="continuationNotice" w:id="1">
    <w:p w:rsidR="006F4C57" w:rsidRDefault="006F4C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F6BA0"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9779D5">
            <w:rPr>
              <w:rFonts w:cs="Arial"/>
              <w:noProof/>
              <w:sz w:val="22"/>
              <w:szCs w:val="22"/>
            </w:rPr>
            <w:t>4</w:t>
          </w:r>
          <w:r w:rsidRPr="00616B9B">
            <w:rPr>
              <w:rFonts w:cs="Arial"/>
              <w:noProof/>
              <w:sz w:val="22"/>
              <w:szCs w:val="22"/>
            </w:rPr>
            <w:fldChar w:fldCharType="end"/>
          </w:r>
        </w:p>
      </w:tc>
    </w:tr>
  </w:tbl>
  <w:p w:rsidR="00811EDA" w:rsidRDefault="00811EDA">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57" w:rsidRDefault="006F4C57">
      <w:r>
        <w:separator/>
      </w:r>
    </w:p>
    <w:p w:rsidR="006F4C57" w:rsidRDefault="006F4C57"/>
  </w:footnote>
  <w:footnote w:type="continuationSeparator" w:id="0">
    <w:p w:rsidR="006F4C57" w:rsidRDefault="006F4C57">
      <w:r>
        <w:continuationSeparator/>
      </w:r>
    </w:p>
    <w:p w:rsidR="006F4C57" w:rsidRDefault="006F4C57"/>
  </w:footnote>
  <w:footnote w:type="continuationNotice" w:id="1">
    <w:p w:rsidR="006F4C57" w:rsidRDefault="006F4C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8F6BA0">
      <w:rPr>
        <w:noProof/>
        <w:lang w:val="sv-SE" w:eastAsia="sv-SE"/>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8F6BA0">
    <w:pPr>
      <w:pStyle w:val="Sidhuvud"/>
    </w:pPr>
    <w:r>
      <w:rPr>
        <w:noProof/>
        <w:lang w:val="sv-SE" w:eastAsia="sv-SE"/>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val="sv-SE" w:eastAsia="sv-S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F01"/>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3E09"/>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4C57"/>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624"/>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134"/>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6BA0"/>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779D5"/>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2E4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202"/>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4ED8-AE00-4BC3-94F2-35FE254D586D}">
  <ds:schemaRefs>
    <ds:schemaRef ds:uri="http://schemas.openxmlformats.org/officeDocument/2006/bibliography"/>
  </ds:schemaRefs>
</ds:datastoreItem>
</file>

<file path=customXml/itemProps2.xml><?xml version="1.0" encoding="utf-8"?>
<ds:datastoreItem xmlns:ds="http://schemas.openxmlformats.org/officeDocument/2006/customXml" ds:itemID="{FD8AF87F-F430-4CCE-93B3-B4DF9521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3007</Words>
  <Characters>17051</Characters>
  <Application>Microsoft Office Word</Application>
  <DocSecurity>8</DocSecurity>
  <Lines>142</Lines>
  <Paragraphs>40</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20018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Lena Falk</cp:lastModifiedBy>
  <cp:revision>2</cp:revision>
  <cp:lastPrinted>2015-02-18T11:01:00Z</cp:lastPrinted>
  <dcterms:created xsi:type="dcterms:W3CDTF">2015-10-23T08:37:00Z</dcterms:created>
  <dcterms:modified xsi:type="dcterms:W3CDTF">2015-10-23T08:37:00Z</dcterms:modified>
</cp:coreProperties>
</file>