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8643A6" w:rsidP="00BF557C">
            <w:pPr>
              <w:pStyle w:val="00bDBInfo"/>
              <w:rPr>
                <w:rFonts w:cs="Arial"/>
              </w:rPr>
            </w:pPr>
            <w:r>
              <w:rPr>
                <w:rFonts w:cs="Arial"/>
              </w:rPr>
              <w:t>23 July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791EB4" w:rsidRPr="009A053D" w:rsidRDefault="009A053D" w:rsidP="009A053D">
            <w:pPr>
              <w:pStyle w:val="01aDBTitle"/>
              <w:rPr>
                <w:rFonts w:cs="Arial"/>
                <w:sz w:val="32"/>
              </w:rPr>
            </w:pPr>
            <w:r w:rsidRPr="009A053D">
              <w:rPr>
                <w:sz w:val="32"/>
              </w:rPr>
              <w:t>Guidelines on sound remuneration policies under the UCITS Directive and AIFMD</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8643A6">
            <w:pPr>
              <w:pStyle w:val="02Date"/>
              <w:rPr>
                <w:rFonts w:cs="Arial"/>
              </w:rPr>
            </w:pPr>
            <w:r w:rsidRPr="004E49B0">
              <w:rPr>
                <w:rFonts w:cs="Arial"/>
              </w:rPr>
              <w:lastRenderedPageBreak/>
              <w:t xml:space="preserve">Date: </w:t>
            </w:r>
            <w:r w:rsidR="008643A6">
              <w:rPr>
                <w:rFonts w:cs="Arial"/>
              </w:rPr>
              <w:t>23 July</w:t>
            </w:r>
            <w:r w:rsidR="004E49B0" w:rsidRPr="004E49B0">
              <w:rPr>
                <w:rFonts w:cs="Arial"/>
              </w:rPr>
              <w:t xml:space="preserve"> 201</w:t>
            </w:r>
            <w:r w:rsidR="003A5DAC">
              <w:rPr>
                <w:rFonts w:cs="Arial"/>
              </w:rPr>
              <w:t>5</w:t>
            </w:r>
          </w:p>
          <w:p w:rsidR="00404159" w:rsidRPr="004E49B0" w:rsidRDefault="00404159" w:rsidP="008643A6">
            <w:pPr>
              <w:pStyle w:val="02Date"/>
              <w:rPr>
                <w:rFonts w:cs="Arial"/>
              </w:rPr>
            </w:pPr>
            <w:r>
              <w:rPr>
                <w:rFonts w:cs="Arial"/>
              </w:rPr>
              <w:t>2015/ESMA/1210</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BF557C">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824EAF" w:rsidRPr="00824EAF">
        <w:rPr>
          <w:rFonts w:cs="Arial"/>
        </w:rPr>
        <w:t xml:space="preserve">Consultation Paper </w:t>
      </w:r>
      <w:r w:rsidR="00BF557C">
        <w:rPr>
          <w:rFonts w:cs="Arial"/>
        </w:rPr>
        <w:t>“</w:t>
      </w:r>
      <w:r w:rsidR="00824EAF" w:rsidRPr="00824EAF">
        <w:rPr>
          <w:rFonts w:cs="Arial"/>
        </w:rPr>
        <w:t>Guidelines on sound remuneration policies under the UCITS Directive and AIFMD</w:t>
      </w:r>
      <w:r w:rsidR="00BF557C">
        <w:rPr>
          <w:rFonts w:cs="Arial"/>
        </w:rPr>
        <w:t>”</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A10776">
        <w:t>UCITS_V_AIMFD_REM</w:t>
      </w:r>
      <w:r w:rsidR="00E9344E" w:rsidRPr="00EF0769">
        <w:rPr>
          <w:rFonts w:cs="Arial"/>
        </w:rPr>
        <w:t>_</w:t>
      </w:r>
      <w:r w:rsidR="00F574D0" w:rsidRPr="00EF0769">
        <w:rPr>
          <w:rFonts w:cs="Arial"/>
        </w:rPr>
        <w:t>1&gt; - i.e. the r</w:t>
      </w:r>
      <w:r w:rsidR="00F574D0" w:rsidRPr="00EF0769">
        <w:rPr>
          <w:rFonts w:cs="Arial"/>
        </w:rPr>
        <w:t>e</w:t>
      </w:r>
      <w:r w:rsidR="00F574D0" w:rsidRPr="00EF0769">
        <w:rPr>
          <w:rFonts w:cs="Arial"/>
        </w:rPr>
        <w:t>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bookmarkStart w:id="1" w:name="_GoBack"/>
      <w:r w:rsidRPr="00EF0769">
        <w:rPr>
          <w:rFonts w:cs="Arial"/>
        </w:rPr>
        <w:t>ESMA_</w:t>
      </w:r>
      <w:r w:rsidR="009252EC" w:rsidRPr="009252EC">
        <w:t xml:space="preserve"> </w:t>
      </w:r>
      <w:r w:rsidR="009252EC">
        <w:t>UCITS_V_AIMFD_REM</w:t>
      </w:r>
      <w:r w:rsidR="00332304">
        <w:rPr>
          <w:rFonts w:cs="Arial"/>
        </w:rPr>
        <w:t>_</w:t>
      </w:r>
      <w:r>
        <w:rPr>
          <w:rFonts w:cs="Arial"/>
        </w:rPr>
        <w:t>XXXX</w:t>
      </w:r>
      <w:r w:rsidR="00021E83" w:rsidRPr="00EF0769">
        <w:rPr>
          <w:rFonts w:cs="Arial"/>
        </w:rPr>
        <w:t>_REPLYFORM</w:t>
      </w:r>
      <w:bookmarkEnd w:id="1"/>
      <w:r w:rsidR="00021E83" w:rsidRPr="00EF0769">
        <w:rPr>
          <w:rFonts w:cs="Arial"/>
        </w:rPr>
        <w:t xml:space="preserve"> or </w:t>
      </w:r>
    </w:p>
    <w:p w:rsidR="000D17AA" w:rsidRPr="00EF0769" w:rsidRDefault="00BF557C" w:rsidP="000D17AA">
      <w:pPr>
        <w:pStyle w:val="04BodyText"/>
        <w:spacing w:before="120" w:after="120"/>
        <w:jc w:val="left"/>
        <w:rPr>
          <w:rFonts w:cs="Arial"/>
        </w:rPr>
      </w:pPr>
      <w:r w:rsidRPr="00EF0769">
        <w:rPr>
          <w:rFonts w:cs="Arial"/>
        </w:rPr>
        <w:t>ESMA_</w:t>
      </w:r>
      <w:r w:rsidR="009252EC" w:rsidRPr="009252EC">
        <w:t xml:space="preserve"> </w:t>
      </w:r>
      <w:r w:rsidR="009252EC">
        <w:t>UCITS_V_AIMFD_REM</w:t>
      </w:r>
      <w:r>
        <w:rPr>
          <w:rFonts w:cs="Arial"/>
        </w:rPr>
        <w:t>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F6E3E" w:rsidRPr="00BF6E3E">
        <w:rPr>
          <w:rFonts w:cs="Arial"/>
          <w:b/>
        </w:rPr>
        <w:t>23 October 2015</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ki"/>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ki"/>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Otsikk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1500057656" w:edGrp="everyone" w:colFirst="1" w:colLast="1"/>
            <w:r w:rsidRPr="00AB6D88">
              <w:rPr>
                <w:rFonts w:cs="Arial"/>
              </w:rPr>
              <w:t>Name of the company / organisation</w:t>
            </w:r>
          </w:p>
        </w:tc>
        <w:sdt>
          <w:sdtPr>
            <w:rPr>
              <w:rStyle w:val="Paikkamerkkiteksti"/>
              <w:rFonts w:cs="Arial"/>
            </w:rPr>
            <w:id w:val="-1905066999"/>
            <w:text/>
          </w:sdtPr>
          <w:sdtEndPr>
            <w:rPr>
              <w:rStyle w:val="Paikkamerkkiteksti"/>
            </w:rPr>
          </w:sdtEndPr>
          <w:sdtContent>
            <w:permStart w:id="678625407" w:edGrp="everyone" w:displacedByCustomXml="prev"/>
            <w:tc>
              <w:tcPr>
                <w:tcW w:w="5595" w:type="dxa"/>
                <w:shd w:val="clear" w:color="auto" w:fill="auto"/>
              </w:tcPr>
              <w:p w:rsidR="00D34282" w:rsidRPr="00AB6D88" w:rsidRDefault="0003026B" w:rsidP="0003026B">
                <w:pPr>
                  <w:rPr>
                    <w:rStyle w:val="Paikkamerkkiteksti"/>
                    <w:rFonts w:cs="Arial"/>
                  </w:rPr>
                </w:pPr>
                <w:r>
                  <w:rPr>
                    <w:rStyle w:val="Paikkamerkkiteksti"/>
                    <w:rFonts w:cs="Arial"/>
                  </w:rPr>
                  <w:t>Federation of Finnish Financial Services</w:t>
                </w:r>
              </w:p>
            </w:tc>
            <w:permEnd w:id="678625407"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642864507" w:edGrp="everyone" w:colFirst="1" w:colLast="1"/>
            <w:permEnd w:id="1500057656"/>
            <w:r w:rsidRPr="00AB6D88">
              <w:rPr>
                <w:rFonts w:cs="Arial"/>
              </w:rPr>
              <w:t>Activity</w:t>
            </w:r>
          </w:p>
        </w:tc>
        <w:tc>
          <w:tcPr>
            <w:tcW w:w="5595" w:type="dxa"/>
            <w:shd w:val="clear" w:color="auto" w:fill="auto"/>
          </w:tcPr>
          <w:p w:rsidR="00D34282" w:rsidRPr="00AB6D88" w:rsidRDefault="004D0A8B"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837173339" w:edGrp="everyone"/>
                <w:r w:rsidR="0003026B">
                  <w:rPr>
                    <w:rFonts w:cs="Arial"/>
                  </w:rPr>
                  <w:t>Other Financial service providers</w:t>
                </w:r>
                <w:permEnd w:id="837173339"/>
              </w:sdtContent>
            </w:sdt>
          </w:p>
        </w:tc>
      </w:tr>
      <w:tr w:rsidR="00D34282" w:rsidRPr="00AB6D88" w:rsidTr="001F03CA">
        <w:tc>
          <w:tcPr>
            <w:tcW w:w="3929" w:type="dxa"/>
            <w:shd w:val="clear" w:color="auto" w:fill="auto"/>
          </w:tcPr>
          <w:p w:rsidR="00D34282" w:rsidRPr="00AB6D88" w:rsidRDefault="00D34282" w:rsidP="001F03CA">
            <w:pPr>
              <w:rPr>
                <w:rFonts w:cs="Arial"/>
              </w:rPr>
            </w:pPr>
            <w:permStart w:id="544483771" w:edGrp="everyone" w:colFirst="1" w:colLast="1"/>
            <w:permEnd w:id="642864507"/>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rsidR="00D34282" w:rsidRPr="00AB6D88" w:rsidRDefault="0003026B"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883705384" w:edGrp="everyone" w:colFirst="1" w:colLast="1"/>
            <w:permEnd w:id="544483771"/>
            <w:r w:rsidRPr="00AB6D88">
              <w:rPr>
                <w:rFonts w:cs="Arial"/>
              </w:rPr>
              <w:t>Country/Region</w:t>
            </w:r>
          </w:p>
        </w:tc>
        <w:permStart w:id="961307799"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15838621" w:edGrp="everyone" w:displacedByCustomXml="prev"/>
            <w:tc>
              <w:tcPr>
                <w:tcW w:w="5595" w:type="dxa"/>
                <w:shd w:val="clear" w:color="auto" w:fill="auto"/>
              </w:tcPr>
              <w:p w:rsidR="00D34282" w:rsidRPr="00AB6D88" w:rsidRDefault="0003026B" w:rsidP="001F03CA">
                <w:pPr>
                  <w:rPr>
                    <w:rFonts w:cs="Arial"/>
                  </w:rPr>
                </w:pPr>
                <w:r>
                  <w:rPr>
                    <w:rFonts w:cs="Arial"/>
                  </w:rPr>
                  <w:t>Finland</w:t>
                </w:r>
              </w:p>
            </w:tc>
            <w:permEnd w:id="1115838621" w:displacedByCustomXml="next"/>
          </w:sdtContent>
        </w:sdt>
        <w:permEnd w:id="961307799" w:displacedByCustomXml="prev"/>
      </w:tr>
      <w:permEnd w:id="88370538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Otsikko1"/>
        <w:numPr>
          <w:ilvl w:val="0"/>
          <w:numId w:val="0"/>
        </w:numPr>
        <w:ind w:left="431" w:hanging="431"/>
      </w:pPr>
      <w:r>
        <w:t>Introduction</w:t>
      </w:r>
    </w:p>
    <w:p w:rsidR="00D34282" w:rsidRPr="001D47A5" w:rsidRDefault="00D34282" w:rsidP="00D34282">
      <w:pPr>
        <w:rPr>
          <w:rStyle w:val="Voimakaskorostus"/>
        </w:rPr>
      </w:pPr>
      <w:r w:rsidRPr="001D47A5">
        <w:rPr>
          <w:rStyle w:val="Voimakaskorostus"/>
        </w:rPr>
        <w:t>Please make your introductory comments below, if any:</w:t>
      </w:r>
    </w:p>
    <w:p w:rsidR="00AD7675" w:rsidRPr="008643A6" w:rsidRDefault="00AD7675" w:rsidP="00D34282"/>
    <w:p w:rsidR="00D34282" w:rsidRPr="00D61A37" w:rsidRDefault="00D34282" w:rsidP="00D34282">
      <w:pPr>
        <w:rPr>
          <w:lang w:val="fr-FR"/>
        </w:rPr>
      </w:pPr>
      <w:r w:rsidRPr="00D61A37">
        <w:rPr>
          <w:lang w:val="fr-FR"/>
        </w:rPr>
        <w:t>&lt;</w:t>
      </w:r>
      <w:r w:rsidR="00D61A37" w:rsidRPr="00D61A37">
        <w:rPr>
          <w:lang w:val="fr-FR"/>
        </w:rPr>
        <w:t>ESMA_COMMENT_UCITS_V_AIMFD_REM_1</w:t>
      </w:r>
      <w:r w:rsidRPr="00D61A37">
        <w:rPr>
          <w:lang w:val="fr-FR"/>
        </w:rPr>
        <w:t>&gt;</w:t>
      </w:r>
    </w:p>
    <w:p w:rsidR="00FD3126" w:rsidRDefault="00462A81" w:rsidP="00D34282">
      <w:pPr>
        <w:rPr>
          <w:lang w:val="en-US"/>
        </w:rPr>
      </w:pPr>
      <w:permStart w:id="217011879" w:edGrp="everyone"/>
      <w:r w:rsidRPr="00462A81">
        <w:rPr>
          <w:lang w:val="en-US"/>
        </w:rPr>
        <w:t xml:space="preserve">The Federation of Finnish Financial Services </w:t>
      </w:r>
      <w:r w:rsidR="00FD3126" w:rsidRPr="00462A81">
        <w:rPr>
          <w:lang w:val="en-US"/>
        </w:rPr>
        <w:t>represents</w:t>
      </w:r>
      <w:r w:rsidR="00FD3126">
        <w:rPr>
          <w:lang w:val="en-US"/>
        </w:rPr>
        <w:t xml:space="preserve"> widely</w:t>
      </w:r>
      <w:r w:rsidRPr="00462A81">
        <w:rPr>
          <w:lang w:val="en-US"/>
        </w:rPr>
        <w:t xml:space="preserve"> Finn</w:t>
      </w:r>
      <w:r w:rsidR="009F1576">
        <w:rPr>
          <w:lang w:val="en-US"/>
        </w:rPr>
        <w:t>i</w:t>
      </w:r>
      <w:r w:rsidRPr="00462A81">
        <w:rPr>
          <w:lang w:val="en-US"/>
        </w:rPr>
        <w:t xml:space="preserve">sh Financial industry. </w:t>
      </w:r>
      <w:r>
        <w:rPr>
          <w:lang w:val="en-US"/>
        </w:rPr>
        <w:t>In relation to investment management our memb</w:t>
      </w:r>
      <w:r w:rsidR="00FD3126">
        <w:rPr>
          <w:lang w:val="en-US"/>
        </w:rPr>
        <w:t>ers manage both UCITS and AIFs with the total AUM of 96</w:t>
      </w:r>
      <w:proofErr w:type="gramStart"/>
      <w:r w:rsidR="00FD3126">
        <w:rPr>
          <w:lang w:val="en-US"/>
        </w:rPr>
        <w:t>,2</w:t>
      </w:r>
      <w:proofErr w:type="gramEnd"/>
      <w:r w:rsidR="00FD3126">
        <w:rPr>
          <w:lang w:val="en-US"/>
        </w:rPr>
        <w:t xml:space="preserve"> billion euro.</w:t>
      </w:r>
    </w:p>
    <w:p w:rsidR="00FD3126" w:rsidRDefault="00FD3126" w:rsidP="00D34282">
      <w:pPr>
        <w:rPr>
          <w:lang w:val="en-US"/>
        </w:rPr>
      </w:pPr>
    </w:p>
    <w:p w:rsidR="00E257DC" w:rsidRDefault="00FD3126" w:rsidP="00D34282">
      <w:pPr>
        <w:rPr>
          <w:lang w:val="en-US"/>
        </w:rPr>
      </w:pPr>
      <w:r>
        <w:rPr>
          <w:lang w:val="en-US"/>
        </w:rPr>
        <w:t>Most of our members manage both AIFs and UCITS. Most of them also belong to financial groups inclu</w:t>
      </w:r>
      <w:r>
        <w:rPr>
          <w:lang w:val="en-US"/>
        </w:rPr>
        <w:t>d</w:t>
      </w:r>
      <w:r>
        <w:rPr>
          <w:lang w:val="en-US"/>
        </w:rPr>
        <w:t>ing other regulated entities (banks, insurance or MiFID firms).</w:t>
      </w:r>
      <w:r w:rsidR="00973F0B">
        <w:rPr>
          <w:lang w:val="en-US"/>
        </w:rPr>
        <w:t xml:space="preserve"> Of the 96</w:t>
      </w:r>
      <w:proofErr w:type="gramStart"/>
      <w:r w:rsidR="00973F0B">
        <w:rPr>
          <w:lang w:val="en-US"/>
        </w:rPr>
        <w:t>,2</w:t>
      </w:r>
      <w:proofErr w:type="gramEnd"/>
      <w:r w:rsidR="00973F0B">
        <w:rPr>
          <w:lang w:val="en-US"/>
        </w:rPr>
        <w:t xml:space="preserve"> billion of AUM about 70 % is managed by three biggest firms. This means that in practice there are a big number of small and medium size firms which are affected by the remuneration rules.</w:t>
      </w:r>
    </w:p>
    <w:p w:rsidR="00E257DC" w:rsidRDefault="00E257DC" w:rsidP="00D34282">
      <w:pPr>
        <w:rPr>
          <w:lang w:val="en-US"/>
        </w:rPr>
      </w:pPr>
    </w:p>
    <w:p w:rsidR="00E257DC" w:rsidRDefault="00E257DC" w:rsidP="00D34282">
      <w:pPr>
        <w:rPr>
          <w:lang w:val="en-US"/>
        </w:rPr>
      </w:pPr>
      <w:r>
        <w:rPr>
          <w:lang w:val="en-US"/>
        </w:rPr>
        <w:t xml:space="preserve">From this point of view we would like to stress the need for consistency between different remuneration rules in the EU and need for proportionality in applying the regulations. Without this the regulation bears the risk of favoring the biggest firms. We do </w:t>
      </w:r>
      <w:proofErr w:type="gramStart"/>
      <w:r>
        <w:rPr>
          <w:lang w:val="en-US"/>
        </w:rPr>
        <w:t>not see</w:t>
      </w:r>
      <w:proofErr w:type="gramEnd"/>
      <w:r>
        <w:rPr>
          <w:lang w:val="en-US"/>
        </w:rPr>
        <w:t xml:space="preserve"> this desirable neither from clients´ nor from stability point of view.</w:t>
      </w:r>
    </w:p>
    <w:p w:rsidR="00E257DC" w:rsidRDefault="00E257DC" w:rsidP="00D34282">
      <w:pPr>
        <w:rPr>
          <w:lang w:val="en-US"/>
        </w:rPr>
      </w:pPr>
    </w:p>
    <w:p w:rsidR="009F1576" w:rsidRDefault="00E257DC" w:rsidP="00D34282">
      <w:pPr>
        <w:rPr>
          <w:lang w:val="en-US"/>
        </w:rPr>
      </w:pPr>
      <w:r>
        <w:rPr>
          <w:lang w:val="en-US"/>
        </w:rPr>
        <w:t xml:space="preserve">Therefore we very much support ESMA`s views relating to proportionality and application of sectorial rules. </w:t>
      </w:r>
    </w:p>
    <w:p w:rsidR="000A5C41" w:rsidRDefault="000A5C41" w:rsidP="00D34282">
      <w:pPr>
        <w:rPr>
          <w:lang w:val="en-US"/>
        </w:rPr>
      </w:pPr>
    </w:p>
    <w:p w:rsidR="000A5C41" w:rsidRDefault="000A5C41" w:rsidP="00D34282">
      <w:pPr>
        <w:rPr>
          <w:lang w:val="en-US"/>
        </w:rPr>
      </w:pPr>
      <w:r>
        <w:rPr>
          <w:lang w:val="en-US"/>
        </w:rPr>
        <w:t xml:space="preserve">Regarding the requirement to pay the </w:t>
      </w:r>
      <w:r w:rsidR="009B41D7">
        <w:rPr>
          <w:lang w:val="en-US"/>
        </w:rPr>
        <w:t>flexible part of remuneration in units/shares of UCITS we unde</w:t>
      </w:r>
      <w:r w:rsidR="009B41D7">
        <w:rPr>
          <w:lang w:val="en-US"/>
        </w:rPr>
        <w:t>r</w:t>
      </w:r>
      <w:r w:rsidR="009B41D7">
        <w:rPr>
          <w:lang w:val="en-US"/>
        </w:rPr>
        <w:t xml:space="preserve">stand the limits set by level 1 text. However, we would like to point out that implementing this requirement strictly for other categories of staff than portfolio manager would pose additional challenges. Linking their pay directly into a given UCITS is not justified either for operational nor for risk management purposes. In such situations it should be possible to </w:t>
      </w:r>
      <w:r w:rsidR="002D6BE2">
        <w:rPr>
          <w:lang w:val="en-US"/>
        </w:rPr>
        <w:t>use other equivalent instruments.</w:t>
      </w:r>
    </w:p>
    <w:p w:rsidR="009F1576" w:rsidRDefault="009F1576" w:rsidP="00D34282">
      <w:pPr>
        <w:rPr>
          <w:lang w:val="en-US"/>
        </w:rPr>
      </w:pPr>
    </w:p>
    <w:p w:rsidR="00D34282" w:rsidRPr="00462A81" w:rsidRDefault="009F1576" w:rsidP="00D34282">
      <w:pPr>
        <w:rPr>
          <w:lang w:val="en-US"/>
        </w:rPr>
      </w:pPr>
      <w:r>
        <w:rPr>
          <w:lang w:val="en-US"/>
        </w:rPr>
        <w:t>Finally, we would like to note that we are member of European Fund and Asset Management Association (EFAMA) and would like to support their response.</w:t>
      </w:r>
      <w:r w:rsidR="00FD3126">
        <w:rPr>
          <w:lang w:val="en-US"/>
        </w:rPr>
        <w:t xml:space="preserve"> </w:t>
      </w:r>
    </w:p>
    <w:permEnd w:id="217011879"/>
    <w:p w:rsidR="00D34282" w:rsidRPr="008643A6" w:rsidRDefault="00D34282" w:rsidP="00D34282">
      <w:r w:rsidRPr="008643A6">
        <w:t>&lt;</w:t>
      </w:r>
      <w:r w:rsidR="00D61A37" w:rsidRPr="008643A6">
        <w:t>ESMA_COMMENT_UCITS_V_AIMFD_REM_1</w:t>
      </w:r>
      <w:r w:rsidRPr="008643A6">
        <w:t>&gt;</w:t>
      </w:r>
    </w:p>
    <w:p w:rsidR="00F31E57" w:rsidRPr="008643A6" w:rsidRDefault="00F31E57" w:rsidP="00D34282"/>
    <w:p w:rsidR="0075015C" w:rsidRDefault="00F31E57" w:rsidP="0075015C">
      <w:pPr>
        <w:pStyle w:val="QuestionsFORM"/>
        <w:ind w:left="284" w:hanging="284"/>
      </w:pPr>
      <w:r w:rsidRPr="0075015C">
        <w:br w:type="page"/>
      </w:r>
      <w:r w:rsidR="0075015C">
        <w:lastRenderedPageBreak/>
        <w:t xml:space="preserve">In this consultation paper ESMA proposes an approach on proportionality which is in line with the AIFMD Remuneration Guidelines and allows for the disapplication of certain requirements </w:t>
      </w:r>
      <w:r w:rsidR="0075015C" w:rsidRPr="003D52D7">
        <w:t>on an exceptional basis and taking into account specific facts</w:t>
      </w:r>
      <w:r w:rsidR="0075015C">
        <w:t xml:space="preserve">. Notwithstanding this, ESMA is interested in assessing the impact </w:t>
      </w:r>
      <w:r w:rsidR="0075015C" w:rsidRPr="00B24B4A">
        <w:t xml:space="preserve">from a general perspective and more precisely </w:t>
      </w:r>
      <w:r w:rsidR="0075015C">
        <w:t>in terms of costs and admi</w:t>
      </w:r>
      <w:r w:rsidR="0075015C">
        <w:t>n</w:t>
      </w:r>
      <w:r w:rsidR="0075015C">
        <w:t>istrative burden that a different approach would have</w:t>
      </w:r>
      <w:r w:rsidR="0075015C" w:rsidRPr="002C160E">
        <w:t xml:space="preserve"> </w:t>
      </w:r>
      <w:r w:rsidR="0075015C">
        <w:t xml:space="preserve">on management companies. For this reason, management companies are invited to provide ESMA with </w:t>
      </w:r>
      <w:r w:rsidR="0075015C" w:rsidRPr="00B24B4A">
        <w:t xml:space="preserve">information and </w:t>
      </w:r>
      <w:r w:rsidR="0075015C">
        <w:t>data on the following aspects:</w:t>
      </w:r>
    </w:p>
    <w:p w:rsidR="00081148" w:rsidRDefault="00081148" w:rsidP="00081148">
      <w:pPr>
        <w:pStyle w:val="FORM2"/>
        <w:numPr>
          <w:ilvl w:val="0"/>
          <w:numId w:val="52"/>
        </w:numPr>
      </w:pPr>
      <w:r>
        <w:t>All management companies (i.e. those that hold a separate AIFMD licence and those that do not) are invited to provide details on the following:</w:t>
      </w:r>
    </w:p>
    <w:p w:rsidR="00081148" w:rsidRDefault="00081148" w:rsidP="00081148">
      <w:pPr>
        <w:pStyle w:val="FORM2"/>
        <w:numPr>
          <w:ilvl w:val="1"/>
          <w:numId w:val="52"/>
        </w:numPr>
      </w:pPr>
      <w:r>
        <w:t>compliance impacts and costs (one-off and ongoing costs, encompassing techn</w:t>
      </w:r>
      <w:r>
        <w:t>o</w:t>
      </w:r>
      <w:r>
        <w:t xml:space="preserve">logical/ IT costs and human resources), and </w:t>
      </w:r>
    </w:p>
    <w:p w:rsidR="00081148" w:rsidRDefault="00081148" w:rsidP="00081148">
      <w:pPr>
        <w:pStyle w:val="FORM2"/>
        <w:numPr>
          <w:ilvl w:val="1"/>
          <w:numId w:val="52"/>
        </w:numPr>
      </w:pPr>
      <w:r w:rsidRPr="00081148">
        <w:t>difficulties in applying in any circumstances the remuneration principles that could otherwise be disapplied according to the provisions under Section 7.1 of the draft UCITS Remuneration Guidelines (Annex IV to this consultation paper).</w:t>
      </w:r>
    </w:p>
    <w:p w:rsidR="00081148" w:rsidRDefault="00081148" w:rsidP="00081148">
      <w:pPr>
        <w:pStyle w:val="FORM2"/>
        <w:numPr>
          <w:ilvl w:val="0"/>
          <w:numId w:val="52"/>
        </w:numPr>
      </w:pPr>
      <w:r w:rsidRPr="00081148">
        <w:t>Management companies that also hold an AIFMD licence and benefit from the disappl</w:t>
      </w:r>
      <w:r w:rsidRPr="00081148">
        <w:t>i</w:t>
      </w:r>
      <w:r w:rsidRPr="00081148">
        <w:t>cation of certain of the remuneration rules under the AIFMD Remuneration Guidelines are asked to provide an estimate of the compliance costs in absolute and relative terms and to identify impediments resulting from their nature, including their legal form, if they were required to apply, for the variable remuneration of identified staff:</w:t>
      </w:r>
    </w:p>
    <w:p w:rsidR="00081148" w:rsidRDefault="00081148" w:rsidP="00081148">
      <w:pPr>
        <w:pStyle w:val="FORM2"/>
        <w:numPr>
          <w:ilvl w:val="1"/>
          <w:numId w:val="52"/>
        </w:numPr>
      </w:pPr>
      <w:r>
        <w:t>deferral arrangements (in particular, a minimum deferral period of three years);</w:t>
      </w:r>
    </w:p>
    <w:p w:rsidR="00081148" w:rsidRDefault="00081148" w:rsidP="00081148">
      <w:pPr>
        <w:pStyle w:val="FORM2"/>
        <w:numPr>
          <w:ilvl w:val="1"/>
          <w:numId w:val="52"/>
        </w:numPr>
      </w:pPr>
      <w:r>
        <w:t xml:space="preserve">retention; </w:t>
      </w:r>
    </w:p>
    <w:p w:rsidR="00081148" w:rsidRDefault="00081148" w:rsidP="00081148">
      <w:pPr>
        <w:pStyle w:val="FORM2"/>
        <w:numPr>
          <w:ilvl w:val="1"/>
          <w:numId w:val="52"/>
        </w:numPr>
      </w:pPr>
      <w:r>
        <w:t xml:space="preserve">the pay out in instruments; and </w:t>
      </w:r>
    </w:p>
    <w:p w:rsidR="00081148" w:rsidRDefault="00081148" w:rsidP="00081148">
      <w:pPr>
        <w:pStyle w:val="FORM2"/>
        <w:numPr>
          <w:ilvl w:val="1"/>
          <w:numId w:val="52"/>
        </w:numPr>
      </w:pPr>
      <w:r>
        <w:t xml:space="preserve">malus (with respect to the deferred variable remuneration). </w:t>
      </w:r>
    </w:p>
    <w:p w:rsidR="00081148" w:rsidRDefault="00081148" w:rsidP="00081148">
      <w:pPr>
        <w:pStyle w:val="QuestionsFORM"/>
        <w:numPr>
          <w:ilvl w:val="0"/>
          <w:numId w:val="0"/>
        </w:numPr>
        <w:ind w:left="284"/>
      </w:pPr>
      <w:r>
        <w:t>Wherever possible, the estimated impact and costs should be quantified, supported by a short e</w:t>
      </w:r>
      <w:r>
        <w:t>x</w:t>
      </w:r>
      <w:r>
        <w:t>planation of the methodology applied for their estimation and provided separately, if possible, for the four listed aspects.</w:t>
      </w:r>
    </w:p>
    <w:p w:rsidR="0075015C" w:rsidRDefault="0075015C" w:rsidP="0075015C">
      <w:r>
        <w:t>&lt;ESMA_QUESTION_UCITS_V_AIMFD_REM_1&gt;</w:t>
      </w:r>
    </w:p>
    <w:p w:rsidR="008C470C" w:rsidRDefault="009F1576" w:rsidP="008C470C">
      <w:permStart w:id="140531434" w:edGrp="everyone"/>
      <w:r>
        <w:t>While it is not possible to estimate the exact costs, we would like to point out that the proposals entail significant costs. This is especially relevant for small firms which would have to set up the necessary procedures and practices</w:t>
      </w:r>
      <w:r w:rsidR="00552A83">
        <w:t xml:space="preserve"> which are essentially tailored for big often multinational firms. Secondly applic</w:t>
      </w:r>
      <w:r w:rsidR="00552A83">
        <w:t>a</w:t>
      </w:r>
      <w:r w:rsidR="00552A83">
        <w:t xml:space="preserve">tion of different details of sectorial rules represents burden for all firms. They do not necessarily make the distinction between business models which are based on balance sheet activity and managing clients´ portfolios.  </w:t>
      </w:r>
      <w:r>
        <w:t xml:space="preserve"> </w:t>
      </w:r>
    </w:p>
    <w:p w:rsidR="003228D2" w:rsidRDefault="003228D2" w:rsidP="008C470C"/>
    <w:p w:rsidR="003228D2" w:rsidRDefault="003228D2" w:rsidP="008C470C">
      <w:r>
        <w:t>We find the use of proportionality principle as an essential element of remuneration practices. In terms of the structure of remuneration principles, for example it is not nece</w:t>
      </w:r>
      <w:r>
        <w:t>s</w:t>
      </w:r>
      <w:r>
        <w:t xml:space="preserve">sary to apply referral arrangements in cases where the financial outcome has already realised both in terms of the client and the firm.  </w:t>
      </w:r>
    </w:p>
    <w:p w:rsidR="008C470C" w:rsidRDefault="008C470C" w:rsidP="008C470C"/>
    <w:p w:rsidR="008C470C" w:rsidRPr="00463596" w:rsidRDefault="008C470C" w:rsidP="0075015C">
      <w:pPr>
        <w:rPr>
          <w:color w:val="002060"/>
        </w:rPr>
      </w:pPr>
      <w:r w:rsidRPr="00463596">
        <w:rPr>
          <w:color w:val="002060"/>
        </w:rPr>
        <w:t xml:space="preserve">We agree with ESMA’s approach on proportionality and would like to stress that the possibility to apply the remuneration principles in a proportionate manner, as stated in Article </w:t>
      </w:r>
      <w:proofErr w:type="gramStart"/>
      <w:r w:rsidRPr="00463596">
        <w:rPr>
          <w:color w:val="002060"/>
        </w:rPr>
        <w:t>14a(</w:t>
      </w:r>
      <w:proofErr w:type="gramEnd"/>
      <w:r w:rsidRPr="00463596">
        <w:rPr>
          <w:color w:val="002060"/>
        </w:rPr>
        <w:t xml:space="preserve">4) of the UCITS V and mirrored by the AIFMD remuneration guidelines is highly important in order to limit the administrative burden and </w:t>
      </w:r>
      <w:r w:rsidRPr="00463596">
        <w:rPr>
          <w:color w:val="002060"/>
        </w:rPr>
        <w:lastRenderedPageBreak/>
        <w:t>costs, especially for those asset management companies that are small in size, have an uncomplicated internal organization or  wh</w:t>
      </w:r>
      <w:r w:rsidR="00463596">
        <w:rPr>
          <w:color w:val="002060"/>
        </w:rPr>
        <w:t>ose activities are non-</w:t>
      </w:r>
      <w:r w:rsidRPr="00463596">
        <w:rPr>
          <w:color w:val="002060"/>
        </w:rPr>
        <w:t xml:space="preserve">complex in other ways. </w:t>
      </w:r>
    </w:p>
    <w:p w:rsidR="008C470C" w:rsidRDefault="008C470C" w:rsidP="0075015C">
      <w:pPr>
        <w:rPr>
          <w:color w:val="002060"/>
          <w:u w:val="single"/>
        </w:rPr>
      </w:pPr>
    </w:p>
    <w:p w:rsidR="008C470C" w:rsidRPr="00463596" w:rsidRDefault="008C470C" w:rsidP="0075015C">
      <w:pPr>
        <w:rPr>
          <w:color w:val="002060"/>
        </w:rPr>
      </w:pPr>
      <w:r w:rsidRPr="00463596">
        <w:rPr>
          <w:color w:val="002060"/>
        </w:rPr>
        <w:t>We thus agree that where reconcilable with the risk profile etc. of the management company, the principle of proportionality should lead to the disapplication of some of the UCITS V remuneration requirements. We understand that where a management company does not pass the proportionality test for the disappl</w:t>
      </w:r>
      <w:r w:rsidRPr="00463596">
        <w:rPr>
          <w:color w:val="002060"/>
        </w:rPr>
        <w:t>i</w:t>
      </w:r>
      <w:r w:rsidRPr="00463596">
        <w:rPr>
          <w:color w:val="002060"/>
        </w:rPr>
        <w:t>cation of the UCITS V remuneration requirements, the management company has to apply the UCITS V remuneration requirements in their entirety still observing proportionality. However, we urge ESMA to consider the introduction of thresholds for triggering the application of certain principles, such as the principles having specific numerical criteria. Such thresholds have already been set by various supervisory authorities under the CRD III remuneration framework. For instance, thresholds for the application of the deferral requirement have been introduced and these thresholds currently range between EUR 15 000 to EUR 100 000, depending on the country. We are of the opinion that it would be beneficial to apply one threshold throughout the whole of the EU/EEA, e.g. a threshold of EUR 100 000, in order to ensure a level playing field between countries and business sectors.</w:t>
      </w:r>
    </w:p>
    <w:p w:rsidR="008C470C" w:rsidRPr="00463596" w:rsidRDefault="008C470C" w:rsidP="0075015C">
      <w:pPr>
        <w:rPr>
          <w:color w:val="002060"/>
        </w:rPr>
      </w:pPr>
    </w:p>
    <w:p w:rsidR="007B5C0B" w:rsidRPr="00463596" w:rsidRDefault="007B5C0B" w:rsidP="0075015C">
      <w:pPr>
        <w:rPr>
          <w:color w:val="002060"/>
        </w:rPr>
      </w:pPr>
      <w:r w:rsidRPr="00463596">
        <w:rPr>
          <w:color w:val="002060"/>
        </w:rPr>
        <w:t>W</w:t>
      </w:r>
      <w:r w:rsidR="008C470C" w:rsidRPr="00463596">
        <w:rPr>
          <w:color w:val="002060"/>
        </w:rPr>
        <w:t xml:space="preserve">e would </w:t>
      </w:r>
      <w:r w:rsidRPr="00463596">
        <w:rPr>
          <w:color w:val="002060"/>
        </w:rPr>
        <w:t xml:space="preserve">also </w:t>
      </w:r>
      <w:r w:rsidR="008C470C" w:rsidRPr="00463596">
        <w:rPr>
          <w:color w:val="002060"/>
        </w:rPr>
        <w:t xml:space="preserve">like to comment on the strict interpretation of the right to </w:t>
      </w:r>
      <w:proofErr w:type="spellStart"/>
      <w:r w:rsidR="008C470C" w:rsidRPr="00463596">
        <w:rPr>
          <w:color w:val="002060"/>
        </w:rPr>
        <w:t>disapply</w:t>
      </w:r>
      <w:proofErr w:type="spellEnd"/>
      <w:r w:rsidR="008C470C" w:rsidRPr="00463596">
        <w:rPr>
          <w:color w:val="002060"/>
        </w:rPr>
        <w:t xml:space="preserve"> the requirement to set up a remuneration committee under 11.2 of the draft guidelines. According to the draft guideline all manag</w:t>
      </w:r>
      <w:r w:rsidR="008C470C" w:rsidRPr="00463596">
        <w:rPr>
          <w:color w:val="002060"/>
        </w:rPr>
        <w:t>e</w:t>
      </w:r>
      <w:r w:rsidR="008C470C" w:rsidRPr="00463596">
        <w:rPr>
          <w:color w:val="002060"/>
        </w:rPr>
        <w:t xml:space="preserve">ment companies for which the portfolios of UCITS they manage exceed EUR 1.25 billion and have more than 50 employees are considered significant in size. Even if it might be possible to </w:t>
      </w:r>
      <w:proofErr w:type="spellStart"/>
      <w:r w:rsidR="008C470C" w:rsidRPr="00463596">
        <w:rPr>
          <w:color w:val="002060"/>
        </w:rPr>
        <w:t>disapply</w:t>
      </w:r>
      <w:proofErr w:type="spellEnd"/>
      <w:r w:rsidR="008C470C" w:rsidRPr="00463596">
        <w:rPr>
          <w:color w:val="002060"/>
        </w:rPr>
        <w:t xml:space="preserve"> the rule for other reasons it is still unreasonable to consider management companies as being significant if they manage 1.25 billion</w:t>
      </w:r>
    </w:p>
    <w:p w:rsidR="007B5C0B" w:rsidRPr="00463596" w:rsidRDefault="007B5C0B" w:rsidP="0075015C">
      <w:pPr>
        <w:rPr>
          <w:color w:val="002060"/>
        </w:rPr>
      </w:pPr>
    </w:p>
    <w:p w:rsidR="0075015C" w:rsidRDefault="007B5C0B" w:rsidP="0075015C">
      <w:r w:rsidRPr="00463596">
        <w:rPr>
          <w:color w:val="002060"/>
        </w:rPr>
        <w:t>Finally, a proportionate application of the UCITS V remuneration principles is important also as relates to requirements imposed on delegates, as otherwise; this may lead to a reduction of delegation and cons</w:t>
      </w:r>
      <w:r w:rsidRPr="00463596">
        <w:rPr>
          <w:color w:val="002060"/>
        </w:rPr>
        <w:t>e</w:t>
      </w:r>
      <w:r w:rsidRPr="00463596">
        <w:rPr>
          <w:color w:val="002060"/>
        </w:rPr>
        <w:t>quently a notable reduction of the UCITS product offering. Also, unless proportionality can be argued, this would most likely render delegation much more expensive</w:t>
      </w:r>
      <w:r w:rsidR="008C470C" w:rsidRPr="00463596">
        <w:rPr>
          <w:color w:val="002060"/>
        </w:rPr>
        <w:t>.</w:t>
      </w:r>
      <w:r w:rsidR="008C470C">
        <w:rPr>
          <w:color w:val="002060"/>
          <w:u w:val="single"/>
        </w:rPr>
        <w:t xml:space="preserve"> </w:t>
      </w:r>
      <w:permEnd w:id="140531434"/>
      <w:r w:rsidR="0075015C">
        <w:t>&lt;E</w:t>
      </w:r>
      <w:r w:rsidR="0075015C">
        <w:t>S</w:t>
      </w:r>
      <w:r w:rsidR="0075015C">
        <w:t>MA_QUESTION_UCITS_V_AIMFD_REM_1&gt;</w:t>
      </w:r>
    </w:p>
    <w:p w:rsidR="0075015C" w:rsidRDefault="0075015C" w:rsidP="0075015C"/>
    <w:p w:rsidR="0075015C" w:rsidRDefault="0075015C" w:rsidP="0075015C">
      <w:pPr>
        <w:pStyle w:val="QuestionsFORM"/>
        <w:ind w:left="284" w:hanging="284"/>
      </w:pPr>
      <w:r w:rsidRPr="00736B0C">
        <w:t>Do you agree with the proposal to set out a definition of “performance fees” and with the proposed definition? If not, please explain the reasons why and provide an alternative definition supported by a justification.</w:t>
      </w:r>
    </w:p>
    <w:p w:rsidR="0075015C" w:rsidRDefault="0075015C" w:rsidP="0075015C">
      <w:r>
        <w:t>&lt;ESMA_QUESTION_UCITS_V_AIMFD_REM_2&gt;</w:t>
      </w:r>
    </w:p>
    <w:p w:rsidR="0075015C" w:rsidRDefault="009D60A9" w:rsidP="0075015C">
      <w:permStart w:id="216141284" w:edGrp="everyone"/>
      <w:r>
        <w:t>Yes, we agree.</w:t>
      </w:r>
    </w:p>
    <w:permEnd w:id="216141284"/>
    <w:p w:rsidR="0075015C" w:rsidRDefault="0075015C" w:rsidP="0075015C">
      <w:r>
        <w:t>&lt;ESMA_QUESTION_UCITS_V_AIMFD_REM_2&gt;</w:t>
      </w:r>
    </w:p>
    <w:p w:rsidR="0075015C" w:rsidRDefault="0075015C" w:rsidP="0075015C"/>
    <w:p w:rsidR="0075015C" w:rsidRDefault="0075015C" w:rsidP="0075015C">
      <w:pPr>
        <w:pStyle w:val="QuestionsFORM"/>
        <w:ind w:left="284" w:hanging="284"/>
      </w:pPr>
      <w:r w:rsidRPr="00736B0C">
        <w:t xml:space="preserve">Do you see any overlap between the proposed definition of ‘supervisory function’ in the UCITS </w:t>
      </w:r>
      <w:r>
        <w:t>Remuneration</w:t>
      </w:r>
      <w:r w:rsidRPr="00736B0C">
        <w:t xml:space="preserve"> Guidelines and the definition of ‘management body’ in the UCTS V Level 1 text? If yes, please provide details and suggest how the definition of ‘supervisory function’ should be amended in the UCITS V Guidelines.</w:t>
      </w:r>
    </w:p>
    <w:p w:rsidR="0075015C" w:rsidRDefault="0075015C" w:rsidP="0075015C">
      <w:r>
        <w:t>&lt;ESMA_QUESTION_UCITS_V_AIMFD_REM_3&gt;</w:t>
      </w:r>
    </w:p>
    <w:p w:rsidR="0075015C" w:rsidRDefault="009D60A9" w:rsidP="0075015C">
      <w:permStart w:id="1700428180" w:edGrp="everyone"/>
      <w:r>
        <w:t>No, we do not.</w:t>
      </w:r>
    </w:p>
    <w:permEnd w:id="1700428180"/>
    <w:p w:rsidR="0075015C" w:rsidRDefault="0075015C" w:rsidP="0075015C">
      <w:r>
        <w:t>&lt;ESMA_QUESTION_UCITS_V_AIMFD_REM_3&gt;</w:t>
      </w:r>
    </w:p>
    <w:p w:rsidR="0075015C" w:rsidRDefault="0075015C" w:rsidP="0075015C"/>
    <w:p w:rsidR="0075015C" w:rsidRDefault="0075015C" w:rsidP="0075015C">
      <w:pPr>
        <w:pStyle w:val="QuestionsFORM"/>
        <w:ind w:left="284" w:hanging="284"/>
      </w:pPr>
      <w:r w:rsidRPr="00736B0C">
        <w:t>Please explain how services subject to different sectoral remuneration principles are pe</w:t>
      </w:r>
      <w:r w:rsidRPr="00736B0C">
        <w:t>r</w:t>
      </w:r>
      <w:r w:rsidRPr="00736B0C">
        <w:t xml:space="preserve">formed in practice. E.g. is there a common trading desk/an investment firm providing portfolio management services to UCITS, AIFs and/or individual portfolios of investments? Please provide details on how these services are operated. </w:t>
      </w:r>
    </w:p>
    <w:p w:rsidR="0075015C" w:rsidRDefault="0075015C" w:rsidP="0075015C">
      <w:r>
        <w:t>&lt;ESMA_QUESTION_UCITS_V_AIMFD_REM_4&gt;</w:t>
      </w:r>
    </w:p>
    <w:p w:rsidR="0075015C" w:rsidRDefault="009D60A9" w:rsidP="0075015C">
      <w:permStart w:id="40860343" w:edGrp="everyone"/>
      <w:r>
        <w:lastRenderedPageBreak/>
        <w:t>The way how operations are organised varies from a firm to another. Generally the organisation is not done on the basis of the l</w:t>
      </w:r>
      <w:r w:rsidR="00552A83">
        <w:t>e</w:t>
      </w:r>
      <w:r>
        <w:t>gal structure of the fund (</w:t>
      </w:r>
      <w:proofErr w:type="spellStart"/>
      <w:r>
        <w:t>e.g</w:t>
      </w:r>
      <w:proofErr w:type="spellEnd"/>
      <w:r>
        <w:t xml:space="preserve"> UCITS or AIF) rather than based on underlying investments. This is especially true for smaller firms.</w:t>
      </w:r>
    </w:p>
    <w:permEnd w:id="40860343"/>
    <w:p w:rsidR="0075015C" w:rsidRDefault="0075015C" w:rsidP="0075015C">
      <w:r>
        <w:t>&lt;ESMA_QUESTION_UCITS_V_AIMFD_REM_4&gt;</w:t>
      </w:r>
    </w:p>
    <w:p w:rsidR="0075015C" w:rsidRDefault="0075015C" w:rsidP="0075015C"/>
    <w:p w:rsidR="0075015C" w:rsidRPr="00736B0C" w:rsidRDefault="0075015C" w:rsidP="0075015C">
      <w:pPr>
        <w:pStyle w:val="QuestionsFORM"/>
        <w:ind w:left="284" w:hanging="284"/>
      </w:pPr>
      <w:r w:rsidRPr="00736B0C">
        <w:t>Do you consider that the proposed ‘pro rata’ approach would raise any operational difficulties? If yes, please explain why and provide an alternative solution.</w:t>
      </w:r>
    </w:p>
    <w:p w:rsidR="0075015C" w:rsidRDefault="0075015C" w:rsidP="0075015C"/>
    <w:p w:rsidR="0075015C" w:rsidRDefault="0075015C" w:rsidP="0075015C">
      <w:r>
        <w:t>&lt;ESMA_QUESTION_UCITS_V_AIMFD_REM_5&gt;</w:t>
      </w:r>
    </w:p>
    <w:p w:rsidR="00DE5E5C" w:rsidRPr="00463596" w:rsidRDefault="00DE5E5C" w:rsidP="0075015C">
      <w:pPr>
        <w:rPr>
          <w:color w:val="002060"/>
        </w:rPr>
      </w:pPr>
      <w:permStart w:id="524490653" w:edGrp="everyone"/>
      <w:r w:rsidRPr="00463596">
        <w:rPr>
          <w:color w:val="002060"/>
        </w:rPr>
        <w:t>Firstly, we would favour a solution where management compan</w:t>
      </w:r>
      <w:r w:rsidR="00250457" w:rsidRPr="00463596">
        <w:rPr>
          <w:color w:val="002060"/>
        </w:rPr>
        <w:t>ies</w:t>
      </w:r>
      <w:r w:rsidRPr="00463596">
        <w:rPr>
          <w:color w:val="002060"/>
        </w:rPr>
        <w:t xml:space="preserve"> </w:t>
      </w:r>
      <w:r w:rsidR="00250457" w:rsidRPr="00463596">
        <w:rPr>
          <w:color w:val="002060"/>
        </w:rPr>
        <w:t xml:space="preserve">are </w:t>
      </w:r>
      <w:r w:rsidRPr="00463596">
        <w:rPr>
          <w:color w:val="002060"/>
        </w:rPr>
        <w:t>allowed to choose between the ‘pro rata’ approach and the right to voluntarily opt for the rules deemed more effective.</w:t>
      </w:r>
    </w:p>
    <w:p w:rsidR="00DE5E5C" w:rsidRPr="00463596" w:rsidRDefault="00DE5E5C" w:rsidP="0075015C"/>
    <w:p w:rsidR="0075015C" w:rsidRDefault="00250457" w:rsidP="0075015C">
      <w:r w:rsidRPr="00463596">
        <w:rPr>
          <w:color w:val="002060"/>
        </w:rPr>
        <w:t>This said, and d</w:t>
      </w:r>
      <w:r w:rsidR="004D3564" w:rsidRPr="00463596">
        <w:t>epending</w:t>
      </w:r>
      <w:r w:rsidR="004D3564">
        <w:t xml:space="preserve"> on the structure of an individual firm, we do think that it may raise operational difficulties.</w:t>
      </w:r>
    </w:p>
    <w:p w:rsidR="004D3564" w:rsidRDefault="004D3564" w:rsidP="0075015C"/>
    <w:p w:rsidR="00434624" w:rsidRDefault="00434624" w:rsidP="0075015C">
      <w:r>
        <w:t>For example, the criteria “time spent” may sound as a clear criterion. However, it is not at all clear in all circumstances what is the time spent for each individual fund. Secondly it even not clear whether time is the correct factor to measure.</w:t>
      </w:r>
    </w:p>
    <w:permEnd w:id="524490653"/>
    <w:p w:rsidR="0075015C" w:rsidRDefault="0075015C" w:rsidP="0075015C">
      <w:r>
        <w:t>&lt;ESMA_QUESTION_UCITS_V_AIMFD_REM_5&gt;</w:t>
      </w:r>
    </w:p>
    <w:p w:rsidR="0075015C" w:rsidRDefault="0075015C" w:rsidP="0075015C"/>
    <w:p w:rsidR="0075015C" w:rsidRDefault="0075015C" w:rsidP="0075015C">
      <w:pPr>
        <w:pStyle w:val="QuestionsFORM"/>
        <w:ind w:left="284" w:hanging="284"/>
      </w:pPr>
      <w:r w:rsidRPr="00736B0C">
        <w:t>Do you favour also the proposed alternative approach according to which management co</w:t>
      </w:r>
      <w:r w:rsidRPr="00736B0C">
        <w:t>m</w:t>
      </w:r>
      <w:r w:rsidRPr="00736B0C">
        <w:t>panies could decide to voluntarily opt for the sectoral remuneration rules which are deemed more effective in terms of avoiding excessive risk taking and ensuring risk alignment and apply them to all the staff performing services subject to different sectoral remuneration rules? Please explain the reasons behind your answer.</w:t>
      </w:r>
    </w:p>
    <w:p w:rsidR="0075015C" w:rsidRDefault="0075015C" w:rsidP="0075015C">
      <w:r>
        <w:t>&lt;ESMA_QUESTION_UCITS_V_AIMFD_REM_6&gt;</w:t>
      </w:r>
    </w:p>
    <w:p w:rsidR="00166EBD" w:rsidRDefault="004D3564" w:rsidP="0075015C">
      <w:permStart w:id="542379082" w:edGrp="everyone"/>
      <w:r>
        <w:t>On voluntary basis we do agree. Ho</w:t>
      </w:r>
      <w:r w:rsidR="00166EBD">
        <w:t>w</w:t>
      </w:r>
      <w:r>
        <w:t>ever, we would l</w:t>
      </w:r>
      <w:r w:rsidR="00D65F82">
        <w:t>ike to stress that the decision</w:t>
      </w:r>
      <w:r>
        <w:t xml:space="preserve"> should be entirely up to the individual fir</w:t>
      </w:r>
      <w:r w:rsidR="00D65F82">
        <w:t>m</w:t>
      </w:r>
      <w:r>
        <w:t xml:space="preserve"> of financial group.</w:t>
      </w:r>
    </w:p>
    <w:p w:rsidR="00166EBD" w:rsidRDefault="00166EBD" w:rsidP="0075015C"/>
    <w:p w:rsidR="0075015C" w:rsidRDefault="00D65F82" w:rsidP="0075015C">
      <w:r>
        <w:t>In our view</w:t>
      </w:r>
      <w:r w:rsidR="00166EBD">
        <w:t xml:space="preserve"> the ultimate goal is best reached when firms are given necessary flexibility to adapt rules which match with their structures and strategies.</w:t>
      </w:r>
    </w:p>
    <w:p w:rsidR="00187355" w:rsidRDefault="00187355" w:rsidP="0075015C"/>
    <w:p w:rsidR="00187355" w:rsidRPr="00463596" w:rsidRDefault="00187355" w:rsidP="0075015C">
      <w:r w:rsidRPr="00463596">
        <w:rPr>
          <w:color w:val="002060"/>
        </w:rPr>
        <w:t>According to ESMA’s suggested guidelines, if a management company voluntarily opts to apply the CRD IV remuneration principles due to being deemed more effective – the management company will be obliged to apply the UCITS V specific principles where there is a conflict between these rules. It is, ho</w:t>
      </w:r>
      <w:r w:rsidRPr="00463596">
        <w:rPr>
          <w:color w:val="002060"/>
        </w:rPr>
        <w:t>w</w:t>
      </w:r>
      <w:r w:rsidRPr="00463596">
        <w:rPr>
          <w:color w:val="002060"/>
        </w:rPr>
        <w:t>ever; somewhat unclear which UCITS V specific principles, other than the requirement to award instr</w:t>
      </w:r>
      <w:r w:rsidRPr="00463596">
        <w:rPr>
          <w:color w:val="002060"/>
        </w:rPr>
        <w:t>u</w:t>
      </w:r>
      <w:r w:rsidRPr="00463596">
        <w:rPr>
          <w:color w:val="002060"/>
        </w:rPr>
        <w:t>ments in shares/units of UCITS, will be deemed “in conflict” with e.g. the CRD remuneration rules. Having regard to the underlying reason for requiring part of variable remuneration awards to be in shares/units of UCITS, it could be argued that all other rules in other sectoral legislation which may trigger a misalignment of interest should also be deemed in conflict with the UCITS V specific rules. Against this backdrop we would welcome further guidance as to the test to be made by management companies when assessing whether or not a rule contained in e.g. CRD IV should be deemed in conflict with the UCITS V specific rules.</w:t>
      </w:r>
    </w:p>
    <w:permEnd w:id="542379082"/>
    <w:p w:rsidR="0075015C" w:rsidRDefault="0075015C" w:rsidP="0075015C">
      <w:r>
        <w:t>&lt;ESMA_QUESTION_UCITS_V_AIMFD_REM_6&gt;</w:t>
      </w:r>
    </w:p>
    <w:p w:rsidR="0075015C" w:rsidRDefault="0075015C" w:rsidP="0075015C"/>
    <w:p w:rsidR="0075015C" w:rsidRDefault="0075015C" w:rsidP="0075015C">
      <w:pPr>
        <w:pStyle w:val="QuestionsFORM"/>
        <w:ind w:left="284" w:hanging="284"/>
      </w:pPr>
      <w:r w:rsidRPr="00736B0C">
        <w:t>Do you agree that the performance of ancillary services under Article 6(3) of the UCITS D</w:t>
      </w:r>
      <w:r w:rsidRPr="00736B0C">
        <w:t>i</w:t>
      </w:r>
      <w:r w:rsidRPr="00736B0C">
        <w:t>rective or under Article 6(4) of the AIFMD by personnel of a management company or an AIFM should be subject to the remuneration principles under the UCITS Directive or AIFMD, as applic</w:t>
      </w:r>
      <w:r w:rsidRPr="00736B0C">
        <w:t>a</w:t>
      </w:r>
      <w:r w:rsidRPr="00736B0C">
        <w:t>ble? Or do you consider that that MiFID ancillary services do not represent portfolio/risk manag</w:t>
      </w:r>
      <w:r w:rsidRPr="00736B0C">
        <w:t>e</w:t>
      </w:r>
      <w:r w:rsidRPr="00736B0C">
        <w:t xml:space="preserve">ment types of activities (Annex I of the AIFMD) nor investment management activities (Annex II of the UCITS Directive) and should not be covered by the rules under Article 14b of the UCITS Directive </w:t>
      </w:r>
      <w:r w:rsidRPr="00736B0C">
        <w:lastRenderedPageBreak/>
        <w:t>and Annex II of the AIFMD which specifically refer to the UCITS/AIFs that a UCITS/AIFM manages? Please explain the reasons of your response.</w:t>
      </w:r>
    </w:p>
    <w:p w:rsidR="0075015C" w:rsidRDefault="0075015C" w:rsidP="0075015C">
      <w:r>
        <w:t>&lt;ESMA_QUESTION_UCITS_V_AIMFD_REM_7&gt;</w:t>
      </w:r>
    </w:p>
    <w:p w:rsidR="0075015C" w:rsidRDefault="00166EBD" w:rsidP="0075015C">
      <w:permStart w:id="99118807" w:edGrp="everyone"/>
      <w:r>
        <w:t>Our preference is the latter option.</w:t>
      </w:r>
      <w:r w:rsidR="00D65F82">
        <w:t xml:space="preserve"> AIFMD and UCITS regulate collective portfolio management. In rem</w:t>
      </w:r>
      <w:r w:rsidR="00D65F82">
        <w:t>u</w:t>
      </w:r>
      <w:r w:rsidR="00D65F82">
        <w:t>neration</w:t>
      </w:r>
      <w:r w:rsidR="007406AB">
        <w:t xml:space="preserve"> this means that unlike in the case on individual portfolio management there is not direct contact with the end investor, so more detailed rules may become necessary.</w:t>
      </w:r>
    </w:p>
    <w:p w:rsidR="007406AB" w:rsidRDefault="007406AB" w:rsidP="0075015C"/>
    <w:p w:rsidR="007406AB" w:rsidRDefault="007406AB" w:rsidP="0075015C">
      <w:r>
        <w:t>Additionally, some details of UCITS/AIFMD remuneration rules are not well suited for individual portfolio management, for example the payment in UCITS units/shares.</w:t>
      </w:r>
    </w:p>
    <w:permEnd w:id="99118807"/>
    <w:p w:rsidR="0075015C" w:rsidRDefault="0075015C" w:rsidP="0075015C">
      <w:r>
        <w:t>&lt;ESMA_QUESTION_UCITS_V_AIMFD_REM_7&gt;</w:t>
      </w:r>
    </w:p>
    <w:p w:rsidR="0075015C" w:rsidRDefault="0075015C" w:rsidP="0075015C"/>
    <w:p w:rsidR="0075015C" w:rsidRDefault="0075015C" w:rsidP="0075015C">
      <w:pPr>
        <w:pStyle w:val="QuestionsFORM"/>
        <w:ind w:left="284" w:hanging="284"/>
      </w:pPr>
      <w:r w:rsidRPr="00736B0C">
        <w:t>Do you agree with the proposal to look at individual entities for the purpose of the payment in instruments of at least 50% of the variable remuneration or consider that it would risk favouring the asset managers with a bigger portfolio of UCITS assets under management? Should you dis</w:t>
      </w:r>
      <w:r w:rsidRPr="00736B0C">
        <w:t>a</w:t>
      </w:r>
      <w:r w:rsidRPr="00736B0C">
        <w:t>gree, please propose an alternative approach and provide an appropriate justification.</w:t>
      </w:r>
    </w:p>
    <w:p w:rsidR="0075015C" w:rsidRDefault="0075015C" w:rsidP="0075015C">
      <w:r>
        <w:t>&lt;ESMA_QUESTION_UCITS_V_AIMFD_REM_8&gt;</w:t>
      </w:r>
    </w:p>
    <w:p w:rsidR="0075015C" w:rsidRDefault="007406AB" w:rsidP="0075015C">
      <w:permStart w:id="1889882800" w:edGrp="everyone"/>
      <w:r>
        <w:t>We agree with the proposal.</w:t>
      </w:r>
    </w:p>
    <w:permEnd w:id="1889882800"/>
    <w:p w:rsidR="0075015C" w:rsidRDefault="0075015C" w:rsidP="0075015C">
      <w:r>
        <w:t>&lt;ESMA_QUESTION_UCITS_V_AIMFD_REM_8&gt;</w:t>
      </w:r>
    </w:p>
    <w:p w:rsidR="0075015C" w:rsidRDefault="0075015C" w:rsidP="0075015C"/>
    <w:p w:rsidR="0075015C" w:rsidRDefault="0075015C" w:rsidP="0075015C">
      <w:pPr>
        <w:pStyle w:val="QuestionsFORM"/>
        <w:ind w:left="284" w:hanging="284"/>
      </w:pPr>
      <w:r w:rsidRPr="00736B0C">
        <w:t xml:space="preserve">Do you consider that there is any specific need to include some transitional provisions relating to the date of application of the </w:t>
      </w:r>
      <w:r>
        <w:t>UCITS Remuneration G</w:t>
      </w:r>
      <w:r w:rsidRPr="00736B0C">
        <w:t>uidelines? If yes, please provide details on which sections of the guidelines would deserve any transitional provisions and explain the reasons why, also highlighting the additional costs implied by the proposed date of application. Please be as precise as possible in your answer in order for ESMA to assess the merit of your needs.</w:t>
      </w:r>
    </w:p>
    <w:p w:rsidR="0075015C" w:rsidRDefault="0075015C" w:rsidP="0075015C">
      <w:r>
        <w:t>&lt;ESMA_QUESTION_UCITS_V_AIMFD_REM_9&gt;</w:t>
      </w:r>
    </w:p>
    <w:p w:rsidR="00F63C96" w:rsidRDefault="00260F4F" w:rsidP="0075015C">
      <w:permStart w:id="369445089" w:edGrp="everyone"/>
      <w:r>
        <w:t>Yes, we consider appropriate transitional provisions essential part of the guidelines.</w:t>
      </w:r>
      <w:r w:rsidR="00E471F1">
        <w:t xml:space="preserve"> </w:t>
      </w:r>
      <w:r w:rsidR="00F63C96">
        <w:t>Building (and chan</w:t>
      </w:r>
      <w:r w:rsidR="00F63C96">
        <w:t>g</w:t>
      </w:r>
      <w:r w:rsidR="00F63C96">
        <w:t>ing) remuneration structures require</w:t>
      </w:r>
      <w:r w:rsidR="00E471F1">
        <w:t xml:space="preserve"> thorough preparations relating e.g. to IT-systems, risk controls and last but not least </w:t>
      </w:r>
      <w:r w:rsidR="00F63C96">
        <w:t>negotiating</w:t>
      </w:r>
      <w:r w:rsidR="00E471F1">
        <w:t xml:space="preserve"> the new structures with employees. In addition to financial regulation, these issues are regulated by labour laws, which may set some limits or require specific procedures.</w:t>
      </w:r>
      <w:r w:rsidR="00F63C96">
        <w:t xml:space="preserve"> Our me</w:t>
      </w:r>
      <w:r w:rsidR="00F63C96">
        <w:t>m</w:t>
      </w:r>
      <w:r w:rsidR="00F63C96">
        <w:t>bers can only engage in this process when the final content of regulation is known.</w:t>
      </w:r>
    </w:p>
    <w:p w:rsidR="00F63C96" w:rsidRDefault="00F63C96" w:rsidP="0075015C"/>
    <w:p w:rsidR="0075015C" w:rsidRDefault="00F63C96" w:rsidP="0075015C">
      <w:r>
        <w:t xml:space="preserve">Additionally, from a practical point of view, remuneration structures are decided in advance and cannot be changed retro-actively. So, the rules should apply to forthcoming financial </w:t>
      </w:r>
      <w:r w:rsidR="00462A81">
        <w:t>year after full transposition of</w:t>
      </w:r>
      <w:r>
        <w:t xml:space="preserve"> UCITS V, which means in any case it should not be befor</w:t>
      </w:r>
      <w:r w:rsidR="00462A81">
        <w:t>e 1 January 2017.</w:t>
      </w:r>
    </w:p>
    <w:permEnd w:id="369445089"/>
    <w:p w:rsidR="0075015C" w:rsidRDefault="0075015C" w:rsidP="0075015C">
      <w:r>
        <w:t>&lt;ESMA_QUESTION_UCITS_V_AIMFD_REM_9&gt;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proportionality? If not, please explain why and provide any available quantitative data on the one-off and ongoing costs that the proposal would imply.</w:t>
      </w:r>
    </w:p>
    <w:p w:rsidR="0075015C" w:rsidRDefault="0075015C" w:rsidP="0075015C">
      <w:r>
        <w:t>&lt;ESMA_QUESTION_UCITS_V_AIMFD_REM_10&gt;</w:t>
      </w:r>
    </w:p>
    <w:p w:rsidR="0075015C" w:rsidRDefault="00462A81" w:rsidP="0075015C">
      <w:permStart w:id="199910646" w:edGrp="everyone"/>
      <w:r>
        <w:t xml:space="preserve">Yes. Applying the proportionality principle and aligning UCITS rules with AIFMD ones is a key to foster consistency within EU legislation. </w:t>
      </w:r>
    </w:p>
    <w:permEnd w:id="199910646"/>
    <w:p w:rsidR="0075015C" w:rsidRDefault="0075015C" w:rsidP="0075015C">
      <w:r>
        <w:t>&lt;ESMA_QUESTION_UCITS_V_AIMFD_REM_10&gt;</w:t>
      </w:r>
    </w:p>
    <w:p w:rsidR="0075015C" w:rsidRDefault="0075015C" w:rsidP="0075015C"/>
    <w:p w:rsidR="0075015C" w:rsidRPr="0075015C" w:rsidRDefault="0075015C" w:rsidP="0075015C">
      <w:pPr>
        <w:pStyle w:val="QuestionsFORM"/>
        <w:ind w:left="284" w:hanging="284"/>
        <w:rPr>
          <w:rFonts w:ascii="Arial" w:eastAsia="Times New Roman" w:hAnsi="Arial" w:cs="Times New Roman"/>
        </w:rPr>
      </w:pPr>
      <w:r w:rsidRPr="002828A1">
        <w:rPr>
          <w:rFonts w:ascii="Arial" w:eastAsia="Times New Roman" w:hAnsi="Arial" w:cs="Times New Roman"/>
        </w:rPr>
        <w:t>Do you agree with the assessment of costs and benefits above for the proposal on the application of different sectoral rules to staff? If not, please explain why and pr</w:t>
      </w:r>
      <w:r w:rsidRPr="002828A1">
        <w:rPr>
          <w:rFonts w:ascii="Arial" w:eastAsia="Times New Roman" w:hAnsi="Arial" w:cs="Times New Roman"/>
        </w:rPr>
        <w:t>o</w:t>
      </w:r>
      <w:r w:rsidRPr="002828A1">
        <w:rPr>
          <w:rFonts w:ascii="Arial" w:eastAsia="Times New Roman" w:hAnsi="Arial" w:cs="Times New Roman"/>
        </w:rPr>
        <w:lastRenderedPageBreak/>
        <w:t>vide any available quantitative data on the one-off and ongoing costs that the proposal would imply.</w:t>
      </w:r>
    </w:p>
    <w:p w:rsidR="0075015C" w:rsidRDefault="0075015C" w:rsidP="0075015C">
      <w:r>
        <w:t>&lt;ESMA_QUESTION_UCITS_V_AIMFD_REM_11&gt;</w:t>
      </w:r>
    </w:p>
    <w:p w:rsidR="0075015C" w:rsidRDefault="00462A81" w:rsidP="0075015C">
      <w:permStart w:id="1129919159" w:edGrp="everyone"/>
      <w:r>
        <w:t>Yes, we agree.</w:t>
      </w:r>
    </w:p>
    <w:permEnd w:id="1129919159"/>
    <w:p w:rsidR="0075015C" w:rsidRDefault="0075015C" w:rsidP="0075015C">
      <w:r>
        <w:t>&lt;ESMA_QUESTION_UCITS_V_AIMFD_REM_11&gt;</w:t>
      </w:r>
    </w:p>
    <w:p w:rsidR="0075015C" w:rsidRDefault="0075015C" w:rsidP="0075015C"/>
    <w:p w:rsidR="0075015C" w:rsidRPr="0075015C" w:rsidRDefault="0075015C" w:rsidP="0075015C">
      <w:r w:rsidRPr="0075015C">
        <w:t xml:space="preserve"> </w:t>
      </w:r>
    </w:p>
    <w:p w:rsidR="00F31E57" w:rsidRPr="0075015C" w:rsidRDefault="00F31E57">
      <w:pPr>
        <w:rPr>
          <w:lang w:val="fr-FR"/>
        </w:rPr>
      </w:pPr>
    </w:p>
    <w:sectPr w:rsidR="00F31E57" w:rsidRPr="0075015C"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B0" w:rsidRDefault="002310B0">
      <w:r>
        <w:separator/>
      </w:r>
    </w:p>
    <w:p w:rsidR="002310B0" w:rsidRDefault="002310B0"/>
  </w:endnote>
  <w:endnote w:type="continuationSeparator" w:id="0">
    <w:p w:rsidR="002310B0" w:rsidRDefault="002310B0">
      <w:r>
        <w:continuationSeparator/>
      </w:r>
    </w:p>
    <w:p w:rsidR="002310B0" w:rsidRDefault="002310B0"/>
  </w:endnote>
  <w:endnote w:type="continuationNotice" w:id="1">
    <w:p w:rsidR="002310B0" w:rsidRDefault="00231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4D0A8B">
            <w:rPr>
              <w:rFonts w:cs="Arial"/>
              <w:noProof/>
              <w:sz w:val="22"/>
              <w:szCs w:val="22"/>
            </w:rPr>
            <w:t>3</w:t>
          </w:r>
          <w:r w:rsidRPr="00616B9B">
            <w:rPr>
              <w:rFonts w:cs="Arial"/>
              <w:noProof/>
              <w:sz w:val="22"/>
              <w:szCs w:val="22"/>
            </w:rPr>
            <w:fldChar w:fldCharType="end"/>
          </w:r>
        </w:p>
      </w:tc>
    </w:tr>
  </w:tbl>
  <w:p w:rsidR="00811EDA" w:rsidRDefault="00811EDA">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B0" w:rsidRDefault="002310B0">
      <w:r>
        <w:separator/>
      </w:r>
    </w:p>
    <w:p w:rsidR="002310B0" w:rsidRDefault="002310B0"/>
  </w:footnote>
  <w:footnote w:type="continuationSeparator" w:id="0">
    <w:p w:rsidR="002310B0" w:rsidRDefault="002310B0">
      <w:r>
        <w:continuationSeparator/>
      </w:r>
    </w:p>
    <w:p w:rsidR="002310B0" w:rsidRDefault="002310B0"/>
  </w:footnote>
  <w:footnote w:type="continuationNotice" w:id="1">
    <w:p w:rsidR="002310B0" w:rsidRDefault="002310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Yltunniste"/>
    </w:pPr>
    <w:r>
      <w:rPr>
        <w:noProof/>
        <w:lang w:val="fi-FI" w:eastAsia="fi-FI"/>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Yltunniste"/>
      <w:jc w:val="right"/>
    </w:pPr>
    <w:r>
      <w:rPr>
        <w:noProof/>
        <w:lang w:val="fi-FI" w:eastAsia="fi-FI"/>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i-FI" w:eastAsia="fi-FI"/>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Yltunniste"/>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rsidP="000C06C9">
    <w:pPr>
      <w:pStyle w:val="Yltunniste"/>
      <w:tabs>
        <w:tab w:val="clear" w:pos="4536"/>
        <w:tab w:val="clear" w:pos="9072"/>
        <w:tab w:val="left" w:pos="8227"/>
      </w:tabs>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lang w:val="fr-FR"/>
      </w:rPr>
    </w:pPr>
  </w:p>
  <w:p w:rsidR="00811EDA" w:rsidRPr="002F4496" w:rsidRDefault="00811EDA">
    <w:pPr>
      <w:pStyle w:val="Yltunniste"/>
      <w:rPr>
        <w:highlight w:val="yellow"/>
        <w:lang w:val="fr-FR"/>
      </w:rPr>
    </w:pPr>
  </w:p>
  <w:p w:rsidR="00811EDA" w:rsidRDefault="00DE66EB">
    <w:pPr>
      <w:pStyle w:val="Yltunniste"/>
    </w:pPr>
    <w:r>
      <w:rPr>
        <w:noProof/>
        <w:lang w:val="fi-FI" w:eastAsia="fi-FI"/>
      </w:rPr>
      <mc:AlternateContent>
        <mc:Choice Requires="wps">
          <w:drawing>
            <wp:anchor distT="0" distB="0" distL="114299" distR="114299" simplePos="0" relativeHeight="251660288" behindDoc="0" locked="0" layoutInCell="1" allowOverlap="1" wp14:anchorId="5D83E31A" wp14:editId="27AC3B28">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fi-FI" w:eastAsia="fi-FI"/>
      </w:rPr>
      <w:drawing>
        <wp:anchor distT="0" distB="0" distL="114300" distR="114300" simplePos="0" relativeHeight="251659264" behindDoc="0" locked="0" layoutInCell="1" allowOverlap="1" wp14:anchorId="156637CA" wp14:editId="0D76F41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Otsikk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0"/>
  </w:num>
  <w:num w:numId="24">
    <w:abstractNumId w:val="31"/>
  </w:num>
  <w:num w:numId="25">
    <w:abstractNumId w:val="30"/>
  </w:num>
  <w:num w:numId="26">
    <w:abstractNumId w:val="20"/>
  </w:num>
  <w:num w:numId="27">
    <w:abstractNumId w:val="34"/>
  </w:num>
  <w:num w:numId="28">
    <w:abstractNumId w:val="39"/>
  </w:num>
  <w:num w:numId="29">
    <w:abstractNumId w:val="8"/>
  </w:num>
  <w:num w:numId="30">
    <w:abstractNumId w:val="3"/>
  </w:num>
  <w:num w:numId="31">
    <w:abstractNumId w:val="22"/>
  </w:num>
  <w:num w:numId="32">
    <w:abstractNumId w:val="2"/>
  </w:num>
  <w:num w:numId="33">
    <w:abstractNumId w:val="7"/>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NfpGizdGrCwtbR478DCxEO5mnGk=" w:salt="86RQcmYaU+W3sIUlgxX43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26B"/>
    <w:rsid w:val="000303BE"/>
    <w:rsid w:val="000344D6"/>
    <w:rsid w:val="00034960"/>
    <w:rsid w:val="00036FAE"/>
    <w:rsid w:val="00041858"/>
    <w:rsid w:val="00041E2E"/>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C41"/>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6EBD"/>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355"/>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10B0"/>
    <w:rsid w:val="00232F90"/>
    <w:rsid w:val="00233B08"/>
    <w:rsid w:val="00233C3B"/>
    <w:rsid w:val="0023499C"/>
    <w:rsid w:val="00235CE3"/>
    <w:rsid w:val="0023636A"/>
    <w:rsid w:val="00236F34"/>
    <w:rsid w:val="002372F7"/>
    <w:rsid w:val="00240651"/>
    <w:rsid w:val="00240803"/>
    <w:rsid w:val="00240C63"/>
    <w:rsid w:val="0024426D"/>
    <w:rsid w:val="00244F1D"/>
    <w:rsid w:val="00245004"/>
    <w:rsid w:val="00245FB4"/>
    <w:rsid w:val="00250457"/>
    <w:rsid w:val="00250898"/>
    <w:rsid w:val="00251EA9"/>
    <w:rsid w:val="00252843"/>
    <w:rsid w:val="002543F8"/>
    <w:rsid w:val="002551A4"/>
    <w:rsid w:val="002559F3"/>
    <w:rsid w:val="00256DFE"/>
    <w:rsid w:val="00260F4F"/>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BE2"/>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28D2"/>
    <w:rsid w:val="00323D9F"/>
    <w:rsid w:val="00324FDB"/>
    <w:rsid w:val="00325F48"/>
    <w:rsid w:val="0033194F"/>
    <w:rsid w:val="00332304"/>
    <w:rsid w:val="00332406"/>
    <w:rsid w:val="00332D8D"/>
    <w:rsid w:val="00336B56"/>
    <w:rsid w:val="00341B25"/>
    <w:rsid w:val="00341EC0"/>
    <w:rsid w:val="0034240C"/>
    <w:rsid w:val="00344496"/>
    <w:rsid w:val="00345968"/>
    <w:rsid w:val="00345AC0"/>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159"/>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624"/>
    <w:rsid w:val="00434A74"/>
    <w:rsid w:val="00437929"/>
    <w:rsid w:val="00437A4A"/>
    <w:rsid w:val="00440541"/>
    <w:rsid w:val="0044162D"/>
    <w:rsid w:val="0044277A"/>
    <w:rsid w:val="004456DC"/>
    <w:rsid w:val="00447FBE"/>
    <w:rsid w:val="004501F1"/>
    <w:rsid w:val="0045035E"/>
    <w:rsid w:val="0045175A"/>
    <w:rsid w:val="00451ED9"/>
    <w:rsid w:val="00452180"/>
    <w:rsid w:val="00453072"/>
    <w:rsid w:val="004539F8"/>
    <w:rsid w:val="00453F26"/>
    <w:rsid w:val="0045503F"/>
    <w:rsid w:val="00455273"/>
    <w:rsid w:val="00460905"/>
    <w:rsid w:val="00461E35"/>
    <w:rsid w:val="004621DB"/>
    <w:rsid w:val="00462A81"/>
    <w:rsid w:val="004634A7"/>
    <w:rsid w:val="00463596"/>
    <w:rsid w:val="00463787"/>
    <w:rsid w:val="00466926"/>
    <w:rsid w:val="00466FDA"/>
    <w:rsid w:val="004671D0"/>
    <w:rsid w:val="004674D1"/>
    <w:rsid w:val="00470773"/>
    <w:rsid w:val="00471FF9"/>
    <w:rsid w:val="00473E74"/>
    <w:rsid w:val="00473FEF"/>
    <w:rsid w:val="00475B8E"/>
    <w:rsid w:val="0048104E"/>
    <w:rsid w:val="004814BB"/>
    <w:rsid w:val="004815DA"/>
    <w:rsid w:val="00481B4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0A8B"/>
    <w:rsid w:val="004D1410"/>
    <w:rsid w:val="004D1478"/>
    <w:rsid w:val="004D19EE"/>
    <w:rsid w:val="004D1CF2"/>
    <w:rsid w:val="004D2D3A"/>
    <w:rsid w:val="004D3564"/>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2A83"/>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38E4"/>
    <w:rsid w:val="006145DE"/>
    <w:rsid w:val="0061478E"/>
    <w:rsid w:val="00614F25"/>
    <w:rsid w:val="00615CB6"/>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06AB"/>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C0B"/>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E73FA"/>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43A6"/>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30EF"/>
    <w:rsid w:val="008A4CF6"/>
    <w:rsid w:val="008A4E42"/>
    <w:rsid w:val="008A51AA"/>
    <w:rsid w:val="008A6A12"/>
    <w:rsid w:val="008B0DC6"/>
    <w:rsid w:val="008B2B9E"/>
    <w:rsid w:val="008B31F5"/>
    <w:rsid w:val="008B4C79"/>
    <w:rsid w:val="008B5D2D"/>
    <w:rsid w:val="008B6361"/>
    <w:rsid w:val="008C0320"/>
    <w:rsid w:val="008C2A81"/>
    <w:rsid w:val="008C3863"/>
    <w:rsid w:val="008C470C"/>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3F0B"/>
    <w:rsid w:val="00974881"/>
    <w:rsid w:val="0097606C"/>
    <w:rsid w:val="009771D1"/>
    <w:rsid w:val="0098012D"/>
    <w:rsid w:val="00980845"/>
    <w:rsid w:val="00981BD9"/>
    <w:rsid w:val="0098225F"/>
    <w:rsid w:val="00983A3C"/>
    <w:rsid w:val="00983EFA"/>
    <w:rsid w:val="00984C15"/>
    <w:rsid w:val="00987829"/>
    <w:rsid w:val="00987ABB"/>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41D7"/>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0A9"/>
    <w:rsid w:val="009D6401"/>
    <w:rsid w:val="009E0711"/>
    <w:rsid w:val="009E1917"/>
    <w:rsid w:val="009E2FDB"/>
    <w:rsid w:val="009E3594"/>
    <w:rsid w:val="009E6B77"/>
    <w:rsid w:val="009E7724"/>
    <w:rsid w:val="009E7D1F"/>
    <w:rsid w:val="009F1576"/>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5F82"/>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5E5C"/>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7DC"/>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761"/>
    <w:rsid w:val="00E44B80"/>
    <w:rsid w:val="00E471F1"/>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3C96"/>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3126"/>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EF0769"/>
    <w:rPr>
      <w:rFonts w:ascii="Arial" w:hAnsi="Arial"/>
      <w:szCs w:val="24"/>
      <w:lang w:eastAsia="de-DE"/>
    </w:rPr>
  </w:style>
  <w:style w:type="paragraph" w:styleId="Otsikko1">
    <w:name w:val="heading 1"/>
    <w:basedOn w:val="Normaali"/>
    <w:next w:val="Normaali"/>
    <w:link w:val="Otsikko1Char"/>
    <w:qFormat/>
    <w:rsid w:val="009E7724"/>
    <w:pPr>
      <w:keepNext/>
      <w:numPr>
        <w:numId w:val="5"/>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3"/>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Fußnote"/>
    <w:basedOn w:val="Normaali"/>
    <w:link w:val="AlaviitteentekstiChar"/>
    <w:uiPriority w:val="99"/>
    <w:qFormat/>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8"/>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1"/>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6"/>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Kappaleenoletusfontti"/>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Voimakaskorostus">
    <w:name w:val="Intense Emphasis"/>
    <w:basedOn w:val="Kappaleenoletusfontti"/>
    <w:uiPriority w:val="21"/>
    <w:qFormat/>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sz w:val="32"/>
      <w:szCs w:val="32"/>
    </w:rPr>
  </w:style>
  <w:style w:type="paragraph" w:customStyle="1" w:styleId="CPTitle1">
    <w:name w:val="CP_Title1"/>
    <w:basedOn w:val="Otsikk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ali"/>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ali"/>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ali"/>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ali"/>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ali"/>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ali"/>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ali"/>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Kappaleenoletusfontti"/>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EF0769"/>
    <w:rPr>
      <w:rFonts w:ascii="Arial" w:hAnsi="Arial"/>
      <w:szCs w:val="24"/>
      <w:lang w:eastAsia="de-DE"/>
    </w:rPr>
  </w:style>
  <w:style w:type="paragraph" w:styleId="Otsikko1">
    <w:name w:val="heading 1"/>
    <w:basedOn w:val="Normaali"/>
    <w:next w:val="Normaali"/>
    <w:link w:val="Otsikko1Char"/>
    <w:qFormat/>
    <w:rsid w:val="009E7724"/>
    <w:pPr>
      <w:keepNext/>
      <w:numPr>
        <w:numId w:val="5"/>
      </w:numPr>
      <w:spacing w:before="240" w:after="60"/>
      <w:outlineLvl w:val="0"/>
    </w:pPr>
    <w:rPr>
      <w:rFonts w:cs="Arial"/>
      <w:b/>
      <w:bCs/>
      <w:kern w:val="32"/>
      <w:sz w:val="24"/>
      <w:szCs w:val="32"/>
    </w:rPr>
  </w:style>
  <w:style w:type="paragraph" w:styleId="Otsikko2">
    <w:name w:val="heading 2"/>
    <w:basedOn w:val="Normaali"/>
    <w:next w:val="Normaali"/>
    <w:link w:val="Otsikko2Char"/>
    <w:qFormat/>
    <w:rsid w:val="00886A60"/>
    <w:pPr>
      <w:keepNext/>
      <w:keepLines/>
      <w:spacing w:before="200" w:after="120"/>
      <w:outlineLvl w:val="1"/>
    </w:pPr>
    <w:rPr>
      <w:b/>
      <w:bCs/>
      <w:szCs w:val="26"/>
    </w:rPr>
  </w:style>
  <w:style w:type="paragraph" w:styleId="Otsikko3">
    <w:name w:val="heading 3"/>
    <w:basedOn w:val="Normaali"/>
    <w:next w:val="Normaali"/>
    <w:link w:val="Otsikko3Char"/>
    <w:qFormat/>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qFormat/>
    <w:rsid w:val="00E9344E"/>
    <w:pPr>
      <w:keepNext/>
      <w:keepLines/>
      <w:numPr>
        <w:numId w:val="13"/>
      </w:numPr>
      <w:spacing w:before="200"/>
      <w:jc w:val="both"/>
      <w:outlineLvl w:val="4"/>
    </w:pPr>
    <w:rPr>
      <w:b/>
    </w:rPr>
  </w:style>
  <w:style w:type="paragraph" w:styleId="Otsikko6">
    <w:name w:val="heading 6"/>
    <w:basedOn w:val="Normaali"/>
    <w:next w:val="Normaali"/>
    <w:link w:val="Otsikko6Char"/>
    <w:qFormat/>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5B64CB"/>
    <w:pPr>
      <w:tabs>
        <w:tab w:val="center" w:pos="4536"/>
        <w:tab w:val="right" w:pos="9072"/>
      </w:tabs>
    </w:pPr>
  </w:style>
  <w:style w:type="paragraph" w:styleId="Alatunniste">
    <w:name w:val="footer"/>
    <w:basedOn w:val="Normaali"/>
    <w:link w:val="AlatunnisteChar"/>
    <w:rsid w:val="005B64CB"/>
    <w:pPr>
      <w:tabs>
        <w:tab w:val="center" w:pos="4536"/>
        <w:tab w:val="right" w:pos="9072"/>
      </w:tabs>
    </w:pPr>
  </w:style>
  <w:style w:type="table" w:styleId="TaulukkoRuudukko">
    <w:name w:val="Table Grid"/>
    <w:basedOn w:val="Normaalitaulukko"/>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rsid w:val="003E3ACA"/>
    <w:pPr>
      <w:spacing w:line="200" w:lineRule="exact"/>
    </w:pPr>
    <w:rPr>
      <w:color w:val="2D4190"/>
      <w:sz w:val="16"/>
    </w:rPr>
  </w:style>
  <w:style w:type="paragraph" w:customStyle="1" w:styleId="05aTitle">
    <w:name w:val="05a_Title"/>
    <w:basedOn w:val="Normaali"/>
    <w:rsid w:val="00791EB4"/>
    <w:pPr>
      <w:spacing w:line="340" w:lineRule="exact"/>
    </w:pPr>
    <w:rPr>
      <w:b/>
      <w:color w:val="000000"/>
      <w:sz w:val="28"/>
    </w:rPr>
  </w:style>
  <w:style w:type="paragraph" w:customStyle="1" w:styleId="02Date">
    <w:name w:val="02_Date"/>
    <w:basedOn w:val="Normaali"/>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ali"/>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vunumero">
    <w:name w:val="page number"/>
    <w:basedOn w:val="Kappaleenoletusfontti"/>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ki">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Fußnote"/>
    <w:basedOn w:val="Normaali"/>
    <w:link w:val="AlaviitteentekstiChar"/>
    <w:uiPriority w:val="99"/>
    <w:qFormat/>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Sisluet2">
    <w:name w:val="toc 2"/>
    <w:basedOn w:val="Normaali"/>
    <w:next w:val="Normaali"/>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ali"/>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inviite">
    <w:name w:val="annotation reference"/>
    <w:rsid w:val="004B1E61"/>
    <w:rPr>
      <w:sz w:val="16"/>
      <w:szCs w:val="16"/>
    </w:rPr>
  </w:style>
  <w:style w:type="paragraph" w:styleId="Kommentinteksti">
    <w:name w:val="annotation text"/>
    <w:basedOn w:val="Normaali"/>
    <w:link w:val="KommentintekstiChar"/>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
    <w:basedOn w:val="Normaali"/>
    <w:link w:val="LuettelokappaleChar"/>
    <w:uiPriority w:val="34"/>
    <w:qFormat/>
    <w:rsid w:val="002A0C82"/>
    <w:pPr>
      <w:ind w:left="720"/>
      <w:contextualSpacing/>
    </w:pPr>
  </w:style>
  <w:style w:type="paragraph" w:styleId="Sisllysluettelonotsikko">
    <w:name w:val="TOC Heading"/>
    <w:basedOn w:val="Otsikko1"/>
    <w:next w:val="Normaali"/>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rsid w:val="008E1B6A"/>
  </w:style>
  <w:style w:type="paragraph" w:customStyle="1" w:styleId="ManualNumPar1">
    <w:name w:val="Manual NumPar 1"/>
    <w:basedOn w:val="Normaali"/>
    <w:next w:val="Normaali"/>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Korostus">
    <w:name w:val="Emphasis"/>
    <w:uiPriority w:val="20"/>
    <w:qFormat/>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Kuvanotsikko">
    <w:name w:val="caption"/>
    <w:basedOn w:val="Normaali"/>
    <w:next w:val="Normaali"/>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Asiakirjanrakenneruutu">
    <w:name w:val="Document Map"/>
    <w:basedOn w:val="Normaali"/>
    <w:link w:val="AsiakirjanrakenneruutuChar"/>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rsid w:val="00AA016B"/>
    <w:pPr>
      <w:numPr>
        <w:numId w:val="8"/>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Voimakas">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ali"/>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rsid w:val="002D6E1A"/>
  </w:style>
  <w:style w:type="character" w:styleId="AvattuHyperlinkki">
    <w:name w:val="FollowedHyperlink"/>
    <w:unhideWhenUs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rsid w:val="002D6E1A"/>
    <w:rPr>
      <w:rFonts w:ascii="Georgia" w:hAnsi="Georgia"/>
      <w:sz w:val="22"/>
      <w:szCs w:val="24"/>
      <w:lang w:eastAsia="de-DE"/>
    </w:rPr>
  </w:style>
  <w:style w:type="paragraph" w:styleId="Loppuviitteenteksti">
    <w:name w:val="endnote text"/>
    <w:basedOn w:val="Normaali"/>
    <w:link w:val="LoppuviitteentekstiChar"/>
    <w:unhideWhenUs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
    <w:link w:val="Luettelokappale"/>
    <w:uiPriority w:val="34"/>
    <w:locked/>
    <w:rsid w:val="002D6E1A"/>
    <w:rPr>
      <w:rFonts w:ascii="Georgia" w:hAnsi="Georgia"/>
      <w:sz w:val="22"/>
      <w:szCs w:val="24"/>
      <w:lang w:eastAsia="de-DE"/>
    </w:rPr>
  </w:style>
  <w:style w:type="paragraph" w:customStyle="1" w:styleId="04anumbering0">
    <w:name w:val="04anumbering"/>
    <w:basedOn w:val="Normaali"/>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rsid w:val="002D6E1A"/>
    <w:pPr>
      <w:ind w:left="708"/>
      <w:contextualSpacing w:val="0"/>
      <w:jc w:val="both"/>
    </w:pPr>
    <w:rPr>
      <w:b/>
      <w:szCs w:val="20"/>
      <w:u w:val="single"/>
    </w:rPr>
  </w:style>
  <w:style w:type="paragraph" w:customStyle="1" w:styleId="Bullet">
    <w:name w:val="Bullet"/>
    <w:basedOn w:val="Normaali"/>
    <w:rsid w:val="002D6E1A"/>
    <w:pPr>
      <w:numPr>
        <w:numId w:val="11"/>
      </w:numPr>
      <w:tabs>
        <w:tab w:val="left" w:pos="708"/>
      </w:tabs>
      <w:spacing w:before="120" w:after="120" w:line="276" w:lineRule="auto"/>
      <w:jc w:val="both"/>
    </w:pPr>
    <w:rPr>
      <w:szCs w:val="20"/>
      <w:lang w:eastAsia="en-GB"/>
    </w:rPr>
  </w:style>
  <w:style w:type="character" w:styleId="Loppuviitteenviite">
    <w:name w:val="endnote reference"/>
    <w:unhideWhenUsed/>
    <w:rsid w:val="002D6E1A"/>
    <w:rPr>
      <w:vertAlign w:val="superscript"/>
    </w:rPr>
  </w:style>
  <w:style w:type="character" w:styleId="Paikkamerkkiteksti">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alitaulukko"/>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rsid w:val="00952F2C"/>
  </w:style>
  <w:style w:type="paragraph" w:customStyle="1" w:styleId="aStyle">
    <w:name w:val="a) Style"/>
    <w:basedOn w:val="Normaali"/>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notsikko"/>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Otsikko5Char">
    <w:name w:val="Otsikko 5 Char"/>
    <w:aliases w:val="Questions Char7"/>
    <w:link w:val="Otsikko5"/>
    <w:rsid w:val="00E9344E"/>
    <w:rPr>
      <w:rFonts w:ascii="Georgia" w:hAnsi="Georgia"/>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ali"/>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Otsikk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Otsikko1"/>
    <w:next w:val="Normaali"/>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ali"/>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rsid w:val="000D2D0B"/>
    <w:pPr>
      <w:spacing w:before="120" w:after="120"/>
      <w:ind w:left="850"/>
      <w:jc w:val="both"/>
    </w:pPr>
    <w:rPr>
      <w:rFonts w:ascii="Times New Roman" w:hAnsi="Times New Roman"/>
      <w:sz w:val="24"/>
      <w:lang w:eastAsia="en-US"/>
    </w:rPr>
  </w:style>
  <w:style w:type="paragraph" w:customStyle="1" w:styleId="Text2">
    <w:name w:val="Text 2"/>
    <w:basedOn w:val="Normaali"/>
    <w:rsid w:val="000D2D0B"/>
    <w:pPr>
      <w:spacing w:before="120" w:after="120"/>
      <w:ind w:left="1417"/>
      <w:jc w:val="both"/>
    </w:pPr>
    <w:rPr>
      <w:rFonts w:ascii="Times New Roman" w:hAnsi="Times New Roman"/>
      <w:sz w:val="24"/>
      <w:lang w:eastAsia="en-US"/>
    </w:rPr>
  </w:style>
  <w:style w:type="paragraph" w:customStyle="1" w:styleId="Text3">
    <w:name w:val="Text 3"/>
    <w:basedOn w:val="Normaali"/>
    <w:rsid w:val="000D2D0B"/>
    <w:pPr>
      <w:spacing w:before="120" w:after="120"/>
      <w:ind w:left="1984"/>
      <w:jc w:val="both"/>
    </w:pPr>
    <w:rPr>
      <w:rFonts w:ascii="Times New Roman" w:hAnsi="Times New Roman"/>
      <w:sz w:val="24"/>
      <w:lang w:eastAsia="en-US"/>
    </w:rPr>
  </w:style>
  <w:style w:type="paragraph" w:customStyle="1" w:styleId="Text4">
    <w:name w:val="Text 4"/>
    <w:basedOn w:val="Normaali"/>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ali"/>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ali"/>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ali"/>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ali"/>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ali"/>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ali"/>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ali"/>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ali"/>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ali"/>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ali"/>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ali"/>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ali"/>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ali"/>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ali"/>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ali"/>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ali"/>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ali"/>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ali"/>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rsid w:val="000D2D0B"/>
    <w:pPr>
      <w:spacing w:after="240"/>
    </w:pPr>
    <w:rPr>
      <w:rFonts w:ascii="Times New Roman" w:hAnsi="Times New Roman"/>
      <w:sz w:val="24"/>
      <w:lang w:eastAsia="en-US"/>
    </w:rPr>
  </w:style>
  <w:style w:type="paragraph" w:customStyle="1" w:styleId="Datedadoption">
    <w:name w:val="Date d'adoption"/>
    <w:basedOn w:val="Normaali"/>
    <w:next w:val="Titreobjet"/>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rsid w:val="000D2D0B"/>
    <w:rPr>
      <w:rFonts w:cs="Arial"/>
      <w:sz w:val="24"/>
      <w:lang w:eastAsia="en-US"/>
    </w:rPr>
  </w:style>
  <w:style w:type="paragraph" w:customStyle="1" w:styleId="Rfrenceinstitutionnelle">
    <w:name w:val="Référence institutionnelle"/>
    <w:basedOn w:val="Normaali"/>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ali"/>
    <w:rsid w:val="000D2D0B"/>
    <w:pPr>
      <w:jc w:val="center"/>
    </w:pPr>
    <w:rPr>
      <w:rFonts w:ascii="Times New Roman" w:hAnsi="Times New Roman"/>
      <w:b/>
      <w:sz w:val="24"/>
      <w:lang w:eastAsia="en-US"/>
    </w:rPr>
  </w:style>
  <w:style w:type="paragraph" w:customStyle="1" w:styleId="Statut">
    <w:name w:val="Statut"/>
    <w:basedOn w:val="Normaali"/>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ali"/>
    <w:next w:val="Normaali"/>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rsid w:val="000D2D0B"/>
    <w:pPr>
      <w:spacing w:before="360"/>
      <w:jc w:val="center"/>
    </w:pPr>
    <w:rPr>
      <w:rFonts w:ascii="Times New Roman" w:hAnsi="Times New Roman"/>
      <w:sz w:val="24"/>
      <w:lang w:eastAsia="en-US"/>
    </w:rPr>
  </w:style>
  <w:style w:type="paragraph" w:customStyle="1" w:styleId="Rfrencecroise">
    <w:name w:val="Référence croisée"/>
    <w:basedOn w:val="Normaali"/>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ali"/>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rsid w:val="000D2D0B"/>
    <w:pPr>
      <w:spacing w:after="240"/>
    </w:pPr>
  </w:style>
  <w:style w:type="paragraph" w:customStyle="1" w:styleId="Accompagnant">
    <w:name w:val="Accompagnant"/>
    <w:basedOn w:val="Normaali"/>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ali"/>
    <w:next w:val="Normaali"/>
    <w:rsid w:val="000D2D0B"/>
    <w:pPr>
      <w:spacing w:before="360"/>
      <w:jc w:val="center"/>
    </w:pPr>
    <w:rPr>
      <w:rFonts w:ascii="Times New Roman" w:hAnsi="Times New Roman"/>
      <w:sz w:val="24"/>
      <w:lang w:eastAsia="en-US"/>
    </w:rPr>
  </w:style>
  <w:style w:type="paragraph" w:styleId="Numeroituluettelo2">
    <w:name w:val="List Number 2"/>
    <w:basedOn w:val="Normaali"/>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rsid w:val="000D2D0B"/>
    <w:pPr>
      <w:numPr>
        <w:numId w:val="16"/>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rsid w:val="000D2D0B"/>
    <w:pPr>
      <w:ind w:left="720"/>
      <w:contextualSpacing/>
    </w:pPr>
    <w:rPr>
      <w:rFonts w:ascii="Cambria" w:hAnsi="Cambria"/>
      <w:sz w:val="24"/>
      <w:lang w:val="en-US" w:eastAsia="en-US"/>
    </w:rPr>
  </w:style>
  <w:style w:type="paragraph" w:customStyle="1" w:styleId="Listeavsnitt1">
    <w:name w:val="Listeavsnitt1"/>
    <w:basedOn w:val="Normaali"/>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ali"/>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rsid w:val="000D2D0B"/>
    <w:pPr>
      <w:ind w:left="720"/>
      <w:contextualSpacing/>
    </w:pPr>
    <w:rPr>
      <w:rFonts w:ascii="Cambria" w:hAnsi="Cambria"/>
      <w:sz w:val="24"/>
      <w:lang w:val="en-US" w:eastAsia="en-US"/>
    </w:rPr>
  </w:style>
  <w:style w:type="paragraph" w:customStyle="1" w:styleId="ListParagraph2">
    <w:name w:val="List Paragraph2"/>
    <w:basedOn w:val="Normaali"/>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ali"/>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ali"/>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Otsikko">
    <w:name w:val="Title"/>
    <w:basedOn w:val="Normaali"/>
    <w:next w:val="Normaali"/>
    <w:link w:val="Otsikko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rsid w:val="003A6E9A"/>
    <w:rPr>
      <w:b/>
      <w:i w:val="0"/>
      <w:iCs/>
      <w:sz w:val="20"/>
    </w:rPr>
  </w:style>
  <w:style w:type="paragraph" w:customStyle="1" w:styleId="NEW-Paragraph-Level1">
    <w:name w:val="NEW-Paragraph-Level1"/>
    <w:basedOn w:val="Normaali"/>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ali"/>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ali"/>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ali"/>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ali"/>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ali"/>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Kappaleenoletusfontti"/>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Voimakaskorostus">
    <w:name w:val="Intense Emphasis"/>
    <w:basedOn w:val="Kappaleenoletusfontti"/>
    <w:uiPriority w:val="21"/>
    <w:qFormat/>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sz w:val="32"/>
      <w:szCs w:val="32"/>
    </w:rPr>
  </w:style>
  <w:style w:type="paragraph" w:customStyle="1" w:styleId="CPTitle1">
    <w:name w:val="CP_Title1"/>
    <w:basedOn w:val="Otsikk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ali"/>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ali"/>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ali"/>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ali"/>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ali"/>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ali"/>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ali"/>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Kappaleenoletusfontti"/>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23B84-9512-4552-A808-030D490D4B3F}">
  <ds:schemaRefs>
    <ds:schemaRef ds:uri="http://schemas.openxmlformats.org/officeDocument/2006/bibliography"/>
  </ds:schemaRefs>
</ds:datastoreItem>
</file>

<file path=customXml/itemProps2.xml><?xml version="1.0" encoding="utf-8"?>
<ds:datastoreItem xmlns:ds="http://schemas.openxmlformats.org/officeDocument/2006/customXml" ds:itemID="{639A53BD-268D-43CE-B090-AFD191D7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2723</Words>
  <Characters>15525</Characters>
  <Application>Microsoft Office Word</Application>
  <DocSecurity>8</DocSecurity>
  <Lines>129</Lines>
  <Paragraphs>36</Paragraphs>
  <ScaleCrop>false</ScaleCrop>
  <HeadingPairs>
    <vt:vector size="14" baseType="variant">
      <vt:variant>
        <vt:lpstr>Otsikko</vt:lpstr>
      </vt:variant>
      <vt:variant>
        <vt:i4>1</vt:i4>
      </vt:variant>
      <vt:variant>
        <vt:lpstr>Title</vt:lpstr>
      </vt:variant>
      <vt:variant>
        <vt:i4>1</vt:i4>
      </vt:variant>
      <vt:variant>
        <vt:lpstr>Rubrik</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7" baseType="lpstr">
      <vt:lpstr>Reply form for the MiFID II/MiFIR Consultation Paper</vt: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18212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Virta Jari</cp:lastModifiedBy>
  <cp:revision>2</cp:revision>
  <cp:lastPrinted>2015-02-18T11:01:00Z</cp:lastPrinted>
  <dcterms:created xsi:type="dcterms:W3CDTF">2015-10-23T13:22:00Z</dcterms:created>
  <dcterms:modified xsi:type="dcterms:W3CDTF">2015-10-23T13:22:00Z</dcterms:modified>
</cp:coreProperties>
</file>