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8643A6" w:rsidP="00BF557C">
            <w:pPr>
              <w:pStyle w:val="00bDBInfo"/>
              <w:rPr>
                <w:rFonts w:cs="Arial"/>
              </w:rPr>
            </w:pPr>
            <w:r>
              <w:rPr>
                <w:rFonts w:cs="Arial"/>
              </w:rPr>
              <w:t>23 July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rsidR="00404159" w:rsidRPr="004E49B0" w:rsidRDefault="00404159" w:rsidP="008643A6">
            <w:pPr>
              <w:pStyle w:val="02Date"/>
              <w:rPr>
                <w:rFonts w:cs="Arial"/>
              </w:rPr>
            </w:pPr>
            <w:r>
              <w:rPr>
                <w:rFonts w:cs="Arial"/>
              </w:rPr>
              <w:t>2015/ESMA/1210</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w:t>
      </w:r>
      <w:r w:rsidR="00F574D0" w:rsidRPr="00EF0769">
        <w:rPr>
          <w:rFonts w:cs="Arial"/>
        </w:rPr>
        <w:t>e</w:t>
      </w:r>
      <w:r w:rsidR="00F574D0" w:rsidRPr="00EF0769">
        <w:rPr>
          <w:rFonts w:cs="Arial"/>
        </w:rPr>
        <w:t>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F6E3E" w:rsidRPr="00BF6E3E">
        <w:rPr>
          <w:rFonts w:cs="Arial"/>
          <w:b/>
        </w:rPr>
        <w:t>23 October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4834733" w:edGrp="everyone" w:colFirst="1" w:colLast="1"/>
            <w:r w:rsidRPr="00AB6D88">
              <w:rPr>
                <w:rFonts w:cs="Arial"/>
              </w:rPr>
              <w:t>Name of the company / organisation</w:t>
            </w:r>
          </w:p>
        </w:tc>
        <w:sdt>
          <w:sdtPr>
            <w:rPr>
              <w:rStyle w:val="Textedelespacerserv"/>
              <w:rFonts w:cs="Arial"/>
              <w:color w:val="auto"/>
            </w:rPr>
            <w:id w:val="-1905066999"/>
            <w:text/>
          </w:sdtPr>
          <w:sdtEndPr>
            <w:rPr>
              <w:rStyle w:val="Textedelespacerserv"/>
            </w:rPr>
          </w:sdtEndPr>
          <w:sdtContent>
            <w:permStart w:id="520818015" w:edGrp="everyone" w:displacedByCustomXml="prev"/>
            <w:tc>
              <w:tcPr>
                <w:tcW w:w="5595" w:type="dxa"/>
                <w:shd w:val="clear" w:color="auto" w:fill="auto"/>
              </w:tcPr>
              <w:p w:rsidR="00D34282" w:rsidRPr="00AB6D88" w:rsidRDefault="00A41B87" w:rsidP="00A41B87">
                <w:pPr>
                  <w:rPr>
                    <w:rStyle w:val="Textedelespacerserv"/>
                    <w:rFonts w:cs="Arial"/>
                  </w:rPr>
                </w:pPr>
                <w:r w:rsidRPr="009B0ABE">
                  <w:rPr>
                    <w:rStyle w:val="Textedelespacerserv"/>
                    <w:rFonts w:cs="Arial"/>
                    <w:color w:val="auto"/>
                  </w:rPr>
                  <w:t>AFG</w:t>
                </w:r>
              </w:p>
            </w:tc>
            <w:permEnd w:id="520818015"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267460009" w:edGrp="everyone" w:colFirst="1" w:colLast="1"/>
            <w:permEnd w:id="14834733"/>
            <w:r w:rsidRPr="00AB6D88">
              <w:rPr>
                <w:rFonts w:cs="Arial"/>
              </w:rPr>
              <w:t>Activity</w:t>
            </w:r>
          </w:p>
        </w:tc>
        <w:tc>
          <w:tcPr>
            <w:tcW w:w="5595" w:type="dxa"/>
            <w:shd w:val="clear" w:color="auto" w:fill="auto"/>
          </w:tcPr>
          <w:p w:rsidR="00D34282" w:rsidRPr="00AB6D88" w:rsidRDefault="009D011A"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577530086" w:edGrp="everyone"/>
                <w:r w:rsidR="00A41B87">
                  <w:rPr>
                    <w:rFonts w:cs="Arial"/>
                  </w:rPr>
                  <w:t>Investment Services</w:t>
                </w:r>
                <w:permEnd w:id="1577530086"/>
              </w:sdtContent>
            </w:sdt>
          </w:p>
        </w:tc>
      </w:tr>
      <w:tr w:rsidR="00D34282" w:rsidRPr="00AB6D88" w:rsidTr="001F03CA">
        <w:tc>
          <w:tcPr>
            <w:tcW w:w="3929" w:type="dxa"/>
            <w:shd w:val="clear" w:color="auto" w:fill="auto"/>
          </w:tcPr>
          <w:p w:rsidR="00D34282" w:rsidRPr="00AB6D88" w:rsidRDefault="00D34282" w:rsidP="001F03CA">
            <w:pPr>
              <w:rPr>
                <w:rFonts w:cs="Arial"/>
              </w:rPr>
            </w:pPr>
            <w:permStart w:id="1341932273" w:edGrp="everyone" w:colFirst="1" w:colLast="1"/>
            <w:permEnd w:id="267460009"/>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A41B87"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262811537" w:edGrp="everyone" w:colFirst="1" w:colLast="1"/>
            <w:permEnd w:id="1341932273"/>
            <w:r w:rsidRPr="00AB6D88">
              <w:rPr>
                <w:rFonts w:cs="Arial"/>
              </w:rPr>
              <w:t>Country/Region</w:t>
            </w:r>
          </w:p>
        </w:tc>
        <w:permStart w:id="699940455"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345860836" w:edGrp="everyone" w:displacedByCustomXml="prev"/>
            <w:tc>
              <w:tcPr>
                <w:tcW w:w="5595" w:type="dxa"/>
                <w:shd w:val="clear" w:color="auto" w:fill="auto"/>
              </w:tcPr>
              <w:p w:rsidR="00D34282" w:rsidRPr="00AB6D88" w:rsidRDefault="00A41B87" w:rsidP="001F03CA">
                <w:pPr>
                  <w:rPr>
                    <w:rFonts w:cs="Arial"/>
                  </w:rPr>
                </w:pPr>
                <w:r>
                  <w:rPr>
                    <w:rFonts w:cs="Arial"/>
                  </w:rPr>
                  <w:t>France</w:t>
                </w:r>
              </w:p>
            </w:tc>
            <w:permEnd w:id="1345860836" w:displacedByCustomXml="next"/>
          </w:sdtContent>
        </w:sdt>
        <w:permEnd w:id="699940455" w:displacedByCustomXml="prev"/>
      </w:tr>
      <w:permEnd w:id="262811537"/>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D34282" w:rsidRPr="001D47A5" w:rsidRDefault="00D34282" w:rsidP="00D34282">
      <w:pPr>
        <w:rPr>
          <w:rStyle w:val="Emphaseintense"/>
        </w:rPr>
      </w:pPr>
      <w:r w:rsidRPr="001D47A5">
        <w:rPr>
          <w:rStyle w:val="Emphaseintense"/>
        </w:rPr>
        <w:t>Please make your introductory comments below, if any:</w:t>
      </w:r>
    </w:p>
    <w:p w:rsidR="00AD7675" w:rsidRPr="008643A6" w:rsidRDefault="00AD7675" w:rsidP="00D34282"/>
    <w:p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rsidR="00A41B87" w:rsidRPr="00B65128" w:rsidRDefault="00A41B87" w:rsidP="00A41B87">
      <w:permStart w:id="1675365775" w:edGrp="everyone"/>
    </w:p>
    <w:p w:rsidR="00A41B87" w:rsidRDefault="00A41B87" w:rsidP="00A41B87">
      <w:pPr>
        <w:jc w:val="both"/>
      </w:pPr>
      <w:r w:rsidRPr="00B65128">
        <w:t xml:space="preserve">The Association </w:t>
      </w:r>
      <w:proofErr w:type="spellStart"/>
      <w:r w:rsidRPr="00B65128">
        <w:t>Française</w:t>
      </w:r>
      <w:proofErr w:type="spellEnd"/>
      <w:r w:rsidRPr="00B65128">
        <w:t xml:space="preserve"> de </w:t>
      </w:r>
      <w:proofErr w:type="spellStart"/>
      <w:r w:rsidRPr="00B65128">
        <w:t>Gestion</w:t>
      </w:r>
      <w:proofErr w:type="spellEnd"/>
      <w:r w:rsidRPr="00B65128">
        <w:t xml:space="preserve"> has considered carefully the European </w:t>
      </w:r>
      <w:r>
        <w:t>Securities and Markets</w:t>
      </w:r>
      <w:r w:rsidRPr="00B65128">
        <w:t xml:space="preserve"> Authority</w:t>
      </w:r>
      <w:r>
        <w:t>’s Consultation Paper on Guidelines on Sound Remuneration Policies under the UCITS Directive and AIFMD, and is pleased to provide its answer herein.</w:t>
      </w:r>
    </w:p>
    <w:p w:rsidR="00A41B87" w:rsidRDefault="00A41B87" w:rsidP="00A41B87">
      <w:pPr>
        <w:jc w:val="both"/>
      </w:pPr>
    </w:p>
    <w:p w:rsidR="00A41B87" w:rsidRDefault="00A41B87" w:rsidP="00A41B87">
      <w:pPr>
        <w:jc w:val="both"/>
      </w:pPr>
      <w:r>
        <w:t>AFG fully supports ESMA’s initiative to align the UCITS remuneration guidelines as closely as possible to the AIFMD remuneration guidelines in order to promote sound compensation practice, as well as ESMA’s efforts to harmonize remuneration rules across national regulatory frameworks in the EU’s asset ma</w:t>
      </w:r>
      <w:r>
        <w:t>n</w:t>
      </w:r>
      <w:r>
        <w:t>agement industry.</w:t>
      </w:r>
    </w:p>
    <w:p w:rsidR="00A41B87" w:rsidRDefault="00A41B87" w:rsidP="00A41B87">
      <w:pPr>
        <w:jc w:val="both"/>
      </w:pPr>
    </w:p>
    <w:p w:rsidR="00A41B87" w:rsidRDefault="00A41B87" w:rsidP="00A41B87">
      <w:pPr>
        <w:jc w:val="both"/>
      </w:pPr>
      <w:r>
        <w:t>In particular, AFG appreciates that the proposed UCITS guidelines, are well leveraging on the February 2013-released AIFMD remuneration guidelines, thus reflecting a regulatory design with a long-term pe</w:t>
      </w:r>
      <w:r>
        <w:t>r</w:t>
      </w:r>
      <w:r>
        <w:t>spective, capitalising on seasoned earlier rules.</w:t>
      </w:r>
    </w:p>
    <w:p w:rsidR="00A41B87" w:rsidRDefault="00A41B87" w:rsidP="00A41B87">
      <w:pPr>
        <w:jc w:val="both"/>
      </w:pPr>
    </w:p>
    <w:p w:rsidR="00A41B87" w:rsidRDefault="00A41B87" w:rsidP="00A41B87">
      <w:pPr>
        <w:jc w:val="both"/>
      </w:pPr>
      <w:r>
        <w:t>However, AFG notes that ESMA is considering extending significantly the scope of its rules to encompass “ancillary services” performed under a UCITS (respectively, AIFM) licence, notably mandates manag</w:t>
      </w:r>
      <w:r>
        <w:t>e</w:t>
      </w:r>
      <w:r>
        <w:t xml:space="preserve">ment, the practical consequences of which must be addressed with sufficient flexibility to maintain and foster the competitiveness of the EU asset management industry. </w:t>
      </w:r>
    </w:p>
    <w:p w:rsidR="00A41B87" w:rsidRDefault="00A41B87" w:rsidP="00A41B87">
      <w:pPr>
        <w:jc w:val="both"/>
      </w:pPr>
    </w:p>
    <w:p w:rsidR="00A41B87" w:rsidRPr="00C97781" w:rsidRDefault="00A41B87" w:rsidP="00A41B87">
      <w:pPr>
        <w:jc w:val="both"/>
        <w:rPr>
          <w:i/>
        </w:rPr>
      </w:pPr>
      <w:r w:rsidRPr="00C97781">
        <w:rPr>
          <w:i/>
        </w:rPr>
        <w:t xml:space="preserve">Further, AFG takes the opportunity of this consultation to include, </w:t>
      </w:r>
      <w:r w:rsidRPr="00B34488">
        <w:rPr>
          <w:b/>
          <w:i/>
        </w:rPr>
        <w:t>in</w:t>
      </w:r>
      <w:r w:rsidRPr="00C97781">
        <w:rPr>
          <w:i/>
        </w:rPr>
        <w:t xml:space="preserve"> </w:t>
      </w:r>
      <w:r w:rsidRPr="00C97781">
        <w:rPr>
          <w:b/>
          <w:i/>
        </w:rPr>
        <w:t>Appendix 1</w:t>
      </w:r>
      <w:r w:rsidRPr="00C97781">
        <w:rPr>
          <w:i/>
        </w:rPr>
        <w:t xml:space="preserve"> to this answer to the UCITS remuneration guidelines proposal, a </w:t>
      </w:r>
      <w:r>
        <w:rPr>
          <w:i/>
        </w:rPr>
        <w:t>few</w:t>
      </w:r>
      <w:r w:rsidRPr="00C97781">
        <w:rPr>
          <w:i/>
        </w:rPr>
        <w:t xml:space="preserve"> other </w:t>
      </w:r>
      <w:r w:rsidRPr="00B34488">
        <w:rPr>
          <w:b/>
          <w:i/>
        </w:rPr>
        <w:t>important points</w:t>
      </w:r>
      <w:r w:rsidRPr="00C97781">
        <w:rPr>
          <w:i/>
        </w:rPr>
        <w:t xml:space="preserve">, which it would like to respectfully </w:t>
      </w:r>
      <w:r>
        <w:rPr>
          <w:i/>
        </w:rPr>
        <w:t>bring</w:t>
      </w:r>
      <w:r w:rsidRPr="00C97781">
        <w:rPr>
          <w:i/>
        </w:rPr>
        <w:t xml:space="preserve"> to ESMA</w:t>
      </w:r>
      <w:r>
        <w:rPr>
          <w:i/>
        </w:rPr>
        <w:t>’s attention</w:t>
      </w:r>
      <w:r w:rsidRPr="00C97781">
        <w:rPr>
          <w:i/>
        </w:rPr>
        <w:t>, so that they can be addressed at ESMA’s earliest convenience.</w:t>
      </w:r>
      <w:r>
        <w:rPr>
          <w:i/>
        </w:rPr>
        <w:t xml:space="preserve">  Notably, </w:t>
      </w:r>
      <w:r w:rsidRPr="00B34488">
        <w:rPr>
          <w:b/>
          <w:i/>
        </w:rPr>
        <w:t>AFG respectfully suggests</w:t>
      </w:r>
      <w:r>
        <w:rPr>
          <w:i/>
        </w:rPr>
        <w:t xml:space="preserve"> that the proposal by ESMA to use the </w:t>
      </w:r>
      <w:r w:rsidRPr="00616CFD">
        <w:rPr>
          <w:b/>
          <w:i/>
        </w:rPr>
        <w:t>recommended holding period</w:t>
      </w:r>
      <w:r>
        <w:rPr>
          <w:i/>
        </w:rPr>
        <w:t xml:space="preserve">, as the reference </w:t>
      </w:r>
      <w:r w:rsidRPr="00B34488">
        <w:rPr>
          <w:b/>
          <w:i/>
        </w:rPr>
        <w:t>for deferral length</w:t>
      </w:r>
      <w:r>
        <w:rPr>
          <w:i/>
        </w:rPr>
        <w:t xml:space="preserve">, is likely to </w:t>
      </w:r>
      <w:r w:rsidRPr="00B34488">
        <w:rPr>
          <w:b/>
          <w:i/>
        </w:rPr>
        <w:t xml:space="preserve">have </w:t>
      </w:r>
      <w:r>
        <w:rPr>
          <w:b/>
          <w:i/>
        </w:rPr>
        <w:t xml:space="preserve">strongly </w:t>
      </w:r>
      <w:r w:rsidRPr="00B34488">
        <w:rPr>
          <w:b/>
          <w:i/>
        </w:rPr>
        <w:t>undesired effects</w:t>
      </w:r>
      <w:r>
        <w:rPr>
          <w:i/>
        </w:rPr>
        <w:t>.</w:t>
      </w:r>
    </w:p>
    <w:permEnd w:id="1675365775"/>
    <w:p w:rsidR="00D34282" w:rsidRPr="008643A6" w:rsidRDefault="00D34282" w:rsidP="00D34282">
      <w:r w:rsidRPr="008643A6">
        <w:t>&lt;</w:t>
      </w:r>
      <w:r w:rsidR="00D61A37" w:rsidRPr="008643A6">
        <w:t>ESMA_COMMENT_UCITS_V_AIMFD_REM_1</w:t>
      </w:r>
      <w:r w:rsidRPr="008643A6">
        <w:t>&gt;</w:t>
      </w:r>
    </w:p>
    <w:p w:rsidR="00F31E57" w:rsidRPr="008643A6" w:rsidRDefault="00F31E57" w:rsidP="00D34282"/>
    <w:p w:rsidR="0075015C" w:rsidRDefault="00F31E57" w:rsidP="0075015C">
      <w:pPr>
        <w:pStyle w:val="QuestionsFORM"/>
        <w:ind w:left="284" w:hanging="284"/>
      </w:pPr>
      <w:r w:rsidRPr="0075015C">
        <w:br w:type="page"/>
      </w:r>
      <w:r w:rsidR="0075015C">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w:t>
      </w:r>
      <w:r w:rsidR="0075015C">
        <w:t>n</w:t>
      </w:r>
      <w:r w:rsidR="0075015C">
        <w:t>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rsidR="00081148" w:rsidRDefault="00081148" w:rsidP="00081148">
      <w:pPr>
        <w:pStyle w:val="FORM2"/>
        <w:numPr>
          <w:ilvl w:val="0"/>
          <w:numId w:val="52"/>
        </w:numPr>
      </w:pPr>
      <w:r>
        <w:t>All management companies (i.e. those that hold a separate AIFMD licence and those that do not) are invited to provide details on the following:</w:t>
      </w:r>
    </w:p>
    <w:p w:rsidR="00081148" w:rsidRDefault="00081148" w:rsidP="00081148">
      <w:pPr>
        <w:pStyle w:val="FORM2"/>
        <w:numPr>
          <w:ilvl w:val="1"/>
          <w:numId w:val="52"/>
        </w:numPr>
      </w:pPr>
      <w:r>
        <w:t xml:space="preserve">compliance impacts and costs (one-off and ongoing costs, encompassing technological/ IT costs and human resources), and </w:t>
      </w:r>
    </w:p>
    <w:p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rsidR="00081148" w:rsidRDefault="00081148" w:rsidP="00081148">
      <w:pPr>
        <w:pStyle w:val="FORM2"/>
        <w:numPr>
          <w:ilvl w:val="0"/>
          <w:numId w:val="52"/>
        </w:numPr>
      </w:pPr>
      <w:r w:rsidRPr="00081148">
        <w:t>Management companies that also hold an AIFMD licence and benefit from the disapplication of certain of the remuneration rules under the AIFMD Remuneration Guidelines are asked to provide an estimate of the compliance costs in absolute and relative terms and to identify impediments r</w:t>
      </w:r>
      <w:r w:rsidRPr="00081148">
        <w:t>e</w:t>
      </w:r>
      <w:r w:rsidRPr="00081148">
        <w:t>sulting from their nature, including their legal form, if they were required to apply, for the variable remuneration of identified staff:</w:t>
      </w:r>
    </w:p>
    <w:p w:rsidR="00081148" w:rsidRDefault="00081148" w:rsidP="00081148">
      <w:pPr>
        <w:pStyle w:val="FORM2"/>
        <w:numPr>
          <w:ilvl w:val="1"/>
          <w:numId w:val="52"/>
        </w:numPr>
      </w:pPr>
      <w:r>
        <w:t>deferral arrangements (in particular, a minimum deferral period of three years);</w:t>
      </w:r>
    </w:p>
    <w:p w:rsidR="00081148" w:rsidRDefault="00081148" w:rsidP="00081148">
      <w:pPr>
        <w:pStyle w:val="FORM2"/>
        <w:numPr>
          <w:ilvl w:val="1"/>
          <w:numId w:val="52"/>
        </w:numPr>
      </w:pPr>
      <w:r>
        <w:t xml:space="preserve">retention; </w:t>
      </w:r>
    </w:p>
    <w:p w:rsidR="00081148" w:rsidRDefault="00081148" w:rsidP="00081148">
      <w:pPr>
        <w:pStyle w:val="FORM2"/>
        <w:numPr>
          <w:ilvl w:val="1"/>
          <w:numId w:val="52"/>
        </w:numPr>
      </w:pPr>
      <w:r>
        <w:t xml:space="preserve">the pay out in instruments; and </w:t>
      </w:r>
    </w:p>
    <w:p w:rsidR="00081148" w:rsidRDefault="00081148" w:rsidP="00081148">
      <w:pPr>
        <w:pStyle w:val="FORM2"/>
        <w:numPr>
          <w:ilvl w:val="1"/>
          <w:numId w:val="52"/>
        </w:numPr>
      </w:pPr>
      <w:r>
        <w:t xml:space="preserve">malus (with respect to the deferred variable remuneration). </w:t>
      </w:r>
    </w:p>
    <w:p w:rsidR="00081148" w:rsidRDefault="00081148" w:rsidP="00081148">
      <w:pPr>
        <w:pStyle w:val="QuestionsFORM"/>
        <w:numPr>
          <w:ilvl w:val="0"/>
          <w:numId w:val="0"/>
        </w:numPr>
        <w:ind w:left="284"/>
      </w:pPr>
      <w:r>
        <w:t>Wherever possible, the estimated impact and costs should be quantified, supported by a short e</w:t>
      </w:r>
      <w:r>
        <w:t>x</w:t>
      </w:r>
      <w:r>
        <w:t>planation of the methodology applied for their estimation and provided separately, if possible, for the four listed aspects.</w:t>
      </w:r>
    </w:p>
    <w:p w:rsidR="0075015C" w:rsidRDefault="0075015C" w:rsidP="0075015C">
      <w:r>
        <w:t>&lt;ESMA_QUESTION_UCITS_V_AIMFD_REM_1&gt;</w:t>
      </w:r>
    </w:p>
    <w:p w:rsidR="00A41B87" w:rsidRDefault="00A41B87" w:rsidP="00A41B87">
      <w:pPr>
        <w:jc w:val="both"/>
      </w:pPr>
      <w:permStart w:id="1184578511" w:edGrp="everyone"/>
      <w:r>
        <w:t>AFG welcomes ESMA’s confirmation that proportionality –as defined in numerous pieces of EU legisl</w:t>
      </w:r>
      <w:r>
        <w:t>a</w:t>
      </w:r>
      <w:r>
        <w:t>tion- is indeed a key principle of the EU’s regulatory framework, which is crucial to maintaining both:</w:t>
      </w:r>
    </w:p>
    <w:p w:rsidR="00A41B87" w:rsidRDefault="00A41B87" w:rsidP="00D50150">
      <w:pPr>
        <w:pStyle w:val="Paragraphedeliste"/>
        <w:numPr>
          <w:ilvl w:val="0"/>
          <w:numId w:val="40"/>
        </w:numPr>
        <w:jc w:val="both"/>
      </w:pPr>
      <w:r w:rsidRPr="00C52BCF">
        <w:t xml:space="preserve">fairness </w:t>
      </w:r>
      <w:r>
        <w:t xml:space="preserve">- </w:t>
      </w:r>
      <w:r w:rsidRPr="00C52BCF">
        <w:t>through a level</w:t>
      </w:r>
      <w:r>
        <w:t>-</w:t>
      </w:r>
      <w:r w:rsidRPr="00C52BCF">
        <w:t xml:space="preserve">playing field </w:t>
      </w:r>
      <w:r>
        <w:t xml:space="preserve">between small/simple and large/complex players; and </w:t>
      </w:r>
    </w:p>
    <w:p w:rsidR="00A41B87" w:rsidRDefault="00A41B87" w:rsidP="00D50150">
      <w:pPr>
        <w:pStyle w:val="Paragraphedeliste"/>
        <w:numPr>
          <w:ilvl w:val="0"/>
          <w:numId w:val="40"/>
        </w:numPr>
        <w:jc w:val="both"/>
      </w:pPr>
      <w:proofErr w:type="gramStart"/>
      <w:r>
        <w:t>competitiveness</w:t>
      </w:r>
      <w:proofErr w:type="gramEnd"/>
      <w:r>
        <w:t xml:space="preserve"> – avoiding to unduly saddle EU firms with the </w:t>
      </w:r>
      <w:r w:rsidRPr="007C04FF">
        <w:t>administrative costs</w:t>
      </w:r>
      <w:r>
        <w:rPr>
          <w:rStyle w:val="Appelnotedebasdep"/>
        </w:rPr>
        <w:footnoteReference w:id="2"/>
      </w:r>
      <w:r>
        <w:t xml:space="preserve"> of sy</w:t>
      </w:r>
      <w:r>
        <w:t>s</w:t>
      </w:r>
      <w:r>
        <w:t>tematic requirements, when these have no demonstrated economic utility.</w:t>
      </w:r>
    </w:p>
    <w:p w:rsidR="00A41B87" w:rsidRDefault="00A41B87" w:rsidP="00A41B87">
      <w:pPr>
        <w:jc w:val="both"/>
      </w:pPr>
    </w:p>
    <w:p w:rsidR="00A41B87" w:rsidRDefault="00A41B87" w:rsidP="00A41B87">
      <w:pPr>
        <w:jc w:val="both"/>
      </w:pPr>
      <w:r>
        <w:t>AFG observes that in the proposed UCITS/AIFMD remuneration guidelines, proportionality is clearly defined (para 21 to 29 of the proposed UCITS remuneration guidelines, and 23 to 31 of the AIFMD guid</w:t>
      </w:r>
      <w:r>
        <w:t>e</w:t>
      </w:r>
      <w:r>
        <w:t xml:space="preserve">lines, as well as in their respective Annex IIs).  </w:t>
      </w:r>
    </w:p>
    <w:p w:rsidR="00A41B87" w:rsidRDefault="00A41B87" w:rsidP="00A41B87">
      <w:r>
        <w:br w:type="page"/>
      </w:r>
    </w:p>
    <w:p w:rsidR="00A41B87" w:rsidRDefault="00A41B87" w:rsidP="00A41B87">
      <w:pPr>
        <w:jc w:val="both"/>
      </w:pPr>
    </w:p>
    <w:p w:rsidR="00A41B87" w:rsidRDefault="00A41B87" w:rsidP="00A41B87">
      <w:pPr>
        <w:jc w:val="both"/>
      </w:pPr>
      <w:r>
        <w:t>Overall, a careful reading of the regulations leads us to observe that there are two areas of proportionality:</w:t>
      </w:r>
    </w:p>
    <w:p w:rsidR="00A41B87" w:rsidRDefault="00A41B87" w:rsidP="00D50150">
      <w:pPr>
        <w:pStyle w:val="Paragraphedeliste"/>
        <w:numPr>
          <w:ilvl w:val="0"/>
          <w:numId w:val="40"/>
        </w:numPr>
        <w:jc w:val="both"/>
      </w:pPr>
      <w:r w:rsidRPr="009F055C">
        <w:rPr>
          <w:i/>
          <w:u w:val="single"/>
        </w:rPr>
        <w:t>general proportionality</w:t>
      </w:r>
      <w:r>
        <w:t xml:space="preserve"> on pay-out process requirements (</w:t>
      </w:r>
      <w:proofErr w:type="spellStart"/>
      <w:r>
        <w:t>ie</w:t>
      </w:r>
      <w:proofErr w:type="spellEnd"/>
      <w:r>
        <w:t xml:space="preserve"> on deferral, instruments, retention, </w:t>
      </w:r>
      <w:proofErr w:type="spellStart"/>
      <w:r>
        <w:t>malus</w:t>
      </w:r>
      <w:proofErr w:type="spellEnd"/>
      <w:r>
        <w:t>/claw-back) and on remuneration committee;</w:t>
      </w:r>
    </w:p>
    <w:p w:rsidR="00A41B87" w:rsidRDefault="00A41B87" w:rsidP="00D50150">
      <w:pPr>
        <w:pStyle w:val="Paragraphedeliste"/>
        <w:numPr>
          <w:ilvl w:val="0"/>
          <w:numId w:val="40"/>
        </w:numPr>
        <w:jc w:val="both"/>
      </w:pPr>
      <w:proofErr w:type="gramStart"/>
      <w:r w:rsidRPr="009F055C">
        <w:rPr>
          <w:i/>
          <w:u w:val="single"/>
        </w:rPr>
        <w:t>specific</w:t>
      </w:r>
      <w:proofErr w:type="gramEnd"/>
      <w:r w:rsidRPr="009F055C">
        <w:rPr>
          <w:i/>
          <w:u w:val="single"/>
        </w:rPr>
        <w:t xml:space="preserve"> proportionality</w:t>
      </w:r>
      <w:r>
        <w:t xml:space="preserve"> on identification of staff and the implementation of the pay-out process requirements to them.</w:t>
      </w:r>
    </w:p>
    <w:p w:rsidR="00A41B87" w:rsidRDefault="00A41B87" w:rsidP="00A41B87">
      <w:pPr>
        <w:jc w:val="both"/>
      </w:pPr>
    </w:p>
    <w:p w:rsidR="00A41B87" w:rsidRPr="00160279" w:rsidRDefault="00A41B87" w:rsidP="00A41B87">
      <w:pPr>
        <w:jc w:val="both"/>
      </w:pPr>
      <w:r>
        <w:t>Thus, a</w:t>
      </w:r>
      <w:r w:rsidRPr="00160279">
        <w:t xml:space="preserve"> </w:t>
      </w:r>
      <w:r w:rsidRPr="009F055C">
        <w:rPr>
          <w:b/>
        </w:rPr>
        <w:t>key cost-driver</w:t>
      </w:r>
      <w:r>
        <w:t xml:space="preserve"> for the EU asset management industry</w:t>
      </w:r>
      <w:r w:rsidRPr="00160279">
        <w:t xml:space="preserve"> is the </w:t>
      </w:r>
      <w:r w:rsidRPr="009F055C">
        <w:rPr>
          <w:b/>
        </w:rPr>
        <w:t xml:space="preserve">scope of the pay-out </w:t>
      </w:r>
      <w:r>
        <w:rPr>
          <w:b/>
        </w:rPr>
        <w:t xml:space="preserve">process </w:t>
      </w:r>
      <w:r w:rsidRPr="009F055C">
        <w:rPr>
          <w:b/>
        </w:rPr>
        <w:t>requirements</w:t>
      </w:r>
      <w:r>
        <w:t>, which in practice, has been addressed by several national regulators in the EU via a “</w:t>
      </w:r>
      <w:r w:rsidRPr="00160279">
        <w:t xml:space="preserve">de </w:t>
      </w:r>
      <w:proofErr w:type="spellStart"/>
      <w:r w:rsidRPr="00160279">
        <w:t>minimis</w:t>
      </w:r>
      <w:proofErr w:type="spellEnd"/>
      <w:r>
        <w:t>”</w:t>
      </w:r>
      <w:r w:rsidRPr="00160279">
        <w:t xml:space="preserve"> threshold</w:t>
      </w:r>
      <w:r>
        <w:t xml:space="preserve">, </w:t>
      </w:r>
      <w:proofErr w:type="spellStart"/>
      <w:r>
        <w:t>ie</w:t>
      </w:r>
      <w:proofErr w:type="spellEnd"/>
      <w:r>
        <w:t xml:space="preserve"> a </w:t>
      </w:r>
      <w:r w:rsidRPr="009F055C">
        <w:rPr>
          <w:i/>
        </w:rPr>
        <w:t>specific proportionality</w:t>
      </w:r>
      <w:r>
        <w:t xml:space="preserve"> approach</w:t>
      </w:r>
      <w:r w:rsidRPr="00160279">
        <w:t xml:space="preserve">.  Identified Staff should be subject to the pay-out requirements only if it is economically meaningful to them, </w:t>
      </w:r>
      <w:proofErr w:type="spellStart"/>
      <w:r w:rsidRPr="00160279">
        <w:t>ie</w:t>
      </w:r>
      <w:proofErr w:type="spellEnd"/>
      <w:r w:rsidRPr="00160279">
        <w:t xml:space="preserve"> </w:t>
      </w:r>
      <w:r>
        <w:t xml:space="preserve">if </w:t>
      </w:r>
      <w:r w:rsidRPr="00160279">
        <w:t xml:space="preserve">there is real </w:t>
      </w:r>
      <w:r>
        <w:t>long term</w:t>
      </w:r>
      <w:r w:rsidRPr="00160279">
        <w:t xml:space="preserve"> alignment of interest</w:t>
      </w:r>
      <w:r>
        <w:t xml:space="preserve">.  </w:t>
      </w:r>
      <w:r w:rsidRPr="007D7D9C">
        <w:rPr>
          <w:u w:val="single"/>
        </w:rPr>
        <w:t xml:space="preserve">In other words, it is only when their variable remuneration is high enough to be spread over at least three years, </w:t>
      </w:r>
      <w:proofErr w:type="spellStart"/>
      <w:r w:rsidRPr="007D7D9C">
        <w:rPr>
          <w:u w:val="single"/>
        </w:rPr>
        <w:t>ie</w:t>
      </w:r>
      <w:proofErr w:type="spellEnd"/>
      <w:r w:rsidRPr="007D7D9C">
        <w:rPr>
          <w:u w:val="single"/>
        </w:rPr>
        <w:t xml:space="preserve"> when it is higher than the </w:t>
      </w:r>
      <w:r w:rsidRPr="007D7D9C">
        <w:rPr>
          <w:b/>
          <w:u w:val="single"/>
        </w:rPr>
        <w:t xml:space="preserve">de </w:t>
      </w:r>
      <w:proofErr w:type="spellStart"/>
      <w:r w:rsidRPr="007D7D9C">
        <w:rPr>
          <w:b/>
          <w:u w:val="single"/>
        </w:rPr>
        <w:t>minimis</w:t>
      </w:r>
      <w:proofErr w:type="spellEnd"/>
      <w:r w:rsidRPr="007D7D9C">
        <w:rPr>
          <w:b/>
          <w:u w:val="single"/>
        </w:rPr>
        <w:t xml:space="preserve"> threshold</w:t>
      </w:r>
      <w:r w:rsidRPr="007D7D9C">
        <w:rPr>
          <w:u w:val="single"/>
        </w:rPr>
        <w:t>, that such Staff should be subject to the pay-out process requirements</w:t>
      </w:r>
      <w:r w:rsidRPr="00160279">
        <w:t>.  Otherwise</w:t>
      </w:r>
      <w:r>
        <w:t>,</w:t>
      </w:r>
      <w:r w:rsidRPr="00160279">
        <w:t xml:space="preserve"> </w:t>
      </w:r>
      <w:r>
        <w:t>administrative costs would be</w:t>
      </w:r>
      <w:r w:rsidRPr="00160279">
        <w:t xml:space="preserve"> </w:t>
      </w:r>
      <w:r w:rsidRPr="007C04FF">
        <w:t>significantly</w:t>
      </w:r>
      <w:r>
        <w:rPr>
          <w:vertAlign w:val="superscript"/>
        </w:rPr>
        <w:t>1</w:t>
      </w:r>
      <w:r>
        <w:t xml:space="preserve"> </w:t>
      </w:r>
      <w:r w:rsidRPr="00160279">
        <w:t>burden</w:t>
      </w:r>
      <w:r>
        <w:t>ed, to no avail</w:t>
      </w:r>
      <w:r w:rsidRPr="00160279">
        <w:t>.</w:t>
      </w:r>
    </w:p>
    <w:p w:rsidR="00A41B87" w:rsidRPr="00BE572C" w:rsidRDefault="00A41B87" w:rsidP="00A41B87"/>
    <w:p w:rsidR="00A41B87" w:rsidRDefault="00A41B87" w:rsidP="00A41B87">
      <w:pPr>
        <w:jc w:val="both"/>
      </w:pPr>
      <w:r>
        <w:t>AFG believes t</w:t>
      </w:r>
      <w:r w:rsidRPr="00BE572C">
        <w:t xml:space="preserve">he de </w:t>
      </w:r>
      <w:proofErr w:type="spellStart"/>
      <w:r w:rsidRPr="00BE572C">
        <w:t>minimis</w:t>
      </w:r>
      <w:proofErr w:type="spellEnd"/>
      <w:r w:rsidRPr="00BE572C">
        <w:t xml:space="preserve"> threshold should be an absolute amount, standard EU wide</w:t>
      </w:r>
      <w:r>
        <w:rPr>
          <w:rStyle w:val="Appelnotedebasdep"/>
        </w:rPr>
        <w:footnoteReference w:id="3"/>
      </w:r>
      <w:r w:rsidRPr="00BE572C">
        <w:t xml:space="preserve">.  </w:t>
      </w:r>
    </w:p>
    <w:p w:rsidR="00A41B87" w:rsidRDefault="00A41B87" w:rsidP="00A41B87">
      <w:pPr>
        <w:jc w:val="both"/>
      </w:pPr>
    </w:p>
    <w:p w:rsidR="00A41B87" w:rsidRDefault="00A41B87" w:rsidP="00A41B87">
      <w:pPr>
        <w:jc w:val="both"/>
      </w:pPr>
      <w:r>
        <w:t>AFG believes that using a percentage</w:t>
      </w:r>
      <w:r w:rsidRPr="00BE572C">
        <w:t xml:space="preserve"> of fixed salary </w:t>
      </w:r>
      <w:r>
        <w:t xml:space="preserve">as a de </w:t>
      </w:r>
      <w:proofErr w:type="spellStart"/>
      <w:r>
        <w:t>minimis</w:t>
      </w:r>
      <w:proofErr w:type="spellEnd"/>
      <w:r>
        <w:t xml:space="preserve"> threshold, is</w:t>
      </w:r>
      <w:r w:rsidRPr="00BE572C">
        <w:t xml:space="preserve"> not </w:t>
      </w:r>
      <w:r>
        <w:t xml:space="preserve">as efficient, as it </w:t>
      </w:r>
      <w:proofErr w:type="gramStart"/>
      <w:r>
        <w:t>will :</w:t>
      </w:r>
      <w:proofErr w:type="gramEnd"/>
    </w:p>
    <w:p w:rsidR="00A41B87" w:rsidRDefault="00A41B87" w:rsidP="00D50150">
      <w:pPr>
        <w:pStyle w:val="Paragraphedeliste"/>
        <w:numPr>
          <w:ilvl w:val="0"/>
          <w:numId w:val="40"/>
        </w:numPr>
        <w:jc w:val="both"/>
      </w:pPr>
      <w:r w:rsidRPr="00DA2041">
        <w:t>“catch” staff with low total compensation, for whom deferral over three years is not econom</w:t>
      </w:r>
      <w:r w:rsidRPr="00DA2041">
        <w:t>i</w:t>
      </w:r>
      <w:r w:rsidRPr="00DA2041">
        <w:t>cally meaningful, and</w:t>
      </w:r>
    </w:p>
    <w:p w:rsidR="00A41B87" w:rsidRPr="00DA2041" w:rsidRDefault="00A41B87" w:rsidP="00D50150">
      <w:pPr>
        <w:pStyle w:val="Paragraphedeliste"/>
        <w:numPr>
          <w:ilvl w:val="0"/>
          <w:numId w:val="40"/>
        </w:numPr>
        <w:jc w:val="both"/>
      </w:pPr>
      <w:proofErr w:type="gramStart"/>
      <w:r>
        <w:t>be</w:t>
      </w:r>
      <w:proofErr w:type="gramEnd"/>
      <w:r>
        <w:t xml:space="preserve"> a</w:t>
      </w:r>
      <w:r w:rsidRPr="00DA2041">
        <w:t xml:space="preserve"> source of unnecessary -and </w:t>
      </w:r>
      <w:r>
        <w:t xml:space="preserve">thus, </w:t>
      </w:r>
      <w:r w:rsidRPr="007C04FF">
        <w:t>competitiveness-harming- administrative costs</w:t>
      </w:r>
      <w:r w:rsidRPr="007C04FF">
        <w:rPr>
          <w:vertAlign w:val="superscript"/>
        </w:rPr>
        <w:t>1</w:t>
      </w:r>
      <w:r>
        <w:t>.</w:t>
      </w:r>
    </w:p>
    <w:p w:rsidR="00A41B87" w:rsidRDefault="00A41B87" w:rsidP="00A41B87"/>
    <w:p w:rsidR="00A41B87" w:rsidRDefault="00A41B87" w:rsidP="00A41B87">
      <w:pPr>
        <w:jc w:val="both"/>
      </w:pPr>
      <w:r>
        <w:t>AFG is aware that t</w:t>
      </w:r>
      <w:r w:rsidRPr="00BE572C">
        <w:t xml:space="preserve">he </w:t>
      </w:r>
      <w:r>
        <w:t xml:space="preserve">outright waiving of the requirement to apply </w:t>
      </w:r>
      <w:r w:rsidRPr="00BE572C">
        <w:t xml:space="preserve">the </w:t>
      </w:r>
      <w:r>
        <w:t>p</w:t>
      </w:r>
      <w:r w:rsidRPr="00BE572C">
        <w:t xml:space="preserve">ay-out </w:t>
      </w:r>
      <w:r>
        <w:t>p</w:t>
      </w:r>
      <w:r w:rsidRPr="00BE572C">
        <w:t>rocess to small</w:t>
      </w:r>
      <w:r>
        <w:t>/simpler</w:t>
      </w:r>
      <w:r w:rsidRPr="00BE572C">
        <w:t xml:space="preserve"> firms </w:t>
      </w:r>
      <w:r>
        <w:t xml:space="preserve">on the basis of </w:t>
      </w:r>
      <w:r w:rsidRPr="00BE572C">
        <w:t xml:space="preserve">their nature, internal organisation, scope, complexity of activity </w:t>
      </w:r>
      <w:r>
        <w:t>(</w:t>
      </w:r>
      <w:proofErr w:type="spellStart"/>
      <w:r>
        <w:t>ie</w:t>
      </w:r>
      <w:proofErr w:type="spellEnd"/>
      <w:r>
        <w:t xml:space="preserve"> the </w:t>
      </w:r>
      <w:r w:rsidRPr="009F055C">
        <w:rPr>
          <w:i/>
        </w:rPr>
        <w:t>general propo</w:t>
      </w:r>
      <w:r w:rsidRPr="009F055C">
        <w:rPr>
          <w:i/>
        </w:rPr>
        <w:t>r</w:t>
      </w:r>
      <w:r w:rsidRPr="009F055C">
        <w:rPr>
          <w:i/>
        </w:rPr>
        <w:t>tionality</w:t>
      </w:r>
      <w:r>
        <w:t xml:space="preserve"> approach) and not on the basis of the actual level of variable remuneration of Identified Staff (</w:t>
      </w:r>
      <w:proofErr w:type="spellStart"/>
      <w:r>
        <w:t>ie</w:t>
      </w:r>
      <w:proofErr w:type="spellEnd"/>
      <w:r>
        <w:t xml:space="preserve"> the </w:t>
      </w:r>
      <w:r w:rsidRPr="009F055C">
        <w:rPr>
          <w:i/>
        </w:rPr>
        <w:t>specific proportionality</w:t>
      </w:r>
      <w:r>
        <w:t xml:space="preserve"> approach), nee</w:t>
      </w:r>
      <w:r w:rsidRPr="00BE572C">
        <w:t xml:space="preserve">d be </w:t>
      </w:r>
      <w:r>
        <w:t>implemented with due</w:t>
      </w:r>
      <w:r w:rsidRPr="00BE572C">
        <w:t xml:space="preserve"> care</w:t>
      </w:r>
      <w:r>
        <w:t xml:space="preserve"> and consistent rules,</w:t>
      </w:r>
      <w:r w:rsidRPr="00BE572C">
        <w:t xml:space="preserve"> </w:t>
      </w:r>
      <w:r>
        <w:t>to mai</w:t>
      </w:r>
      <w:r>
        <w:t>n</w:t>
      </w:r>
      <w:r>
        <w:t xml:space="preserve">tain a </w:t>
      </w:r>
      <w:r w:rsidRPr="00BE572C">
        <w:t>level</w:t>
      </w:r>
      <w:r>
        <w:t>-</w:t>
      </w:r>
      <w:r w:rsidRPr="00BE572C">
        <w:t>playing field.</w:t>
      </w:r>
    </w:p>
    <w:p w:rsidR="00A41B87" w:rsidRDefault="00A41B87" w:rsidP="00A41B87"/>
    <w:p w:rsidR="00A41B87" w:rsidRDefault="00A41B87" w:rsidP="00A41B87">
      <w:pPr>
        <w:jc w:val="both"/>
      </w:pPr>
      <w:r>
        <w:t>In this respect, AFG observes that in article 3 of AIFMD, there is full exemption from the directive for asset managers either:</w:t>
      </w:r>
    </w:p>
    <w:p w:rsidR="00A41B87" w:rsidRDefault="00A41B87" w:rsidP="00A41B87">
      <w:r>
        <w:t xml:space="preserve">- </w:t>
      </w:r>
      <w:proofErr w:type="gramStart"/>
      <w:r>
        <w:t>with</w:t>
      </w:r>
      <w:proofErr w:type="gramEnd"/>
      <w:r>
        <w:t xml:space="preserve"> less than 100 million euros of assets under management in AIF(s), or</w:t>
      </w:r>
    </w:p>
    <w:p w:rsidR="00A41B87" w:rsidRDefault="00A41B87" w:rsidP="00A41B87">
      <w:pPr>
        <w:jc w:val="both"/>
      </w:pPr>
      <w:r>
        <w:t xml:space="preserve">- with less than 500 million euros of assets under management in AIF(s), when </w:t>
      </w:r>
      <w:r w:rsidRPr="00572906">
        <w:t>the portfolios of AIFs consist of AIFs that are unleveraged and have no redemption rights exercisable during a period of 5 years following the date of initial investment in each AIF</w:t>
      </w:r>
      <w:r>
        <w:t>.</w:t>
      </w:r>
    </w:p>
    <w:p w:rsidR="00A41B87" w:rsidRDefault="00A41B87" w:rsidP="00A41B87"/>
    <w:p w:rsidR="00A41B87" w:rsidRDefault="00A41B87" w:rsidP="00A41B87">
      <w:pPr>
        <w:jc w:val="both"/>
      </w:pPr>
      <w:r>
        <w:t>As a result, in AIFMD, the “</w:t>
      </w:r>
      <w:r w:rsidRPr="009F055C">
        <w:rPr>
          <w:i/>
        </w:rPr>
        <w:t>general proportionality</w:t>
      </w:r>
      <w:r>
        <w:t xml:space="preserve">” applies as a second round of exemption possibility, when based on size.  To the contrary, UCITS directive offers no such size-based exemption, resulting in size not being considered </w:t>
      </w:r>
      <w:proofErr w:type="gramStart"/>
      <w:r>
        <w:t>a relevant criteria</w:t>
      </w:r>
      <w:proofErr w:type="gramEnd"/>
      <w:r>
        <w:t xml:space="preserve"> for exemption. This results in UCITS being explicitly a more demanding standard than AIFMD so far as remuneration regulation is concerned, whilst the very specific</w:t>
      </w:r>
      <w:r>
        <w:t>i</w:t>
      </w:r>
      <w:r>
        <w:t>ty of the UCITS framework is that it is already more restrictively regulated and more prescriptively prote</w:t>
      </w:r>
      <w:r>
        <w:t>c</w:t>
      </w:r>
      <w:r>
        <w:t>tive as regards clients’ risk exposures, than the AIF framework.</w:t>
      </w:r>
    </w:p>
    <w:p w:rsidR="00A41B87" w:rsidRDefault="00655598" w:rsidP="00A41B87">
      <w:r>
        <w:rPr>
          <w:noProof/>
          <w:lang w:eastAsia="fr-FR"/>
        </w:rPr>
        <mc:AlternateContent>
          <mc:Choice Requires="wps">
            <w:drawing>
              <wp:anchor distT="0" distB="0" distL="114300" distR="114300" simplePos="0" relativeHeight="251659264" behindDoc="0" locked="0" layoutInCell="1" allowOverlap="1" wp14:anchorId="70714FB7" wp14:editId="460C11E5">
                <wp:simplePos x="0" y="0"/>
                <wp:positionH relativeFrom="column">
                  <wp:posOffset>-271145</wp:posOffset>
                </wp:positionH>
                <wp:positionV relativeFrom="paragraph">
                  <wp:posOffset>72390</wp:posOffset>
                </wp:positionV>
                <wp:extent cx="6825615" cy="1551940"/>
                <wp:effectExtent l="0" t="0" r="13335" b="1016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1551940"/>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35pt;margin-top:5.7pt;width:537.45pt;height:1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" filled="f" strokecolor="#4f81bd [3204]" strokeweight="1.5pt"/>
            </w:pict>
          </mc:Fallback>
        </mc:AlternateContent>
      </w:r>
    </w:p>
    <w:p w:rsidR="00A41B87" w:rsidRDefault="00A41B87" w:rsidP="00A41B87">
      <w:pPr>
        <w:jc w:val="both"/>
      </w:pPr>
      <w:r>
        <w:t>Thus, AFG believes that:</w:t>
      </w:r>
    </w:p>
    <w:p w:rsidR="00A41B87" w:rsidRPr="007D7D9C" w:rsidRDefault="00A41B87" w:rsidP="00D50150">
      <w:pPr>
        <w:pStyle w:val="Paragraphedeliste"/>
        <w:numPr>
          <w:ilvl w:val="3"/>
          <w:numId w:val="39"/>
        </w:numPr>
        <w:ind w:left="851"/>
        <w:jc w:val="both"/>
      </w:pPr>
      <w:r w:rsidRPr="007D7D9C">
        <w:t xml:space="preserve">A </w:t>
      </w:r>
      <w:r w:rsidRPr="007D7D9C">
        <w:rPr>
          <w:b/>
        </w:rPr>
        <w:t>de-</w:t>
      </w:r>
      <w:proofErr w:type="spellStart"/>
      <w:r w:rsidRPr="007D7D9C">
        <w:rPr>
          <w:b/>
        </w:rPr>
        <w:t>minimis</w:t>
      </w:r>
      <w:proofErr w:type="spellEnd"/>
      <w:r w:rsidRPr="007D7D9C">
        <w:rPr>
          <w:b/>
        </w:rPr>
        <w:t xml:space="preserve"> threshold</w:t>
      </w:r>
      <w:r w:rsidRPr="007D7D9C">
        <w:t xml:space="preserve"> </w:t>
      </w:r>
      <w:r>
        <w:t>(“</w:t>
      </w:r>
      <w:r w:rsidRPr="007D7D9C">
        <w:rPr>
          <w:i/>
        </w:rPr>
        <w:t>specific proportionality</w:t>
      </w:r>
      <w:r>
        <w:t xml:space="preserve">”) </w:t>
      </w:r>
      <w:r w:rsidRPr="007D7D9C">
        <w:t>should be applied EU-wide at a reasonable level (as is the case currently in many jurisdictions), which would better protect both small/simple and large/complex firms, and would leverage on EU regulation's time-tested</w:t>
      </w:r>
      <w:r>
        <w:rPr>
          <w:rStyle w:val="Appelnotedebasdep"/>
        </w:rPr>
        <w:footnoteReference w:id="4"/>
      </w:r>
      <w:r w:rsidRPr="007D7D9C">
        <w:t xml:space="preserve"> &amp; approved princ</w:t>
      </w:r>
      <w:r w:rsidRPr="007D7D9C">
        <w:t>i</w:t>
      </w:r>
      <w:r w:rsidRPr="007D7D9C">
        <w:t>ple of proportionality.</w:t>
      </w:r>
    </w:p>
    <w:p w:rsidR="00A41B87" w:rsidRDefault="00A41B87" w:rsidP="00D50150">
      <w:pPr>
        <w:pStyle w:val="Paragraphedeliste"/>
        <w:numPr>
          <w:ilvl w:val="3"/>
          <w:numId w:val="39"/>
        </w:numPr>
        <w:ind w:left="851"/>
        <w:jc w:val="both"/>
      </w:pPr>
      <w:r w:rsidRPr="007D7D9C">
        <w:t xml:space="preserve">However, </w:t>
      </w:r>
      <w:r w:rsidRPr="007D7D9C">
        <w:rPr>
          <w:i/>
        </w:rPr>
        <w:t>general proportionality</w:t>
      </w:r>
      <w:r w:rsidRPr="007D7D9C">
        <w:t xml:space="preserve"> remains useful to avoid the cost of </w:t>
      </w:r>
      <w:r>
        <w:t xml:space="preserve">a </w:t>
      </w:r>
      <w:r w:rsidRPr="007D7D9C">
        <w:t>remuneration committee</w:t>
      </w:r>
      <w:r>
        <w:rPr>
          <w:rStyle w:val="Appelnotedebasdep"/>
        </w:rPr>
        <w:footnoteReference w:id="5"/>
      </w:r>
      <w:r w:rsidRPr="007D7D9C">
        <w:t xml:space="preserve"> where it can be avoided </w:t>
      </w:r>
      <w:r>
        <w:t xml:space="preserve">by a firm, </w:t>
      </w:r>
      <w:r w:rsidRPr="007D7D9C">
        <w:t xml:space="preserve">based on </w:t>
      </w:r>
      <w:r>
        <w:t>its</w:t>
      </w:r>
      <w:r w:rsidRPr="007D7D9C">
        <w:t xml:space="preserve"> nature, internal organisation, scope, complexity of activity</w:t>
      </w:r>
      <w:r>
        <w:t>.</w:t>
      </w:r>
    </w:p>
    <w:p w:rsidR="0075015C" w:rsidRDefault="00A41B87" w:rsidP="00D50150">
      <w:pPr>
        <w:pStyle w:val="Paragraphedeliste"/>
        <w:numPr>
          <w:ilvl w:val="3"/>
          <w:numId w:val="39"/>
        </w:numPr>
        <w:ind w:left="851"/>
        <w:jc w:val="both"/>
      </w:pPr>
      <w:r>
        <w:rPr>
          <w:noProof/>
          <w:lang w:eastAsia="fr-FR"/>
        </w:rPr>
        <mc:AlternateContent>
          <mc:Choice Requires="wps">
            <w:drawing>
              <wp:anchor distT="0" distB="0" distL="114300" distR="114300" simplePos="0" relativeHeight="251661312" behindDoc="0" locked="0" layoutInCell="1" allowOverlap="1" wp14:anchorId="4B57A94B" wp14:editId="7D06884C">
                <wp:simplePos x="0" y="0"/>
                <wp:positionH relativeFrom="column">
                  <wp:posOffset>-250825</wp:posOffset>
                </wp:positionH>
                <wp:positionV relativeFrom="paragraph">
                  <wp:posOffset>17780</wp:posOffset>
                </wp:positionV>
                <wp:extent cx="6825615" cy="488950"/>
                <wp:effectExtent l="0" t="0" r="13335" b="254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488950"/>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75pt;margin-top:1.4pt;width:537.4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" filled="f" strokecolor="#4f81bd [3204]" strokeweight="1.5pt"/>
            </w:pict>
          </mc:Fallback>
        </mc:AlternateContent>
      </w:r>
      <w:r>
        <w:t>As is, in practice, the case in the AIFMD, a blanket exemption of the remuneration requirements for firms with less than 100 million € of Assets under Management should be provided for, for the sake of consistency, simplicity and competitiveness of the EU.</w:t>
      </w:r>
    </w:p>
    <w:p w:rsidR="00A41B87" w:rsidRDefault="00A41B87" w:rsidP="00A41B87">
      <w:pPr>
        <w:jc w:val="both"/>
      </w:pPr>
    </w:p>
    <w:p w:rsidR="00A41B87" w:rsidRDefault="00A41B87" w:rsidP="00A41B87">
      <w:pPr>
        <w:jc w:val="both"/>
      </w:pPr>
    </w:p>
    <w:p w:rsidR="00A41B87" w:rsidRPr="002673D7" w:rsidRDefault="00A41B87" w:rsidP="00A41B87">
      <w:pPr>
        <w:pStyle w:val="Notedebasdepage"/>
        <w:rPr>
          <w:lang w:val="en-US"/>
        </w:rPr>
      </w:pPr>
      <w:r>
        <w:rPr>
          <w:rStyle w:val="Appelnotedebasdep"/>
        </w:rPr>
        <w:footnoteRef/>
      </w:r>
      <w:r w:rsidRPr="002673D7">
        <w:rPr>
          <w:lang w:val="en-US"/>
        </w:rPr>
        <w:t xml:space="preserve"> See Appendices 2 &amp; 3</w:t>
      </w:r>
    </w:p>
    <w:p w:rsidR="00A41B87" w:rsidRDefault="00A41B87" w:rsidP="00A41B87">
      <w:pPr>
        <w:jc w:val="both"/>
      </w:pPr>
    </w:p>
    <w:p w:rsidR="00A41B87" w:rsidRPr="00592381" w:rsidRDefault="00A41B87" w:rsidP="00A41B87">
      <w:pPr>
        <w:jc w:val="both"/>
        <w:rPr>
          <w:i/>
          <w:szCs w:val="20"/>
        </w:rPr>
      </w:pPr>
      <w:r>
        <w:rPr>
          <w:rStyle w:val="Appelnotedebasdep"/>
        </w:rPr>
        <w:t>2</w:t>
      </w:r>
      <w:r w:rsidRPr="002673D7">
        <w:rPr>
          <w:szCs w:val="20"/>
          <w:lang w:val="en-US"/>
        </w:rPr>
        <w:t>AFG’s reply to EBA CP on its revised remuneration guidelines earlier in June on the topic was the follo</w:t>
      </w:r>
      <w:r w:rsidRPr="002673D7">
        <w:rPr>
          <w:szCs w:val="20"/>
          <w:lang w:val="en-US"/>
        </w:rPr>
        <w:t>w</w:t>
      </w:r>
      <w:r w:rsidRPr="002673D7">
        <w:rPr>
          <w:szCs w:val="20"/>
          <w:lang w:val="en-US"/>
        </w:rPr>
        <w:t xml:space="preserve">ing : </w:t>
      </w:r>
      <w:r w:rsidRPr="002673D7">
        <w:rPr>
          <w:i/>
          <w:szCs w:val="20"/>
          <w:lang w:val="en-US"/>
        </w:rPr>
        <w:t>« </w:t>
      </w:r>
      <w:r w:rsidRPr="00592381">
        <w:rPr>
          <w:i/>
          <w:szCs w:val="20"/>
        </w:rPr>
        <w:t>Concretely, we note that national competent authorities have addressed the materiality / propo</w:t>
      </w:r>
      <w:r w:rsidRPr="00592381">
        <w:rPr>
          <w:i/>
          <w:szCs w:val="20"/>
        </w:rPr>
        <w:t>r</w:t>
      </w:r>
      <w:r w:rsidRPr="00592381">
        <w:rPr>
          <w:i/>
          <w:szCs w:val="20"/>
        </w:rPr>
        <w:t>tionality issue (</w:t>
      </w:r>
      <w:proofErr w:type="spellStart"/>
      <w:r w:rsidRPr="00592381">
        <w:rPr>
          <w:i/>
          <w:szCs w:val="20"/>
        </w:rPr>
        <w:t>ie</w:t>
      </w:r>
      <w:proofErr w:type="spellEnd"/>
      <w:r w:rsidRPr="00592381">
        <w:rPr>
          <w:i/>
          <w:szCs w:val="20"/>
        </w:rPr>
        <w:t xml:space="preserve"> defining a threshold of variable remuneration below which deferral, instruments, </w:t>
      </w:r>
      <w:proofErr w:type="spellStart"/>
      <w:r w:rsidRPr="00592381">
        <w:rPr>
          <w:i/>
          <w:szCs w:val="20"/>
        </w:rPr>
        <w:t>maluses</w:t>
      </w:r>
      <w:proofErr w:type="spellEnd"/>
      <w:r w:rsidRPr="00592381">
        <w:rPr>
          <w:i/>
          <w:szCs w:val="20"/>
        </w:rPr>
        <w:t xml:space="preserve"> and claw backs would not be required), in a very heterogeneous manner across the EU, creating unne</w:t>
      </w:r>
      <w:r w:rsidRPr="00592381">
        <w:rPr>
          <w:i/>
          <w:szCs w:val="20"/>
        </w:rPr>
        <w:t>c</w:t>
      </w:r>
      <w:r w:rsidRPr="00592381">
        <w:rPr>
          <w:i/>
          <w:szCs w:val="20"/>
        </w:rPr>
        <w:t>essary costs, complexity, and barriers to the proper functioning of the EU internal market.</w:t>
      </w:r>
    </w:p>
    <w:p w:rsidR="00A41B87" w:rsidRPr="00592381" w:rsidRDefault="00A41B87" w:rsidP="00A41B87">
      <w:pPr>
        <w:jc w:val="both"/>
        <w:rPr>
          <w:i/>
          <w:szCs w:val="20"/>
        </w:rPr>
      </w:pPr>
    </w:p>
    <w:p w:rsidR="00A41B87" w:rsidRPr="00592381" w:rsidRDefault="00A41B87" w:rsidP="00A41B87">
      <w:pPr>
        <w:jc w:val="both"/>
        <w:rPr>
          <w:i/>
          <w:szCs w:val="20"/>
        </w:rPr>
      </w:pPr>
      <w:r w:rsidRPr="00592381">
        <w:rPr>
          <w:i/>
          <w:szCs w:val="20"/>
        </w:rPr>
        <w:t xml:space="preserve">AFG recommends that –via the guidelines- a </w:t>
      </w:r>
      <w:r w:rsidRPr="00592381">
        <w:rPr>
          <w:i/>
          <w:szCs w:val="20"/>
          <w:u w:val="single"/>
        </w:rPr>
        <w:t>single, absolute amount of variable remuneration</w:t>
      </w:r>
      <w:r w:rsidRPr="00592381">
        <w:rPr>
          <w:i/>
          <w:szCs w:val="20"/>
        </w:rPr>
        <w:t xml:space="preserve"> be applied </w:t>
      </w:r>
      <w:r w:rsidRPr="00592381">
        <w:rPr>
          <w:i/>
          <w:szCs w:val="20"/>
          <w:u w:val="single"/>
        </w:rPr>
        <w:t>EU-wide</w:t>
      </w:r>
      <w:r w:rsidRPr="00592381">
        <w:rPr>
          <w:i/>
          <w:szCs w:val="20"/>
        </w:rPr>
        <w:t>, at a medium level between the various current national practices, noting that 167,000£ is cu</w:t>
      </w:r>
      <w:r w:rsidRPr="00592381">
        <w:rPr>
          <w:i/>
          <w:szCs w:val="20"/>
        </w:rPr>
        <w:t>r</w:t>
      </w:r>
      <w:r w:rsidRPr="00592381">
        <w:rPr>
          <w:i/>
          <w:szCs w:val="20"/>
        </w:rPr>
        <w:t>rently used in the UK’s Remuneration Code.  It would improve the level-playing field across the EU, while remaining usefully simple and cost-effective.”</w:t>
      </w:r>
    </w:p>
    <w:p w:rsidR="00A41B87" w:rsidRPr="002673D7" w:rsidRDefault="00A41B87" w:rsidP="00A41B87">
      <w:pPr>
        <w:pStyle w:val="Notedebasdepage"/>
        <w:rPr>
          <w:lang w:val="en-US"/>
        </w:rPr>
      </w:pPr>
    </w:p>
    <w:p w:rsidR="00A41B87" w:rsidRPr="002673D7" w:rsidRDefault="00A41B87" w:rsidP="00A41B87">
      <w:pPr>
        <w:pStyle w:val="Notedebasdepage"/>
        <w:rPr>
          <w:lang w:val="en-US"/>
        </w:rPr>
      </w:pPr>
      <w:r>
        <w:rPr>
          <w:rStyle w:val="Appelnotedebasdep"/>
        </w:rPr>
        <w:t>3</w:t>
      </w:r>
      <w:r w:rsidRPr="002673D7">
        <w:rPr>
          <w:lang w:val="en-US"/>
        </w:rPr>
        <w:t xml:space="preserve"> It was crucially set out in the EU’s 2010 CEBS Remuneration </w:t>
      </w:r>
      <w:proofErr w:type="gramStart"/>
      <w:r w:rsidRPr="002673D7">
        <w:rPr>
          <w:lang w:val="en-US"/>
        </w:rPr>
        <w:t>Guidelines !</w:t>
      </w:r>
      <w:proofErr w:type="gramEnd"/>
    </w:p>
    <w:p w:rsidR="00A41B87" w:rsidRPr="00A41B87" w:rsidRDefault="00A41B87" w:rsidP="00A41B87">
      <w:pPr>
        <w:pStyle w:val="Notedebasdepage"/>
        <w:rPr>
          <w:lang w:val="en-US"/>
        </w:rPr>
      </w:pPr>
      <w:r>
        <w:rPr>
          <w:rStyle w:val="Appelnotedebasdep"/>
        </w:rPr>
        <w:t>4</w:t>
      </w:r>
      <w:r w:rsidRPr="002673D7">
        <w:rPr>
          <w:lang w:val="en-US"/>
        </w:rPr>
        <w:t xml:space="preserve"> See Appendix 3</w:t>
      </w:r>
    </w:p>
    <w:permEnd w:id="1184578511"/>
    <w:p w:rsidR="0075015C" w:rsidRDefault="0075015C" w:rsidP="0075015C">
      <w:r>
        <w:t>&lt;ESMA_QUESTION_UCITS_V_AIMFD_REM_1&gt;</w:t>
      </w:r>
    </w:p>
    <w:p w:rsidR="0075015C" w:rsidRDefault="0075015C" w:rsidP="0075015C"/>
    <w:p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rsidR="0075015C" w:rsidRDefault="0075015C" w:rsidP="0075015C">
      <w:r>
        <w:t>&lt;ESMA_QUESTION_UCITS_V_AIMFD_REM_2&gt;</w:t>
      </w:r>
    </w:p>
    <w:p w:rsidR="00655598" w:rsidRPr="00DF583E" w:rsidRDefault="00655598" w:rsidP="00655598">
      <w:permStart w:id="967671003" w:edGrp="everyone"/>
      <w:r w:rsidRPr="00DF583E">
        <w:t xml:space="preserve">The </w:t>
      </w:r>
      <w:r>
        <w:t xml:space="preserve">first three paragraphs in the </w:t>
      </w:r>
      <w:r w:rsidRPr="00DF583E">
        <w:t xml:space="preserve">proposed definition </w:t>
      </w:r>
      <w:r>
        <w:t>are</w:t>
      </w:r>
      <w:r w:rsidRPr="00DF583E">
        <w:t xml:space="preserve"> clear and adapted.</w:t>
      </w:r>
    </w:p>
    <w:p w:rsidR="00655598" w:rsidRDefault="00655598" w:rsidP="00655598"/>
    <w:p w:rsidR="00655598" w:rsidRDefault="00655598" w:rsidP="00655598">
      <w:pPr>
        <w:jc w:val="both"/>
      </w:pPr>
      <w:r>
        <w:t xml:space="preserve">However, AFG notes that the last sentence, </w:t>
      </w:r>
      <w:r w:rsidRPr="005078DC">
        <w:rPr>
          <w:i/>
        </w:rPr>
        <w:t>“Performance fees are payments made directly by the ma</w:t>
      </w:r>
      <w:r w:rsidRPr="005078DC">
        <w:rPr>
          <w:i/>
        </w:rPr>
        <w:t>n</w:t>
      </w:r>
      <w:r w:rsidRPr="005078DC">
        <w:rPr>
          <w:i/>
        </w:rPr>
        <w:t>agement company or the UCITS itself for the benefit of identified staff”</w:t>
      </w:r>
      <w:r>
        <w:t>, needs to be rephrased to be made more specific.  In particular, it should not encompass all “payments”</w:t>
      </w:r>
      <w:proofErr w:type="gramStart"/>
      <w:r>
        <w:t>,</w:t>
      </w:r>
      <w:proofErr w:type="gramEnd"/>
      <w:r>
        <w:t xml:space="preserve"> otherwise, any variable remuneration paid to identified staff could potentially be construed as performance fees.  </w:t>
      </w:r>
    </w:p>
    <w:p w:rsidR="00655598" w:rsidRDefault="00655598" w:rsidP="00655598">
      <w:pPr>
        <w:jc w:val="both"/>
      </w:pPr>
    </w:p>
    <w:p w:rsidR="00655598" w:rsidRDefault="00655598" w:rsidP="00655598">
      <w:pPr>
        <w:jc w:val="both"/>
      </w:pPr>
      <w:r>
        <w:t>Thus, we suggest ESMA clarifies that the definition relates to payments linked to portfolios’ performance made by the clients to the management company or the UCITS itself, hence we suggest the following wording:</w:t>
      </w:r>
    </w:p>
    <w:p w:rsidR="00655598" w:rsidRDefault="00655598" w:rsidP="00655598">
      <w:pPr>
        <w:jc w:val="both"/>
      </w:pPr>
      <w:r>
        <w:rPr>
          <w:noProof/>
          <w:lang w:eastAsia="fr-FR"/>
        </w:rPr>
        <mc:AlternateContent>
          <mc:Choice Requires="wps">
            <w:drawing>
              <wp:anchor distT="0" distB="0" distL="114300" distR="114300" simplePos="0" relativeHeight="251663360" behindDoc="0" locked="0" layoutInCell="1" allowOverlap="1" wp14:anchorId="5F60146C" wp14:editId="03FC649B">
                <wp:simplePos x="0" y="0"/>
                <wp:positionH relativeFrom="column">
                  <wp:posOffset>-164524</wp:posOffset>
                </wp:positionH>
                <wp:positionV relativeFrom="paragraph">
                  <wp:posOffset>131223</wp:posOffset>
                </wp:positionV>
                <wp:extent cx="6411595" cy="276447"/>
                <wp:effectExtent l="0" t="0" r="27305" b="2857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276447"/>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95pt;margin-top:10.35pt;width:504.8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" filled="f" strokecolor="#4f81bd [3204]" strokeweight="1.5pt"/>
            </w:pict>
          </mc:Fallback>
        </mc:AlternateContent>
      </w:r>
    </w:p>
    <w:p w:rsidR="0075015C" w:rsidRDefault="00655598" w:rsidP="00655598">
      <w:r w:rsidRPr="005078DC">
        <w:rPr>
          <w:i/>
        </w:rPr>
        <w:t xml:space="preserve">“Performance fees are </w:t>
      </w:r>
      <w:r>
        <w:rPr>
          <w:i/>
        </w:rPr>
        <w:t xml:space="preserve">portfolio performance-related </w:t>
      </w:r>
      <w:r w:rsidRPr="005078DC">
        <w:rPr>
          <w:i/>
        </w:rPr>
        <w:t>payments made by the clients to the management company or the UCITS itsel</w:t>
      </w:r>
      <w:r>
        <w:rPr>
          <w:i/>
        </w:rPr>
        <w:t>f,</w:t>
      </w:r>
      <w:r w:rsidRPr="005078DC">
        <w:rPr>
          <w:i/>
        </w:rPr>
        <w:t xml:space="preserve"> </w:t>
      </w:r>
      <w:r>
        <w:rPr>
          <w:i/>
        </w:rPr>
        <w:t xml:space="preserve">which may be taken into account </w:t>
      </w:r>
    </w:p>
    <w:permEnd w:id="967671003"/>
    <w:p w:rsidR="0075015C" w:rsidRDefault="0075015C" w:rsidP="0075015C">
      <w:r>
        <w:t>&lt;ESMA_QUESTION_UCITS_V_AIMFD_REM_2&gt;</w:t>
      </w:r>
    </w:p>
    <w:p w:rsidR="0075015C" w:rsidRDefault="0075015C" w:rsidP="0075015C"/>
    <w:p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rsidR="0075015C" w:rsidRDefault="0075015C" w:rsidP="0075015C">
      <w:r>
        <w:t>&lt;ESMA_QUESTION_UCITS_V_AIMFD_REM_3&gt;</w:t>
      </w:r>
    </w:p>
    <w:p w:rsidR="0075015C" w:rsidRDefault="00026B61" w:rsidP="00026B61">
      <w:pPr>
        <w:jc w:val="both"/>
      </w:pPr>
      <w:permStart w:id="677931122" w:edGrp="everyone"/>
      <w:r w:rsidRPr="00DF583E">
        <w:t>The proposed definition is clear and adapted.</w:t>
      </w:r>
    </w:p>
    <w:permEnd w:id="677931122"/>
    <w:p w:rsidR="0075015C" w:rsidRDefault="0075015C" w:rsidP="0075015C">
      <w:r>
        <w:t>&lt;ESMA_QUESTION_UCITS_V_AIMFD_REM_3&gt;</w:t>
      </w:r>
    </w:p>
    <w:p w:rsidR="0075015C" w:rsidRDefault="0075015C" w:rsidP="0075015C"/>
    <w:p w:rsidR="0075015C" w:rsidRDefault="0075015C" w:rsidP="0075015C">
      <w:pPr>
        <w:pStyle w:val="QuestionsFORM"/>
        <w:ind w:left="284" w:hanging="284"/>
      </w:pPr>
      <w:r w:rsidRPr="00736B0C">
        <w:t>Please explain how services subject to different sectoral remuneration principles are pe</w:t>
      </w:r>
      <w:r w:rsidRPr="00736B0C">
        <w:t>r</w:t>
      </w:r>
      <w:r w:rsidRPr="00736B0C">
        <w:t xml:space="preserve">formed in practice. E.g. is there a common trading desk/an investment firm providing portfolio management services to UCITS, AIFs and/or individual portfolios of investments? Please provide details on how these services are operated. </w:t>
      </w:r>
    </w:p>
    <w:p w:rsidR="0075015C" w:rsidRDefault="0075015C" w:rsidP="0075015C">
      <w:r>
        <w:t>&lt;ESMA_QUESTION_UCITS_V_AIMFD_REM_4&gt;</w:t>
      </w:r>
    </w:p>
    <w:p w:rsidR="00026B61" w:rsidRDefault="00026B61" w:rsidP="00026B61">
      <w:pPr>
        <w:jc w:val="both"/>
      </w:pPr>
      <w:permStart w:id="1786077566" w:edGrp="everyone"/>
      <w:r>
        <w:t>AFG has been provided with several examples from its members, as its membership comprises several large and smaller bank-owned or insurer-owned asset managers.</w:t>
      </w:r>
    </w:p>
    <w:p w:rsidR="00026B61" w:rsidRDefault="00026B61" w:rsidP="00026B61">
      <w:pPr>
        <w:jc w:val="both"/>
      </w:pPr>
    </w:p>
    <w:p w:rsidR="00026B61" w:rsidRDefault="00026B61" w:rsidP="00026B61">
      <w:pPr>
        <w:jc w:val="both"/>
      </w:pPr>
      <w:r>
        <w:t>First, in all cases where asset management companies have both a UCITS and an AIFM licence, it will be quite frequent that investment management staff, control functions, and senior management are identified staff under both licences.  Hence, the native, “built-in” commonality between the two remuneration regul</w:t>
      </w:r>
      <w:r>
        <w:t>a</w:t>
      </w:r>
      <w:r>
        <w:t xml:space="preserve">tion frameworks that ESMA is </w:t>
      </w:r>
      <w:proofErr w:type="gramStart"/>
      <w:r>
        <w:t>proposing,</w:t>
      </w:r>
      <w:proofErr w:type="gramEnd"/>
      <w:r>
        <w:t xml:space="preserve"> is very welcomed by AFG.</w:t>
      </w:r>
    </w:p>
    <w:p w:rsidR="00026B61" w:rsidRDefault="00026B61" w:rsidP="00026B61">
      <w:pPr>
        <w:jc w:val="both"/>
      </w:pPr>
    </w:p>
    <w:p w:rsidR="00026B61" w:rsidRDefault="00026B61" w:rsidP="00026B61">
      <w:pPr>
        <w:jc w:val="both"/>
      </w:pPr>
      <w:r>
        <w:t>For bank-owned asset managers, asset management entities often form a non-material business unit (</w:t>
      </w:r>
      <w:proofErr w:type="spellStart"/>
      <w:r>
        <w:t>ie</w:t>
      </w:r>
      <w:proofErr w:type="spellEnd"/>
      <w:r>
        <w:t xml:space="preserve"> represents less than 2% of the internal capital of the bank).  As a result, in many cases, per EBA’s RTS of 4 March 2014 on Material Risk Takers, the staff of such asset management subsidiaries of banks will not be considered identified staff of their bank parent.</w:t>
      </w:r>
    </w:p>
    <w:p w:rsidR="00026B61" w:rsidRDefault="00026B61" w:rsidP="00026B61">
      <w:pPr>
        <w:jc w:val="both"/>
      </w:pPr>
      <w:r>
        <w:rPr>
          <w:noProof/>
          <w:lang w:eastAsia="fr-FR"/>
        </w:rPr>
        <mc:AlternateContent>
          <mc:Choice Requires="wps">
            <w:drawing>
              <wp:anchor distT="0" distB="0" distL="114300" distR="114300" simplePos="0" relativeHeight="251665408" behindDoc="0" locked="0" layoutInCell="1" allowOverlap="1" wp14:anchorId="2596748A" wp14:editId="1801962C">
                <wp:simplePos x="0" y="0"/>
                <wp:positionH relativeFrom="column">
                  <wp:posOffset>-302895</wp:posOffset>
                </wp:positionH>
                <wp:positionV relativeFrom="paragraph">
                  <wp:posOffset>78105</wp:posOffset>
                </wp:positionV>
                <wp:extent cx="6613525" cy="796925"/>
                <wp:effectExtent l="0" t="0" r="15875" b="2222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796925"/>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3.85pt;margin-top:6.15pt;width:520.75pt;height:6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" filled="f" strokecolor="#4f81bd [3204]" strokeweight="1.5pt"/>
            </w:pict>
          </mc:Fallback>
        </mc:AlternateContent>
      </w:r>
    </w:p>
    <w:p w:rsidR="0075015C" w:rsidRDefault="00026B61" w:rsidP="00026B61">
      <w:pPr>
        <w:jc w:val="both"/>
      </w:pPr>
      <w:r>
        <w:t>In addition to the above, parent credit institutions of asset management companies often consider that only a very few number of their asset management staff (</w:t>
      </w:r>
      <w:proofErr w:type="spellStart"/>
      <w:r>
        <w:t>ie</w:t>
      </w:r>
      <w:proofErr w:type="spellEnd"/>
      <w:r>
        <w:t xml:space="preserve"> often, only the CEO of the asset management entity), has an impact on the risk profile of the banking group.  As a result, the choice between “pro-rata” </w:t>
      </w:r>
      <w:proofErr w:type="gramStart"/>
      <w:r>
        <w:t>or</w:t>
      </w:r>
      <w:proofErr w:type="gramEnd"/>
      <w:r>
        <w:t xml:space="preserve"> “most effective framework”, as proposed by ESMA, is in line with industry participants’ expectations (as further explained in answers to the questions 5 and 6 below).</w:t>
      </w:r>
    </w:p>
    <w:permEnd w:id="1786077566"/>
    <w:p w:rsidR="0075015C" w:rsidRDefault="0075015C" w:rsidP="0075015C">
      <w:r>
        <w:t>&lt;ESMA_QUESTION_UCITS_V_AIMFD_REM_4&gt;</w:t>
      </w:r>
    </w:p>
    <w:p w:rsidR="0075015C" w:rsidRDefault="0075015C" w:rsidP="0075015C"/>
    <w:p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rsidR="0075015C" w:rsidRDefault="0075015C" w:rsidP="0075015C"/>
    <w:p w:rsidR="0075015C" w:rsidRDefault="0075015C" w:rsidP="0075015C">
      <w:r>
        <w:t>&lt;ESMA_QUESTION_UCITS_V_AIMFD_REM_5&gt;</w:t>
      </w:r>
    </w:p>
    <w:p w:rsidR="00E27F7A" w:rsidRDefault="00E27F7A" w:rsidP="00E27F7A">
      <w:pPr>
        <w:jc w:val="both"/>
        <w:rPr>
          <w:u w:val="single"/>
        </w:rPr>
      </w:pPr>
      <w:permStart w:id="2055100164" w:edGrp="everyone"/>
      <w:r>
        <w:t>AFG believes that</w:t>
      </w:r>
      <w:r w:rsidRPr="00DF583E">
        <w:t xml:space="preserve"> implementing a pro-rata approach </w:t>
      </w:r>
      <w:r>
        <w:t xml:space="preserve">could be feasible and in certain specific instances, helpful, </w:t>
      </w:r>
      <w:proofErr w:type="gramStart"/>
      <w:r>
        <w:rPr>
          <w:u w:val="single"/>
        </w:rPr>
        <w:t>so</w:t>
      </w:r>
      <w:proofErr w:type="gramEnd"/>
      <w:r>
        <w:rPr>
          <w:u w:val="single"/>
        </w:rPr>
        <w:t xml:space="preserve"> long as:</w:t>
      </w:r>
    </w:p>
    <w:p w:rsidR="00E27F7A" w:rsidRDefault="00E27F7A" w:rsidP="00D50150">
      <w:pPr>
        <w:pStyle w:val="Paragraphedeliste"/>
        <w:numPr>
          <w:ilvl w:val="0"/>
          <w:numId w:val="41"/>
        </w:numPr>
        <w:ind w:left="567"/>
        <w:jc w:val="both"/>
      </w:pPr>
      <w:proofErr w:type="gramStart"/>
      <w:r w:rsidRPr="00584390">
        <w:rPr>
          <w:u w:val="single"/>
        </w:rPr>
        <w:t>this</w:t>
      </w:r>
      <w:proofErr w:type="gramEnd"/>
      <w:r w:rsidRPr="00584390">
        <w:rPr>
          <w:u w:val="single"/>
        </w:rPr>
        <w:t xml:space="preserve"> approach remains optional</w:t>
      </w:r>
      <w:r w:rsidRPr="00584390">
        <w:t xml:space="preserve"> (</w:t>
      </w:r>
      <w:proofErr w:type="spellStart"/>
      <w:r w:rsidRPr="00584390">
        <w:t>ie</w:t>
      </w:r>
      <w:proofErr w:type="spellEnd"/>
      <w:r w:rsidRPr="00584390">
        <w:t xml:space="preserve"> the answer to this question is linked to question 6 below).  </w:t>
      </w:r>
    </w:p>
    <w:p w:rsidR="00E27F7A" w:rsidRPr="00584390" w:rsidRDefault="00E27F7A" w:rsidP="00D50150">
      <w:pPr>
        <w:pStyle w:val="Paragraphedeliste"/>
        <w:numPr>
          <w:ilvl w:val="0"/>
          <w:numId w:val="41"/>
        </w:numPr>
        <w:ind w:left="567"/>
        <w:jc w:val="both"/>
      </w:pPr>
      <w:r w:rsidRPr="00584390">
        <w:rPr>
          <w:u w:val="single"/>
        </w:rPr>
        <w:t xml:space="preserve">such option remains </w:t>
      </w:r>
      <w:r>
        <w:rPr>
          <w:u w:val="single"/>
        </w:rPr>
        <w:t xml:space="preserve">fully </w:t>
      </w:r>
      <w:r w:rsidRPr="00584390">
        <w:rPr>
          <w:u w:val="single"/>
        </w:rPr>
        <w:t>flexible</w:t>
      </w:r>
      <w:r>
        <w:t xml:space="preserve">, </w:t>
      </w:r>
      <w:proofErr w:type="spellStart"/>
      <w:r>
        <w:t>ie</w:t>
      </w:r>
      <w:proofErr w:type="spellEnd"/>
      <w:r>
        <w:t>, there is no mandatory choice of either one or the other rule for all staff, and firms can elect any combination suiting their particular organisation (with of course, due justification given to their remuneration committees and supervisors).</w:t>
      </w:r>
    </w:p>
    <w:p w:rsidR="00E27F7A" w:rsidRDefault="00E27F7A" w:rsidP="00E27F7A">
      <w:pPr>
        <w:jc w:val="both"/>
      </w:pPr>
    </w:p>
    <w:p w:rsidR="00E27F7A" w:rsidRDefault="00E27F7A" w:rsidP="00E27F7A">
      <w:pPr>
        <w:jc w:val="both"/>
      </w:pPr>
    </w:p>
    <w:p w:rsidR="00E27F7A" w:rsidRDefault="00E27F7A" w:rsidP="00E27F7A">
      <w:pPr>
        <w:jc w:val="both"/>
      </w:pPr>
      <w:r>
        <w:t>Indeed, under the current regulatory proposal, it seems likely that this approach would be resorted to for very specific –and probably rare- cases within a firm.  In general, most firm</w:t>
      </w:r>
      <w:r>
        <w:t>s</w:t>
      </w:r>
      <w:r>
        <w:t xml:space="preserve"> would prefer apply the “equivalence of framework” approach, and resort by exception, to the pro-rata approach.</w:t>
      </w:r>
    </w:p>
    <w:p w:rsidR="00E27F7A" w:rsidRDefault="00E27F7A" w:rsidP="00E27F7A">
      <w:pPr>
        <w:jc w:val="both"/>
      </w:pPr>
    </w:p>
    <w:p w:rsidR="00E27F7A" w:rsidRPr="00DF583E" w:rsidRDefault="00E27F7A" w:rsidP="00E27F7A">
      <w:pPr>
        <w:jc w:val="both"/>
      </w:pPr>
      <w:r>
        <w:t>Hence, AFG welcomes the proposed flexibility of the rules, which will give more ability to best answer various possible cases.  This contributes to EU’s competitiveness.</w:t>
      </w:r>
    </w:p>
    <w:p w:rsidR="00E27F7A" w:rsidRDefault="00E27F7A" w:rsidP="00E27F7A">
      <w:pPr>
        <w:jc w:val="both"/>
      </w:pPr>
    </w:p>
    <w:p w:rsidR="0075015C" w:rsidRDefault="00E27F7A" w:rsidP="00E27F7A">
      <w:pPr>
        <w:jc w:val="both"/>
      </w:pPr>
      <w:r w:rsidRPr="003A06CE">
        <w:rPr>
          <w:u w:val="single"/>
        </w:rPr>
        <w:t xml:space="preserve">However, if the optionality </w:t>
      </w:r>
      <w:r>
        <w:rPr>
          <w:u w:val="single"/>
        </w:rPr>
        <w:t xml:space="preserve">and flexibility </w:t>
      </w:r>
      <w:r w:rsidRPr="003A06CE">
        <w:rPr>
          <w:u w:val="single"/>
        </w:rPr>
        <w:t>w</w:t>
      </w:r>
      <w:r>
        <w:rPr>
          <w:u w:val="single"/>
        </w:rPr>
        <w:t>ere</w:t>
      </w:r>
      <w:r w:rsidRPr="003A06CE">
        <w:rPr>
          <w:u w:val="single"/>
        </w:rPr>
        <w:t xml:space="preserve"> not granted</w:t>
      </w:r>
      <w:r>
        <w:t>, AFG wants to make clear that the administr</w:t>
      </w:r>
      <w:r>
        <w:t>a</w:t>
      </w:r>
      <w:r>
        <w:t>tive burden of computing pro rata remuneration for a large number of staff would quickly prove highly costly, burdensome and altogether impractical</w:t>
      </w:r>
      <w:r w:rsidRPr="000D0C21">
        <w:rPr>
          <w:vertAlign w:val="superscript"/>
        </w:rPr>
        <w:t>1</w:t>
      </w:r>
      <w:r>
        <w:t>.</w:t>
      </w:r>
    </w:p>
    <w:p w:rsidR="00E27F7A" w:rsidRDefault="00E27F7A" w:rsidP="00E27F7A">
      <w:pPr>
        <w:jc w:val="both"/>
      </w:pPr>
    </w:p>
    <w:p w:rsidR="00E27F7A" w:rsidRPr="00E27F7A" w:rsidRDefault="00E27F7A" w:rsidP="00E27F7A">
      <w:pPr>
        <w:pStyle w:val="Notedebasdepage"/>
        <w:rPr>
          <w:lang w:val="en-US"/>
        </w:rPr>
      </w:pPr>
      <w:r>
        <w:rPr>
          <w:rStyle w:val="Appelnotedebasdep"/>
        </w:rPr>
        <w:footnoteRef/>
      </w:r>
      <w:r w:rsidRPr="002673D7">
        <w:rPr>
          <w:lang w:val="en-US"/>
        </w:rPr>
        <w:t xml:space="preserve"> See Appendices 2 &amp; 3</w:t>
      </w:r>
    </w:p>
    <w:permEnd w:id="2055100164"/>
    <w:p w:rsidR="0075015C" w:rsidRDefault="0075015C" w:rsidP="0075015C">
      <w:r>
        <w:t>&lt;ESMA_QUESTION_UCITS_V_AIMFD_REM_5&gt;</w:t>
      </w:r>
    </w:p>
    <w:p w:rsidR="0075015C" w:rsidRDefault="0075015C" w:rsidP="0075015C"/>
    <w:p w:rsidR="0075015C" w:rsidRDefault="0075015C" w:rsidP="0075015C">
      <w:pPr>
        <w:pStyle w:val="QuestionsFORM"/>
        <w:ind w:left="284" w:hanging="284"/>
      </w:pPr>
      <w:r w:rsidRPr="00736B0C">
        <w:t>Do you favour also the proposed alternative approach according to which management co</w:t>
      </w:r>
      <w:r w:rsidRPr="00736B0C">
        <w:t>m</w:t>
      </w:r>
      <w:r w:rsidRPr="00736B0C">
        <w:t>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p>
    <w:p w:rsidR="0075015C" w:rsidRDefault="0075015C" w:rsidP="0075015C">
      <w:r>
        <w:t>&lt;ESMA_QUESTION_UCITS_V_AIMFD_REM_6&gt;</w:t>
      </w:r>
    </w:p>
    <w:p w:rsidR="00F86074" w:rsidRDefault="00F86074" w:rsidP="00F86074">
      <w:pPr>
        <w:jc w:val="both"/>
      </w:pPr>
      <w:permStart w:id="1606618418" w:edGrp="everyone"/>
      <w:r>
        <w:rPr>
          <w:noProof/>
          <w:lang w:eastAsia="fr-FR"/>
        </w:rPr>
        <mc:AlternateContent>
          <mc:Choice Requires="wps">
            <w:drawing>
              <wp:anchor distT="0" distB="0" distL="114300" distR="114300" simplePos="0" relativeHeight="251667456" behindDoc="0" locked="0" layoutInCell="1" allowOverlap="1" wp14:anchorId="0B39D468" wp14:editId="449641A5">
                <wp:simplePos x="0" y="0"/>
                <wp:positionH relativeFrom="column">
                  <wp:posOffset>-266538</wp:posOffset>
                </wp:positionH>
                <wp:positionV relativeFrom="paragraph">
                  <wp:posOffset>-19685</wp:posOffset>
                </wp:positionV>
                <wp:extent cx="6613525" cy="1382233"/>
                <wp:effectExtent l="0" t="0" r="15875" b="279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1382233"/>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pt;margin-top:-1.55pt;width:520.75pt;height:10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" filled="f" strokecolor="#4f81bd [3204]" strokeweight="1.5pt"/>
            </w:pict>
          </mc:Fallback>
        </mc:AlternateContent>
      </w:r>
      <w:r w:rsidRPr="00DF583E">
        <w:t xml:space="preserve">Yes, we welcome this alternative approach which reflects a clear subsidiarity principle in applicable frameworks.  In other words, </w:t>
      </w:r>
      <w:r>
        <w:t xml:space="preserve">thanks to this proposed approach, </w:t>
      </w:r>
      <w:r w:rsidRPr="00DF583E">
        <w:t>CRD 4 or AIFMD/UCITS V frameworks can be applied in a mutually exclusive manner</w:t>
      </w:r>
      <w:r>
        <w:t xml:space="preserve"> to each individual</w:t>
      </w:r>
      <w:r w:rsidRPr="00DF583E">
        <w:t xml:space="preserve">, </w:t>
      </w:r>
      <w:r>
        <w:t>allowing for</w:t>
      </w:r>
      <w:r w:rsidRPr="00DF583E">
        <w:t xml:space="preserve"> better consistency </w:t>
      </w:r>
      <w:r>
        <w:t>of -</w:t>
      </w:r>
      <w:r w:rsidRPr="00DF583E">
        <w:t xml:space="preserve">and </w:t>
      </w:r>
      <w:r>
        <w:t xml:space="preserve">more </w:t>
      </w:r>
      <w:r w:rsidRPr="00DF583E">
        <w:t>holistic implementation in</w:t>
      </w:r>
      <w:r>
        <w:t>-</w:t>
      </w:r>
      <w:r w:rsidRPr="00DF583E">
        <w:t xml:space="preserve"> each framework</w:t>
      </w:r>
      <w:r>
        <w:t xml:space="preserve">.  </w:t>
      </w:r>
    </w:p>
    <w:p w:rsidR="00F86074" w:rsidRDefault="00F86074" w:rsidP="00F86074">
      <w:pPr>
        <w:jc w:val="both"/>
      </w:pPr>
      <w:r>
        <w:t xml:space="preserve">For the sake of flexibility, this optionality should remain at the convenience / discretion of the firms (see answer to question 5). </w:t>
      </w:r>
    </w:p>
    <w:p w:rsidR="00F86074" w:rsidRDefault="00F86074" w:rsidP="00F86074">
      <w:pPr>
        <w:jc w:val="both"/>
      </w:pPr>
      <w:r>
        <w:t>Generally speaking, the consistency resulting from more subsidiarity would clearly foster effective superv</w:t>
      </w:r>
      <w:r>
        <w:t>i</w:t>
      </w:r>
      <w:r>
        <w:t>sion by both the remuneration committees and the regulatory supervisors, and also more robust and coherent strategies / business models for firms</w:t>
      </w:r>
      <w:r w:rsidRPr="00DF583E">
        <w:t>.</w:t>
      </w:r>
      <w:r>
        <w:t xml:space="preserve">  </w:t>
      </w:r>
    </w:p>
    <w:p w:rsidR="00F86074" w:rsidRDefault="00F86074" w:rsidP="00F86074">
      <w:pPr>
        <w:jc w:val="both"/>
      </w:pPr>
    </w:p>
    <w:p w:rsidR="00F86074" w:rsidRDefault="00F86074" w:rsidP="00F86074">
      <w:pPr>
        <w:jc w:val="both"/>
      </w:pPr>
      <w:r>
        <w:t>AFG welcomes the fact that this subsidiarity principle is stated many times in the proposed guidelines: n</w:t>
      </w:r>
      <w:r w:rsidRPr="003A06CE">
        <w:t xml:space="preserve">otably, in §139 of </w:t>
      </w:r>
      <w:r>
        <w:t xml:space="preserve">proposed </w:t>
      </w:r>
      <w:r w:rsidRPr="003A06CE">
        <w:t xml:space="preserve">UCITS guideline, (§135 of AIFM guidelines); and </w:t>
      </w:r>
      <w:r>
        <w:t xml:space="preserve">in </w:t>
      </w:r>
      <w:r w:rsidRPr="003A06CE">
        <w:t xml:space="preserve">§34 of UCITS guideline, as well as in § </w:t>
      </w:r>
      <w:r>
        <w:t>29</w:t>
      </w:r>
      <w:r w:rsidRPr="003A06CE">
        <w:t xml:space="preserve"> </w:t>
      </w:r>
      <w:r>
        <w:t xml:space="preserve">of ESMA’s UCITS CP and in </w:t>
      </w:r>
      <w:r w:rsidRPr="003A06CE">
        <w:t xml:space="preserve">§ 63 </w:t>
      </w:r>
      <w:r>
        <w:t xml:space="preserve">and 39 of </w:t>
      </w:r>
      <w:r w:rsidRPr="003A06CE">
        <w:t>EBA consultation</w:t>
      </w:r>
      <w:r>
        <w:rPr>
          <w:rStyle w:val="Appelnotedebasdep"/>
        </w:rPr>
        <w:footnoteReference w:id="6"/>
      </w:r>
      <w:r>
        <w:t>.</w:t>
      </w:r>
    </w:p>
    <w:p w:rsidR="00F86074" w:rsidRPr="00DF583E" w:rsidRDefault="00F86074" w:rsidP="00F86074">
      <w:pPr>
        <w:jc w:val="both"/>
      </w:pPr>
    </w:p>
    <w:p w:rsidR="00F86074" w:rsidRPr="00DF583E" w:rsidRDefault="00F86074" w:rsidP="00F86074">
      <w:pPr>
        <w:jc w:val="both"/>
      </w:pPr>
      <w:r w:rsidRPr="00DF583E">
        <w:t xml:space="preserve">We welcome the proposal that the criterion of eligibility of an individual to one or the other framework is </w:t>
      </w:r>
      <w:r>
        <w:t xml:space="preserve">its ability to most effectively </w:t>
      </w:r>
      <w:r w:rsidRPr="00DF583E">
        <w:t>align interest and discourag</w:t>
      </w:r>
      <w:r>
        <w:t>e</w:t>
      </w:r>
      <w:r w:rsidRPr="00DF583E">
        <w:t xml:space="preserve"> excessive risk taking.</w:t>
      </w:r>
    </w:p>
    <w:p w:rsidR="00F86074" w:rsidRDefault="00F86074" w:rsidP="00F86074"/>
    <w:p w:rsidR="00F86074" w:rsidRDefault="00F86074" w:rsidP="00F86074">
      <w:pPr>
        <w:jc w:val="both"/>
      </w:pPr>
      <w:r w:rsidRPr="00DF583E">
        <w:t>We note, though, that it will be difficult to consider that CRD 4 is more effective than UCITS 5 or AIFMD, in terms of alignment of interest</w:t>
      </w:r>
      <w:r>
        <w:t xml:space="preserve"> (e.g., because of the bonus cap)</w:t>
      </w:r>
      <w:r w:rsidRPr="00DF583E">
        <w:t xml:space="preserve">.  It strikes us </w:t>
      </w:r>
      <w:r>
        <w:t xml:space="preserve">also </w:t>
      </w:r>
      <w:r w:rsidRPr="00DF583E">
        <w:t>that indexation, discl</w:t>
      </w:r>
      <w:r w:rsidRPr="00DF583E">
        <w:t>o</w:t>
      </w:r>
      <w:r w:rsidRPr="00DF583E">
        <w:t>sure, risk alignment and adjustment considerations, identification of staff, missions of remuneration co</w:t>
      </w:r>
      <w:r w:rsidRPr="00DF583E">
        <w:t>m</w:t>
      </w:r>
      <w:r w:rsidRPr="00DF583E">
        <w:t>mittees, among other, will ne</w:t>
      </w:r>
      <w:r>
        <w:t xml:space="preserve">ver be quite equivalent between: </w:t>
      </w:r>
    </w:p>
    <w:p w:rsidR="00F86074" w:rsidRDefault="00F86074" w:rsidP="00D50150">
      <w:pPr>
        <w:pStyle w:val="Paragraphedeliste"/>
        <w:numPr>
          <w:ilvl w:val="0"/>
          <w:numId w:val="42"/>
        </w:numPr>
        <w:jc w:val="both"/>
      </w:pPr>
      <w:r w:rsidRPr="000C5743">
        <w:t xml:space="preserve">CRD 4 </w:t>
      </w:r>
      <w:r>
        <w:t xml:space="preserve">remuneration guidelines: </w:t>
      </w:r>
      <w:r w:rsidRPr="000C5743">
        <w:t xml:space="preserve">primarily designed for banks and the “blanket </w:t>
      </w:r>
      <w:r>
        <w:t xml:space="preserve">/ catch-all </w:t>
      </w:r>
      <w:r w:rsidRPr="000C5743">
        <w:t>ma</w:t>
      </w:r>
      <w:r w:rsidRPr="000C5743">
        <w:t>n</w:t>
      </w:r>
      <w:r w:rsidRPr="000C5743">
        <w:t xml:space="preserve">agement” of their systemic risk via </w:t>
      </w:r>
      <w:r>
        <w:t xml:space="preserve">stringently risk-curbing </w:t>
      </w:r>
      <w:r w:rsidRPr="000C5743">
        <w:t>remuneration rules</w:t>
      </w:r>
      <w:r>
        <w:t>;</w:t>
      </w:r>
      <w:r w:rsidRPr="000C5743">
        <w:t xml:space="preserve"> and </w:t>
      </w:r>
    </w:p>
    <w:p w:rsidR="00F86074" w:rsidRPr="000C5743" w:rsidRDefault="00F86074" w:rsidP="00D50150">
      <w:pPr>
        <w:pStyle w:val="Paragraphedeliste"/>
        <w:numPr>
          <w:ilvl w:val="0"/>
          <w:numId w:val="42"/>
        </w:numPr>
        <w:jc w:val="both"/>
      </w:pPr>
      <w:r w:rsidRPr="000C5743">
        <w:t xml:space="preserve">UCITS/AIFMD </w:t>
      </w:r>
      <w:r>
        <w:t xml:space="preserve">remuneration guidelines: </w:t>
      </w:r>
      <w:r w:rsidRPr="000C5743">
        <w:t>primarily designed for fund managers, wh</w:t>
      </w:r>
      <w:r>
        <w:t>o</w:t>
      </w:r>
      <w:r w:rsidRPr="000C5743">
        <w:t xml:space="preserve"> </w:t>
      </w:r>
      <w:r>
        <w:t>from day one</w:t>
      </w:r>
      <w:r w:rsidRPr="000C5743">
        <w:t xml:space="preserve">, </w:t>
      </w:r>
      <w:r>
        <w:t xml:space="preserve">have </w:t>
      </w:r>
      <w:r w:rsidRPr="000C5743">
        <w:t xml:space="preserve">a </w:t>
      </w:r>
      <w:r>
        <w:t xml:space="preserve">key </w:t>
      </w:r>
      <w:r w:rsidRPr="000C5743">
        <w:t xml:space="preserve">commercial incentive in designing and promoting the </w:t>
      </w:r>
      <w:r>
        <w:t xml:space="preserve">most risk-effective </w:t>
      </w:r>
      <w:r w:rsidRPr="000C5743">
        <w:t>incentive a</w:t>
      </w:r>
      <w:r w:rsidRPr="000C5743">
        <w:t>p</w:t>
      </w:r>
      <w:r w:rsidRPr="000C5743">
        <w:t xml:space="preserve">proach to convince </w:t>
      </w:r>
      <w:r>
        <w:t xml:space="preserve">their </w:t>
      </w:r>
      <w:r w:rsidRPr="000C5743">
        <w:t xml:space="preserve">clients </w:t>
      </w:r>
      <w:r>
        <w:t xml:space="preserve">that </w:t>
      </w:r>
      <w:r w:rsidRPr="000C5743">
        <w:t>their assets will be managed</w:t>
      </w:r>
      <w:r>
        <w:t xml:space="preserve"> </w:t>
      </w:r>
      <w:r w:rsidRPr="000C5743">
        <w:t xml:space="preserve">consistently </w:t>
      </w:r>
      <w:r>
        <w:t>within a pre-defined risk budget optimising their returns</w:t>
      </w:r>
      <w:r w:rsidRPr="000C5743">
        <w:t>.</w:t>
      </w:r>
      <w:r>
        <w:t xml:space="preserve"> </w:t>
      </w:r>
    </w:p>
    <w:p w:rsidR="00F86074" w:rsidRDefault="00F86074" w:rsidP="00F86074">
      <w:pPr>
        <w:jc w:val="both"/>
      </w:pPr>
    </w:p>
    <w:p w:rsidR="0075015C" w:rsidRPr="00F86074" w:rsidRDefault="00F86074" w:rsidP="00F86074">
      <w:pPr>
        <w:jc w:val="both"/>
        <w:rPr>
          <w:i/>
        </w:rPr>
      </w:pPr>
      <w:r w:rsidRPr="00B43594">
        <w:rPr>
          <w:i/>
        </w:rPr>
        <w:t>NB: Notwithstanding the above, we welcome, clearly for practical reasons, paragraph 16 of the proposed UCITS guidelines which postulates outright “equivalent effectiveness” between CRD4, UCITS V and AIFM remuneration regulations in the case of delegates, as it provides for cost-efficiency and simplicity without generating any particular risks.</w:t>
      </w:r>
    </w:p>
    <w:permEnd w:id="1606618418"/>
    <w:p w:rsidR="0075015C" w:rsidRDefault="0075015C" w:rsidP="0075015C">
      <w:r>
        <w:t>&lt;ESMA_QUESTION_UCITS_V_AIMFD_REM_6&gt;</w:t>
      </w:r>
    </w:p>
    <w:p w:rsidR="0075015C" w:rsidRDefault="0075015C" w:rsidP="0075015C"/>
    <w:p w:rsidR="0075015C" w:rsidRDefault="0075015C" w:rsidP="0075015C">
      <w:pPr>
        <w:pStyle w:val="QuestionsFORM"/>
        <w:ind w:left="284" w:hanging="284"/>
      </w:pPr>
      <w:r w:rsidRPr="00736B0C">
        <w:t>Do you agree that the performance of ancillary services under Article 6(3) of the UCITS D</w:t>
      </w:r>
      <w:r w:rsidRPr="00736B0C">
        <w:t>i</w:t>
      </w:r>
      <w:r w:rsidRPr="00736B0C">
        <w:t>rective or under Article 6(4) of the AIFMD by personnel of a management company or an AIFM should be subject to the remuneration principles under the UCITS Directive or AIFMD, as applic</w:t>
      </w:r>
      <w:r w:rsidRPr="00736B0C">
        <w:t>a</w:t>
      </w:r>
      <w:r w:rsidRPr="00736B0C">
        <w:t>ble? Or do you consider that that MiFID ancillary services do not represent portfolio/risk manag</w:t>
      </w:r>
      <w:r w:rsidRPr="00736B0C">
        <w:t>e</w:t>
      </w:r>
      <w:r w:rsidRPr="00736B0C">
        <w:t>ment types of activities (Annex I of the AIFMD) nor investment management activities (Annex II of the UCITS Directive) and should not be covered by the rules under Article 14b of the UCITS Directive and Annex II of the AIFMD which specifically refer to the UCITS/AIFs that a UCITS/AIFM manages? Please explain the reasons of your response.</w:t>
      </w:r>
    </w:p>
    <w:p w:rsidR="0075015C" w:rsidRDefault="0075015C" w:rsidP="0075015C">
      <w:r>
        <w:t>&lt;ESMA_QUESTION_UCITS_V_AIMFD_REM_7&gt;</w:t>
      </w:r>
    </w:p>
    <w:p w:rsidR="00D50150" w:rsidRDefault="00D50150" w:rsidP="00D50150">
      <w:pPr>
        <w:jc w:val="both"/>
      </w:pPr>
      <w:permStart w:id="265881660" w:edGrp="everyone"/>
      <w:r>
        <w:t xml:space="preserve">This question poses a number of issues.  </w:t>
      </w:r>
    </w:p>
    <w:p w:rsidR="00D50150" w:rsidRDefault="00D50150" w:rsidP="00D50150">
      <w:pPr>
        <w:jc w:val="both"/>
      </w:pPr>
    </w:p>
    <w:p w:rsidR="00D50150" w:rsidRDefault="00D50150" w:rsidP="00D50150">
      <w:pPr>
        <w:jc w:val="both"/>
      </w:pPr>
      <w:r>
        <w:t xml:space="preserve">First, it is a bit unclear to which ancillary services, the question refers to.  For ease of reference, quotes of certain excerpts of regulations have been reminded in Appendix 4.  </w:t>
      </w:r>
    </w:p>
    <w:p w:rsidR="00D50150" w:rsidRDefault="00D50150" w:rsidP="00D50150">
      <w:pPr>
        <w:jc w:val="both"/>
      </w:pPr>
    </w:p>
    <w:p w:rsidR="00D50150" w:rsidRDefault="00D50150" w:rsidP="00D50150">
      <w:pPr>
        <w:jc w:val="both"/>
      </w:pPr>
      <w:r>
        <w:t>To clarify, AFG understands the following:</w:t>
      </w:r>
    </w:p>
    <w:p w:rsidR="00D50150" w:rsidRDefault="00D50150" w:rsidP="00D50150">
      <w:pPr>
        <w:pStyle w:val="Paragraphedeliste"/>
        <w:numPr>
          <w:ilvl w:val="0"/>
          <w:numId w:val="43"/>
        </w:numPr>
        <w:jc w:val="both"/>
      </w:pPr>
      <w:r>
        <w:t>“Ancillary services” referred to in the question 7 above, are those investment services and activ</w:t>
      </w:r>
      <w:r>
        <w:t>i</w:t>
      </w:r>
      <w:r>
        <w:t>ties (per Annex I section A of MIF directive), effected as ancillary services to a UCITS or AIFMD l</w:t>
      </w:r>
      <w:r>
        <w:t>i</w:t>
      </w:r>
      <w:r>
        <w:t>cence for UCITS or AIFMD funds management</w:t>
      </w:r>
    </w:p>
    <w:p w:rsidR="00D50150" w:rsidRDefault="00D50150" w:rsidP="00D50150">
      <w:pPr>
        <w:pStyle w:val="Paragraphedeliste"/>
        <w:numPr>
          <w:ilvl w:val="0"/>
          <w:numId w:val="43"/>
        </w:numPr>
        <w:jc w:val="both"/>
      </w:pPr>
      <w:r>
        <w:t xml:space="preserve">The words “as applicable” mentioned in question 7 above, are meant </w:t>
      </w:r>
      <w:r w:rsidRPr="005142CE">
        <w:rPr>
          <w:b/>
        </w:rPr>
        <w:t>to exclude</w:t>
      </w:r>
      <w:r>
        <w:rPr>
          <w:b/>
        </w:rPr>
        <w:t xml:space="preserve"> “</w:t>
      </w:r>
      <w:proofErr w:type="spellStart"/>
      <w:r>
        <w:rPr>
          <w:b/>
        </w:rPr>
        <w:t>non core</w:t>
      </w:r>
      <w:proofErr w:type="spellEnd"/>
      <w:r>
        <w:rPr>
          <w:b/>
        </w:rPr>
        <w:t xml:space="preserve"> se</w:t>
      </w:r>
      <w:r>
        <w:rPr>
          <w:b/>
        </w:rPr>
        <w:t>r</w:t>
      </w:r>
      <w:r>
        <w:rPr>
          <w:b/>
        </w:rPr>
        <w:t xml:space="preserve">vices” </w:t>
      </w:r>
      <w:r w:rsidRPr="005142CE">
        <w:t xml:space="preserve">as </w:t>
      </w:r>
      <w:r>
        <w:t>follows:</w:t>
      </w:r>
    </w:p>
    <w:p w:rsidR="00D50150" w:rsidRPr="005142CE" w:rsidRDefault="00D50150" w:rsidP="00D50150">
      <w:pPr>
        <w:pStyle w:val="Paragraphedeliste"/>
        <w:numPr>
          <w:ilvl w:val="0"/>
          <w:numId w:val="44"/>
        </w:numPr>
        <w:jc w:val="both"/>
      </w:pPr>
      <w:r w:rsidRPr="00995949">
        <w:t xml:space="preserve">from article </w:t>
      </w:r>
      <w:r w:rsidRPr="005142CE">
        <w:t xml:space="preserve">6(3) of the UCITS Directive, </w:t>
      </w:r>
      <w:r w:rsidRPr="00707B1D">
        <w:rPr>
          <w:color w:val="000000"/>
          <w:lang w:val="en-US" w:eastAsia="fr-FR"/>
        </w:rPr>
        <w:t xml:space="preserve">non-core services </w:t>
      </w:r>
      <w:r w:rsidRPr="00707B1D">
        <w:rPr>
          <w:rFonts w:cs="EUAlbertina"/>
          <w:color w:val="000000"/>
          <w:lang w:val="en-US"/>
        </w:rPr>
        <w:t>defined as</w:t>
      </w:r>
      <w:r w:rsidRPr="005142CE">
        <w:t>:</w:t>
      </w:r>
    </w:p>
    <w:p w:rsidR="00D50150" w:rsidRPr="005142CE" w:rsidRDefault="00D50150" w:rsidP="00D50150">
      <w:pPr>
        <w:pStyle w:val="Paragraphedeliste"/>
        <w:numPr>
          <w:ilvl w:val="0"/>
          <w:numId w:val="45"/>
        </w:numPr>
        <w:jc w:val="both"/>
      </w:pPr>
      <w:r w:rsidRPr="00707B1D">
        <w:rPr>
          <w:color w:val="000000"/>
          <w:lang w:val="en-US" w:eastAsia="fr-FR"/>
        </w:rPr>
        <w:t>investment advice concerning one or more of the instruments listed in Annex I, Section C to Directive 2004/39/EC</w:t>
      </w:r>
    </w:p>
    <w:p w:rsidR="00D50150" w:rsidRPr="005142CE" w:rsidRDefault="00D50150" w:rsidP="00D50150">
      <w:pPr>
        <w:pStyle w:val="Paragraphedeliste"/>
        <w:numPr>
          <w:ilvl w:val="0"/>
          <w:numId w:val="45"/>
        </w:numPr>
        <w:jc w:val="both"/>
      </w:pPr>
      <w:proofErr w:type="gramStart"/>
      <w:r w:rsidRPr="00707B1D">
        <w:rPr>
          <w:color w:val="000000"/>
          <w:lang w:val="en-US" w:eastAsia="fr-FR"/>
        </w:rPr>
        <w:t>safekeeping</w:t>
      </w:r>
      <w:proofErr w:type="gramEnd"/>
      <w:r w:rsidRPr="00707B1D">
        <w:rPr>
          <w:color w:val="000000"/>
          <w:lang w:val="en-US" w:eastAsia="fr-FR"/>
        </w:rPr>
        <w:t xml:space="preserve"> and administration in relation to units of collective investment unde</w:t>
      </w:r>
      <w:r w:rsidRPr="00707B1D">
        <w:rPr>
          <w:color w:val="000000"/>
          <w:lang w:val="en-US" w:eastAsia="fr-FR"/>
        </w:rPr>
        <w:t>r</w:t>
      </w:r>
      <w:r w:rsidRPr="00707B1D">
        <w:rPr>
          <w:color w:val="000000"/>
          <w:lang w:val="en-US" w:eastAsia="fr-FR"/>
        </w:rPr>
        <w:t>takings.</w:t>
      </w:r>
    </w:p>
    <w:p w:rsidR="00D50150" w:rsidRPr="00995949" w:rsidRDefault="00D50150" w:rsidP="00D50150">
      <w:pPr>
        <w:pStyle w:val="Paragraphedeliste"/>
        <w:numPr>
          <w:ilvl w:val="0"/>
          <w:numId w:val="44"/>
        </w:numPr>
        <w:jc w:val="both"/>
      </w:pPr>
      <w:r w:rsidRPr="00995949">
        <w:t>from article 6(4) of the AIFMD</w:t>
      </w:r>
      <w:r w:rsidRPr="005142CE">
        <w:t xml:space="preserve">, </w:t>
      </w:r>
      <w:r w:rsidRPr="00707B1D">
        <w:rPr>
          <w:rFonts w:cs="EUAlbertina"/>
          <w:color w:val="000000"/>
          <w:lang w:val="en-US"/>
        </w:rPr>
        <w:t>non-core services defined as :</w:t>
      </w:r>
      <w:r w:rsidRPr="00995949">
        <w:t xml:space="preserve"> </w:t>
      </w:r>
    </w:p>
    <w:p w:rsidR="00D50150" w:rsidRPr="005142CE" w:rsidRDefault="00D50150" w:rsidP="00D50150">
      <w:pPr>
        <w:pStyle w:val="Paragraphedeliste"/>
        <w:numPr>
          <w:ilvl w:val="0"/>
          <w:numId w:val="46"/>
        </w:numPr>
        <w:jc w:val="both"/>
      </w:pPr>
      <w:r w:rsidRPr="005142CE">
        <w:rPr>
          <w:rFonts w:cs="EUAlbertina"/>
          <w:color w:val="000000"/>
        </w:rPr>
        <w:t xml:space="preserve">investment advice; </w:t>
      </w:r>
    </w:p>
    <w:p w:rsidR="00D50150" w:rsidRPr="005142CE" w:rsidRDefault="00D50150" w:rsidP="00D50150">
      <w:pPr>
        <w:pStyle w:val="Paragraphedeliste"/>
        <w:numPr>
          <w:ilvl w:val="0"/>
          <w:numId w:val="46"/>
        </w:numPr>
        <w:jc w:val="both"/>
      </w:pPr>
      <w:r w:rsidRPr="00707B1D">
        <w:rPr>
          <w:rFonts w:cs="EUAlbertina"/>
          <w:color w:val="000000"/>
          <w:lang w:val="en-US"/>
        </w:rPr>
        <w:t>safe-keeping and administration in relation to shares or units of collective inves</w:t>
      </w:r>
      <w:r w:rsidRPr="00707B1D">
        <w:rPr>
          <w:rFonts w:cs="EUAlbertina"/>
          <w:color w:val="000000"/>
          <w:lang w:val="en-US"/>
        </w:rPr>
        <w:t>t</w:t>
      </w:r>
      <w:r w:rsidRPr="00707B1D">
        <w:rPr>
          <w:rFonts w:cs="EUAlbertina"/>
          <w:color w:val="000000"/>
          <w:lang w:val="en-US"/>
        </w:rPr>
        <w:t>ment undertakings;</w:t>
      </w:r>
    </w:p>
    <w:p w:rsidR="00D50150" w:rsidRPr="00995949" w:rsidRDefault="00D50150" w:rsidP="00D50150">
      <w:pPr>
        <w:pStyle w:val="Paragraphedeliste"/>
        <w:numPr>
          <w:ilvl w:val="0"/>
          <w:numId w:val="46"/>
        </w:numPr>
        <w:jc w:val="both"/>
      </w:pPr>
      <w:proofErr w:type="gramStart"/>
      <w:r w:rsidRPr="00707B1D">
        <w:rPr>
          <w:rFonts w:cs="EUAlbertina"/>
          <w:color w:val="000000"/>
          <w:lang w:val="en-US"/>
        </w:rPr>
        <w:t>reception</w:t>
      </w:r>
      <w:proofErr w:type="gramEnd"/>
      <w:r w:rsidRPr="00707B1D">
        <w:rPr>
          <w:rFonts w:cs="EUAlbertina"/>
          <w:color w:val="000000"/>
          <w:lang w:val="en-US"/>
        </w:rPr>
        <w:t xml:space="preserve"> and transmission of orders in relation to financial instruments.</w:t>
      </w:r>
    </w:p>
    <w:p w:rsidR="00D50150" w:rsidRPr="00995949" w:rsidRDefault="00D50150" w:rsidP="00D50150">
      <w:pPr>
        <w:jc w:val="both"/>
      </w:pPr>
    </w:p>
    <w:p w:rsidR="00D50150" w:rsidRDefault="00D50150" w:rsidP="00D50150">
      <w:pPr>
        <w:jc w:val="both"/>
      </w:pPr>
      <w:r w:rsidRPr="00995949">
        <w:t>Thus, we construe questi</w:t>
      </w:r>
      <w:r>
        <w:t>on 7 as relating exclusively to:</w:t>
      </w:r>
    </w:p>
    <w:p w:rsidR="00D50150" w:rsidRDefault="00D50150" w:rsidP="00D50150">
      <w:pPr>
        <w:pStyle w:val="Paragraphedeliste"/>
        <w:numPr>
          <w:ilvl w:val="0"/>
          <w:numId w:val="47"/>
        </w:numPr>
        <w:jc w:val="both"/>
      </w:pPr>
      <w:r w:rsidRPr="005142CE">
        <w:t xml:space="preserve">the </w:t>
      </w:r>
      <w:r w:rsidRPr="00707B1D">
        <w:rPr>
          <w:color w:val="000000"/>
          <w:lang w:val="en-US" w:eastAsia="fr-FR"/>
        </w:rPr>
        <w:t>management of portfolios of investments, including those owned by pension funds, in accor</w:t>
      </w:r>
      <w:r w:rsidRPr="00707B1D">
        <w:rPr>
          <w:color w:val="000000"/>
          <w:lang w:val="en-US" w:eastAsia="fr-FR"/>
        </w:rPr>
        <w:t>d</w:t>
      </w:r>
      <w:r w:rsidRPr="00707B1D">
        <w:rPr>
          <w:color w:val="000000"/>
          <w:lang w:val="en-US" w:eastAsia="fr-FR"/>
        </w:rPr>
        <w:t>ance with mandates given by investors on a discretionary, client-by-client basis, where such por</w:t>
      </w:r>
      <w:r w:rsidRPr="00707B1D">
        <w:rPr>
          <w:color w:val="000000"/>
          <w:lang w:val="en-US" w:eastAsia="fr-FR"/>
        </w:rPr>
        <w:t>t</w:t>
      </w:r>
      <w:r w:rsidRPr="00707B1D">
        <w:rPr>
          <w:color w:val="000000"/>
          <w:lang w:val="en-US" w:eastAsia="fr-FR"/>
        </w:rPr>
        <w:t>folios include one or more of the instruments listed in Annex I, Section C to Directive 2004/39/EC</w:t>
      </w:r>
    </w:p>
    <w:p w:rsidR="00D50150" w:rsidRPr="005142CE" w:rsidRDefault="00D50150" w:rsidP="00D50150">
      <w:pPr>
        <w:pStyle w:val="Paragraphedeliste"/>
        <w:numPr>
          <w:ilvl w:val="0"/>
          <w:numId w:val="47"/>
        </w:numPr>
        <w:jc w:val="both"/>
      </w:pPr>
      <w:r w:rsidRPr="00707B1D">
        <w:rPr>
          <w:rFonts w:cs="EUAlbertina"/>
          <w:color w:val="000000"/>
          <w:lang w:val="en-US"/>
        </w:rPr>
        <w:t>management of portfolios of investments, including those owned by pension funds and institutions for occupational retirement provision in accordance with Article 19(1) of Directive 2003/41/EC, in accordance with mandates given by investors on a discretionary, client-by-client basis</w:t>
      </w:r>
    </w:p>
    <w:p w:rsidR="00D50150" w:rsidRDefault="00D50150" w:rsidP="00D50150">
      <w:pPr>
        <w:jc w:val="both"/>
      </w:pPr>
    </w:p>
    <w:p w:rsidR="00D50150" w:rsidRDefault="00D50150" w:rsidP="00D50150">
      <w:pPr>
        <w:jc w:val="both"/>
      </w:pPr>
      <w:r>
        <w:t>AFG would like to remind</w:t>
      </w:r>
      <w:r>
        <w:rPr>
          <w:rStyle w:val="Appelnotedebasdep"/>
        </w:rPr>
        <w:footnoteReference w:id="7"/>
      </w:r>
      <w:r>
        <w:t xml:space="preserve">, that the remuneration regulation for UCITS and AIFMD are </w:t>
      </w:r>
      <w:r w:rsidRPr="00AA30E4">
        <w:rPr>
          <w:b/>
        </w:rPr>
        <w:t>tailored to colle</w:t>
      </w:r>
      <w:r w:rsidRPr="00AA30E4">
        <w:rPr>
          <w:b/>
        </w:rPr>
        <w:t>c</w:t>
      </w:r>
      <w:r w:rsidRPr="00AA30E4">
        <w:rPr>
          <w:b/>
        </w:rPr>
        <w:t>tive portfolio management</w:t>
      </w:r>
      <w:r>
        <w:t xml:space="preserve">, </w:t>
      </w:r>
      <w:r>
        <w:rPr>
          <w:b/>
        </w:rPr>
        <w:t>and</w:t>
      </w:r>
      <w:r w:rsidRPr="00AA30E4">
        <w:rPr>
          <w:b/>
        </w:rPr>
        <w:t xml:space="preserve"> need to be more prescriptive</w:t>
      </w:r>
      <w:r>
        <w:t xml:space="preserve"> than for mandates management for instance, where clients are more informed, and more able to exert influence on the structure of fees and/or the remuneration of the portfolio managers.  </w:t>
      </w:r>
      <w:r w:rsidRPr="00AA30E4">
        <w:rPr>
          <w:b/>
        </w:rPr>
        <w:t>This explains why ESMA’s June 2013 MIFID remuner</w:t>
      </w:r>
      <w:r w:rsidRPr="00AA30E4">
        <w:rPr>
          <w:b/>
        </w:rPr>
        <w:t>a</w:t>
      </w:r>
      <w:r w:rsidRPr="00AA30E4">
        <w:rPr>
          <w:b/>
        </w:rPr>
        <w:t>tion guidelines are rightly less prescriptive.</w:t>
      </w:r>
      <w:r>
        <w:t xml:space="preserve">  </w:t>
      </w:r>
    </w:p>
    <w:p w:rsidR="00D50150" w:rsidRDefault="00D50150" w:rsidP="00D50150">
      <w:pPr>
        <w:jc w:val="both"/>
      </w:pPr>
    </w:p>
    <w:p w:rsidR="00D50150" w:rsidRPr="00DF583E" w:rsidRDefault="00D50150" w:rsidP="00D50150">
      <w:pPr>
        <w:jc w:val="both"/>
      </w:pPr>
      <w:r>
        <w:t>Again, AFG welcomes the flexibility and sense of purpose of the rules, which give more ability to best answer various possible cases while seeking not to over-burden the industry, and thus contribute to EU’s competitiveness.</w:t>
      </w:r>
    </w:p>
    <w:p w:rsidR="00D50150" w:rsidRPr="005142CE" w:rsidRDefault="00D50150" w:rsidP="00D50150">
      <w:pPr>
        <w:jc w:val="both"/>
      </w:pPr>
    </w:p>
    <w:p w:rsidR="00D50150" w:rsidRDefault="00D50150" w:rsidP="00D50150">
      <w:pPr>
        <w:jc w:val="both"/>
      </w:pPr>
      <w:r>
        <w:t>Further, AFG notes that mandatory implementation of the remuneration regulation for UCITS and AIFMD to mandates managers would likely prove difficult to justify from a regulatory perspective: indexation</w:t>
      </w:r>
      <w:r w:rsidRPr="005142CE">
        <w:rPr>
          <w:vertAlign w:val="superscript"/>
        </w:rPr>
        <w:t>6</w:t>
      </w:r>
      <w:r>
        <w:t>, disclosure</w:t>
      </w:r>
      <w:r w:rsidRPr="00782143">
        <w:rPr>
          <w:vertAlign w:val="superscript"/>
        </w:rPr>
        <w:t>6</w:t>
      </w:r>
      <w:r>
        <w:t xml:space="preserve"> notably, would not be “straightforward” in terms of alignment of interest and market discipline.</w:t>
      </w:r>
    </w:p>
    <w:p w:rsidR="00D50150" w:rsidRDefault="00D50150" w:rsidP="00D50150">
      <w:pPr>
        <w:jc w:val="both"/>
      </w:pPr>
    </w:p>
    <w:p w:rsidR="00D50150" w:rsidRDefault="00D50150" w:rsidP="00D50150">
      <w:pPr>
        <w:jc w:val="both"/>
      </w:pPr>
      <w:r>
        <w:t>However, AFG welcomes the flexibility and simplicity concerns that are embedded in ESMA’s consult</w:t>
      </w:r>
      <w:r>
        <w:t>a</w:t>
      </w:r>
      <w:r>
        <w:t>tion: notably, the ability to consider that regulatory frameworks can be considered “equivalent”, so that by subsidiarity, a single framework can be applied.</w:t>
      </w:r>
    </w:p>
    <w:p w:rsidR="00D50150" w:rsidRDefault="00D50150" w:rsidP="00D50150">
      <w:pPr>
        <w:jc w:val="both"/>
      </w:pPr>
      <w:r>
        <w:rPr>
          <w:noProof/>
          <w:lang w:eastAsia="fr-FR"/>
        </w:rPr>
        <mc:AlternateContent>
          <mc:Choice Requires="wps">
            <w:drawing>
              <wp:anchor distT="0" distB="0" distL="114300" distR="114300" simplePos="0" relativeHeight="251669504" behindDoc="0" locked="0" layoutInCell="1" allowOverlap="1" wp14:anchorId="22BAA2CB" wp14:editId="6D041551">
                <wp:simplePos x="0" y="0"/>
                <wp:positionH relativeFrom="column">
                  <wp:posOffset>-322718</wp:posOffset>
                </wp:positionH>
                <wp:positionV relativeFrom="paragraph">
                  <wp:posOffset>33739</wp:posOffset>
                </wp:positionV>
                <wp:extent cx="6613525" cy="1097280"/>
                <wp:effectExtent l="0" t="0" r="15875" b="2667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1097280"/>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5.4pt;margin-top:2.65pt;width:520.75pt;height:8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" filled="f" strokecolor="#4f81bd [3204]" strokeweight="1.5pt"/>
            </w:pict>
          </mc:Fallback>
        </mc:AlternateContent>
      </w:r>
    </w:p>
    <w:p w:rsidR="00D50150" w:rsidRDefault="00D50150" w:rsidP="00D50150">
      <w:pPr>
        <w:jc w:val="both"/>
      </w:pPr>
      <w:r>
        <w:t>Hence, to answer precisely to this question 7, AFG considers that:</w:t>
      </w:r>
    </w:p>
    <w:p w:rsidR="00D50150" w:rsidRDefault="00D50150" w:rsidP="00D50150">
      <w:pPr>
        <w:pStyle w:val="Paragraphedeliste"/>
        <w:numPr>
          <w:ilvl w:val="0"/>
          <w:numId w:val="48"/>
        </w:numPr>
        <w:ind w:left="426"/>
        <w:jc w:val="both"/>
      </w:pPr>
      <w:r>
        <w:t>There should be no mandatory application of the UCITS/AIFMD rules to mandates managers.</w:t>
      </w:r>
    </w:p>
    <w:p w:rsidR="00D50150" w:rsidRDefault="00D50150" w:rsidP="00D50150">
      <w:pPr>
        <w:pStyle w:val="Paragraphedeliste"/>
        <w:numPr>
          <w:ilvl w:val="0"/>
          <w:numId w:val="48"/>
        </w:numPr>
        <w:ind w:left="426"/>
        <w:jc w:val="both"/>
      </w:pPr>
      <w:r>
        <w:t>For portfolio managers who are only mandates managers, the MIF remuneration guidelines should continue to apply, but asset managers should be allowed to elect that UCITS/AIFMD rules can be applied, considering these rules are generally more prescriptive, with due adaptations (</w:t>
      </w:r>
      <w:proofErr w:type="spellStart"/>
      <w:r>
        <w:t>eg</w:t>
      </w:r>
      <w:proofErr w:type="spellEnd"/>
      <w:r>
        <w:t xml:space="preserve"> for index</w:t>
      </w:r>
      <w:r>
        <w:t>a</w:t>
      </w:r>
      <w:r>
        <w:t>tion and disclosure), under the supervision of their remuneration committees and regulators.</w:t>
      </w:r>
    </w:p>
    <w:p w:rsidR="0075015C" w:rsidRDefault="00D50150" w:rsidP="00D50150">
      <w:pPr>
        <w:pStyle w:val="Paragraphedeliste"/>
        <w:numPr>
          <w:ilvl w:val="0"/>
          <w:numId w:val="48"/>
        </w:numPr>
        <w:ind w:left="426"/>
        <w:jc w:val="both"/>
      </w:pPr>
      <w:r>
        <w:rPr>
          <w:noProof/>
          <w:lang w:eastAsia="fr-FR"/>
        </w:rPr>
        <mc:AlternateContent>
          <mc:Choice Requires="wps">
            <w:drawing>
              <wp:anchor distT="0" distB="0" distL="114300" distR="114300" simplePos="0" relativeHeight="251671552" behindDoc="0" locked="0" layoutInCell="1" allowOverlap="1" wp14:anchorId="50B2C0E2" wp14:editId="749E6CB3">
                <wp:simplePos x="0" y="0"/>
                <wp:positionH relativeFrom="column">
                  <wp:posOffset>-324012</wp:posOffset>
                </wp:positionH>
                <wp:positionV relativeFrom="paragraph">
                  <wp:posOffset>-35086</wp:posOffset>
                </wp:positionV>
                <wp:extent cx="6613525" cy="893134"/>
                <wp:effectExtent l="0" t="0" r="15875" b="2159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893134"/>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5.5pt;margin-top:-2.75pt;width:520.75pt;height:7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" filled="f" strokecolor="#4f81bd [3204]" strokeweight="1.5pt"/>
            </w:pict>
          </mc:Fallback>
        </mc:AlternateContent>
      </w:r>
      <w:r>
        <w:t>For portfolio managers who are managing mandates and UCITS or AIFs, by subsidiarity (and as mentioned in question 5 and 6 above), asset managers should be given the flexibility to apply a single framework (namely UCITS/AIFMD, considering they are more prescriptive than MIF as mentioned in preceding point 2), if they elect to do so for such portfolio manager, or to apply a pro-rata approach, if they elect otherwise.</w:t>
      </w:r>
    </w:p>
    <w:p w:rsidR="00D50150" w:rsidRPr="00D50150" w:rsidRDefault="00D50150" w:rsidP="00D50150">
      <w:pPr>
        <w:pStyle w:val="Notedebasdepage"/>
        <w:rPr>
          <w:lang w:val="en-US"/>
        </w:rPr>
      </w:pPr>
      <w:r>
        <w:t xml:space="preserve">    </w:t>
      </w:r>
      <w:r>
        <w:rPr>
          <w:rStyle w:val="Appelnotedebasdep"/>
        </w:rPr>
        <w:t>6</w:t>
      </w:r>
      <w:r w:rsidRPr="002673D7">
        <w:rPr>
          <w:lang w:val="en-US"/>
        </w:rPr>
        <w:t xml:space="preserve"> AFG notes that EFAMA’ approach is quite consistent in its answer to this ESMA consultation</w:t>
      </w:r>
    </w:p>
    <w:permEnd w:id="265881660"/>
    <w:p w:rsidR="0075015C" w:rsidRDefault="0075015C" w:rsidP="0075015C">
      <w:r>
        <w:t>&lt;ESMA_QUESTION_UCITS_V_AIMFD_REM_7&gt;</w:t>
      </w:r>
    </w:p>
    <w:p w:rsidR="0075015C" w:rsidRDefault="0075015C" w:rsidP="0075015C"/>
    <w:p w:rsidR="0075015C" w:rsidRDefault="0075015C" w:rsidP="0075015C">
      <w:pPr>
        <w:pStyle w:val="QuestionsFORM"/>
        <w:ind w:left="284" w:hanging="284"/>
      </w:pPr>
      <w:r w:rsidRPr="00736B0C">
        <w:t>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dis</w:t>
      </w:r>
      <w:r w:rsidRPr="00736B0C">
        <w:t>a</w:t>
      </w:r>
      <w:r w:rsidRPr="00736B0C">
        <w:t>gree, please propose an alternative approach and provide an appropriate justification.</w:t>
      </w:r>
    </w:p>
    <w:p w:rsidR="0075015C" w:rsidRDefault="0075015C" w:rsidP="0075015C">
      <w:r>
        <w:t>&lt;ESMA_QUESTION_UCITS_V_AIMFD_REM_8&gt;</w:t>
      </w:r>
    </w:p>
    <w:p w:rsidR="00D50150" w:rsidRDefault="00D50150" w:rsidP="00D50150">
      <w:pPr>
        <w:jc w:val="both"/>
      </w:pPr>
      <w:permStart w:id="1740646298" w:edGrp="everyone"/>
      <w:r>
        <w:t>Indeed, small firms may be at a disadvantage in terms of requirements, as they will have, more often than large firms, UCITS-authorised portfolios representing more than half of their</w:t>
      </w:r>
      <w:r w:rsidR="008F7D46">
        <w:t xml:space="preserve"> UCITS</w:t>
      </w:r>
      <w:r>
        <w:t xml:space="preserve"> total assets.</w:t>
      </w:r>
    </w:p>
    <w:p w:rsidR="00D50150" w:rsidRDefault="00D50150" w:rsidP="00D50150">
      <w:pPr>
        <w:jc w:val="both"/>
      </w:pPr>
      <w:r>
        <w:rPr>
          <w:noProof/>
          <w:lang w:eastAsia="fr-FR"/>
        </w:rPr>
        <mc:AlternateContent>
          <mc:Choice Requires="wps">
            <w:drawing>
              <wp:anchor distT="0" distB="0" distL="114300" distR="114300" simplePos="0" relativeHeight="251673600" behindDoc="0" locked="0" layoutInCell="1" allowOverlap="1" wp14:anchorId="054B4A6F" wp14:editId="34734849">
                <wp:simplePos x="0" y="0"/>
                <wp:positionH relativeFrom="column">
                  <wp:posOffset>-299085</wp:posOffset>
                </wp:positionH>
                <wp:positionV relativeFrom="paragraph">
                  <wp:posOffset>47625</wp:posOffset>
                </wp:positionV>
                <wp:extent cx="6613525" cy="603885"/>
                <wp:effectExtent l="0" t="0" r="15875" b="2476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603885"/>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3.55pt;margin-top:3.75pt;width:520.75pt;height:4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" filled="f" strokecolor="#4f81bd [3204]" strokeweight="1.5pt"/>
            </w:pict>
          </mc:Fallback>
        </mc:AlternateContent>
      </w:r>
    </w:p>
    <w:p w:rsidR="00D50150" w:rsidRDefault="00D50150" w:rsidP="00D50150">
      <w:pPr>
        <w:jc w:val="both"/>
      </w:pPr>
      <w:r>
        <w:t xml:space="preserve">In order to facilitate a fairer and more proportionate implementation of this rule to small firms, AFG would like to respectfully propose to ESMA that this requirement only applies to management companies with total </w:t>
      </w:r>
      <w:proofErr w:type="spellStart"/>
      <w:r>
        <w:t>AuM</w:t>
      </w:r>
      <w:proofErr w:type="spellEnd"/>
      <w:r>
        <w:t xml:space="preserve"> above 250</w:t>
      </w:r>
      <w:r>
        <w:t>M</w:t>
      </w:r>
      <w:r>
        <w:t xml:space="preserve"> euros (</w:t>
      </w:r>
      <w:proofErr w:type="spellStart"/>
      <w:r>
        <w:t>ie</w:t>
      </w:r>
      <w:proofErr w:type="spellEnd"/>
      <w:r>
        <w:t>. 500</w:t>
      </w:r>
      <w:r>
        <w:t>M</w:t>
      </w:r>
      <w:r>
        <w:t xml:space="preserve"> euros </w:t>
      </w:r>
      <w:proofErr w:type="spellStart"/>
      <w:r>
        <w:t>AuM</w:t>
      </w:r>
      <w:proofErr w:type="spellEnd"/>
      <w:r>
        <w:t xml:space="preserve"> including leverage).</w:t>
      </w:r>
    </w:p>
    <w:p w:rsidR="00D50150" w:rsidRDefault="00D50150" w:rsidP="00D50150"/>
    <w:p w:rsidR="00D50150" w:rsidRPr="00DF583E" w:rsidRDefault="00D50150" w:rsidP="00D50150">
      <w:pPr>
        <w:jc w:val="both"/>
      </w:pPr>
      <w:r>
        <w:t>G</w:t>
      </w:r>
      <w:r w:rsidRPr="00DF583E">
        <w:t xml:space="preserve">iven the ability of larger groups to opt-in, and use funds for risk alignment of remuneration, </w:t>
      </w:r>
      <w:r>
        <w:t xml:space="preserve">AFG believes </w:t>
      </w:r>
      <w:r w:rsidRPr="00DF583E">
        <w:t>the level</w:t>
      </w:r>
      <w:r>
        <w:t>-</w:t>
      </w:r>
      <w:r w:rsidRPr="00DF583E">
        <w:t>playi</w:t>
      </w:r>
      <w:r>
        <w:t>ng field would thus be maintained, as the use of instruments is primarily a strategic choice in asset management business models (</w:t>
      </w:r>
      <w:proofErr w:type="spellStart"/>
      <w:r>
        <w:t>cf</w:t>
      </w:r>
      <w:proofErr w:type="spellEnd"/>
      <w:r>
        <w:t xml:space="preserve"> answer to question 6 above), and a frequent market practice for asset management firms is to put forward to their clients the fact that their identified staff is –one way or another- co-investing in the funds managed.</w:t>
      </w:r>
    </w:p>
    <w:p w:rsidR="00D50150" w:rsidRDefault="00D50150" w:rsidP="00D50150"/>
    <w:p w:rsidR="00D50150" w:rsidRDefault="00D50150" w:rsidP="00D50150">
      <w:pPr>
        <w:jc w:val="both"/>
      </w:pPr>
      <w:r>
        <w:t>AFG notes that AIFM remuneration guidelines would need to be adapted to reflect consistent calculation rules.</w:t>
      </w:r>
    </w:p>
    <w:p w:rsidR="00D50150" w:rsidRDefault="00D50150" w:rsidP="00D50150"/>
    <w:p w:rsidR="00D50150" w:rsidRDefault="00D50150" w:rsidP="00D50150">
      <w:pPr>
        <w:jc w:val="both"/>
      </w:pPr>
      <w:r>
        <w:t>AFG also notes that in practice, funds often replicate strategies to which a team of alpha generators contribute.  So, it’s important that the basket of funds to be retained for payment in instruments of ident</w:t>
      </w:r>
      <w:r>
        <w:t>i</w:t>
      </w:r>
      <w:r>
        <w:t>fied staff, can be defined with sufficient flexibility to reflect the underlying investment processes and to adapt to each firms’ products strategy.  This flexibility is necessary given the wide diversity of investment processes – which form one of the core know-how of the asset management industry.</w:t>
      </w:r>
    </w:p>
    <w:p w:rsidR="00D50150" w:rsidRDefault="00D50150" w:rsidP="00D50150"/>
    <w:p w:rsidR="00D50150" w:rsidRDefault="00D50150" w:rsidP="00D50150">
      <w:pPr>
        <w:jc w:val="both"/>
      </w:pPr>
      <w:r>
        <w:t>Thus, AFG welcomes the greater flexibility implicitly given to the industry, to use a wide range of instr</w:t>
      </w:r>
      <w:r>
        <w:t>u</w:t>
      </w:r>
      <w:r>
        <w:t>ments, including “corporate instruments” (</w:t>
      </w:r>
      <w:proofErr w:type="spellStart"/>
      <w:r>
        <w:t>eg</w:t>
      </w:r>
      <w:proofErr w:type="spellEnd"/>
      <w:r>
        <w:t xml:space="preserve"> firms’ share capital or firms’ profits-indexed cash instruments) where it may seem more appropriate (</w:t>
      </w:r>
      <w:proofErr w:type="spellStart"/>
      <w:r>
        <w:t>eg</w:t>
      </w:r>
      <w:proofErr w:type="spellEnd"/>
      <w:r>
        <w:t xml:space="preserve"> for senior managers not directly managing funds, for instance).</w:t>
      </w:r>
    </w:p>
    <w:permEnd w:id="1740646298"/>
    <w:p w:rsidR="0075015C" w:rsidRDefault="0075015C" w:rsidP="0075015C">
      <w:r>
        <w:t>&lt;ESMA_QUESTION_UCITS_V_AIMFD_REM_8&gt;</w:t>
      </w:r>
    </w:p>
    <w:p w:rsidR="0075015C" w:rsidRDefault="0075015C" w:rsidP="0075015C"/>
    <w:p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w:t>
      </w:r>
    </w:p>
    <w:p w:rsidR="0075015C" w:rsidRDefault="0075015C" w:rsidP="0075015C">
      <w:r>
        <w:t>&lt;ESMA_QUESTION_UCITS_V_AIMFD_REM_9&gt;</w:t>
      </w:r>
    </w:p>
    <w:p w:rsidR="00417477" w:rsidRDefault="00417477" w:rsidP="00417477">
      <w:pPr>
        <w:jc w:val="both"/>
      </w:pPr>
      <w:permStart w:id="1789264648" w:edGrp="everyone"/>
      <w:r w:rsidRPr="00DF583E">
        <w:t>We favour 1st Jan</w:t>
      </w:r>
      <w:r>
        <w:t>uary</w:t>
      </w:r>
      <w:r w:rsidRPr="00DF583E">
        <w:t xml:space="preserve"> 201</w:t>
      </w:r>
      <w:r>
        <w:t>7</w:t>
      </w:r>
      <w:r w:rsidRPr="00DF583E">
        <w:t xml:space="preserve"> (</w:t>
      </w:r>
      <w:proofErr w:type="spellStart"/>
      <w:r w:rsidRPr="00DF583E">
        <w:t>ie</w:t>
      </w:r>
      <w:proofErr w:type="spellEnd"/>
      <w:r w:rsidRPr="00DF583E">
        <w:t xml:space="preserve"> 2017 performance year)</w:t>
      </w:r>
      <w:r>
        <w:t xml:space="preserve"> for the date of application of the UCITS remune</w:t>
      </w:r>
      <w:r>
        <w:t>r</w:t>
      </w:r>
      <w:r>
        <w:t>ation guidelines</w:t>
      </w:r>
      <w:r w:rsidRPr="00DF583E">
        <w:t>, in order to allow asset management companies to implement their remuneration policy over a full 12 months cycle (</w:t>
      </w:r>
      <w:proofErr w:type="spellStart"/>
      <w:r w:rsidRPr="00DF583E">
        <w:t>ie</w:t>
      </w:r>
      <w:proofErr w:type="spellEnd"/>
      <w:r w:rsidRPr="00DF583E">
        <w:t xml:space="preserve">, usually starting in January). </w:t>
      </w:r>
    </w:p>
    <w:p w:rsidR="00417477" w:rsidRDefault="00417477" w:rsidP="00417477">
      <w:pPr>
        <w:jc w:val="both"/>
      </w:pPr>
      <w:r>
        <w:t xml:space="preserve">As a result, only variable remunerations paid as from the first quarter of 2018 would be subject to the pay-out requirements.  </w:t>
      </w:r>
    </w:p>
    <w:p w:rsidR="009D011A" w:rsidRPr="00DF583E" w:rsidRDefault="009D011A" w:rsidP="009D011A">
      <w:pPr>
        <w:jc w:val="both"/>
      </w:pPr>
      <w:r>
        <w:t xml:space="preserve">Not only this would be in line with ESMA’s answer in its AIFMD Q&amp;A document (Section I, Question 2) </w:t>
      </w:r>
      <w:r>
        <w:rPr>
          <w:lang w:val="en-US"/>
        </w:rPr>
        <w:t>but moreover, it would impossible to do it earlier; indeed, a change in the UCITS remuneration policy needs to be approved by our national regulator and our board, then the staff representatives and the staff itself must be informed. This would prove impossible to achieve by end of 2015 to be implemented in 2016.</w:t>
      </w:r>
    </w:p>
    <w:p w:rsidR="009D011A" w:rsidRPr="00DF583E" w:rsidRDefault="009D011A" w:rsidP="009D011A"/>
    <w:p w:rsidR="0075015C" w:rsidRPr="009D011A" w:rsidRDefault="009D011A" w:rsidP="00417477">
      <w:pPr>
        <w:jc w:val="both"/>
        <w:rPr>
          <w:i/>
        </w:rPr>
      </w:pPr>
      <w:r w:rsidRPr="001963A6">
        <w:rPr>
          <w:i/>
        </w:rPr>
        <w:t xml:space="preserve">Nota </w:t>
      </w:r>
      <w:proofErr w:type="spellStart"/>
      <w:r w:rsidRPr="001963A6">
        <w:rPr>
          <w:i/>
        </w:rPr>
        <w:t>Bene</w:t>
      </w:r>
      <w:proofErr w:type="spellEnd"/>
      <w:r w:rsidRPr="001963A6">
        <w:rPr>
          <w:i/>
        </w:rPr>
        <w:t>: We note an inconsistency between CP Para 36 and CP para 37: eventually, UCITS and individual portfolios should be proposed as an option in para 36 !</w:t>
      </w:r>
      <w:bookmarkStart w:id="3" w:name="_GoBack"/>
      <w:bookmarkEnd w:id="3"/>
    </w:p>
    <w:permEnd w:id="1789264648"/>
    <w:p w:rsidR="0075015C" w:rsidRDefault="0075015C" w:rsidP="0075015C">
      <w:r>
        <w:t>&lt;ESMA_QUESTION_UCITS_V_AIMFD_REM_9&gt;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proportionality? If not, please explain why and provide any available quantitative data on the one-off and ongoing costs that the proposal would imply.</w:t>
      </w:r>
    </w:p>
    <w:p w:rsidR="0075015C" w:rsidRDefault="0075015C" w:rsidP="0075015C">
      <w:r>
        <w:t>&lt;ESMA_QUESTION_UCITS_V_AIMFD_REM_10&gt;</w:t>
      </w:r>
    </w:p>
    <w:p w:rsidR="00417477" w:rsidRPr="00DF583E" w:rsidRDefault="00417477" w:rsidP="00417477">
      <w:pPr>
        <w:jc w:val="both"/>
      </w:pPr>
      <w:permStart w:id="1163211377" w:edGrp="everyone"/>
      <w:r>
        <w:t>Please see appendices 2 and 3 for the estimates on costs.</w:t>
      </w:r>
    </w:p>
    <w:permEnd w:id="1163211377"/>
    <w:p w:rsidR="0075015C" w:rsidRDefault="0075015C" w:rsidP="0075015C">
      <w:r>
        <w:t>&lt;ESMA_QUESTION_UCITS_V_AIMFD_REM_10&gt;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w:t>
      </w:r>
      <w:r w:rsidRPr="002828A1">
        <w:rPr>
          <w:rFonts w:ascii="Arial" w:eastAsia="Times New Roman" w:hAnsi="Arial" w:cs="Times New Roman"/>
        </w:rPr>
        <w:t>o</w:t>
      </w:r>
      <w:r w:rsidRPr="002828A1">
        <w:rPr>
          <w:rFonts w:ascii="Arial" w:eastAsia="Times New Roman" w:hAnsi="Arial" w:cs="Times New Roman"/>
        </w:rPr>
        <w:t>vide any available quantitative data on the one-off and ongoing costs that the proposal would imply.</w:t>
      </w:r>
    </w:p>
    <w:p w:rsidR="0075015C" w:rsidRDefault="0075015C" w:rsidP="0075015C">
      <w:r>
        <w:t>&lt;ESMA_QUESTION_UCITS_V_AIMFD_REM_11&gt;</w:t>
      </w:r>
    </w:p>
    <w:p w:rsidR="00417477" w:rsidRPr="00DF583E" w:rsidRDefault="00417477" w:rsidP="00417477">
      <w:pPr>
        <w:jc w:val="both"/>
      </w:pPr>
      <w:permStart w:id="2011699681" w:edGrp="everyone"/>
      <w:r w:rsidRPr="00DF583E">
        <w:t xml:space="preserve">We note </w:t>
      </w:r>
      <w:r>
        <w:t xml:space="preserve">that </w:t>
      </w:r>
      <w:r w:rsidRPr="00DF583E">
        <w:t xml:space="preserve">one of the </w:t>
      </w:r>
      <w:r>
        <w:t>two</w:t>
      </w:r>
      <w:r w:rsidRPr="00DF583E">
        <w:t xml:space="preserve"> options contains the other, so the benefits &amp; costs analysis of option 2 </w:t>
      </w:r>
      <w:r>
        <w:t>is</w:t>
      </w:r>
      <w:r w:rsidRPr="00DF583E">
        <w:t xml:space="preserve"> </w:t>
      </w:r>
      <w:r w:rsidRPr="00FF25AF">
        <w:rPr>
          <w:i/>
        </w:rPr>
        <w:t>de facto</w:t>
      </w:r>
      <w:r w:rsidRPr="00DF583E">
        <w:t xml:space="preserve"> a marginal analysis on top of option 1's. </w:t>
      </w:r>
    </w:p>
    <w:p w:rsidR="00417477" w:rsidRPr="00DF583E" w:rsidRDefault="00417477" w:rsidP="00417477"/>
    <w:p w:rsidR="00417477" w:rsidRDefault="00417477" w:rsidP="00417477">
      <w:pPr>
        <w:jc w:val="both"/>
      </w:pPr>
      <w:r w:rsidRPr="00DF583E">
        <w:t xml:space="preserve">The additional flexibility provided in option 2 is definitely welcome.  </w:t>
      </w:r>
      <w:r>
        <w:t>Given the on-going consultation by EBA</w:t>
      </w:r>
      <w:r w:rsidRPr="00DF583E">
        <w:t xml:space="preserve"> though, it remains unclear what exactly the CRD 4 requirements will </w:t>
      </w:r>
      <w:r>
        <w:t>im</w:t>
      </w:r>
      <w:r w:rsidRPr="00DF583E">
        <w:t>ply</w:t>
      </w:r>
      <w:r>
        <w:t>.</w:t>
      </w:r>
      <w:r w:rsidRPr="00DF583E">
        <w:t xml:space="preserve"> </w:t>
      </w:r>
      <w:r>
        <w:t>T</w:t>
      </w:r>
      <w:r w:rsidRPr="00DF583E">
        <w:t>hus</w:t>
      </w:r>
      <w:r>
        <w:t>,</w:t>
      </w:r>
      <w:r w:rsidRPr="00DF583E">
        <w:t xml:space="preserve"> it's difficult to make a detailed costs and benefits analysis of CRD 4 application as opposed to AIFMD/UCITS application.  </w:t>
      </w:r>
    </w:p>
    <w:p w:rsidR="00417477" w:rsidRDefault="00417477" w:rsidP="00417477">
      <w:pPr>
        <w:jc w:val="both"/>
      </w:pPr>
      <w:r>
        <w:rPr>
          <w:noProof/>
          <w:lang w:eastAsia="fr-FR"/>
        </w:rPr>
        <mc:AlternateContent>
          <mc:Choice Requires="wps">
            <w:drawing>
              <wp:anchor distT="0" distB="0" distL="114300" distR="114300" simplePos="0" relativeHeight="251675648" behindDoc="0" locked="0" layoutInCell="1" allowOverlap="1" wp14:anchorId="633619F3" wp14:editId="2D8E6987">
                <wp:simplePos x="0" y="0"/>
                <wp:positionH relativeFrom="column">
                  <wp:posOffset>-298864</wp:posOffset>
                </wp:positionH>
                <wp:positionV relativeFrom="paragraph">
                  <wp:posOffset>135062</wp:posOffset>
                </wp:positionV>
                <wp:extent cx="6613525" cy="739471"/>
                <wp:effectExtent l="0" t="0" r="15875" b="2286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739471"/>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55pt;margin-top:10.65pt;width:520.75pt;height:5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" filled="f" strokecolor="#4f81bd [3204]" strokeweight="1.5pt"/>
            </w:pict>
          </mc:Fallback>
        </mc:AlternateContent>
      </w:r>
    </w:p>
    <w:p w:rsidR="00417477" w:rsidRDefault="00417477" w:rsidP="0075015C">
      <w:r>
        <w:t>As indicated in answers to questions 4, 5 and 6 above, and subject to the conditions contained in these answers, w</w:t>
      </w:r>
      <w:r w:rsidRPr="00DF583E">
        <w:t xml:space="preserve">e can </w:t>
      </w:r>
      <w:r>
        <w:t>reasonably consider</w:t>
      </w:r>
      <w:r w:rsidRPr="00DF583E">
        <w:t xml:space="preserve">, </w:t>
      </w:r>
      <w:r>
        <w:t xml:space="preserve">in spite of the remaining uncertainty on the CRD 4 remuneration guidelines, </w:t>
      </w:r>
      <w:r w:rsidRPr="00DF583E">
        <w:t>that option 2 allows to implement AIFMD/UCITS (</w:t>
      </w:r>
      <w:r>
        <w:t xml:space="preserve">which would likely be </w:t>
      </w:r>
      <w:r w:rsidRPr="00DF583E">
        <w:t xml:space="preserve">considered more effective </w:t>
      </w:r>
      <w:r>
        <w:t xml:space="preserve">in risk alignment </w:t>
      </w:r>
      <w:r w:rsidRPr="00DF583E">
        <w:t>by nature), without pro</w:t>
      </w:r>
      <w:r>
        <w:t>-</w:t>
      </w:r>
      <w:r w:rsidRPr="00DF583E">
        <w:t xml:space="preserve">rata, and as such is likely to be the best </w:t>
      </w:r>
      <w:r>
        <w:t>“</w:t>
      </w:r>
      <w:r w:rsidRPr="00DF583E">
        <w:t>trade</w:t>
      </w:r>
      <w:r>
        <w:t>-</w:t>
      </w:r>
      <w:r w:rsidRPr="00DF583E">
        <w:t>off</w:t>
      </w:r>
      <w:r>
        <w:t>”</w:t>
      </w:r>
      <w:r w:rsidRPr="00DF583E">
        <w:t xml:space="preserve"> (</w:t>
      </w:r>
      <w:proofErr w:type="spellStart"/>
      <w:r>
        <w:t>ie</w:t>
      </w:r>
      <w:proofErr w:type="spellEnd"/>
      <w:r>
        <w:t xml:space="preserve"> </w:t>
      </w:r>
      <w:r w:rsidRPr="00DF583E">
        <w:t>vs. optio</w:t>
      </w:r>
      <w:r>
        <w:t>n 1) in terms of costs/benefits.</w:t>
      </w:r>
    </w:p>
    <w:permEnd w:id="2011699681"/>
    <w:p w:rsidR="0075015C" w:rsidRDefault="0075015C" w:rsidP="0075015C">
      <w:proofErr w:type="gramStart"/>
      <w:r>
        <w:t>&lt;</w:t>
      </w:r>
      <w:proofErr w:type="gramEnd"/>
      <w:r>
        <w:t>ESMA_QUESTION_UCITS_V_AIMFD_REM_11&gt;</w:t>
      </w:r>
    </w:p>
    <w:p w:rsidR="0075015C" w:rsidRDefault="0075015C" w:rsidP="0075015C"/>
    <w:p w:rsidR="0075015C" w:rsidRPr="0075015C" w:rsidRDefault="0075015C" w:rsidP="0075015C">
      <w:r w:rsidRPr="0075015C">
        <w:t xml:space="preserve"> </w:t>
      </w:r>
    </w:p>
    <w:p w:rsidR="00F31E57" w:rsidRPr="0075015C" w:rsidRDefault="00F31E57">
      <w:p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BB" w:rsidRDefault="00987ABB">
      <w:r>
        <w:separator/>
      </w:r>
    </w:p>
    <w:p w:rsidR="00987ABB" w:rsidRDefault="00987ABB"/>
  </w:endnote>
  <w:endnote w:type="continuationSeparator" w:id="0">
    <w:p w:rsidR="00987ABB" w:rsidRDefault="00987ABB">
      <w:r>
        <w:continuationSeparator/>
      </w:r>
    </w:p>
    <w:p w:rsidR="00987ABB" w:rsidRDefault="00987ABB"/>
  </w:endnote>
  <w:endnote w:type="continuationNotice" w:id="1">
    <w:p w:rsidR="00987ABB" w:rsidRDefault="0098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D011A">
            <w:rPr>
              <w:rFonts w:cs="Arial"/>
              <w:noProof/>
              <w:sz w:val="22"/>
              <w:szCs w:val="22"/>
            </w:rPr>
            <w:t>12</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BB" w:rsidRDefault="00987ABB">
      <w:r>
        <w:separator/>
      </w:r>
    </w:p>
    <w:p w:rsidR="00987ABB" w:rsidRDefault="00987ABB"/>
  </w:footnote>
  <w:footnote w:type="continuationSeparator" w:id="0">
    <w:p w:rsidR="00987ABB" w:rsidRDefault="00987ABB">
      <w:r>
        <w:continuationSeparator/>
      </w:r>
    </w:p>
    <w:p w:rsidR="00987ABB" w:rsidRDefault="00987ABB"/>
  </w:footnote>
  <w:footnote w:type="continuationNotice" w:id="1">
    <w:p w:rsidR="00987ABB" w:rsidRDefault="00987ABB"/>
  </w:footnote>
  <w:footnote w:id="2">
    <w:p w:rsidR="00A41B87" w:rsidRPr="002673D7" w:rsidRDefault="00A41B87" w:rsidP="00A41B87">
      <w:pPr>
        <w:pStyle w:val="Notedebasdepage"/>
        <w:rPr>
          <w:lang w:val="en-US"/>
        </w:rPr>
      </w:pPr>
    </w:p>
  </w:footnote>
  <w:footnote w:id="3">
    <w:p w:rsidR="00A41B87" w:rsidRPr="00592381" w:rsidRDefault="00A41B87" w:rsidP="00A41B87">
      <w:pPr>
        <w:jc w:val="both"/>
        <w:rPr>
          <w:i/>
          <w:szCs w:val="20"/>
        </w:rPr>
      </w:pPr>
      <w:r>
        <w:rPr>
          <w:rStyle w:val="Appelnotedebasdep"/>
        </w:rPr>
        <w:t xml:space="preserve"> </w:t>
      </w:r>
    </w:p>
    <w:p w:rsidR="00A41B87" w:rsidRPr="002673D7" w:rsidRDefault="00A41B87" w:rsidP="00A41B87">
      <w:pPr>
        <w:pStyle w:val="Notedebasdepage"/>
        <w:rPr>
          <w:lang w:val="en-US"/>
        </w:rPr>
      </w:pPr>
    </w:p>
  </w:footnote>
  <w:footnote w:id="4">
    <w:p w:rsidR="00A41B87" w:rsidRPr="002673D7" w:rsidRDefault="00A41B87" w:rsidP="00A41B87">
      <w:pPr>
        <w:pStyle w:val="Notedebasdepage"/>
        <w:rPr>
          <w:lang w:val="en-US"/>
        </w:rPr>
      </w:pPr>
      <w:r>
        <w:rPr>
          <w:rStyle w:val="Appelnotedebasdep"/>
        </w:rPr>
        <w:footnoteRef/>
      </w:r>
      <w:r w:rsidRPr="002673D7">
        <w:rPr>
          <w:lang w:val="en-US"/>
        </w:rPr>
        <w:t xml:space="preserve"> It was crucially set out in the EU’s 2010 CEBS Remuneration </w:t>
      </w:r>
      <w:proofErr w:type="gramStart"/>
      <w:r w:rsidRPr="002673D7">
        <w:rPr>
          <w:lang w:val="en-US"/>
        </w:rPr>
        <w:t>Guidelines !</w:t>
      </w:r>
      <w:proofErr w:type="gramEnd"/>
    </w:p>
  </w:footnote>
  <w:footnote w:id="5">
    <w:p w:rsidR="00A41B87" w:rsidRPr="002673D7" w:rsidRDefault="00A41B87" w:rsidP="00A41B87">
      <w:pPr>
        <w:pStyle w:val="Notedebasdepage"/>
        <w:rPr>
          <w:lang w:val="en-US"/>
        </w:rPr>
      </w:pPr>
      <w:r>
        <w:rPr>
          <w:rStyle w:val="Appelnotedebasdep"/>
        </w:rPr>
        <w:footnoteRef/>
      </w:r>
      <w:r w:rsidRPr="002673D7">
        <w:rPr>
          <w:lang w:val="en-US"/>
        </w:rPr>
        <w:t xml:space="preserve"> See Appendix 3</w:t>
      </w:r>
    </w:p>
  </w:footnote>
  <w:footnote w:id="6">
    <w:p w:rsidR="00F86074" w:rsidRPr="001B3D6E" w:rsidRDefault="00F86074" w:rsidP="00F86074">
      <w:pPr>
        <w:jc w:val="both"/>
        <w:rPr>
          <w:szCs w:val="20"/>
        </w:rPr>
      </w:pPr>
      <w:r>
        <w:rPr>
          <w:rStyle w:val="Appelnotedebasdep"/>
        </w:rPr>
        <w:footnoteRef/>
      </w:r>
      <w:r w:rsidRPr="002673D7">
        <w:rPr>
          <w:lang w:val="en-US"/>
        </w:rPr>
        <w:t xml:space="preserve"> </w:t>
      </w:r>
      <w:r w:rsidRPr="002673D7">
        <w:rPr>
          <w:szCs w:val="20"/>
          <w:lang w:val="en-US"/>
        </w:rPr>
        <w:t>EBA CP on its revised remuneration guidelines published in March 2015</w:t>
      </w:r>
    </w:p>
    <w:p w:rsidR="00F86074" w:rsidRPr="002673D7" w:rsidRDefault="00F86074" w:rsidP="00F86074">
      <w:pPr>
        <w:pStyle w:val="Notedebasdepage"/>
        <w:rPr>
          <w:lang w:val="en-US"/>
        </w:rPr>
      </w:pPr>
    </w:p>
  </w:footnote>
  <w:footnote w:id="7">
    <w:p w:rsidR="00D50150" w:rsidRPr="002673D7" w:rsidRDefault="00D50150" w:rsidP="00D50150">
      <w:pPr>
        <w:pStyle w:val="Notedebasdepage"/>
        <w:rPr>
          <w:lang w:val="en-US"/>
        </w:rPr>
      </w:pPr>
      <w:r>
        <w:rPr>
          <w:rStyle w:val="Appelnotedebasdep"/>
        </w:rPr>
        <w:footnoteRef/>
      </w:r>
      <w:r w:rsidRPr="002673D7">
        <w:rPr>
          <w:lang w:val="en-US"/>
        </w:rPr>
        <w:t xml:space="preserve"> AFG notes that EFAMA’ approach is quite consistent in its answer to this ESMA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val="fr-FR" w:eastAsia="fr-FR"/>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4C2340"/>
    <w:multiLevelType w:val="hybridMultilevel"/>
    <w:tmpl w:val="30DE3E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1114B08"/>
    <w:multiLevelType w:val="hybridMultilevel"/>
    <w:tmpl w:val="3544EEE6"/>
    <w:lvl w:ilvl="0" w:tplc="F5FA216E">
      <w:start w:val="1"/>
      <w:numFmt w:val="decimal"/>
      <w:lvlText w:val="%1)"/>
      <w:lvlJc w:val="left"/>
      <w:pPr>
        <w:ind w:left="1069" w:hanging="360"/>
      </w:pPr>
      <w:rPr>
        <w:rFonts w:hint="default"/>
      </w:rPr>
    </w:lvl>
    <w:lvl w:ilvl="1" w:tplc="040C0019">
      <w:start w:val="1"/>
      <w:numFmt w:val="lowerLetter"/>
      <w:lvlText w:val="%2."/>
      <w:lvlJc w:val="left"/>
      <w:pPr>
        <w:ind w:left="1789" w:hanging="360"/>
      </w:pPr>
    </w:lvl>
    <w:lvl w:ilvl="2" w:tplc="A334A3F0">
      <w:start w:val="1"/>
      <w:numFmt w:val="decimal"/>
      <w:lvlText w:val="%3."/>
      <w:lvlJc w:val="left"/>
      <w:pPr>
        <w:ind w:left="2689" w:hanging="360"/>
      </w:pPr>
      <w:rPr>
        <w:rFonts w:hint="default"/>
      </w:rPr>
    </w:lvl>
    <w:lvl w:ilvl="3" w:tplc="872AF4D4">
      <w:start w:val="1"/>
      <w:numFmt w:val="lowerRoman"/>
      <w:lvlText w:val="(%4)"/>
      <w:lvlJc w:val="left"/>
      <w:pPr>
        <w:ind w:left="3589" w:hanging="720"/>
      </w:pPr>
      <w:rPr>
        <w:rFonts w:hint="default"/>
      </w:r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nsid w:val="21A91238"/>
    <w:multiLevelType w:val="hybridMultilevel"/>
    <w:tmpl w:val="2ED27F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6FA6BCC"/>
    <w:multiLevelType w:val="hybridMultilevel"/>
    <w:tmpl w:val="4A92343A"/>
    <w:lvl w:ilvl="0" w:tplc="68A03ED2">
      <w:start w:val="1"/>
      <w:numFmt w:val="lowerRoman"/>
      <w:lvlText w:val="(%1)"/>
      <w:lvlJc w:val="left"/>
      <w:pPr>
        <w:ind w:left="2138" w:hanging="720"/>
      </w:pPr>
      <w:rPr>
        <w:rFonts w:cs="EUAlbertina" w:hint="default"/>
        <w:i/>
        <w:color w:val="000000"/>
        <w:sz w:val="19"/>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
    <w:nsid w:val="2A181CD8"/>
    <w:multiLevelType w:val="hybridMultilevel"/>
    <w:tmpl w:val="F8300334"/>
    <w:lvl w:ilvl="0" w:tplc="8444BE9C">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308A62A0"/>
    <w:multiLevelType w:val="hybridMultilevel"/>
    <w:tmpl w:val="4CEC55FC"/>
    <w:lvl w:ilvl="0" w:tplc="2A0A3C8C">
      <w:start w:val="1"/>
      <w:numFmt w:val="lowerRoman"/>
      <w:lvlText w:val="(%1)"/>
      <w:lvlJc w:val="left"/>
      <w:pPr>
        <w:ind w:left="2138" w:hanging="720"/>
      </w:pPr>
      <w:rPr>
        <w:rFonts w:hint="default"/>
        <w:i/>
        <w:color w:val="000000"/>
        <w:sz w:val="19"/>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9">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1">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3">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5">
    <w:nsid w:val="40623FF6"/>
    <w:multiLevelType w:val="hybridMultilevel"/>
    <w:tmpl w:val="F3AA7F34"/>
    <w:lvl w:ilvl="0" w:tplc="ACE6A5D8">
      <w:start w:val="1"/>
      <w:numFmt w:val="bullet"/>
      <w:lvlText w:val="-"/>
      <w:lvlJc w:val="left"/>
      <w:pPr>
        <w:ind w:left="1069" w:hanging="360"/>
      </w:pPr>
      <w:rPr>
        <w:rFonts w:ascii="Times New Roman" w:eastAsia="MS Mincho"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nsid w:val="549C1FDE"/>
    <w:multiLevelType w:val="hybridMultilevel"/>
    <w:tmpl w:val="6D0E4FD0"/>
    <w:lvl w:ilvl="0" w:tplc="D496294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75F51775"/>
    <w:multiLevelType w:val="hybridMultilevel"/>
    <w:tmpl w:val="A9C0AA34"/>
    <w:lvl w:ilvl="0" w:tplc="97F89E2C">
      <w:start w:val="1"/>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65E4146"/>
    <w:multiLevelType w:val="hybridMultilevel"/>
    <w:tmpl w:val="A1D00FF8"/>
    <w:lvl w:ilvl="0" w:tplc="C6AAFC96">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3"/>
  </w:num>
  <w:num w:numId="2">
    <w:abstractNumId w:val="26"/>
  </w:num>
  <w:num w:numId="3">
    <w:abstractNumId w:val="19"/>
  </w:num>
  <w:num w:numId="4">
    <w:abstractNumId w:val="31"/>
  </w:num>
  <w:num w:numId="5">
    <w:abstractNumId w:val="34"/>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30"/>
  </w:num>
  <w:num w:numId="15">
    <w:abstractNumId w:val="16"/>
  </w:num>
  <w:num w:numId="16">
    <w:abstractNumId w:val="1"/>
  </w:num>
  <w:num w:numId="17">
    <w:abstractNumId w:val="21"/>
  </w:num>
  <w:num w:numId="18">
    <w:abstractNumId w:val="22"/>
  </w:num>
  <w:num w:numId="19">
    <w:abstractNumId w:val="24"/>
  </w:num>
  <w:num w:numId="20">
    <w:abstractNumId w:val="35"/>
  </w:num>
  <w:num w:numId="21">
    <w:abstractNumId w:val="44"/>
  </w:num>
  <w:num w:numId="22">
    <w:abstractNumId w:val="32"/>
  </w:num>
  <w:num w:numId="23">
    <w:abstractNumId w:val="15"/>
  </w:num>
  <w:num w:numId="24">
    <w:abstractNumId w:val="38"/>
  </w:num>
  <w:num w:numId="25">
    <w:abstractNumId w:val="37"/>
  </w:num>
  <w:num w:numId="26">
    <w:abstractNumId w:val="27"/>
  </w:num>
  <w:num w:numId="27">
    <w:abstractNumId w:val="41"/>
  </w:num>
  <w:num w:numId="28">
    <w:abstractNumId w:val="48"/>
  </w:num>
  <w:num w:numId="29">
    <w:abstractNumId w:val="11"/>
  </w:num>
  <w:num w:numId="30">
    <w:abstractNumId w:val="3"/>
  </w:num>
  <w:num w:numId="31">
    <w:abstractNumId w:val="29"/>
  </w:num>
  <w:num w:numId="32">
    <w:abstractNumId w:val="2"/>
  </w:num>
  <w:num w:numId="33">
    <w:abstractNumId w:val="10"/>
  </w:num>
  <w:num w:numId="34">
    <w:abstractNumId w:val="28"/>
  </w:num>
  <w:num w:numId="35">
    <w:abstractNumId w:val="43"/>
  </w:num>
  <w:num w:numId="36">
    <w:abstractNumId w:val="42"/>
  </w:num>
  <w:num w:numId="37">
    <w:abstractNumId w:val="17"/>
  </w:num>
  <w:num w:numId="38">
    <w:abstractNumId w:val="6"/>
  </w:num>
  <w:num w:numId="39">
    <w:abstractNumId w:val="8"/>
  </w:num>
  <w:num w:numId="40">
    <w:abstractNumId w:val="25"/>
  </w:num>
  <w:num w:numId="41">
    <w:abstractNumId w:val="14"/>
  </w:num>
  <w:num w:numId="42">
    <w:abstractNumId w:val="45"/>
  </w:num>
  <w:num w:numId="43">
    <w:abstractNumId w:val="9"/>
  </w:num>
  <w:num w:numId="44">
    <w:abstractNumId w:val="33"/>
  </w:num>
  <w:num w:numId="45">
    <w:abstractNumId w:val="18"/>
  </w:num>
  <w:num w:numId="46">
    <w:abstractNumId w:val="13"/>
  </w:num>
  <w:num w:numId="47">
    <w:abstractNumId w:val="46"/>
  </w:num>
  <w:num w:numId="4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6B61"/>
    <w:rsid w:val="00027154"/>
    <w:rsid w:val="00027ECF"/>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159"/>
    <w:rsid w:val="00404284"/>
    <w:rsid w:val="004042C4"/>
    <w:rsid w:val="00406E90"/>
    <w:rsid w:val="00410240"/>
    <w:rsid w:val="00412253"/>
    <w:rsid w:val="004142ED"/>
    <w:rsid w:val="0041634D"/>
    <w:rsid w:val="00417477"/>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598"/>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D46"/>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0ABE"/>
    <w:rsid w:val="009B1D02"/>
    <w:rsid w:val="009B7133"/>
    <w:rsid w:val="009B7658"/>
    <w:rsid w:val="009B7CD1"/>
    <w:rsid w:val="009B7E22"/>
    <w:rsid w:val="009B7E78"/>
    <w:rsid w:val="009C10FE"/>
    <w:rsid w:val="009C13BC"/>
    <w:rsid w:val="009C1CA4"/>
    <w:rsid w:val="009C2532"/>
    <w:rsid w:val="009C2BA4"/>
    <w:rsid w:val="009C6091"/>
    <w:rsid w:val="009C634F"/>
    <w:rsid w:val="009D011A"/>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1B87"/>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0150"/>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27F7A"/>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074"/>
    <w:rsid w:val="00F8657D"/>
    <w:rsid w:val="00F8730F"/>
    <w:rsid w:val="00F87DA3"/>
    <w:rsid w:val="00F90004"/>
    <w:rsid w:val="00F90EF4"/>
    <w:rsid w:val="00F917BF"/>
    <w:rsid w:val="00F920B4"/>
    <w:rsid w:val="00F9260D"/>
    <w:rsid w:val="00F92727"/>
    <w:rsid w:val="00F93CCF"/>
    <w:rsid w:val="00F94307"/>
    <w:rsid w:val="00F9580B"/>
    <w:rsid w:val="00F95BCF"/>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D39FB-EE98-41F5-805A-5BC9382FC45C}">
  <ds:schemaRefs>
    <ds:schemaRef ds:uri="http://schemas.openxmlformats.org/officeDocument/2006/bibliography"/>
  </ds:schemaRefs>
</ds:datastoreItem>
</file>

<file path=customXml/itemProps2.xml><?xml version="1.0" encoding="utf-8"?>
<ds:datastoreItem xmlns:ds="http://schemas.openxmlformats.org/officeDocument/2006/customXml" ds:itemID="{6DE13016-AC1F-4058-AE98-34B2FA3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4599</Words>
  <Characters>26038</Characters>
  <Application>Microsoft Office Word</Application>
  <DocSecurity>8</DocSecurity>
  <Lines>216</Lines>
  <Paragraphs>61</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30576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CONTE Arabelle</cp:lastModifiedBy>
  <cp:revision>10</cp:revision>
  <cp:lastPrinted>2015-02-18T11:01:00Z</cp:lastPrinted>
  <dcterms:created xsi:type="dcterms:W3CDTF">2015-10-22T13:02:00Z</dcterms:created>
  <dcterms:modified xsi:type="dcterms:W3CDTF">2015-10-22T13:53:00Z</dcterms:modified>
</cp:coreProperties>
</file>