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C81798" w:rsidP="00C81798">
            <w:pPr>
              <w:pStyle w:val="00bDBInfo"/>
              <w:rPr>
                <w:rFonts w:cs="Arial"/>
              </w:rPr>
            </w:pPr>
            <w:bookmarkStart w:id="0" w:name="_GoBack"/>
            <w:bookmarkEnd w:id="0"/>
            <w:permStart w:id="55143424" w:edGrp="everyone"/>
            <w:permEnd w:id="55143424"/>
            <w:r>
              <w:rPr>
                <w:rFonts w:cs="Arial"/>
              </w:rPr>
              <w:t>31</w:t>
            </w:r>
            <w:r w:rsidR="003A5DAC">
              <w:rPr>
                <w:rFonts w:cs="Arial"/>
              </w:rPr>
              <w:t xml:space="preserve"> </w:t>
            </w:r>
            <w:r>
              <w:rPr>
                <w:rFonts w:cs="Arial"/>
              </w:rPr>
              <w:t>August</w:t>
            </w:r>
            <w:r w:rsidR="00ED351E" w:rsidRPr="004E49B0">
              <w:rPr>
                <w:rFonts w:cs="Arial"/>
              </w:rPr>
              <w:t xml:space="preserve"> </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422A7D" w:rsidRPr="00616B9B" w:rsidRDefault="00AE627C" w:rsidP="00C81798">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r w:rsidR="003A5DAC">
              <w:rPr>
                <w:rFonts w:cs="Arial"/>
              </w:rPr>
              <w:t xml:space="preserve">Consultation Paper </w:t>
            </w:r>
            <w:r w:rsidR="00EF0769">
              <w:rPr>
                <w:rFonts w:cs="Arial"/>
              </w:rPr>
              <w:t xml:space="preserve">on </w:t>
            </w:r>
            <w:r w:rsidR="00C81798">
              <w:rPr>
                <w:rFonts w:cs="Arial"/>
              </w:rPr>
              <w:t xml:space="preserve">Draft Implementing Technical Standards under </w:t>
            </w:r>
            <w:r w:rsidR="00EF0769">
              <w:rPr>
                <w:rFonts w:cs="Arial"/>
              </w:rPr>
              <w:t>MiFID II</w:t>
            </w:r>
            <w:r w:rsidR="00422A7D" w:rsidRPr="00616B9B">
              <w:rPr>
                <w:rFonts w:cs="Arial"/>
              </w:rPr>
              <w:t xml:space="preserve"> </w:t>
            </w:r>
          </w:p>
          <w:p w:rsidR="00791EB4" w:rsidRPr="00616B9B" w:rsidRDefault="00791EB4" w:rsidP="00C000A5">
            <w:pPr>
              <w:pStyle w:val="01aDBTitle"/>
              <w:rPr>
                <w:rFonts w:cs="Arial"/>
              </w:rPr>
            </w:pP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C81798">
            <w:pPr>
              <w:pStyle w:val="02Date"/>
              <w:rPr>
                <w:rFonts w:cs="Arial"/>
              </w:rPr>
            </w:pPr>
            <w:r w:rsidRPr="004E49B0">
              <w:rPr>
                <w:rFonts w:cs="Arial"/>
              </w:rPr>
              <w:lastRenderedPageBreak/>
              <w:t xml:space="preserve">Date: </w:t>
            </w:r>
            <w:r w:rsidR="00C81798">
              <w:rPr>
                <w:rFonts w:cs="Arial"/>
              </w:rPr>
              <w:t>31</w:t>
            </w:r>
            <w:r w:rsidR="004E49B0" w:rsidRPr="004E49B0">
              <w:rPr>
                <w:rFonts w:cs="Arial"/>
              </w:rPr>
              <w:t xml:space="preserve"> </w:t>
            </w:r>
            <w:r w:rsidR="00C81798">
              <w:rPr>
                <w:rFonts w:cs="Arial"/>
              </w:rPr>
              <w:t>August</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1"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332304" w:rsidRPr="00EF0769">
        <w:rPr>
          <w:rFonts w:cs="Arial"/>
        </w:rPr>
        <w:t xml:space="preserve">Consultation Paper </w:t>
      </w:r>
      <w:r w:rsidR="00332304">
        <w:rPr>
          <w:rFonts w:cs="Arial"/>
        </w:rPr>
        <w:t xml:space="preserve">on </w:t>
      </w:r>
      <w:r w:rsidR="00E90774">
        <w:rPr>
          <w:rFonts w:cs="Arial"/>
        </w:rPr>
        <w:t>Draft Implementing Technical Standards under MiFID II</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QUESTION_MIFID_</w:t>
      </w:r>
      <w:r w:rsidR="00E90774">
        <w:rPr>
          <w:rFonts w:cs="Arial"/>
        </w:rPr>
        <w:t>ITS</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r w:rsidR="00E90774">
        <w:rPr>
          <w:rFonts w:cs="Arial"/>
        </w:rPr>
        <w:t>.</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ESMA_MiFID_</w:t>
      </w:r>
      <w:r w:rsidR="00E90774">
        <w:rPr>
          <w:rFonts w:cs="Arial"/>
        </w:rPr>
        <w:t>ITS</w:t>
      </w:r>
      <w:r w:rsidRPr="00EF0769">
        <w:rPr>
          <w:rFonts w:cs="Arial"/>
        </w:rPr>
        <w:t>_NAMEOFCOMPANY_NAMEOFDOCUMENT</w:t>
      </w:r>
      <w:r w:rsidR="000D17AA" w:rsidRPr="00EF0769">
        <w:rPr>
          <w:rFonts w:cs="Arial"/>
        </w:rPr>
        <w:t>.</w:t>
      </w:r>
    </w:p>
    <w:p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rsidR="00021E83" w:rsidRPr="00EF0769" w:rsidRDefault="00021E83" w:rsidP="000D17AA">
      <w:pPr>
        <w:pStyle w:val="04BodyText"/>
        <w:spacing w:before="120" w:after="120"/>
        <w:jc w:val="left"/>
        <w:rPr>
          <w:rFonts w:cs="Arial"/>
        </w:rPr>
      </w:pPr>
      <w:r w:rsidRPr="00EF0769">
        <w:rPr>
          <w:rFonts w:cs="Arial"/>
        </w:rPr>
        <w:t>ESMA_MiFID</w:t>
      </w:r>
      <w:r w:rsidR="00332304">
        <w:rPr>
          <w:rFonts w:cs="Arial"/>
        </w:rPr>
        <w:t>_</w:t>
      </w:r>
      <w:r w:rsidR="00E90774">
        <w:rPr>
          <w:rFonts w:cs="Arial"/>
        </w:rPr>
        <w:t>ITS</w:t>
      </w:r>
      <w:r w:rsidR="00332304">
        <w:rPr>
          <w:rFonts w:cs="Arial"/>
        </w:rPr>
        <w:t>_</w:t>
      </w:r>
      <w:r w:rsidRPr="00EF0769">
        <w:rPr>
          <w:rFonts w:cs="Arial"/>
        </w:rPr>
        <w:t xml:space="preserve">ESMA_REPLYFORM or </w:t>
      </w:r>
    </w:p>
    <w:p w:rsidR="000D17AA" w:rsidRPr="00EF0769" w:rsidRDefault="00021E83" w:rsidP="000D17AA">
      <w:pPr>
        <w:pStyle w:val="04BodyText"/>
        <w:spacing w:before="120" w:after="120"/>
        <w:jc w:val="left"/>
        <w:rPr>
          <w:rFonts w:cs="Arial"/>
        </w:rPr>
      </w:pPr>
      <w:r w:rsidRPr="00EF0769">
        <w:rPr>
          <w:rFonts w:cs="Arial"/>
        </w:rPr>
        <w:t>ESMA_MiFID_</w:t>
      </w:r>
      <w:r w:rsidR="00E90774">
        <w:rPr>
          <w:rFonts w:cs="Arial"/>
        </w:rPr>
        <w:t>ITS</w:t>
      </w:r>
      <w:r w:rsidRPr="00EF0769">
        <w:rPr>
          <w:rFonts w:cs="Arial"/>
        </w:rPr>
        <w:t>_ESMA_ANNEX1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E90774">
        <w:rPr>
          <w:rFonts w:cs="Arial"/>
          <w:b/>
        </w:rPr>
        <w:t>31 October</w:t>
      </w:r>
      <w:r w:rsidR="00021E83" w:rsidRPr="00EF0769">
        <w:rPr>
          <w:rFonts w:cs="Arial"/>
          <w:b/>
        </w:rPr>
        <w:t xml:space="preserve">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2"/>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1"/>
    <w:p w:rsidR="00332304" w:rsidRDefault="00332304">
      <w:pPr>
        <w:rPr>
          <w:rFonts w:cs="Arial"/>
          <w:b/>
          <w:bCs/>
          <w:kern w:val="32"/>
          <w:sz w:val="24"/>
          <w:szCs w:val="32"/>
        </w:rPr>
      </w:pPr>
      <w:r>
        <w:br w:type="page"/>
      </w:r>
    </w:p>
    <w:p w:rsidR="00D34282" w:rsidRPr="00AB6D88" w:rsidRDefault="00D34282" w:rsidP="00D34282">
      <w:pPr>
        <w:pStyle w:val="berschrift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rsidTr="001F03CA">
        <w:tc>
          <w:tcPr>
            <w:tcW w:w="3929" w:type="dxa"/>
            <w:shd w:val="clear" w:color="auto" w:fill="auto"/>
          </w:tcPr>
          <w:p w:rsidR="00D34282" w:rsidRPr="00AB6D88" w:rsidRDefault="00D34282" w:rsidP="001F03CA">
            <w:pPr>
              <w:rPr>
                <w:rFonts w:cs="Arial"/>
              </w:rPr>
            </w:pPr>
            <w:permStart w:id="2017996352" w:edGrp="everyone" w:colFirst="1" w:colLast="1"/>
            <w:r w:rsidRPr="00AB6D88">
              <w:rPr>
                <w:rFonts w:cs="Arial"/>
              </w:rPr>
              <w:t>Name of the company / organisation</w:t>
            </w:r>
          </w:p>
        </w:tc>
        <w:sdt>
          <w:sdtPr>
            <w:rPr>
              <w:rStyle w:val="Platzhaltertext"/>
              <w:rFonts w:cs="Arial"/>
            </w:rPr>
            <w:id w:val="-1905066999"/>
            <w:text/>
          </w:sdtPr>
          <w:sdtEndPr>
            <w:rPr>
              <w:rStyle w:val="Platzhaltertext"/>
            </w:rPr>
          </w:sdtEndPr>
          <w:sdtContent>
            <w:permStart w:id="766973713" w:edGrp="everyone" w:displacedByCustomXml="prev"/>
            <w:tc>
              <w:tcPr>
                <w:tcW w:w="5595" w:type="dxa"/>
                <w:shd w:val="clear" w:color="auto" w:fill="auto"/>
              </w:tcPr>
              <w:p w:rsidR="00D34282" w:rsidRPr="00AB6D88" w:rsidRDefault="00961324" w:rsidP="00961324">
                <w:pPr>
                  <w:rPr>
                    <w:rStyle w:val="Platzhaltertext"/>
                    <w:rFonts w:cs="Arial"/>
                  </w:rPr>
                </w:pPr>
                <w:r>
                  <w:rPr>
                    <w:rStyle w:val="Platzhaltertext"/>
                    <w:rFonts w:cs="Arial"/>
                  </w:rPr>
                  <w:t>Boerse Stuttgart GmbH</w:t>
                </w:r>
              </w:p>
            </w:tc>
            <w:permEnd w:id="766973713" w:displacedByCustomXml="next"/>
          </w:sdtContent>
        </w:sdt>
      </w:tr>
      <w:tr w:rsidR="00D34282" w:rsidRPr="00AB6D88" w:rsidTr="001F03CA">
        <w:tc>
          <w:tcPr>
            <w:tcW w:w="3929" w:type="dxa"/>
            <w:shd w:val="clear" w:color="auto" w:fill="auto"/>
          </w:tcPr>
          <w:p w:rsidR="00D34282" w:rsidRPr="00AB6D88" w:rsidRDefault="00D34282" w:rsidP="001F03CA">
            <w:pPr>
              <w:rPr>
                <w:rFonts w:cs="Arial"/>
              </w:rPr>
            </w:pPr>
            <w:permStart w:id="228076032" w:edGrp="everyone" w:colFirst="1" w:colLast="1"/>
            <w:permEnd w:id="2017996352"/>
            <w:r w:rsidRPr="00AB6D88">
              <w:rPr>
                <w:rFonts w:cs="Arial"/>
              </w:rPr>
              <w:t>Activity</w:t>
            </w:r>
          </w:p>
        </w:tc>
        <w:tc>
          <w:tcPr>
            <w:tcW w:w="5595" w:type="dxa"/>
            <w:shd w:val="clear" w:color="auto" w:fill="auto"/>
          </w:tcPr>
          <w:p w:rsidR="00D34282" w:rsidRPr="00AB6D88" w:rsidRDefault="004548DC" w:rsidP="001F03CA">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1719291374" w:edGrp="everyone"/>
                <w:r w:rsidR="00961324">
                  <w:rPr>
                    <w:rFonts w:cs="Arial"/>
                  </w:rPr>
                  <w:t>Regulated markets/Exchanges/Trading Systems</w:t>
                </w:r>
                <w:permEnd w:id="1719291374"/>
              </w:sdtContent>
            </w:sdt>
          </w:p>
        </w:tc>
      </w:tr>
      <w:tr w:rsidR="00D34282" w:rsidRPr="00AB6D88" w:rsidTr="001F03CA">
        <w:tc>
          <w:tcPr>
            <w:tcW w:w="3929" w:type="dxa"/>
            <w:shd w:val="clear" w:color="auto" w:fill="auto"/>
          </w:tcPr>
          <w:p w:rsidR="00D34282" w:rsidRPr="00AB6D88" w:rsidRDefault="00D34282" w:rsidP="001F03CA">
            <w:pPr>
              <w:rPr>
                <w:rFonts w:cs="Arial"/>
              </w:rPr>
            </w:pPr>
            <w:permStart w:id="1803303565" w:edGrp="everyone" w:colFirst="1" w:colLast="1"/>
            <w:permEnd w:id="228076032"/>
            <w:r w:rsidRPr="00AB6D88">
              <w:rPr>
                <w:rFonts w:cs="Arial"/>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rsidR="00D34282" w:rsidRPr="00AB6D88" w:rsidRDefault="00961324" w:rsidP="001F03CA">
                <w:pPr>
                  <w:rPr>
                    <w:rFonts w:cs="Arial"/>
                  </w:rPr>
                </w:pPr>
                <w:r>
                  <w:rPr>
                    <w:rFonts w:ascii="MS Gothic" w:eastAsia="MS Gothic" w:hAnsi="MS Gothic" w:cs="Arial" w:hint="eastAsia"/>
                  </w:rPr>
                  <w:t>☐</w:t>
                </w:r>
              </w:p>
            </w:tc>
          </w:sdtContent>
        </w:sdt>
      </w:tr>
      <w:tr w:rsidR="00D34282" w:rsidRPr="00AB6D88" w:rsidTr="001F03CA">
        <w:tc>
          <w:tcPr>
            <w:tcW w:w="3929" w:type="dxa"/>
            <w:shd w:val="clear" w:color="auto" w:fill="auto"/>
          </w:tcPr>
          <w:p w:rsidR="00D34282" w:rsidRPr="00AB6D88" w:rsidRDefault="00D34282" w:rsidP="001F03CA">
            <w:pPr>
              <w:rPr>
                <w:rFonts w:cs="Arial"/>
              </w:rPr>
            </w:pPr>
            <w:permStart w:id="1827491457" w:edGrp="everyone" w:colFirst="1" w:colLast="1"/>
            <w:permEnd w:id="1803303565"/>
            <w:r w:rsidRPr="00AB6D88">
              <w:rPr>
                <w:rFonts w:cs="Arial"/>
              </w:rPr>
              <w:t>Country/Region</w:t>
            </w:r>
          </w:p>
        </w:tc>
        <w:permStart w:id="1367300500"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rsidR="00D34282" w:rsidRPr="00AB6D88" w:rsidRDefault="00961324" w:rsidP="001F03CA">
                <w:pPr>
                  <w:rPr>
                    <w:rFonts w:cs="Arial"/>
                  </w:rPr>
                </w:pPr>
                <w:r>
                  <w:rPr>
                    <w:rFonts w:cs="Arial"/>
                  </w:rPr>
                  <w:t>Germany</w:t>
                </w:r>
              </w:p>
            </w:tc>
          </w:sdtContent>
        </w:sdt>
        <w:permEnd w:id="1367300500" w:displacedByCustomXml="prev"/>
      </w:tr>
      <w:permEnd w:id="1827491457"/>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berschrift1"/>
        <w:numPr>
          <w:ilvl w:val="0"/>
          <w:numId w:val="0"/>
        </w:numPr>
        <w:ind w:left="431" w:hanging="431"/>
      </w:pPr>
      <w:r>
        <w:t>Introduction</w:t>
      </w:r>
    </w:p>
    <w:p w:rsidR="00D34282" w:rsidRPr="001D47A5" w:rsidRDefault="00D34282" w:rsidP="00D34282">
      <w:pPr>
        <w:rPr>
          <w:rStyle w:val="IntensiveHervorhebung"/>
        </w:rPr>
      </w:pPr>
      <w:r w:rsidRPr="001D47A5">
        <w:rPr>
          <w:rStyle w:val="IntensiveHervorhebung"/>
        </w:rPr>
        <w:t>Please make your introductory comments below, if any:</w:t>
      </w:r>
    </w:p>
    <w:p w:rsidR="00D34282" w:rsidRPr="00C25863" w:rsidRDefault="00D34282" w:rsidP="00D34282">
      <w:r w:rsidRPr="00C25863">
        <w:t>&lt;</w:t>
      </w:r>
      <w:r w:rsidRPr="00D74C9D">
        <w:t xml:space="preserve"> </w:t>
      </w:r>
      <w:r>
        <w:t>ESMA_COMMENT</w:t>
      </w:r>
      <w:r w:rsidR="00D920D1">
        <w:t>_MIFID_ITS</w:t>
      </w:r>
      <w:r w:rsidRPr="00C25863">
        <w:t>_1&gt;</w:t>
      </w:r>
    </w:p>
    <w:p w:rsidR="00961324" w:rsidRPr="00330BAB" w:rsidRDefault="00961324" w:rsidP="00961324">
      <w:pPr>
        <w:rPr>
          <w:lang w:val="en-US"/>
        </w:rPr>
      </w:pPr>
      <w:permStart w:id="979439604" w:edGrp="everyone"/>
      <w:r w:rsidRPr="00330BAB">
        <w:rPr>
          <w:lang w:val="en-US"/>
        </w:rPr>
        <w:t xml:space="preserve">Börse Stuttgart </w:t>
      </w:r>
      <w:r>
        <w:rPr>
          <w:lang w:val="en-US"/>
        </w:rPr>
        <w:t>attends to</w:t>
      </w:r>
      <w:r w:rsidRPr="00330BAB">
        <w:rPr>
          <w:lang w:val="en-US"/>
        </w:rPr>
        <w:t xml:space="preserve"> the consultation of ITS 3 with a specific focus on securitised derivatives which have commodities as an underlying</w:t>
      </w:r>
      <w:r>
        <w:rPr>
          <w:lang w:val="en-US"/>
        </w:rPr>
        <w:t>. D</w:t>
      </w:r>
      <w:r w:rsidRPr="00330BAB">
        <w:rPr>
          <w:lang w:val="en-US"/>
        </w:rPr>
        <w:t xml:space="preserve">ue to </w:t>
      </w:r>
      <w:r>
        <w:rPr>
          <w:lang w:val="en-US"/>
        </w:rPr>
        <w:t xml:space="preserve">their classification as derivatives </w:t>
      </w:r>
      <w:r w:rsidRPr="00BF2A7E">
        <w:rPr>
          <w:lang w:val="en-US"/>
        </w:rPr>
        <w:t>under Art.</w:t>
      </w:r>
      <w:r w:rsidR="002F3B53" w:rsidRPr="00BF2A7E">
        <w:rPr>
          <w:lang w:val="en-US"/>
        </w:rPr>
        <w:t xml:space="preserve"> </w:t>
      </w:r>
      <w:r w:rsidRPr="00BF2A7E">
        <w:rPr>
          <w:lang w:val="en-US"/>
        </w:rPr>
        <w:t xml:space="preserve">2 </w:t>
      </w:r>
      <w:r w:rsidRPr="00281B58">
        <w:rPr>
          <w:lang w:val="en-US"/>
        </w:rPr>
        <w:t>(1)(29)</w:t>
      </w:r>
      <w:r>
        <w:rPr>
          <w:lang w:val="en-US"/>
        </w:rPr>
        <w:t xml:space="preserve"> MiFIR </w:t>
      </w:r>
      <w:r w:rsidRPr="00330BAB">
        <w:rPr>
          <w:lang w:val="en-US"/>
        </w:rPr>
        <w:t xml:space="preserve">the regulator </w:t>
      </w:r>
      <w:r>
        <w:rPr>
          <w:lang w:val="en-US"/>
        </w:rPr>
        <w:t xml:space="preserve">causes </w:t>
      </w:r>
      <w:r w:rsidR="00BF2A7E" w:rsidRPr="00330BAB">
        <w:rPr>
          <w:lang w:val="en-US"/>
        </w:rPr>
        <w:t>securitised derivatives</w:t>
      </w:r>
      <w:r w:rsidRPr="00330BAB">
        <w:rPr>
          <w:lang w:val="en-US"/>
        </w:rPr>
        <w:t xml:space="preserve"> to fall under the obligations of Article 57-58 MiFID II in the context of which ITS 3 specifies reporting standards. </w:t>
      </w:r>
    </w:p>
    <w:p w:rsidR="00961324" w:rsidRDefault="00961324" w:rsidP="00961324">
      <w:pPr>
        <w:rPr>
          <w:lang w:val="en-US"/>
        </w:rPr>
      </w:pPr>
    </w:p>
    <w:p w:rsidR="00961324" w:rsidRPr="00783AA1" w:rsidRDefault="00BF2A7E" w:rsidP="00961324">
      <w:pPr>
        <w:rPr>
          <w:lang w:val="en-US"/>
        </w:rPr>
      </w:pPr>
      <w:r>
        <w:rPr>
          <w:lang w:val="en-US"/>
        </w:rPr>
        <w:t>S</w:t>
      </w:r>
      <w:r w:rsidRPr="00330BAB">
        <w:rPr>
          <w:lang w:val="en-US"/>
        </w:rPr>
        <w:t>ecuritised derivatives</w:t>
      </w:r>
      <w:r w:rsidR="00961324" w:rsidRPr="00783AA1">
        <w:rPr>
          <w:lang w:val="en-US"/>
        </w:rPr>
        <w:t xml:space="preserve"> with commodity underlyings have different characteristics compared to ‘traditional derivatives’ (e.g. futures, options). In particular </w:t>
      </w:r>
      <w:r w:rsidRPr="00330BAB">
        <w:rPr>
          <w:lang w:val="en-US"/>
        </w:rPr>
        <w:t>securitised derivatives</w:t>
      </w:r>
      <w:r w:rsidR="00961324" w:rsidRPr="00783AA1">
        <w:rPr>
          <w:lang w:val="en-US"/>
        </w:rPr>
        <w:t xml:space="preserve"> are not ‘subject to regular margin calls and usually follow the same sort of settlement rules as other transferable securities that trade on cash markets.’ Therefore, they have no significant overall risk profile. </w:t>
      </w:r>
    </w:p>
    <w:p w:rsidR="00961324" w:rsidRDefault="00961324" w:rsidP="00961324">
      <w:pPr>
        <w:rPr>
          <w:lang w:val="en-US"/>
        </w:rPr>
      </w:pPr>
    </w:p>
    <w:p w:rsidR="00961324" w:rsidRDefault="00961324" w:rsidP="00961324">
      <w:pPr>
        <w:rPr>
          <w:lang w:val="en-US"/>
        </w:rPr>
      </w:pPr>
      <w:r w:rsidRPr="00783AA1">
        <w:rPr>
          <w:lang w:val="en-US"/>
        </w:rPr>
        <w:t>Since MiFID II/MiFIR particularly aims to prevent market abuse and systematic risk regarding commodity derivatives, we believe ESMA’s mandate does not provide any indication that the regulator’s intent was to extent the position limit arrangements beyond ‘traditional derivatives’.</w:t>
      </w:r>
    </w:p>
    <w:p w:rsidR="00AD5691" w:rsidRDefault="00AD5691" w:rsidP="00961324">
      <w:pPr>
        <w:rPr>
          <w:lang w:val="en-US"/>
        </w:rPr>
      </w:pPr>
    </w:p>
    <w:p w:rsidR="00AD5691" w:rsidRDefault="00AD5691" w:rsidP="00AD5691">
      <w:pPr>
        <w:rPr>
          <w:lang w:val="en-US"/>
        </w:rPr>
      </w:pPr>
      <w:r>
        <w:rPr>
          <w:lang w:val="en-US"/>
        </w:rPr>
        <w:t>Based on the ITS presented in</w:t>
      </w:r>
      <w:r w:rsidRPr="00330BAB">
        <w:rPr>
          <w:lang w:val="en-US"/>
        </w:rPr>
        <w:t xml:space="preserve"> this consultation paper, Börse Stuttgart notes that neither the templates of the reporting tables nor the purpose of the provisions support the </w:t>
      </w:r>
      <w:r>
        <w:rPr>
          <w:lang w:val="en-US"/>
        </w:rPr>
        <w:t>approach</w:t>
      </w:r>
      <w:r w:rsidRPr="00330BAB">
        <w:rPr>
          <w:lang w:val="en-US"/>
        </w:rPr>
        <w:t xml:space="preserve"> that securitised derivatives and retail investors are meant to be in the scope of the legislators inten</w:t>
      </w:r>
      <w:r>
        <w:rPr>
          <w:lang w:val="en-US"/>
        </w:rPr>
        <w:t>tion, but the opposite.</w:t>
      </w:r>
    </w:p>
    <w:p w:rsidR="00961324" w:rsidRDefault="00961324" w:rsidP="00961324">
      <w:pPr>
        <w:rPr>
          <w:lang w:val="en-US"/>
        </w:rPr>
      </w:pPr>
    </w:p>
    <w:p w:rsidR="00961324" w:rsidRDefault="00961324" w:rsidP="00961324">
      <w:pPr>
        <w:rPr>
          <w:lang w:val="en-US"/>
        </w:rPr>
      </w:pPr>
      <w:r w:rsidRPr="00330BAB">
        <w:rPr>
          <w:lang w:val="en-US"/>
        </w:rPr>
        <w:t xml:space="preserve">Furthermore, questions of data privacy evolve in case daily and weekly reports contain information, i.e. position, on natural persons. From an implementation point of view, Börse Stuttgart sees substantial risk to be faced with discrepancies to national and European data protection and privacy regulations. </w:t>
      </w:r>
    </w:p>
    <w:p w:rsidR="00961324" w:rsidRPr="00330BAB" w:rsidRDefault="00961324" w:rsidP="00961324">
      <w:pPr>
        <w:rPr>
          <w:lang w:val="en-US"/>
        </w:rPr>
      </w:pPr>
    </w:p>
    <w:p w:rsidR="008524DA" w:rsidRDefault="00961324" w:rsidP="00961324">
      <w:pPr>
        <w:rPr>
          <w:lang w:val="en-US"/>
        </w:rPr>
      </w:pPr>
      <w:r w:rsidRPr="00330BAB">
        <w:rPr>
          <w:lang w:val="en-US"/>
        </w:rPr>
        <w:t xml:space="preserve">In any case, the proposed requirements </w:t>
      </w:r>
      <w:r>
        <w:rPr>
          <w:lang w:val="en-US"/>
        </w:rPr>
        <w:t>in connection</w:t>
      </w:r>
      <w:r w:rsidRPr="00330BAB">
        <w:rPr>
          <w:lang w:val="en-US"/>
        </w:rPr>
        <w:t xml:space="preserve"> with commodity derivative</w:t>
      </w:r>
      <w:r>
        <w:rPr>
          <w:lang w:val="en-US"/>
        </w:rPr>
        <w:t>s,</w:t>
      </w:r>
      <w:r w:rsidRPr="00330BAB">
        <w:rPr>
          <w:lang w:val="en-US"/>
        </w:rPr>
        <w:t xml:space="preserve"> position limit regul</w:t>
      </w:r>
      <w:r w:rsidRPr="00330BAB">
        <w:rPr>
          <w:lang w:val="en-US"/>
        </w:rPr>
        <w:t>a</w:t>
      </w:r>
      <w:r w:rsidRPr="00330BAB">
        <w:rPr>
          <w:lang w:val="en-US"/>
        </w:rPr>
        <w:t>tions</w:t>
      </w:r>
      <w:r>
        <w:rPr>
          <w:lang w:val="en-US"/>
        </w:rPr>
        <w:t xml:space="preserve"> and reporting obligations</w:t>
      </w:r>
      <w:r w:rsidRPr="00330BAB">
        <w:rPr>
          <w:lang w:val="en-US"/>
        </w:rPr>
        <w:t>, would mean extensive implementation and running costs for market oper</w:t>
      </w:r>
      <w:r w:rsidRPr="00330BAB">
        <w:rPr>
          <w:lang w:val="en-US"/>
        </w:rPr>
        <w:t>a</w:t>
      </w:r>
      <w:r w:rsidRPr="00330BAB">
        <w:rPr>
          <w:lang w:val="en-US"/>
        </w:rPr>
        <w:t xml:space="preserve">tors, market participants, and issuers in the securitised derivatives business. Börse Stuttgart (and other affected </w:t>
      </w:r>
      <w:r>
        <w:rPr>
          <w:lang w:val="en-US"/>
        </w:rPr>
        <w:t>stakeholders</w:t>
      </w:r>
      <w:r w:rsidRPr="00330BAB">
        <w:rPr>
          <w:lang w:val="en-US"/>
        </w:rPr>
        <w:t xml:space="preserve">) expects that the increased costs, will eventually lead to an abolition of </w:t>
      </w:r>
      <w:r w:rsidR="00480448" w:rsidRPr="00330BAB">
        <w:rPr>
          <w:lang w:val="en-US"/>
        </w:rPr>
        <w:t>securitised derivatives</w:t>
      </w:r>
      <w:r w:rsidRPr="00330BAB">
        <w:rPr>
          <w:lang w:val="en-US"/>
        </w:rPr>
        <w:t xml:space="preserve"> on commodities which can be considered as a de facto ban of this product type. Börse Stuttgart notes that this is in contradiction to ESMA’s standpoint in RTS 21(17) which states that ‘Position limits should not create barriers to the development of new </w:t>
      </w:r>
      <w:r w:rsidR="000C42DC" w:rsidRPr="00330BAB">
        <w:rPr>
          <w:lang w:val="en-US"/>
        </w:rPr>
        <w:t>commodity derivative</w:t>
      </w:r>
      <w:r w:rsidR="000C42DC">
        <w:rPr>
          <w:lang w:val="en-US"/>
        </w:rPr>
        <w:t>s</w:t>
      </w:r>
      <w:r w:rsidRPr="00330BAB">
        <w:rPr>
          <w:lang w:val="en-US"/>
        </w:rPr>
        <w:t xml:space="preserve"> and should not prevent less liquid sections of the </w:t>
      </w:r>
      <w:r w:rsidR="000C42DC" w:rsidRPr="00330BAB">
        <w:rPr>
          <w:lang w:val="en-US"/>
        </w:rPr>
        <w:t>commodity derivative</w:t>
      </w:r>
      <w:r w:rsidR="000C42DC">
        <w:rPr>
          <w:lang w:val="en-US"/>
        </w:rPr>
        <w:t>s</w:t>
      </w:r>
      <w:r w:rsidRPr="00330BAB">
        <w:rPr>
          <w:lang w:val="en-US"/>
        </w:rPr>
        <w:t xml:space="preserve"> market from working adequately.’ </w:t>
      </w:r>
    </w:p>
    <w:p w:rsidR="008524DA" w:rsidRDefault="008524DA" w:rsidP="00961324">
      <w:pPr>
        <w:rPr>
          <w:lang w:val="en-US"/>
        </w:rPr>
      </w:pPr>
    </w:p>
    <w:p w:rsidR="00961324" w:rsidRPr="00330BAB" w:rsidRDefault="008524DA" w:rsidP="00961324">
      <w:pPr>
        <w:rPr>
          <w:lang w:val="en-US"/>
        </w:rPr>
      </w:pPr>
      <w:r>
        <w:rPr>
          <w:lang w:val="en-US"/>
        </w:rPr>
        <w:t xml:space="preserve">As already stated </w:t>
      </w:r>
      <w:r w:rsidR="00961324" w:rsidRPr="00330BAB">
        <w:rPr>
          <w:lang w:val="en-US"/>
        </w:rPr>
        <w:t xml:space="preserve">Börse Stuttgart considers the application of Art 57-58 on </w:t>
      </w:r>
      <w:r w:rsidR="00480448" w:rsidRPr="00330BAB">
        <w:rPr>
          <w:lang w:val="en-US"/>
        </w:rPr>
        <w:t>securitised derivatives</w:t>
      </w:r>
      <w:r w:rsidR="00961324" w:rsidRPr="00330BAB">
        <w:rPr>
          <w:lang w:val="en-US"/>
        </w:rPr>
        <w:t xml:space="preserve"> as a de facto prohibition of this product type. Hence there is a lack of an explicit enabling provision which is oblig</w:t>
      </w:r>
      <w:r w:rsidR="00961324" w:rsidRPr="00330BAB">
        <w:rPr>
          <w:lang w:val="en-US"/>
        </w:rPr>
        <w:t>a</w:t>
      </w:r>
      <w:r w:rsidR="00961324" w:rsidRPr="00330BAB">
        <w:rPr>
          <w:lang w:val="en-US"/>
        </w:rPr>
        <w:t>tory for this kind of massive interference in the European fundamental freedoms and national constitutio</w:t>
      </w:r>
      <w:r w:rsidR="00961324" w:rsidRPr="00330BAB">
        <w:rPr>
          <w:lang w:val="en-US"/>
        </w:rPr>
        <w:t>n</w:t>
      </w:r>
      <w:r w:rsidR="00961324" w:rsidRPr="00330BAB">
        <w:rPr>
          <w:lang w:val="en-US"/>
        </w:rPr>
        <w:t xml:space="preserve">al rights. </w:t>
      </w:r>
    </w:p>
    <w:permEnd w:id="979439604"/>
    <w:p w:rsidR="00D34282" w:rsidRPr="00C25863" w:rsidRDefault="00D34282" w:rsidP="00D34282">
      <w:r w:rsidRPr="00C25863">
        <w:t>&lt;</w:t>
      </w:r>
      <w:r w:rsidRPr="00D74C9D">
        <w:t xml:space="preserve"> </w:t>
      </w:r>
      <w:r>
        <w:t>ESMA_COMMENT</w:t>
      </w:r>
      <w:r w:rsidR="00D920D1">
        <w:t>_MIFID_ITS</w:t>
      </w:r>
      <w:r w:rsidRPr="00C25863">
        <w:t>_1&gt;</w:t>
      </w:r>
    </w:p>
    <w:p w:rsidR="00A8728B" w:rsidRPr="00B62727" w:rsidRDefault="00F32462" w:rsidP="00A8728B">
      <w:pPr>
        <w:pStyle w:val="CPQuestions"/>
        <w:ind w:left="714" w:hanging="357"/>
      </w:pPr>
      <w:r>
        <w:rPr>
          <w:rFonts w:cs="Arial"/>
          <w:szCs w:val="22"/>
        </w:rPr>
        <w:br w:type="page"/>
      </w:r>
      <w:r w:rsidR="00431DA4" w:rsidRPr="00431DA4">
        <w:lastRenderedPageBreak/>
        <w:t>Do you agree with the draft ITS on the timing and format of communications and publications?</w:t>
      </w:r>
    </w:p>
    <w:p w:rsidR="00A8728B" w:rsidRDefault="00A8728B" w:rsidP="00A8728B">
      <w:r>
        <w:t>&lt;ESMA_QUESTION</w:t>
      </w:r>
      <w:r w:rsidR="00D920D1">
        <w:t>_MIFID_ITS</w:t>
      </w:r>
      <w:r>
        <w:t>_1&gt;</w:t>
      </w:r>
    </w:p>
    <w:p w:rsidR="00A8728B" w:rsidRDefault="00A8728B" w:rsidP="00A8728B">
      <w:permStart w:id="1303534639" w:edGrp="everyone"/>
      <w:r>
        <w:t>TYPE YOUR TEXT HERE</w:t>
      </w:r>
    </w:p>
    <w:permEnd w:id="1303534639"/>
    <w:p w:rsidR="00A8728B" w:rsidRDefault="00A8728B" w:rsidP="00A8728B">
      <w:r>
        <w:t>&lt;ESMA_QUESTION</w:t>
      </w:r>
      <w:r w:rsidR="00D920D1">
        <w:t>_MIFID_ITS</w:t>
      </w:r>
      <w:r>
        <w:t>_1&gt;</w:t>
      </w:r>
    </w:p>
    <w:p w:rsidR="00431DA4" w:rsidRPr="00431DA4" w:rsidRDefault="00431DA4" w:rsidP="00431DA4">
      <w:pPr>
        <w:pStyle w:val="CPQuestions"/>
      </w:pPr>
      <w:r w:rsidRPr="00431DA4">
        <w:t>Do you agree with the draft implementing technical standards for data reporting services providers? Please provide reasons.</w:t>
      </w:r>
    </w:p>
    <w:p w:rsidR="00A8728B" w:rsidRDefault="00A8728B" w:rsidP="00A8728B">
      <w:r>
        <w:t>&lt;ESMA_QUESTION</w:t>
      </w:r>
      <w:r w:rsidR="00D920D1">
        <w:t>_MIFID_ITS</w:t>
      </w:r>
      <w:r>
        <w:t>_2&gt;</w:t>
      </w:r>
    </w:p>
    <w:p w:rsidR="00A8728B" w:rsidRDefault="00A8728B" w:rsidP="00A8728B">
      <w:permStart w:id="136736221" w:edGrp="everyone"/>
      <w:r>
        <w:t>TYPE YOUR TEXT HERE</w:t>
      </w:r>
    </w:p>
    <w:permEnd w:id="136736221"/>
    <w:p w:rsidR="00A8728B" w:rsidRDefault="00A8728B" w:rsidP="00A8728B">
      <w:r>
        <w:t>&lt;ESMA_QUESTION</w:t>
      </w:r>
      <w:r w:rsidR="00D920D1">
        <w:t>_MIFID_ITS</w:t>
      </w:r>
      <w:r>
        <w:t>_2&gt;</w:t>
      </w:r>
    </w:p>
    <w:p w:rsidR="00A8728B" w:rsidRPr="00B62727" w:rsidRDefault="00431DA4" w:rsidP="00431DA4">
      <w:pPr>
        <w:pStyle w:val="CPQuestions"/>
      </w:pPr>
      <w:r w:rsidRPr="00431DA4">
        <w:t>Do you agree with the proposed time and day for submission? If not, please e</w:t>
      </w:r>
      <w:r w:rsidRPr="00431DA4">
        <w:t>x</w:t>
      </w:r>
      <w:r w:rsidRPr="00431DA4">
        <w:t>plain why and provide an alternative time and/or day.</w:t>
      </w:r>
    </w:p>
    <w:p w:rsidR="00A8728B" w:rsidRDefault="00A8728B" w:rsidP="00A8728B">
      <w:r>
        <w:t>&lt;ESMA_QUESTION</w:t>
      </w:r>
      <w:r w:rsidR="00D920D1">
        <w:t>_MIFID_ITS</w:t>
      </w:r>
      <w:r>
        <w:t>_3&gt;</w:t>
      </w:r>
    </w:p>
    <w:p w:rsidR="00480448" w:rsidRDefault="00480448" w:rsidP="00480448">
      <w:permStart w:id="1594514356" w:edGrp="everyone"/>
      <w:r>
        <w:t>TYPE YOUR TEXT HERE</w:t>
      </w:r>
    </w:p>
    <w:permEnd w:id="1594514356"/>
    <w:p w:rsidR="00A8728B" w:rsidRDefault="00A8728B" w:rsidP="00A8728B">
      <w:r>
        <w:t>&lt;ESMA_QUESTION</w:t>
      </w:r>
      <w:r w:rsidR="00D920D1">
        <w:t>_MIFID_ITS</w:t>
      </w:r>
      <w:r>
        <w:t>_3&gt;</w:t>
      </w:r>
    </w:p>
    <w:p w:rsidR="00A8728B" w:rsidRPr="00B62727" w:rsidRDefault="00431DA4" w:rsidP="00431DA4">
      <w:pPr>
        <w:pStyle w:val="CPQuestions"/>
      </w:pPr>
      <w:r w:rsidRPr="00431DA4">
        <w:t>Do you have any comments on the format or fields for the weekly position report?</w:t>
      </w:r>
    </w:p>
    <w:p w:rsidR="00A8728B" w:rsidRDefault="00A8728B" w:rsidP="00A8728B">
      <w:r>
        <w:t>&lt;ESMA_QUESTION</w:t>
      </w:r>
      <w:r w:rsidR="00D920D1">
        <w:t>_MIFID_ITS</w:t>
      </w:r>
      <w:r>
        <w:t>_4&gt;</w:t>
      </w:r>
    </w:p>
    <w:p w:rsidR="002F3B53" w:rsidRPr="000C42DC" w:rsidRDefault="002F3B53" w:rsidP="00C459B2">
      <w:pPr>
        <w:rPr>
          <w:lang w:val="en-US"/>
        </w:rPr>
      </w:pPr>
      <w:permStart w:id="1727026097" w:edGrp="everyone"/>
      <w:r w:rsidRPr="000C42DC">
        <w:rPr>
          <w:lang w:val="en-US"/>
        </w:rPr>
        <w:t>Börse Stuttgart attends to the consultation of ITS 3 with a specific f</w:t>
      </w:r>
      <w:r w:rsidR="00480448" w:rsidRPr="000C42DC">
        <w:rPr>
          <w:lang w:val="en-US"/>
        </w:rPr>
        <w:t>ocus on securitised derivatives</w:t>
      </w:r>
      <w:r w:rsidRPr="000C42DC">
        <w:rPr>
          <w:lang w:val="en-US"/>
        </w:rPr>
        <w:t xml:space="preserve"> which have commodities as an underlying. Due to their classification as derivatives under Art. 2 (1)(29) MiFIR the regulator causes </w:t>
      </w:r>
      <w:r w:rsidR="00480448" w:rsidRPr="000C42DC">
        <w:rPr>
          <w:lang w:val="en-US"/>
        </w:rPr>
        <w:t xml:space="preserve">securitised derivatives </w:t>
      </w:r>
      <w:r w:rsidRPr="000C42DC">
        <w:rPr>
          <w:lang w:val="en-US"/>
        </w:rPr>
        <w:t xml:space="preserve">to fall under the obligations of Article 57-58 MiFID II in the context of which ITS 3 specifies reporting standards. </w:t>
      </w:r>
    </w:p>
    <w:p w:rsidR="002F3B53" w:rsidRPr="000C42DC" w:rsidRDefault="002F3B53" w:rsidP="00C459B2">
      <w:pPr>
        <w:rPr>
          <w:lang w:val="en-US"/>
        </w:rPr>
      </w:pPr>
    </w:p>
    <w:p w:rsidR="002F3B53" w:rsidRPr="000C42DC" w:rsidRDefault="00480448" w:rsidP="002F3B53">
      <w:pPr>
        <w:rPr>
          <w:lang w:val="en-US"/>
        </w:rPr>
      </w:pPr>
      <w:r w:rsidRPr="000C42DC">
        <w:rPr>
          <w:lang w:val="en-US"/>
        </w:rPr>
        <w:t>Securitised derivatives</w:t>
      </w:r>
      <w:r w:rsidR="002F3B53" w:rsidRPr="000C42DC">
        <w:rPr>
          <w:lang w:val="en-US"/>
        </w:rPr>
        <w:t xml:space="preserve"> with commodity underlyings have different characteristics compared to ‘traditional derivatives’ (e.g. futures, options). In particular </w:t>
      </w:r>
      <w:r w:rsidRPr="000C42DC">
        <w:rPr>
          <w:lang w:val="en-US"/>
        </w:rPr>
        <w:t>securitised derivatives</w:t>
      </w:r>
      <w:r w:rsidR="002F3B53" w:rsidRPr="000C42DC">
        <w:rPr>
          <w:lang w:val="en-US"/>
        </w:rPr>
        <w:t xml:space="preserve"> are not ‘subject to regular margin calls and usually follow the same sort of settlement rules as other transferable securities that trade on cash markets.’ Therefore, they have no significant overall risk profile. </w:t>
      </w:r>
    </w:p>
    <w:p w:rsidR="002F3B53" w:rsidRPr="000C42DC" w:rsidRDefault="002F3B53" w:rsidP="002F3B53">
      <w:pPr>
        <w:rPr>
          <w:lang w:val="en-US"/>
        </w:rPr>
      </w:pPr>
    </w:p>
    <w:p w:rsidR="002F3B53" w:rsidRPr="000C42DC" w:rsidRDefault="002F3B53" w:rsidP="002F3B53">
      <w:pPr>
        <w:rPr>
          <w:lang w:val="en-US"/>
        </w:rPr>
      </w:pPr>
      <w:r w:rsidRPr="000C42DC">
        <w:rPr>
          <w:lang w:val="en-US"/>
        </w:rPr>
        <w:t>Since MiFID II/MiFIR particularly aims to prevent market abuse and systematic risk regarding commodity derivatives, we believe ESMA’s mandate does not provide any indication that the regulator’s intent was to extent the position limit arrangements beyond ‘traditional derivatives’.</w:t>
      </w:r>
    </w:p>
    <w:p w:rsidR="002F3B53" w:rsidRPr="000C42DC" w:rsidRDefault="002F3B53" w:rsidP="002F3B53">
      <w:pPr>
        <w:rPr>
          <w:lang w:val="en-US"/>
        </w:rPr>
      </w:pPr>
    </w:p>
    <w:p w:rsidR="002F3B53" w:rsidRPr="000C42DC" w:rsidRDefault="002F3B53" w:rsidP="002F3B53">
      <w:pPr>
        <w:rPr>
          <w:lang w:val="en-US"/>
        </w:rPr>
      </w:pPr>
      <w:r w:rsidRPr="000C42DC">
        <w:rPr>
          <w:lang w:val="en-US"/>
        </w:rPr>
        <w:t xml:space="preserve">Besides this (please refer to the introduction for further general comments), Börse Stuttgart notes that neither the templates of the reporting tables nor the purpose of the provisions support the approach that </w:t>
      </w:r>
      <w:r w:rsidR="00480448" w:rsidRPr="000C42DC">
        <w:rPr>
          <w:lang w:val="en-US"/>
        </w:rPr>
        <w:t>securitised derivatives</w:t>
      </w:r>
      <w:r w:rsidRPr="000C42DC">
        <w:rPr>
          <w:lang w:val="en-US"/>
        </w:rPr>
        <w:t xml:space="preserve"> and retail investors are meant to be in the scope of the legislators intention, but the opposite.</w:t>
      </w:r>
    </w:p>
    <w:p w:rsidR="002F3B53" w:rsidRPr="000C42DC" w:rsidRDefault="002F3B53" w:rsidP="00C459B2">
      <w:pPr>
        <w:rPr>
          <w:lang w:val="en-US"/>
        </w:rPr>
      </w:pPr>
    </w:p>
    <w:p w:rsidR="002F3B53" w:rsidRPr="000C42DC" w:rsidRDefault="002F3B53" w:rsidP="00A8728B">
      <w:pPr>
        <w:rPr>
          <w:lang w:val="en-US"/>
        </w:rPr>
      </w:pPr>
      <w:r w:rsidRPr="000C42DC">
        <w:rPr>
          <w:lang w:val="en-US"/>
        </w:rPr>
        <w:t xml:space="preserve">Furthermore, questions of data privacy evolve in case daily and weekly reports contain information, i.e. position, on natural persons. From an implementation point of view, Börse Stuttgart sees substantial risk to be faced with discrepancies to national and European data protection and privacy regulations. </w:t>
      </w:r>
    </w:p>
    <w:permEnd w:id="1727026097"/>
    <w:p w:rsidR="00A8728B" w:rsidRDefault="00A8728B" w:rsidP="00A8728B">
      <w:r>
        <w:t>&lt;ESMA_QUESTION</w:t>
      </w:r>
      <w:r w:rsidR="00D920D1">
        <w:t>_MIFID_ITS</w:t>
      </w:r>
      <w:r>
        <w:t>_4&gt;</w:t>
      </w:r>
    </w:p>
    <w:p w:rsidR="00431DA4" w:rsidRPr="00B62727" w:rsidRDefault="00431DA4" w:rsidP="00431DA4">
      <w:pPr>
        <w:pStyle w:val="CPQuestions"/>
      </w:pPr>
      <w:r w:rsidRPr="00431DA4">
        <w:t>Do you have any comments on the validation and error management checks pr</w:t>
      </w:r>
      <w:r w:rsidRPr="00431DA4">
        <w:t>o</w:t>
      </w:r>
      <w:r w:rsidRPr="00431DA4">
        <w:t>posed?</w:t>
      </w:r>
    </w:p>
    <w:p w:rsidR="00A8728B" w:rsidRDefault="00A8728B" w:rsidP="00A8728B">
      <w:r>
        <w:t>&lt;ESMA_QUESTION</w:t>
      </w:r>
      <w:r w:rsidR="00D920D1">
        <w:t>_MIFID_ITS</w:t>
      </w:r>
      <w:r>
        <w:t>_5&gt;</w:t>
      </w:r>
    </w:p>
    <w:p w:rsidR="00480448" w:rsidRDefault="00480448" w:rsidP="00480448">
      <w:permStart w:id="1090011601" w:edGrp="everyone"/>
      <w:r>
        <w:t>TYPE YOUR TEXT HERE</w:t>
      </w:r>
    </w:p>
    <w:permEnd w:id="1090011601"/>
    <w:p w:rsidR="00A8728B" w:rsidRDefault="00A8728B" w:rsidP="00A8728B">
      <w:r>
        <w:lastRenderedPageBreak/>
        <w:t>&lt;ESMA_QUESTION</w:t>
      </w:r>
      <w:r w:rsidR="00D920D1">
        <w:t>_MIFID_ITS</w:t>
      </w:r>
      <w:r>
        <w:t>_5&gt;</w:t>
      </w:r>
    </w:p>
    <w:p w:rsidR="00431DA4" w:rsidRPr="000E6B5B" w:rsidRDefault="00431DA4" w:rsidP="00431DA4">
      <w:pPr>
        <w:pStyle w:val="CPQuestions"/>
      </w:pPr>
      <w:r w:rsidRPr="00431DA4">
        <w:t>Do you agree with ESMA’s proposals? Please specify those proposals with which you do not agree, with the reasons why, and provide an alternative proposal.</w:t>
      </w:r>
    </w:p>
    <w:p w:rsidR="00A8728B" w:rsidRDefault="00A8728B" w:rsidP="00A8728B">
      <w:r>
        <w:t>&lt;ESMA_QUESTION</w:t>
      </w:r>
      <w:r w:rsidR="00D920D1">
        <w:t>_MIFID_ITS</w:t>
      </w:r>
      <w:r>
        <w:t>_6&gt;</w:t>
      </w:r>
    </w:p>
    <w:p w:rsidR="00480448" w:rsidRDefault="00480448" w:rsidP="00480448">
      <w:permStart w:id="839925254" w:edGrp="everyone"/>
      <w:r>
        <w:t>TYPE YOUR TEXT HERE</w:t>
      </w:r>
    </w:p>
    <w:permEnd w:id="839925254"/>
    <w:p w:rsidR="00A8728B" w:rsidRDefault="00A8728B" w:rsidP="00A8728B">
      <w:r>
        <w:t>&lt;ESMA_QUESTION</w:t>
      </w:r>
      <w:r w:rsidR="00D920D1">
        <w:t>_MIFID_ITS</w:t>
      </w:r>
      <w:r>
        <w:t>_6&gt;</w:t>
      </w:r>
    </w:p>
    <w:p w:rsidR="00A8728B" w:rsidRDefault="00A8728B" w:rsidP="00A8728B"/>
    <w:p w:rsidR="00F32462" w:rsidRDefault="00F32462">
      <w:pPr>
        <w:rPr>
          <w:rFonts w:cs="Arial"/>
          <w:b/>
          <w:sz w:val="22"/>
          <w:szCs w:val="22"/>
          <w:lang w:eastAsia="en-US"/>
        </w:rPr>
      </w:pPr>
    </w:p>
    <w:sectPr w:rsidR="00F32462"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C57" w:rsidRDefault="00B55C57">
      <w:r>
        <w:separator/>
      </w:r>
    </w:p>
    <w:p w:rsidR="00B55C57" w:rsidRDefault="00B55C57"/>
  </w:endnote>
  <w:endnote w:type="continuationSeparator" w:id="0">
    <w:p w:rsidR="00B55C57" w:rsidRDefault="00B55C57">
      <w:r>
        <w:continuationSeparator/>
      </w:r>
    </w:p>
    <w:p w:rsidR="00B55C57" w:rsidRDefault="00B55C57"/>
  </w:endnote>
  <w:endnote w:type="continuationNotice" w:id="1">
    <w:p w:rsidR="00B55C57" w:rsidRDefault="00B55C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4548DC">
            <w:rPr>
              <w:rFonts w:cs="Arial"/>
              <w:noProof/>
              <w:sz w:val="22"/>
              <w:szCs w:val="22"/>
            </w:rPr>
            <w:t>4</w:t>
          </w:r>
          <w:r w:rsidRPr="00616B9B">
            <w:rPr>
              <w:rFonts w:cs="Arial"/>
              <w:noProof/>
              <w:sz w:val="22"/>
              <w:szCs w:val="22"/>
            </w:rPr>
            <w:fldChar w:fldCharType="end"/>
          </w:r>
        </w:p>
      </w:tc>
    </w:tr>
  </w:tbl>
  <w:p w:rsidR="00811EDA" w:rsidRDefault="00811ED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C57" w:rsidRDefault="00B55C57">
      <w:r>
        <w:separator/>
      </w:r>
    </w:p>
    <w:p w:rsidR="00B55C57" w:rsidRDefault="00B55C57"/>
  </w:footnote>
  <w:footnote w:type="continuationSeparator" w:id="0">
    <w:p w:rsidR="00B55C57" w:rsidRDefault="00B55C57">
      <w:r>
        <w:continuationSeparator/>
      </w:r>
    </w:p>
    <w:p w:rsidR="00B55C57" w:rsidRDefault="00B55C57"/>
  </w:footnote>
  <w:footnote w:type="continuationNotice" w:id="1">
    <w:p w:rsidR="00B55C57" w:rsidRDefault="00B55C5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pPr>
      <w:pStyle w:val="Kopfzeile"/>
    </w:pPr>
    <w:r>
      <w:rPr>
        <w:noProof/>
        <w:lang w:val="de-DE"/>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rsidP="00013CCE">
    <w:pPr>
      <w:pStyle w:val="Kopfzeile"/>
      <w:jc w:val="right"/>
    </w:pPr>
    <w:r>
      <w:rPr>
        <w:noProof/>
        <w:lang w:val="de-DE"/>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Kopfzeile"/>
      <w:rPr>
        <w:lang w:val="fr-FR"/>
      </w:rPr>
    </w:pPr>
  </w:p>
  <w:p w:rsidR="00811EDA" w:rsidRPr="002F4496" w:rsidRDefault="00811EDA" w:rsidP="000C06C9">
    <w:pPr>
      <w:pStyle w:val="Kopfzeile"/>
      <w:tabs>
        <w:tab w:val="clear" w:pos="4536"/>
        <w:tab w:val="clear" w:pos="9072"/>
        <w:tab w:val="left" w:pos="8227"/>
      </w:tabs>
      <w:rPr>
        <w:lang w:val="fr-FR"/>
      </w:rPr>
    </w:pPr>
  </w:p>
  <w:p w:rsidR="00811EDA" w:rsidRPr="002F4496" w:rsidRDefault="00811EDA" w:rsidP="000C06C9">
    <w:pPr>
      <w:pStyle w:val="Kopfzeile"/>
      <w:tabs>
        <w:tab w:val="clear" w:pos="4536"/>
        <w:tab w:val="clear" w:pos="9072"/>
        <w:tab w:val="left" w:pos="8227"/>
      </w:tabs>
      <w:rPr>
        <w:lang w:val="fr-FR"/>
      </w:rPr>
    </w:pPr>
  </w:p>
  <w:p w:rsidR="00811EDA" w:rsidRPr="002F4496" w:rsidRDefault="00811EDA">
    <w:pPr>
      <w:pStyle w:val="Kopfzeile"/>
      <w:rPr>
        <w:lang w:val="fr-FR"/>
      </w:rPr>
    </w:pPr>
  </w:p>
  <w:p w:rsidR="00811EDA" w:rsidRPr="002F4496" w:rsidRDefault="00811EDA">
    <w:pPr>
      <w:pStyle w:val="Kopfzeile"/>
      <w:rPr>
        <w:lang w:val="fr-FR"/>
      </w:rPr>
    </w:pPr>
  </w:p>
  <w:p w:rsidR="00811EDA" w:rsidRPr="002F4496" w:rsidRDefault="00811EDA">
    <w:pPr>
      <w:pStyle w:val="Kopfzeile"/>
      <w:rPr>
        <w:lang w:val="fr-FR"/>
      </w:rPr>
    </w:pPr>
  </w:p>
  <w:p w:rsidR="00811EDA" w:rsidRPr="002F4496" w:rsidRDefault="00811EDA">
    <w:pPr>
      <w:pStyle w:val="Kopfzeile"/>
      <w:rPr>
        <w:lang w:val="fr-FR"/>
      </w:rPr>
    </w:pPr>
  </w:p>
  <w:p w:rsidR="00811EDA" w:rsidRPr="002F4496" w:rsidRDefault="00811EDA">
    <w:pPr>
      <w:pStyle w:val="Kopfzeile"/>
      <w:rPr>
        <w:highlight w:val="yellow"/>
        <w:lang w:val="fr-FR"/>
      </w:rPr>
    </w:pPr>
  </w:p>
  <w:p w:rsidR="00811EDA" w:rsidRDefault="00DE66EB">
    <w:pPr>
      <w:pStyle w:val="Kopfzeile"/>
    </w:pPr>
    <w:r>
      <w:rPr>
        <w:noProof/>
        <w:lang w:val="de-DE"/>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de-DE"/>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562A41"/>
    <w:multiLevelType w:val="hybridMultilevel"/>
    <w:tmpl w:val="5DD40A36"/>
    <w:lvl w:ilvl="0" w:tplc="1DDA7942">
      <w:start w:val="1"/>
      <w:numFmt w:val="bullet"/>
      <w:lvlText w:val="•"/>
      <w:lvlJc w:val="left"/>
      <w:pPr>
        <w:tabs>
          <w:tab w:val="num" w:pos="720"/>
        </w:tabs>
        <w:ind w:left="720" w:hanging="360"/>
      </w:pPr>
      <w:rPr>
        <w:rFonts w:ascii="Arial" w:hAnsi="Arial" w:hint="default"/>
      </w:rPr>
    </w:lvl>
    <w:lvl w:ilvl="1" w:tplc="67362038" w:tentative="1">
      <w:start w:val="1"/>
      <w:numFmt w:val="bullet"/>
      <w:lvlText w:val="•"/>
      <w:lvlJc w:val="left"/>
      <w:pPr>
        <w:tabs>
          <w:tab w:val="num" w:pos="1440"/>
        </w:tabs>
        <w:ind w:left="1440" w:hanging="360"/>
      </w:pPr>
      <w:rPr>
        <w:rFonts w:ascii="Arial" w:hAnsi="Arial" w:hint="default"/>
      </w:rPr>
    </w:lvl>
    <w:lvl w:ilvl="2" w:tplc="83D03064" w:tentative="1">
      <w:start w:val="1"/>
      <w:numFmt w:val="bullet"/>
      <w:lvlText w:val="•"/>
      <w:lvlJc w:val="left"/>
      <w:pPr>
        <w:tabs>
          <w:tab w:val="num" w:pos="2160"/>
        </w:tabs>
        <w:ind w:left="2160" w:hanging="360"/>
      </w:pPr>
      <w:rPr>
        <w:rFonts w:ascii="Arial" w:hAnsi="Arial" w:hint="default"/>
      </w:rPr>
    </w:lvl>
    <w:lvl w:ilvl="3" w:tplc="E86861AC" w:tentative="1">
      <w:start w:val="1"/>
      <w:numFmt w:val="bullet"/>
      <w:lvlText w:val="•"/>
      <w:lvlJc w:val="left"/>
      <w:pPr>
        <w:tabs>
          <w:tab w:val="num" w:pos="2880"/>
        </w:tabs>
        <w:ind w:left="2880" w:hanging="360"/>
      </w:pPr>
      <w:rPr>
        <w:rFonts w:ascii="Arial" w:hAnsi="Arial" w:hint="default"/>
      </w:rPr>
    </w:lvl>
    <w:lvl w:ilvl="4" w:tplc="995012E8" w:tentative="1">
      <w:start w:val="1"/>
      <w:numFmt w:val="bullet"/>
      <w:lvlText w:val="•"/>
      <w:lvlJc w:val="left"/>
      <w:pPr>
        <w:tabs>
          <w:tab w:val="num" w:pos="3600"/>
        </w:tabs>
        <w:ind w:left="3600" w:hanging="360"/>
      </w:pPr>
      <w:rPr>
        <w:rFonts w:ascii="Arial" w:hAnsi="Arial" w:hint="default"/>
      </w:rPr>
    </w:lvl>
    <w:lvl w:ilvl="5" w:tplc="D5C22142" w:tentative="1">
      <w:start w:val="1"/>
      <w:numFmt w:val="bullet"/>
      <w:lvlText w:val="•"/>
      <w:lvlJc w:val="left"/>
      <w:pPr>
        <w:tabs>
          <w:tab w:val="num" w:pos="4320"/>
        </w:tabs>
        <w:ind w:left="4320" w:hanging="360"/>
      </w:pPr>
      <w:rPr>
        <w:rFonts w:ascii="Arial" w:hAnsi="Arial" w:hint="default"/>
      </w:rPr>
    </w:lvl>
    <w:lvl w:ilvl="6" w:tplc="39DC044C" w:tentative="1">
      <w:start w:val="1"/>
      <w:numFmt w:val="bullet"/>
      <w:lvlText w:val="•"/>
      <w:lvlJc w:val="left"/>
      <w:pPr>
        <w:tabs>
          <w:tab w:val="num" w:pos="5040"/>
        </w:tabs>
        <w:ind w:left="5040" w:hanging="360"/>
      </w:pPr>
      <w:rPr>
        <w:rFonts w:ascii="Arial" w:hAnsi="Arial" w:hint="default"/>
      </w:rPr>
    </w:lvl>
    <w:lvl w:ilvl="7" w:tplc="45F42148" w:tentative="1">
      <w:start w:val="1"/>
      <w:numFmt w:val="bullet"/>
      <w:lvlText w:val="•"/>
      <w:lvlJc w:val="left"/>
      <w:pPr>
        <w:tabs>
          <w:tab w:val="num" w:pos="5760"/>
        </w:tabs>
        <w:ind w:left="5760" w:hanging="360"/>
      </w:pPr>
      <w:rPr>
        <w:rFonts w:ascii="Arial" w:hAnsi="Arial" w:hint="default"/>
      </w:rPr>
    </w:lvl>
    <w:lvl w:ilvl="8" w:tplc="11D6B3D0" w:tentative="1">
      <w:start w:val="1"/>
      <w:numFmt w:val="bullet"/>
      <w:lvlText w:val="•"/>
      <w:lvlJc w:val="left"/>
      <w:pPr>
        <w:tabs>
          <w:tab w:val="num" w:pos="6480"/>
        </w:tabs>
        <w:ind w:left="6480" w:hanging="360"/>
      </w:pPr>
      <w:rPr>
        <w:rFonts w:ascii="Arial" w:hAnsi="Arial"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2">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8">
    <w:nsid w:val="7EEC6B84"/>
    <w:multiLevelType w:val="hybridMultilevel"/>
    <w:tmpl w:val="EA4AC70C"/>
    <w:lvl w:ilvl="0" w:tplc="CE74EA28">
      <w:start w:val="1"/>
      <w:numFmt w:val="bullet"/>
      <w:lvlText w:val="•"/>
      <w:lvlJc w:val="left"/>
      <w:pPr>
        <w:tabs>
          <w:tab w:val="num" w:pos="720"/>
        </w:tabs>
        <w:ind w:left="720" w:hanging="360"/>
      </w:pPr>
      <w:rPr>
        <w:rFonts w:ascii="Arial" w:hAnsi="Arial" w:hint="default"/>
      </w:rPr>
    </w:lvl>
    <w:lvl w:ilvl="1" w:tplc="A34E7FBE" w:tentative="1">
      <w:start w:val="1"/>
      <w:numFmt w:val="bullet"/>
      <w:lvlText w:val="•"/>
      <w:lvlJc w:val="left"/>
      <w:pPr>
        <w:tabs>
          <w:tab w:val="num" w:pos="1440"/>
        </w:tabs>
        <w:ind w:left="1440" w:hanging="360"/>
      </w:pPr>
      <w:rPr>
        <w:rFonts w:ascii="Arial" w:hAnsi="Arial" w:hint="default"/>
      </w:rPr>
    </w:lvl>
    <w:lvl w:ilvl="2" w:tplc="2334D210" w:tentative="1">
      <w:start w:val="1"/>
      <w:numFmt w:val="bullet"/>
      <w:lvlText w:val="•"/>
      <w:lvlJc w:val="left"/>
      <w:pPr>
        <w:tabs>
          <w:tab w:val="num" w:pos="2160"/>
        </w:tabs>
        <w:ind w:left="2160" w:hanging="360"/>
      </w:pPr>
      <w:rPr>
        <w:rFonts w:ascii="Arial" w:hAnsi="Arial" w:hint="default"/>
      </w:rPr>
    </w:lvl>
    <w:lvl w:ilvl="3" w:tplc="34504D14" w:tentative="1">
      <w:start w:val="1"/>
      <w:numFmt w:val="bullet"/>
      <w:lvlText w:val="•"/>
      <w:lvlJc w:val="left"/>
      <w:pPr>
        <w:tabs>
          <w:tab w:val="num" w:pos="2880"/>
        </w:tabs>
        <w:ind w:left="2880" w:hanging="360"/>
      </w:pPr>
      <w:rPr>
        <w:rFonts w:ascii="Arial" w:hAnsi="Arial" w:hint="default"/>
      </w:rPr>
    </w:lvl>
    <w:lvl w:ilvl="4" w:tplc="8782F6EC" w:tentative="1">
      <w:start w:val="1"/>
      <w:numFmt w:val="bullet"/>
      <w:lvlText w:val="•"/>
      <w:lvlJc w:val="left"/>
      <w:pPr>
        <w:tabs>
          <w:tab w:val="num" w:pos="3600"/>
        </w:tabs>
        <w:ind w:left="3600" w:hanging="360"/>
      </w:pPr>
      <w:rPr>
        <w:rFonts w:ascii="Arial" w:hAnsi="Arial" w:hint="default"/>
      </w:rPr>
    </w:lvl>
    <w:lvl w:ilvl="5" w:tplc="69C069C2" w:tentative="1">
      <w:start w:val="1"/>
      <w:numFmt w:val="bullet"/>
      <w:lvlText w:val="•"/>
      <w:lvlJc w:val="left"/>
      <w:pPr>
        <w:tabs>
          <w:tab w:val="num" w:pos="4320"/>
        </w:tabs>
        <w:ind w:left="4320" w:hanging="360"/>
      </w:pPr>
      <w:rPr>
        <w:rFonts w:ascii="Arial" w:hAnsi="Arial" w:hint="default"/>
      </w:rPr>
    </w:lvl>
    <w:lvl w:ilvl="6" w:tplc="D10400A6" w:tentative="1">
      <w:start w:val="1"/>
      <w:numFmt w:val="bullet"/>
      <w:lvlText w:val="•"/>
      <w:lvlJc w:val="left"/>
      <w:pPr>
        <w:tabs>
          <w:tab w:val="num" w:pos="5040"/>
        </w:tabs>
        <w:ind w:left="5040" w:hanging="360"/>
      </w:pPr>
      <w:rPr>
        <w:rFonts w:ascii="Arial" w:hAnsi="Arial" w:hint="default"/>
      </w:rPr>
    </w:lvl>
    <w:lvl w:ilvl="7" w:tplc="4EFEDADE" w:tentative="1">
      <w:start w:val="1"/>
      <w:numFmt w:val="bullet"/>
      <w:lvlText w:val="•"/>
      <w:lvlJc w:val="left"/>
      <w:pPr>
        <w:tabs>
          <w:tab w:val="num" w:pos="5760"/>
        </w:tabs>
        <w:ind w:left="5760" w:hanging="360"/>
      </w:pPr>
      <w:rPr>
        <w:rFonts w:ascii="Arial" w:hAnsi="Arial" w:hint="default"/>
      </w:rPr>
    </w:lvl>
    <w:lvl w:ilvl="8" w:tplc="2F02BC5C"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18"/>
  </w:num>
  <w:num w:numId="3">
    <w:abstractNumId w:val="12"/>
  </w:num>
  <w:num w:numId="4">
    <w:abstractNumId w:val="23"/>
  </w:num>
  <w:num w:numId="5">
    <w:abstractNumId w:val="25"/>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0"/>
  </w:num>
  <w:num w:numId="14">
    <w:abstractNumId w:val="22"/>
  </w:num>
  <w:num w:numId="15">
    <w:abstractNumId w:val="11"/>
  </w:num>
  <w:num w:numId="16">
    <w:abstractNumId w:val="1"/>
  </w:num>
  <w:num w:numId="17">
    <w:abstractNumId w:val="14"/>
  </w:num>
  <w:num w:numId="18">
    <w:abstractNumId w:val="15"/>
  </w:num>
  <w:num w:numId="19">
    <w:abstractNumId w:val="17"/>
  </w:num>
  <w:num w:numId="20">
    <w:abstractNumId w:val="26"/>
  </w:num>
  <w:num w:numId="21">
    <w:abstractNumId w:val="35"/>
  </w:num>
  <w:num w:numId="22">
    <w:abstractNumId w:val="24"/>
  </w:num>
  <w:num w:numId="23">
    <w:abstractNumId w:val="10"/>
  </w:num>
  <w:num w:numId="24">
    <w:abstractNumId w:val="29"/>
  </w:num>
  <w:num w:numId="25">
    <w:abstractNumId w:val="28"/>
  </w:num>
  <w:num w:numId="26">
    <w:abstractNumId w:val="19"/>
  </w:num>
  <w:num w:numId="27">
    <w:abstractNumId w:val="32"/>
  </w:num>
  <w:num w:numId="28">
    <w:abstractNumId w:val="37"/>
  </w:num>
  <w:num w:numId="29">
    <w:abstractNumId w:val="8"/>
  </w:num>
  <w:num w:numId="30">
    <w:abstractNumId w:val="4"/>
  </w:num>
  <w:num w:numId="31">
    <w:abstractNumId w:val="21"/>
  </w:num>
  <w:num w:numId="32">
    <w:abstractNumId w:val="2"/>
  </w:num>
  <w:num w:numId="33">
    <w:abstractNumId w:val="7"/>
  </w:num>
  <w:num w:numId="34">
    <w:abstractNumId w:val="20"/>
  </w:num>
  <w:num w:numId="35">
    <w:abstractNumId w:val="34"/>
  </w:num>
  <w:num w:numId="36">
    <w:abstractNumId w:val="34"/>
    <w:lvlOverride w:ilvl="0">
      <w:startOverride w:val="1"/>
    </w:lvlOverride>
  </w:num>
  <w:num w:numId="37">
    <w:abstractNumId w:val="34"/>
    <w:lvlOverride w:ilvl="0">
      <w:startOverride w:val="1"/>
    </w:lvlOverride>
  </w:num>
  <w:num w:numId="38">
    <w:abstractNumId w:val="34"/>
    <w:lvlOverride w:ilvl="0">
      <w:startOverride w:val="1"/>
    </w:lvlOverride>
  </w:num>
  <w:num w:numId="39">
    <w:abstractNumId w:val="34"/>
    <w:lvlOverride w:ilvl="0">
      <w:startOverride w:val="1"/>
    </w:lvlOverride>
  </w:num>
  <w:num w:numId="40">
    <w:abstractNumId w:val="34"/>
    <w:lvlOverride w:ilvl="0">
      <w:startOverride w:val="1"/>
    </w:lvlOverride>
  </w:num>
  <w:num w:numId="41">
    <w:abstractNumId w:val="34"/>
  </w:num>
  <w:num w:numId="42">
    <w:abstractNumId w:val="34"/>
    <w:lvlOverride w:ilvl="0">
      <w:startOverride w:val="1"/>
    </w:lvlOverride>
  </w:num>
  <w:num w:numId="43">
    <w:abstractNumId w:val="34"/>
    <w:lvlOverride w:ilvl="0">
      <w:startOverride w:val="1"/>
    </w:lvlOverride>
  </w:num>
  <w:num w:numId="44">
    <w:abstractNumId w:val="34"/>
    <w:lvlOverride w:ilvl="0">
      <w:startOverride w:val="1"/>
    </w:lvlOverride>
  </w:num>
  <w:num w:numId="45">
    <w:abstractNumId w:val="34"/>
    <w:lvlOverride w:ilvl="0">
      <w:startOverride w:val="1"/>
    </w:lvlOverride>
  </w:num>
  <w:num w:numId="46">
    <w:abstractNumId w:val="34"/>
    <w:lvlOverride w:ilvl="0">
      <w:startOverride w:val="1"/>
    </w:lvlOverride>
  </w:num>
  <w:num w:numId="47">
    <w:abstractNumId w:val="33"/>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lvlOverride w:ilvl="0">
      <w:startOverride w:val="1"/>
    </w:lvlOverride>
  </w:num>
  <w:num w:numId="50">
    <w:abstractNumId w:val="20"/>
  </w:num>
  <w:num w:numId="51">
    <w:abstractNumId w:val="38"/>
  </w:num>
  <w:num w:numId="52">
    <w:abstractNumId w:val="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3sjFH0M+JbBT4mUV/aHHoXh3RVw=" w:salt="YoamJveZbxAcv4DL2dM/8A=="/>
  <w:defaultTabStop w:val="709"/>
  <w:autoHyphenation/>
  <w:hyphenationZone w:val="567"/>
  <w:characterSpacingControl w:val="doNotCompress"/>
  <w:hdrShapeDefaults>
    <o:shapedefaults v:ext="edit" spidmax="18433">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42DC"/>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3B53"/>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3255"/>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48DC"/>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0448"/>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00D"/>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98A"/>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4DA"/>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1324"/>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5691"/>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0AE1"/>
    <w:rsid w:val="00BF114B"/>
    <w:rsid w:val="00BF1620"/>
    <w:rsid w:val="00BF1AC3"/>
    <w:rsid w:val="00BF2A7E"/>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565F"/>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F0769"/>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Hyperlink">
    <w:name w:val="FollowedHyperlink"/>
    <w:unhideWhenUs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Georgia" w:hAnsi="Georgia"/>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F0769"/>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Hyperlink">
    <w:name w:val="FollowedHyperlink"/>
    <w:unhideWhenUs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Georgia" w:hAnsi="Georgia"/>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785CA-BF43-446F-B9C4-A52326DE4DB0}">
  <ds:schemaRefs>
    <ds:schemaRef ds:uri="http://schemas.openxmlformats.org/officeDocument/2006/bibliography"/>
  </ds:schemaRefs>
</ds:datastoreItem>
</file>

<file path=customXml/itemProps2.xml><?xml version="1.0" encoding="utf-8"?>
<ds:datastoreItem xmlns:ds="http://schemas.openxmlformats.org/officeDocument/2006/customXml" ds:itemID="{52FE56C4-EB19-4B4F-9DA3-AA9C7ABD0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1257</Words>
  <Characters>7548</Characters>
  <Application>Microsoft Office Word</Application>
  <DocSecurity>8</DocSecurity>
  <Lines>62</Lines>
  <Paragraphs>17</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8788</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Retih, Michael</cp:lastModifiedBy>
  <cp:revision>2</cp:revision>
  <cp:lastPrinted>2015-02-18T11:01:00Z</cp:lastPrinted>
  <dcterms:created xsi:type="dcterms:W3CDTF">2015-10-30T16:01:00Z</dcterms:created>
  <dcterms:modified xsi:type="dcterms:W3CDTF">2015-10-30T16:01:00Z</dcterms:modified>
</cp:coreProperties>
</file>