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1603942942"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permStart w:id="1260925479" w:edGrp="everyone" w:displacedByCustomXml="prev"/>
            <w:tc>
              <w:tcPr>
                <w:tcW w:w="5595" w:type="dxa"/>
                <w:shd w:val="clear" w:color="auto" w:fill="auto"/>
              </w:tcPr>
              <w:p w:rsidR="00D34282" w:rsidRPr="00AB6D88" w:rsidRDefault="00144400" w:rsidP="00144400">
                <w:pPr>
                  <w:rPr>
                    <w:rStyle w:val="PlaceholderText"/>
                    <w:rFonts w:cs="Arial"/>
                  </w:rPr>
                </w:pPr>
                <w:r>
                  <w:rPr>
                    <w:rStyle w:val="PlaceholderText"/>
                    <w:rFonts w:cs="Arial"/>
                  </w:rPr>
                  <w:t>KBC ASSET MANAGEMENT NV</w:t>
                </w:r>
              </w:p>
            </w:tc>
            <w:permEnd w:id="1260925479"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1642553662" w:edGrp="everyone" w:colFirst="1" w:colLast="1"/>
            <w:permEnd w:id="1603942942"/>
            <w:r w:rsidRPr="00AB6D88">
              <w:rPr>
                <w:rFonts w:cs="Arial"/>
              </w:rPr>
              <w:t>Confidential</w:t>
            </w:r>
            <w:r w:rsidRPr="00AB6D88">
              <w:rPr>
                <w:rStyle w:val="FootnoteReference"/>
                <w:rFonts w:cs="Arial"/>
              </w:rPr>
              <w:footnoteReference w:id="2"/>
            </w:r>
          </w:p>
        </w:tc>
        <w:sdt>
          <w:sdtPr>
            <w:rPr>
              <w:rStyle w:val="PlaceholderText"/>
              <w:rFonts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D34282" w:rsidRPr="00AB6D88" w:rsidRDefault="00D34282" w:rsidP="001F03CA">
                <w:pPr>
                  <w:rPr>
                    <w:rStyle w:val="PlaceholderText"/>
                    <w:rFonts w:cs="Arial"/>
                  </w:rPr>
                </w:pPr>
                <w:r>
                  <w:rPr>
                    <w:rStyle w:val="Placehold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044590222" w:edGrp="everyone" w:colFirst="1" w:colLast="1"/>
            <w:permEnd w:id="1642553662"/>
            <w:r w:rsidRPr="00AB6D88">
              <w:rPr>
                <w:rFonts w:cs="Arial"/>
              </w:rPr>
              <w:t>Activity</w:t>
            </w:r>
          </w:p>
        </w:tc>
        <w:tc>
          <w:tcPr>
            <w:tcW w:w="5595" w:type="dxa"/>
            <w:shd w:val="clear" w:color="auto" w:fill="auto"/>
          </w:tcPr>
          <w:p w:rsidR="00D34282" w:rsidRPr="00AB6D88" w:rsidRDefault="00E407F3"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389227922" w:edGrp="everyone"/>
                <w:r w:rsidR="00144400">
                  <w:rPr>
                    <w:rFonts w:cs="Arial"/>
                  </w:rPr>
                  <w:t>Banking sector</w:t>
                </w:r>
                <w:permEnd w:id="389227922"/>
              </w:sdtContent>
            </w:sdt>
          </w:p>
        </w:tc>
      </w:tr>
      <w:tr w:rsidR="00D34282" w:rsidRPr="00AB6D88" w:rsidTr="001F03CA">
        <w:tc>
          <w:tcPr>
            <w:tcW w:w="3929" w:type="dxa"/>
            <w:shd w:val="clear" w:color="auto" w:fill="auto"/>
          </w:tcPr>
          <w:p w:rsidR="00D34282" w:rsidRPr="00AB6D88" w:rsidRDefault="00D34282" w:rsidP="001F03CA">
            <w:pPr>
              <w:rPr>
                <w:rFonts w:cs="Arial"/>
              </w:rPr>
            </w:pPr>
            <w:permStart w:id="570048409" w:edGrp="everyone" w:colFirst="1" w:colLast="1"/>
            <w:permEnd w:id="1044590222"/>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D34282" w:rsidRPr="00AB6D88" w:rsidRDefault="00D34282" w:rsidP="001F03CA">
                <w:pPr>
                  <w:rPr>
                    <w:rFonts w:cs="Arial"/>
                  </w:rPr>
                </w:pPr>
                <w:r w:rsidRPr="00AB6D88">
                  <w:rPr>
                    <w:rFonts w:ascii="MS Gothic" w:eastAsia="MS Gothic" w:hAnsi="MS Gothic" w:cs="MS Gothic"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430202996" w:edGrp="everyone" w:colFirst="1" w:colLast="1"/>
            <w:permEnd w:id="570048409"/>
            <w:r w:rsidRPr="00AB6D88">
              <w:rPr>
                <w:rFonts w:cs="Arial"/>
              </w:rPr>
              <w:t>Country/Region</w:t>
            </w:r>
          </w:p>
        </w:tc>
        <w:permStart w:id="390294972"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45274486" w:edGrp="everyone" w:displacedByCustomXml="prev"/>
            <w:tc>
              <w:tcPr>
                <w:tcW w:w="5595" w:type="dxa"/>
                <w:shd w:val="clear" w:color="auto" w:fill="auto"/>
              </w:tcPr>
              <w:p w:rsidR="00D34282" w:rsidRPr="00AB6D88" w:rsidRDefault="00144400" w:rsidP="001F03CA">
                <w:pPr>
                  <w:rPr>
                    <w:rFonts w:cs="Arial"/>
                  </w:rPr>
                </w:pPr>
                <w:r>
                  <w:rPr>
                    <w:rFonts w:cs="Arial"/>
                  </w:rPr>
                  <w:t>Belgium</w:t>
                </w:r>
              </w:p>
            </w:tc>
            <w:permEnd w:id="645274486" w:displacedByCustomXml="next"/>
          </w:sdtContent>
        </w:sdt>
        <w:permEnd w:id="390294972" w:displacedByCustomXml="prev"/>
      </w:tr>
      <w:permEnd w:id="1430202996"/>
    </w:tbl>
    <w:p w:rsidR="00D34282" w:rsidRDefault="00D34282" w:rsidP="00D34282">
      <w:pPr>
        <w:spacing w:after="120" w:line="264" w:lineRule="auto"/>
      </w:pPr>
    </w:p>
    <w:p w:rsidR="00D34282" w:rsidRDefault="00D34282" w:rsidP="00D34282">
      <w:pPr>
        <w:spacing w:after="120" w:line="264" w:lineRule="auto"/>
      </w:pPr>
      <w:bookmarkStart w:id="3" w:name="_GoBack"/>
      <w:bookmarkEnd w:id="3"/>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C33ACE">
        <w:rPr>
          <w:rFonts w:cs="Arial"/>
        </w:rPr>
        <w:t>ELTIF_RTS</w:t>
      </w:r>
      <w:r w:rsidRPr="00C25863">
        <w:t>_1&gt;</w:t>
      </w:r>
    </w:p>
    <w:p w:rsidR="00D34282" w:rsidRDefault="00D34282" w:rsidP="00D34282">
      <w:permStart w:id="1847598234" w:edGrp="everyone"/>
      <w:r>
        <w:t>TYPE YOUR TEXT HERE</w:t>
      </w:r>
    </w:p>
    <w:permEnd w:id="1847598234"/>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Regulation? Which other pieces of legislation and associated regulatory framework do you identify for that purpose?</w:t>
      </w:r>
    </w:p>
    <w:p w:rsidR="00750796" w:rsidRDefault="00750796" w:rsidP="00750796">
      <w:r>
        <w:t>&lt;ESMA_QUESTION_ELTIF_RTS_1&gt;</w:t>
      </w:r>
    </w:p>
    <w:p w:rsidR="003E4AA8" w:rsidRDefault="003E4AA8" w:rsidP="00750796">
      <w:permStart w:id="1097474314" w:edGrp="everyone"/>
      <w:r>
        <w:t>We agree</w:t>
      </w:r>
    </w:p>
    <w:permEnd w:id="1097474314"/>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750796" w:rsidRDefault="003E4AA8" w:rsidP="00750796">
      <w:permStart w:id="993743565" w:edGrp="everyone"/>
      <w:r>
        <w:t>See answer Q4</w:t>
      </w:r>
    </w:p>
    <w:permEnd w:id="993743565"/>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3E4AA8" w:rsidP="00750796">
      <w:permStart w:id="1108702580" w:edGrp="everyone"/>
      <w:r>
        <w:t>See answer Q4</w:t>
      </w:r>
    </w:p>
    <w:permEnd w:id="1108702580"/>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specific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3E4AA8" w:rsidRPr="00537B85" w:rsidRDefault="003E4AA8" w:rsidP="003E4AA8">
      <w:pPr>
        <w:pStyle w:val="QUESTIONSESMA"/>
        <w:numPr>
          <w:ilvl w:val="0"/>
          <w:numId w:val="0"/>
        </w:numPr>
        <w:rPr>
          <w:b w:val="0"/>
        </w:rPr>
      </w:pPr>
      <w:permStart w:id="702441116" w:edGrp="everyone"/>
      <w:r w:rsidRPr="00537B85">
        <w:rPr>
          <w:b w:val="0"/>
        </w:rPr>
        <w:t>While these are risks that should be permitted to be hedged, it is not straightforward that it by definition in the best interest of the client to always hedge those risks.  For example, an ELTIF that invests in equity, should not by definition hedge currency risk or inflation risk.  Hence, it should be left to the manager of the ELTIF to decide which risks are to be hedged – taking into account the specificities of the ELTIF.</w:t>
      </w:r>
    </w:p>
    <w:p w:rsidR="003E4AA8" w:rsidRDefault="003E4AA8" w:rsidP="00750796">
      <w:r w:rsidRPr="00537B85">
        <w:t>Neither should the risks that are permitted to be covered be limited to the risks metioned in question 2.  For example, the manager of an ELTIF could decide to cover credit risk, provided that there financial instruments available to do so.</w:t>
      </w:r>
    </w:p>
    <w:permEnd w:id="702441116"/>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3E4AA8" w:rsidRDefault="003E4AA8" w:rsidP="00750796">
      <w:permStart w:id="595029960" w:edGrp="everyone"/>
      <w:r>
        <w:t>No, we don’t</w:t>
      </w:r>
    </w:p>
    <w:permEnd w:id="595029960"/>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3E4AA8" w:rsidRDefault="003E4AA8" w:rsidP="003E4AA8">
      <w:pPr>
        <w:pStyle w:val="QUESTIONSESMA"/>
        <w:numPr>
          <w:ilvl w:val="0"/>
          <w:numId w:val="0"/>
        </w:numPr>
        <w:spacing w:after="0"/>
        <w:contextualSpacing/>
        <w:jc w:val="left"/>
        <w:rPr>
          <w:b w:val="0"/>
        </w:rPr>
      </w:pPr>
      <w:permStart w:id="1880314497" w:edGrp="everyone"/>
      <w:r w:rsidRPr="00537B85">
        <w:rPr>
          <w:b w:val="0"/>
        </w:rPr>
        <w:t xml:space="preserve">Two questions the RTS could take into account additionally: </w:t>
      </w:r>
    </w:p>
    <w:p w:rsidR="003E4AA8" w:rsidRPr="00537B85" w:rsidRDefault="003E4AA8" w:rsidP="003E4AA8">
      <w:pPr>
        <w:pStyle w:val="QUESTIONSESMA"/>
        <w:numPr>
          <w:ilvl w:val="0"/>
          <w:numId w:val="0"/>
        </w:numPr>
        <w:spacing w:after="0"/>
        <w:contextualSpacing/>
        <w:jc w:val="left"/>
        <w:rPr>
          <w:b w:val="0"/>
          <w:szCs w:val="20"/>
          <w:lang w:eastAsia="en-GB"/>
        </w:rPr>
      </w:pPr>
      <w:r w:rsidRPr="00537B85">
        <w:rPr>
          <w:b w:val="0"/>
        </w:rPr>
        <w:lastRenderedPageBreak/>
        <w:t>1. During the life of the ELTIF, should additional investments also not exceed the end date of the ELTIF?</w:t>
      </w:r>
      <w:r w:rsidRPr="00537B85">
        <w:rPr>
          <w:b w:val="0"/>
        </w:rPr>
        <w:br/>
        <w:t>2. In defining the maturity date of each individual investment, how do we take into account callable/puttable features, or any other features that makes the maturity date path dependent?</w:t>
      </w:r>
    </w:p>
    <w:permEnd w:id="1880314497"/>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suggest the introduction of any additional/alternative risks/criteria? Please provide details and explain your position.</w:t>
      </w:r>
    </w:p>
    <w:p w:rsidR="00750796" w:rsidRDefault="00750796" w:rsidP="00750796">
      <w:r>
        <w:t>&lt;ESMA_QUESTION_ELTIF_RTS_7&gt;</w:t>
      </w:r>
    </w:p>
    <w:p w:rsidR="00750796" w:rsidRDefault="003E4AA8" w:rsidP="00750796">
      <w:permStart w:id="1296190403" w:edGrp="everyone"/>
      <w:r w:rsidRPr="00537B85">
        <w:t>The risks that are mentioned can be interpreted in such a broad way that they are comprehensive</w:t>
      </w:r>
    </w:p>
    <w:permEnd w:id="1296190403"/>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750796" w:rsidRDefault="003E4AA8" w:rsidP="00750796">
      <w:permStart w:id="1026433777" w:edGrp="everyone"/>
      <w:r>
        <w:t>We agree</w:t>
      </w:r>
    </w:p>
    <w:permEnd w:id="1026433777"/>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3E4AA8" w:rsidP="00750796">
      <w:permStart w:id="2083800825" w:edGrp="everyone"/>
      <w:r>
        <w:t>We agree</w:t>
      </w:r>
    </w:p>
    <w:permEnd w:id="2083800825"/>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50796" w:rsidRDefault="003E4AA8" w:rsidP="00750796">
      <w:permStart w:id="1430534169" w:edGrp="everyone"/>
      <w:r>
        <w:t>We agree</w:t>
      </w:r>
    </w:p>
    <w:permEnd w:id="1430534169"/>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3E4AA8" w:rsidP="00750796">
      <w:permStart w:id="1657104253" w:edGrp="everyone"/>
      <w:r>
        <w:t>We agree</w:t>
      </w:r>
    </w:p>
    <w:permEnd w:id="1657104253"/>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account in the case of ELTIFs?</w:t>
      </w:r>
    </w:p>
    <w:p w:rsidR="00750796" w:rsidRDefault="00750796" w:rsidP="00750796">
      <w:r>
        <w:t>&lt;ESMA_QUESTION_ELTIF_RTS_12&gt;</w:t>
      </w:r>
    </w:p>
    <w:p w:rsidR="00750796" w:rsidRDefault="003E4AA8" w:rsidP="00750796">
      <w:permStart w:id="2110941090" w:edGrp="everyone"/>
      <w:r>
        <w:t>No, we don’t</w:t>
      </w:r>
    </w:p>
    <w:permEnd w:id="2110941090"/>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 xml:space="preserve">overall ratio referred to in paragraph 2 of Article </w:t>
      </w:r>
      <w:r w:rsidRPr="006354A0">
        <w:t>25</w:t>
      </w:r>
      <w:r w:rsidRPr="00B23083">
        <w:t>?</w:t>
      </w:r>
    </w:p>
    <w:p w:rsidR="00750796" w:rsidRDefault="00750796" w:rsidP="00750796">
      <w:r>
        <w:t>&lt;ESMA_QUESTION_ELTIF_RTS_13&gt;</w:t>
      </w:r>
    </w:p>
    <w:p w:rsidR="00750796" w:rsidRDefault="003E4AA8" w:rsidP="00750796">
      <w:permStart w:id="171525598" w:edGrp="everyone"/>
      <w:r>
        <w:t>No comment</w:t>
      </w:r>
    </w:p>
    <w:permEnd w:id="171525598"/>
    <w:p w:rsidR="00750796" w:rsidRDefault="00750796" w:rsidP="00750796">
      <w:r>
        <w:lastRenderedPageBreak/>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numerator of the overall ratio mentioned in Article25(2), provided that this overall ratio is a yearly ratio?</w:t>
      </w:r>
    </w:p>
    <w:p w:rsidR="00750796" w:rsidRDefault="00750796" w:rsidP="00750796">
      <w:r>
        <w:t>&lt;ESMA_QUESTION_ELTIF_RTS_14&gt;</w:t>
      </w:r>
    </w:p>
    <w:p w:rsidR="00750796" w:rsidRDefault="003E4AA8" w:rsidP="00750796">
      <w:permStart w:id="238182873" w:edGrp="everyone"/>
      <w:r>
        <w:t>We agree</w:t>
      </w:r>
    </w:p>
    <w:permEnd w:id="238182873"/>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750796" w:rsidRDefault="00875C07" w:rsidP="00750796">
      <w:permStart w:id="1125533208" w:edGrp="everyone"/>
      <w:r>
        <w:t>We agree</w:t>
      </w:r>
    </w:p>
    <w:permEnd w:id="1125533208"/>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50796" w:rsidRDefault="00875C07" w:rsidP="00875C07">
      <w:pPr>
        <w:pStyle w:val="QUESTIONSESMA"/>
        <w:numPr>
          <w:ilvl w:val="0"/>
          <w:numId w:val="0"/>
        </w:numPr>
        <w:jc w:val="left"/>
      </w:pPr>
      <w:permStart w:id="327245323" w:edGrp="everyone"/>
      <w:r w:rsidRPr="0079015D">
        <w:rPr>
          <w:b w:val="0"/>
        </w:rPr>
        <w:t>This new product is not straightforward neither easy to explain, especially if compared with PEPPs which has a larger retail bias.  However some features are quite interesting to retail investors too, e.g.:</w:t>
      </w:r>
      <w:r w:rsidRPr="0079015D">
        <w:rPr>
          <w:b w:val="0"/>
        </w:rPr>
        <w:br/>
        <w:t>1)</w:t>
      </w:r>
      <w:r>
        <w:rPr>
          <w:b w:val="0"/>
        </w:rPr>
        <w:t xml:space="preserve"> investments in infrastructure </w:t>
      </w:r>
      <w:r w:rsidRPr="0079015D">
        <w:rPr>
          <w:b w:val="0"/>
        </w:rPr>
        <w:t>;</w:t>
      </w:r>
      <w:r w:rsidRPr="0079015D">
        <w:rPr>
          <w:b w:val="0"/>
        </w:rPr>
        <w:br/>
        <w:t>2) the investment limits idea which is similar to the popular Belgian pension savings funds.</w:t>
      </w:r>
      <w:r w:rsidRPr="0079015D">
        <w:rPr>
          <w:b w:val="0"/>
        </w:rPr>
        <w:br/>
        <w:t>Transparancy will nevertheless be a very important one, starting with a fully-fledged (i.e. containing all elements) investment policy, but also including an in-depth analysis and correct ventilation of the portfolio holdings/reality check with limits &amp; eligible assets (integrated in the yearly report ?). This one has to be taken into account before the set-up of any ELTIF and will take consi</w:t>
      </w:r>
      <w:r>
        <w:rPr>
          <w:b w:val="0"/>
        </w:rPr>
        <w:t>derable IT efforts</w:t>
      </w:r>
      <w:r w:rsidRPr="0079015D">
        <w:rPr>
          <w:b w:val="0"/>
        </w:rPr>
        <w:t>.</w:t>
      </w:r>
      <w:r w:rsidRPr="0079015D">
        <w:rPr>
          <w:b w:val="0"/>
        </w:rPr>
        <w:br/>
        <w:t>Moreover we need a consistent sales story which should focus on existing client needs.  The only way to make this clear is an i</w:t>
      </w:r>
      <w:r>
        <w:rPr>
          <w:b w:val="0"/>
        </w:rPr>
        <w:t xml:space="preserve">nquiry </w:t>
      </w:r>
      <w:r w:rsidRPr="0079015D">
        <w:rPr>
          <w:b w:val="0"/>
        </w:rPr>
        <w:t xml:space="preserve">where a full assessment can be distillated from. </w:t>
      </w:r>
      <w:r w:rsidRPr="0079015D">
        <w:rPr>
          <w:b w:val="0"/>
        </w:rPr>
        <w:br/>
      </w:r>
      <w:r w:rsidRPr="0079015D">
        <w:rPr>
          <w:b w:val="0"/>
        </w:rPr>
        <w:br/>
        <w:t>I would plead for a semi-open structure as retail investors are used to have an exit possibility (even when penalised if they do so).  The conditions should be very clear and integrated in all relevant (legal and commercial) documents.  Low frequency exit possibility do not form a hurdle as this is already specific for alternative investments (considering ELTIF can be classified as such).</w:t>
      </w:r>
      <w:r w:rsidRPr="0079015D">
        <w:rPr>
          <w:b w:val="0"/>
        </w:rPr>
        <w:br/>
      </w:r>
      <w:r w:rsidRPr="0079015D">
        <w:rPr>
          <w:b w:val="0"/>
        </w:rPr>
        <w:br/>
        <w:t>As for concentration rules we should act carefully and avoid arbitrary behaviour.  It could be difficult to find European consensus on some elements there (e.g. rules in function of the portfolio</w:t>
      </w:r>
      <w:r>
        <w:rPr>
          <w:b w:val="0"/>
        </w:rPr>
        <w:t>)</w:t>
      </w:r>
      <w:r w:rsidRPr="0079015D">
        <w:rPr>
          <w:b w:val="0"/>
        </w:rPr>
        <w:t xml:space="preserve"> </w:t>
      </w:r>
      <w:r w:rsidRPr="0079015D">
        <w:rPr>
          <w:b w:val="0"/>
        </w:rPr>
        <w:br/>
        <w:t>A regular asset test (on portfolio basis, at first glance I do not see a good argument for a one-to-one approach) is quintessential (already in place as a MiFID I requirement).</w:t>
      </w:r>
      <w:r w:rsidRPr="0079015D">
        <w:rPr>
          <w:b w:val="0"/>
        </w:rPr>
        <w:br/>
      </w:r>
      <w:r>
        <w:rPr>
          <w:b w:val="0"/>
        </w:rPr>
        <w:t>The preferred (ESMA) option 1 seams to me the logical and fair one as MiFID II and UCITS specific legislation is integrated.  I would prefer this one over an internal evaluation process around appropriateness.</w:t>
      </w:r>
    </w:p>
    <w:permEnd w:id="327245323"/>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875C07" w:rsidRDefault="00875C07" w:rsidP="00750796">
      <w:permStart w:id="1553823954" w:edGrp="everyone"/>
      <w:r>
        <w:t>Not clear at all what is meant by this one.</w:t>
      </w:r>
    </w:p>
    <w:permEnd w:id="1553823954"/>
    <w:p w:rsidR="00750796" w:rsidRDefault="00750796" w:rsidP="00750796">
      <w:r>
        <w:lastRenderedPageBreak/>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Regulation and authorisations are granted between the date of application of the ELTIF Regulation and the date of application of the proposed RTS, do respondents see a need for specific transitional/grandfathering provisions for the proposed RTS?</w:t>
      </w:r>
    </w:p>
    <w:p w:rsidR="00750796" w:rsidRDefault="00750796" w:rsidP="00750796">
      <w:r>
        <w:t>&lt;ESMA_QUESTION_ELTIF_RTS_18&gt;</w:t>
      </w:r>
    </w:p>
    <w:p w:rsidR="00750796" w:rsidRDefault="00480CBF" w:rsidP="00750796">
      <w:permStart w:id="1128937854" w:edGrp="everyone"/>
      <w:r>
        <w:t>No, we don’t</w:t>
      </w:r>
      <w:r w:rsidR="00E407F3">
        <w:t>/</w:t>
      </w:r>
    </w:p>
    <w:permEnd w:id="1128937854"/>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875C07" w:rsidP="00750796">
      <w:permStart w:id="1842093744" w:edGrp="everyone"/>
      <w:r w:rsidRPr="003D1DD4">
        <w:t>We agree the above – mentioned reasoning.  No other costs needed.</w:t>
      </w:r>
    </w:p>
    <w:permEnd w:id="1842093744"/>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quantitative data on the one-off and ongoing costs (if any) that the proposal would imply.</w:t>
      </w:r>
    </w:p>
    <w:p w:rsidR="00750796" w:rsidRDefault="00750796" w:rsidP="00750796">
      <w:r>
        <w:t>&lt;ESMA_QUESTION_ELTIF_RTS_20&gt;</w:t>
      </w:r>
    </w:p>
    <w:p w:rsidR="00750796" w:rsidRDefault="00875C07" w:rsidP="00750796">
      <w:permStart w:id="993462293" w:edGrp="everyone"/>
      <w:r>
        <w:t>See answer Q22</w:t>
      </w:r>
    </w:p>
    <w:permEnd w:id="993462293"/>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provide any available quantitative data on the one-off and ongoing costs (if any) that the proposal would imply.</w:t>
      </w:r>
    </w:p>
    <w:p w:rsidR="00750796" w:rsidRDefault="00750796" w:rsidP="00750796">
      <w:r>
        <w:t>&lt;ESMA_QUESTION_ELTIF_RTS_21&gt;</w:t>
      </w:r>
    </w:p>
    <w:p w:rsidR="00750796" w:rsidRDefault="00875C07" w:rsidP="00750796">
      <w:permStart w:id="89554188" w:edGrp="everyone"/>
      <w:r>
        <w:t>See answer Q22</w:t>
      </w:r>
    </w:p>
    <w:permEnd w:id="89554188"/>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875C07" w:rsidRDefault="00875C07" w:rsidP="00875C07">
      <w:pPr>
        <w:pStyle w:val="QUESTIONSESMA"/>
        <w:numPr>
          <w:ilvl w:val="0"/>
          <w:numId w:val="0"/>
        </w:numPr>
        <w:spacing w:after="0"/>
        <w:contextualSpacing/>
        <w:rPr>
          <w:rFonts w:cs="Arial"/>
          <w:b w:val="0"/>
          <w:color w:val="222222"/>
          <w:lang w:val="en"/>
        </w:rPr>
      </w:pPr>
      <w:permStart w:id="2109433895" w:edGrp="everyone"/>
      <w:r w:rsidRPr="00E32D0A">
        <w:rPr>
          <w:rFonts w:cs="Arial"/>
          <w:b w:val="0"/>
          <w:color w:val="222222"/>
          <w:lang w:val="en"/>
        </w:rPr>
        <w:t>The length of the ELTIF should be accommo</w:t>
      </w:r>
      <w:r>
        <w:rPr>
          <w:rFonts w:cs="Arial"/>
          <w:b w:val="0"/>
          <w:color w:val="222222"/>
          <w:lang w:val="en"/>
        </w:rPr>
        <w:t>dating</w:t>
      </w:r>
      <w:r w:rsidRPr="00E32D0A">
        <w:rPr>
          <w:rFonts w:cs="Arial"/>
          <w:b w:val="0"/>
          <w:color w:val="222222"/>
          <w:lang w:val="en"/>
        </w:rPr>
        <w:t xml:space="preserve"> to the market conditions at that time.  </w:t>
      </w:r>
    </w:p>
    <w:p w:rsidR="00875C07" w:rsidRDefault="00875C07" w:rsidP="00875C07">
      <w:pPr>
        <w:pStyle w:val="QUESTIONSESMA"/>
        <w:numPr>
          <w:ilvl w:val="0"/>
          <w:numId w:val="0"/>
        </w:numPr>
        <w:spacing w:after="0"/>
        <w:contextualSpacing/>
        <w:rPr>
          <w:rFonts w:cs="Arial"/>
          <w:b w:val="0"/>
          <w:color w:val="222222"/>
          <w:lang w:val="en"/>
        </w:rPr>
      </w:pPr>
      <w:r w:rsidRPr="00E32D0A">
        <w:rPr>
          <w:rFonts w:cs="Arial"/>
          <w:b w:val="0"/>
          <w:color w:val="222222"/>
          <w:lang w:val="en"/>
        </w:rPr>
        <w:t xml:space="preserve">2 </w:t>
      </w:r>
      <w:r>
        <w:rPr>
          <w:rFonts w:cs="Arial"/>
          <w:b w:val="0"/>
          <w:color w:val="222222"/>
          <w:lang w:val="en"/>
        </w:rPr>
        <w:t>very important issues</w:t>
      </w:r>
      <w:r w:rsidRPr="00E32D0A">
        <w:rPr>
          <w:rFonts w:cs="Arial"/>
          <w:b w:val="0"/>
          <w:color w:val="222222"/>
          <w:lang w:val="en"/>
        </w:rPr>
        <w:t xml:space="preserve"> concerning the maturity date</w:t>
      </w:r>
      <w:r>
        <w:rPr>
          <w:rFonts w:cs="Arial"/>
          <w:b w:val="0"/>
          <w:color w:val="222222"/>
          <w:lang w:val="en"/>
        </w:rPr>
        <w:t xml:space="preserve"> :</w:t>
      </w:r>
      <w:r w:rsidRPr="00E32D0A">
        <w:rPr>
          <w:rFonts w:cs="Arial"/>
          <w:b w:val="0"/>
          <w:color w:val="222222"/>
          <w:lang w:val="en"/>
        </w:rPr>
        <w:t xml:space="preserve"> imagine we can’t liquidate the ELTIF because </w:t>
      </w:r>
      <w:r w:rsidRPr="00E32D0A">
        <w:rPr>
          <w:rFonts w:cs="Arial"/>
          <w:b w:val="0"/>
          <w:color w:val="222222"/>
          <w:u w:val="single"/>
          <w:lang w:val="en"/>
        </w:rPr>
        <w:t>there is no market</w:t>
      </w:r>
      <w:r w:rsidRPr="00E32D0A">
        <w:rPr>
          <w:rFonts w:cs="Arial"/>
          <w:b w:val="0"/>
          <w:color w:val="222222"/>
          <w:lang w:val="en"/>
        </w:rPr>
        <w:t xml:space="preserve"> </w:t>
      </w:r>
      <w:r w:rsidRPr="007B7AE6">
        <w:rPr>
          <w:rFonts w:cs="Arial"/>
          <w:b w:val="0"/>
          <w:color w:val="222222"/>
          <w:u w:val="single"/>
          <w:lang w:val="en"/>
        </w:rPr>
        <w:t>at that moment</w:t>
      </w:r>
      <w:r w:rsidRPr="00E32D0A">
        <w:rPr>
          <w:rFonts w:cs="Arial"/>
          <w:b w:val="0"/>
          <w:color w:val="222222"/>
          <w:lang w:val="en"/>
        </w:rPr>
        <w:t xml:space="preserve"> ?: </w:t>
      </w:r>
    </w:p>
    <w:p w:rsidR="00875C07" w:rsidRPr="00E32D0A" w:rsidRDefault="00875C07" w:rsidP="00875C07">
      <w:pPr>
        <w:pStyle w:val="QUESTIONSESMA"/>
        <w:numPr>
          <w:ilvl w:val="0"/>
          <w:numId w:val="51"/>
        </w:numPr>
        <w:spacing w:after="0"/>
        <w:contextualSpacing/>
        <w:rPr>
          <w:rFonts w:cs="Arial"/>
          <w:b w:val="0"/>
          <w:color w:val="222222"/>
          <w:lang w:val="en"/>
        </w:rPr>
      </w:pPr>
      <w:r w:rsidRPr="00E32D0A">
        <w:rPr>
          <w:rFonts w:cs="Arial"/>
          <w:b w:val="0"/>
          <w:color w:val="222222"/>
          <w:lang w:val="en"/>
        </w:rPr>
        <w:t xml:space="preserve">it </w:t>
      </w:r>
      <w:r>
        <w:rPr>
          <w:rFonts w:cs="Arial"/>
          <w:b w:val="0"/>
          <w:color w:val="222222"/>
          <w:lang w:val="en"/>
        </w:rPr>
        <w:t xml:space="preserve">should be </w:t>
      </w:r>
      <w:r w:rsidRPr="00E32D0A">
        <w:rPr>
          <w:rFonts w:cs="Arial"/>
          <w:b w:val="0"/>
          <w:color w:val="222222"/>
          <w:lang w:val="en"/>
        </w:rPr>
        <w:t xml:space="preserve">possible to </w:t>
      </w:r>
      <w:r>
        <w:rPr>
          <w:rFonts w:cs="Arial"/>
          <w:b w:val="0"/>
          <w:color w:val="222222"/>
          <w:szCs w:val="20"/>
          <w:lang w:val="en" w:eastAsia="en-GB"/>
        </w:rPr>
        <w:t>extend the life of the ELTIF? Therefore c</w:t>
      </w:r>
      <w:r w:rsidRPr="00E32D0A">
        <w:rPr>
          <w:rFonts w:cs="Arial"/>
          <w:b w:val="0"/>
          <w:color w:val="222222"/>
          <w:szCs w:val="20"/>
          <w:lang w:val="en" w:eastAsia="en-GB"/>
        </w:rPr>
        <w:t xml:space="preserve">onditions or circumstances </w:t>
      </w:r>
      <w:r>
        <w:rPr>
          <w:rFonts w:cs="Arial"/>
          <w:b w:val="0"/>
          <w:color w:val="222222"/>
          <w:szCs w:val="20"/>
          <w:lang w:val="en" w:eastAsia="en-GB"/>
        </w:rPr>
        <w:t xml:space="preserve">under which we can </w:t>
      </w:r>
      <w:r w:rsidRPr="00E32D0A">
        <w:rPr>
          <w:rFonts w:cs="Arial"/>
          <w:b w:val="0"/>
          <w:color w:val="222222"/>
          <w:szCs w:val="20"/>
          <w:lang w:val="en" w:eastAsia="en-GB"/>
        </w:rPr>
        <w:t xml:space="preserve">extend </w:t>
      </w:r>
      <w:r>
        <w:rPr>
          <w:rFonts w:cs="Arial"/>
          <w:b w:val="0"/>
          <w:color w:val="222222"/>
          <w:szCs w:val="20"/>
          <w:lang w:val="en" w:eastAsia="en-GB"/>
        </w:rPr>
        <w:t>need to be specified.</w:t>
      </w:r>
      <w:r w:rsidRPr="00E32D0A">
        <w:rPr>
          <w:rFonts w:cs="Arial"/>
          <w:b w:val="0"/>
          <w:color w:val="222222"/>
          <w:szCs w:val="20"/>
          <w:lang w:val="en" w:eastAsia="en-GB"/>
        </w:rPr>
        <w:t xml:space="preserve"> </w:t>
      </w:r>
    </w:p>
    <w:p w:rsidR="00875C07" w:rsidRPr="00E32D0A" w:rsidRDefault="00875C07" w:rsidP="00875C07">
      <w:pPr>
        <w:pStyle w:val="QUESTIONSESMA"/>
        <w:numPr>
          <w:ilvl w:val="0"/>
          <w:numId w:val="51"/>
        </w:numPr>
        <w:spacing w:after="0"/>
        <w:contextualSpacing/>
        <w:rPr>
          <w:rFonts w:cs="Arial"/>
          <w:b w:val="0"/>
          <w:color w:val="222222"/>
          <w:lang w:val="en"/>
        </w:rPr>
      </w:pPr>
      <w:r w:rsidRPr="00E32D0A">
        <w:rPr>
          <w:rFonts w:cs="Arial"/>
          <w:b w:val="0"/>
          <w:color w:val="222222"/>
          <w:szCs w:val="20"/>
          <w:lang w:val="en" w:eastAsia="en-GB"/>
        </w:rPr>
        <w:t>on the contrary, under what conditions or circomstances can we shorten te life of the ELTIF ?</w:t>
      </w:r>
    </w:p>
    <w:p w:rsidR="00750796" w:rsidRPr="00875C07" w:rsidRDefault="00875C07" w:rsidP="00875C07">
      <w:pPr>
        <w:pStyle w:val="QUESTIONSESMA"/>
        <w:numPr>
          <w:ilvl w:val="0"/>
          <w:numId w:val="0"/>
        </w:numPr>
        <w:spacing w:after="0"/>
        <w:ind w:left="360"/>
        <w:contextualSpacing/>
        <w:rPr>
          <w:rFonts w:cs="Arial"/>
          <w:b w:val="0"/>
          <w:color w:val="222222"/>
          <w:lang w:val="en"/>
        </w:rPr>
      </w:pPr>
      <w:r w:rsidRPr="00257319">
        <w:rPr>
          <w:rFonts w:cs="Arial"/>
          <w:b w:val="0"/>
          <w:color w:val="222222"/>
          <w:szCs w:val="20"/>
          <w:lang w:val="en" w:eastAsia="en-GB"/>
        </w:rPr>
        <w:t>We would advice to allow the necessary arrangements</w:t>
      </w:r>
      <w:r>
        <w:rPr>
          <w:rFonts w:cs="Arial"/>
          <w:b w:val="0"/>
          <w:color w:val="222222"/>
          <w:szCs w:val="20"/>
          <w:lang w:val="en" w:eastAsia="en-GB"/>
        </w:rPr>
        <w:t xml:space="preserve"> (and amendments afterwards if necessary)</w:t>
      </w:r>
      <w:r w:rsidRPr="00257319">
        <w:rPr>
          <w:rFonts w:cs="Arial"/>
          <w:b w:val="0"/>
          <w:color w:val="222222"/>
          <w:szCs w:val="20"/>
          <w:lang w:val="en" w:eastAsia="en-GB"/>
        </w:rPr>
        <w:t xml:space="preserve"> within the articles of association, legal and/or marketing documents. e.g</w:t>
      </w:r>
      <w:r>
        <w:rPr>
          <w:rFonts w:cs="Arial"/>
          <w:b w:val="0"/>
          <w:color w:val="222222"/>
          <w:szCs w:val="20"/>
          <w:lang w:val="en" w:eastAsia="en-GB"/>
        </w:rPr>
        <w:t>. it should be possible that the shareholders may differ from the conditions to extend of shorten the life of the ELTIF if an agreement is reached by 80%-95% of the shareholders assuming that marketconditions are OK at that moment.</w:t>
      </w:r>
    </w:p>
    <w:permEnd w:id="2109433895"/>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lastRenderedPageBreak/>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875C07" w:rsidP="00750796">
      <w:permStart w:id="1742751934" w:edGrp="everyone"/>
      <w:r>
        <w:t>We agree</w:t>
      </w:r>
    </w:p>
    <w:permEnd w:id="1742751934"/>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quantitative data on the one-off and ongoing costs that the proposal would imply.</w:t>
      </w:r>
    </w:p>
    <w:p w:rsidR="00750796" w:rsidRDefault="00750796" w:rsidP="00750796">
      <w:r>
        <w:t>&lt;ESMA_QUESTION_ELTIF_RTS_24&gt;</w:t>
      </w:r>
    </w:p>
    <w:p w:rsidR="00750796" w:rsidRDefault="00875C07" w:rsidP="00750796">
      <w:permStart w:id="517692552" w:edGrp="everyone"/>
      <w:r>
        <w:t>We agree</w:t>
      </w:r>
    </w:p>
    <w:permEnd w:id="517692552"/>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E9" w:rsidRDefault="00134BE9">
      <w:r>
        <w:separator/>
      </w:r>
    </w:p>
    <w:p w:rsidR="00134BE9" w:rsidRDefault="00134BE9"/>
  </w:endnote>
  <w:endnote w:type="continuationSeparator" w:id="0">
    <w:p w:rsidR="00134BE9" w:rsidRDefault="00134BE9">
      <w:r>
        <w:continuationSeparator/>
      </w:r>
    </w:p>
    <w:p w:rsidR="00134BE9" w:rsidRDefault="00134BE9"/>
  </w:endnote>
  <w:endnote w:type="continuationNotice" w:id="1">
    <w:p w:rsidR="00134BE9" w:rsidRDefault="0013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407F3">
            <w:rPr>
              <w:rFonts w:cs="Arial"/>
              <w:noProof/>
              <w:sz w:val="22"/>
              <w:szCs w:val="22"/>
            </w:rPr>
            <w:t>9</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E9" w:rsidRDefault="00134BE9">
      <w:r>
        <w:separator/>
      </w:r>
    </w:p>
    <w:p w:rsidR="00134BE9" w:rsidRDefault="00134BE9"/>
  </w:footnote>
  <w:footnote w:type="continuationSeparator" w:id="0">
    <w:p w:rsidR="00134BE9" w:rsidRDefault="00134BE9">
      <w:r>
        <w:continuationSeparator/>
      </w:r>
    </w:p>
    <w:p w:rsidR="00134BE9" w:rsidRDefault="00134BE9"/>
  </w:footnote>
  <w:footnote w:type="continuationNotice" w:id="1">
    <w:p w:rsidR="00134BE9" w:rsidRDefault="00134BE9"/>
  </w:footnote>
  <w:footnote w:id="2">
    <w:p w:rsidR="00D34282" w:rsidRPr="00AA7A30" w:rsidRDefault="00D34282" w:rsidP="00D34282">
      <w:pPr>
        <w:pStyle w:val="FootnoteText"/>
        <w:rPr>
          <w:rFonts w:cs="Arial"/>
        </w:rPr>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BB1B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A25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460C92"/>
    <w:multiLevelType w:val="hybridMultilevel"/>
    <w:tmpl w:val="187EE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8"/>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3"/>
  </w:num>
  <w:num w:numId="51">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4400"/>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27A"/>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AA8"/>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CBF"/>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75C07"/>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7F3"/>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0B2E3A9C-CE1A-4FC8-B673-8194C8EF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B73C-0DC4-4053-B5DA-9F22D6AE7066}">
  <ds:schemaRefs>
    <ds:schemaRef ds:uri="http://schemas.openxmlformats.org/officeDocument/2006/bibliography"/>
  </ds:schemaRefs>
</ds:datastoreItem>
</file>

<file path=customXml/itemProps2.xml><?xml version="1.0" encoding="utf-8"?>
<ds:datastoreItem xmlns:ds="http://schemas.openxmlformats.org/officeDocument/2006/customXml" ds:itemID="{C3903579-AF88-4F0A-814E-8F6CA483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2081</Words>
  <Characters>11781</Characters>
  <Application>Microsoft Office Word</Application>
  <DocSecurity>8</DocSecurity>
  <Lines>98</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13835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Cinthia Van Huffel</cp:lastModifiedBy>
  <cp:revision>5</cp:revision>
  <cp:lastPrinted>2015-02-18T11:01:00Z</cp:lastPrinted>
  <dcterms:created xsi:type="dcterms:W3CDTF">2015-08-18T09:00:00Z</dcterms:created>
  <dcterms:modified xsi:type="dcterms:W3CDTF">2015-10-14T15:20:00Z</dcterms:modified>
</cp:coreProperties>
</file>