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7FC" w:rsidRDefault="008D27FC" w:rsidP="006B7C0D">
      <w:pPr>
        <w:rPr>
          <w:rFonts w:ascii="Calibri" w:hAnsi="Calibri" w:cs="Calibri"/>
          <w:sz w:val="22"/>
          <w:szCs w:val="22"/>
        </w:rPr>
      </w:pPr>
    </w:p>
    <w:p w:rsidR="00127E2F" w:rsidRDefault="00613C5F" w:rsidP="006B7C0D">
      <w:pPr>
        <w:rPr>
          <w:rFonts w:ascii="Calibri" w:hAnsi="Calibri" w:cs="Calibri"/>
          <w:sz w:val="22"/>
          <w:szCs w:val="22"/>
        </w:rPr>
      </w:pPr>
      <w:r w:rsidRPr="00613C5F">
        <w:rPr>
          <w:rFonts w:ascii="Calibri" w:hAnsi="Calibri" w:cs="Calibri"/>
          <w:noProof/>
          <w:sz w:val="22"/>
          <w:szCs w:val="22"/>
          <w:lang w:val="en-GB" w:eastAsia="en-GB"/>
        </w:rPr>
        <w:drawing>
          <wp:anchor distT="0" distB="0" distL="114300" distR="114300" simplePos="0" relativeHeight="251659264" behindDoc="0" locked="1" layoutInCell="1" allowOverlap="1">
            <wp:simplePos x="0" y="0"/>
            <wp:positionH relativeFrom="column">
              <wp:posOffset>-66675</wp:posOffset>
            </wp:positionH>
            <wp:positionV relativeFrom="page">
              <wp:posOffset>981075</wp:posOffset>
            </wp:positionV>
            <wp:extent cx="2038350" cy="342900"/>
            <wp:effectExtent l="19050" t="0" r="0" b="0"/>
            <wp:wrapTight wrapText="bothSides">
              <wp:wrapPolygon edited="0">
                <wp:start x="-202" y="0"/>
                <wp:lineTo x="-202" y="20400"/>
                <wp:lineTo x="21593" y="20400"/>
                <wp:lineTo x="21593" y="0"/>
                <wp:lineTo x="-202" y="0"/>
              </wp:wrapPolygon>
            </wp:wrapTight>
            <wp:docPr id="1" name="Picture 2" descr="2c Letterh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c Letterhead_logo"/>
                    <pic:cNvPicPr>
                      <a:picLocks noChangeAspect="1" noChangeArrowheads="1"/>
                    </pic:cNvPicPr>
                  </pic:nvPicPr>
                  <pic:blipFill>
                    <a:blip r:embed="rId9" cstate="print"/>
                    <a:srcRect/>
                    <a:stretch>
                      <a:fillRect/>
                    </a:stretch>
                  </pic:blipFill>
                  <pic:spPr bwMode="auto">
                    <a:xfrm>
                      <a:off x="0" y="0"/>
                      <a:ext cx="2038985" cy="342900"/>
                    </a:xfrm>
                    <a:prstGeom prst="rect">
                      <a:avLst/>
                    </a:prstGeom>
                    <a:noFill/>
                    <a:ln w="9525">
                      <a:noFill/>
                      <a:miter lim="800000"/>
                      <a:headEnd/>
                      <a:tailEnd/>
                    </a:ln>
                  </pic:spPr>
                </pic:pic>
              </a:graphicData>
            </a:graphic>
          </wp:anchor>
        </w:drawing>
      </w:r>
    </w:p>
    <w:p w:rsidR="00127E2F" w:rsidRDefault="00127E2F" w:rsidP="006B7C0D">
      <w:pPr>
        <w:rPr>
          <w:rFonts w:ascii="Calibri" w:hAnsi="Calibri" w:cs="Calibri"/>
          <w:sz w:val="22"/>
          <w:szCs w:val="22"/>
        </w:rPr>
      </w:pPr>
    </w:p>
    <w:p w:rsidR="00613C5F" w:rsidRDefault="002D418E" w:rsidP="006B7C0D">
      <w:pPr>
        <w:rPr>
          <w:rFonts w:ascii="Calibri" w:hAnsi="Calibri" w:cs="Calibri"/>
          <w:sz w:val="22"/>
          <w:szCs w:val="22"/>
        </w:rPr>
      </w:pPr>
      <w:r>
        <w:rPr>
          <w:rFonts w:ascii="Calibri" w:hAnsi="Calibri" w:cs="Calibri"/>
          <w:sz w:val="22"/>
          <w:szCs w:val="22"/>
        </w:rPr>
        <w:t>ESMA</w:t>
      </w:r>
    </w:p>
    <w:p w:rsidR="00893E98" w:rsidRDefault="00893E98" w:rsidP="006B7C0D">
      <w:pPr>
        <w:rPr>
          <w:rFonts w:ascii="Calibri" w:hAnsi="Calibri" w:cs="Calibri"/>
          <w:sz w:val="22"/>
          <w:szCs w:val="22"/>
        </w:rPr>
      </w:pPr>
      <w:r>
        <w:rPr>
          <w:rFonts w:ascii="Calibri" w:hAnsi="Calibri" w:cs="Calibri"/>
          <w:sz w:val="22"/>
          <w:szCs w:val="22"/>
        </w:rPr>
        <w:t>103 Rue de Grenelle</w:t>
      </w:r>
    </w:p>
    <w:p w:rsidR="00893E98" w:rsidRDefault="00893E98" w:rsidP="006B7C0D">
      <w:pPr>
        <w:rPr>
          <w:rFonts w:ascii="Calibri" w:hAnsi="Calibri" w:cs="Calibri"/>
          <w:sz w:val="22"/>
          <w:szCs w:val="22"/>
        </w:rPr>
      </w:pPr>
      <w:r>
        <w:rPr>
          <w:rFonts w:ascii="Calibri" w:hAnsi="Calibri" w:cs="Calibri"/>
          <w:sz w:val="22"/>
          <w:szCs w:val="22"/>
        </w:rPr>
        <w:t>75007 Paris</w:t>
      </w:r>
    </w:p>
    <w:p w:rsidR="00893E98" w:rsidRDefault="00893E98" w:rsidP="006B7C0D">
      <w:pPr>
        <w:rPr>
          <w:rFonts w:ascii="Calibri" w:hAnsi="Calibri" w:cs="Calibri"/>
          <w:sz w:val="22"/>
          <w:szCs w:val="22"/>
        </w:rPr>
      </w:pPr>
      <w:r>
        <w:rPr>
          <w:rFonts w:ascii="Calibri" w:hAnsi="Calibri" w:cs="Calibri"/>
          <w:sz w:val="22"/>
          <w:szCs w:val="22"/>
        </w:rPr>
        <w:t>France</w:t>
      </w:r>
    </w:p>
    <w:p w:rsidR="002D418E" w:rsidRDefault="002D418E" w:rsidP="006B7C0D">
      <w:pPr>
        <w:rPr>
          <w:rFonts w:ascii="Calibri" w:hAnsi="Calibri" w:cs="Calibri"/>
          <w:sz w:val="22"/>
          <w:szCs w:val="22"/>
        </w:rPr>
      </w:pPr>
    </w:p>
    <w:p w:rsidR="002D418E" w:rsidRDefault="002D418E" w:rsidP="006B7C0D">
      <w:pPr>
        <w:rPr>
          <w:rFonts w:ascii="Calibri" w:hAnsi="Calibri" w:cs="Calibri"/>
          <w:sz w:val="22"/>
          <w:szCs w:val="22"/>
        </w:rPr>
      </w:pPr>
      <w:r>
        <w:rPr>
          <w:rFonts w:ascii="Calibri" w:hAnsi="Calibri" w:cs="Calibri"/>
          <w:sz w:val="22"/>
          <w:szCs w:val="22"/>
        </w:rPr>
        <w:t>Dear Sir/Madam</w:t>
      </w:r>
    </w:p>
    <w:p w:rsidR="00127E2F" w:rsidRDefault="00127E2F" w:rsidP="006B7C0D">
      <w:pPr>
        <w:rPr>
          <w:rFonts w:ascii="Calibri" w:hAnsi="Calibri" w:cs="Calibri"/>
          <w:sz w:val="22"/>
          <w:szCs w:val="22"/>
        </w:rPr>
      </w:pPr>
    </w:p>
    <w:p w:rsidR="00127E2F" w:rsidRPr="002D418E" w:rsidRDefault="00127E2F" w:rsidP="00127E2F">
      <w:pPr>
        <w:pStyle w:val="Default"/>
        <w:rPr>
          <w:rFonts w:ascii="Calibri" w:hAnsi="Calibri" w:cs="Times New Roman"/>
          <w:b/>
          <w:color w:val="auto"/>
          <w:sz w:val="22"/>
          <w:szCs w:val="22"/>
        </w:rPr>
      </w:pPr>
      <w:r w:rsidRPr="002D418E">
        <w:rPr>
          <w:rFonts w:ascii="Calibri" w:hAnsi="Calibri" w:cs="Times New Roman"/>
          <w:b/>
          <w:color w:val="auto"/>
          <w:sz w:val="22"/>
          <w:szCs w:val="22"/>
        </w:rPr>
        <w:t xml:space="preserve">Comments on ESMA’s </w:t>
      </w:r>
      <w:r w:rsidR="002D418E" w:rsidRPr="002D418E">
        <w:rPr>
          <w:rFonts w:ascii="Calibri" w:hAnsi="Calibri" w:cs="Times New Roman"/>
          <w:b/>
          <w:color w:val="auto"/>
          <w:sz w:val="22"/>
          <w:szCs w:val="22"/>
        </w:rPr>
        <w:t>consultative</w:t>
      </w:r>
      <w:r w:rsidRPr="002D418E">
        <w:rPr>
          <w:rFonts w:ascii="Calibri" w:hAnsi="Calibri" w:cs="Times New Roman"/>
          <w:b/>
          <w:color w:val="auto"/>
          <w:sz w:val="22"/>
          <w:szCs w:val="22"/>
        </w:rPr>
        <w:t xml:space="preserve"> paper ‘Draft Technical Standards for the Regulation on OTC</w:t>
      </w:r>
    </w:p>
    <w:p w:rsidR="00127E2F" w:rsidRPr="002D418E" w:rsidRDefault="00127E2F" w:rsidP="00127E2F">
      <w:pPr>
        <w:pStyle w:val="Default"/>
        <w:rPr>
          <w:rFonts w:ascii="Calibri" w:hAnsi="Calibri" w:cs="Times New Roman"/>
          <w:b/>
          <w:color w:val="auto"/>
          <w:sz w:val="22"/>
          <w:szCs w:val="22"/>
        </w:rPr>
      </w:pPr>
      <w:r w:rsidRPr="002D418E">
        <w:rPr>
          <w:rFonts w:ascii="Calibri" w:hAnsi="Calibri" w:cs="Times New Roman"/>
          <w:b/>
          <w:color w:val="auto"/>
          <w:sz w:val="22"/>
          <w:szCs w:val="22"/>
        </w:rPr>
        <w:t>Derivatives, CCPs and Trade Repositories’</w:t>
      </w:r>
      <w:r w:rsidR="002D418E" w:rsidRPr="002D418E">
        <w:rPr>
          <w:rFonts w:ascii="Calibri" w:hAnsi="Calibri" w:cs="Times New Roman"/>
          <w:b/>
          <w:color w:val="auto"/>
          <w:sz w:val="22"/>
          <w:szCs w:val="22"/>
        </w:rPr>
        <w:t>, 25 June 2012</w:t>
      </w:r>
    </w:p>
    <w:p w:rsidR="00127E2F" w:rsidRPr="00127E2F" w:rsidRDefault="00127E2F" w:rsidP="00127E2F">
      <w:pPr>
        <w:pStyle w:val="Default"/>
        <w:rPr>
          <w:rFonts w:ascii="Calibri" w:hAnsi="Calibri" w:cs="Times New Roman"/>
          <w:color w:val="auto"/>
          <w:sz w:val="22"/>
          <w:szCs w:val="22"/>
        </w:rPr>
      </w:pPr>
    </w:p>
    <w:p w:rsidR="00127E2F" w:rsidRDefault="00127E2F" w:rsidP="00127E2F">
      <w:pPr>
        <w:pStyle w:val="Default"/>
        <w:rPr>
          <w:rFonts w:ascii="Calibri" w:hAnsi="Calibri" w:cs="Times New Roman"/>
          <w:color w:val="auto"/>
          <w:sz w:val="22"/>
          <w:szCs w:val="22"/>
        </w:rPr>
      </w:pPr>
      <w:r w:rsidRPr="00127E2F">
        <w:rPr>
          <w:rFonts w:ascii="Calibri" w:hAnsi="Calibri" w:cs="Times New Roman"/>
          <w:color w:val="auto"/>
          <w:sz w:val="22"/>
          <w:szCs w:val="22"/>
        </w:rPr>
        <w:t xml:space="preserve">CME Group is pleased to offer stakeholder input to </w:t>
      </w:r>
      <w:r w:rsidR="008F2DAF">
        <w:rPr>
          <w:rFonts w:ascii="Calibri" w:hAnsi="Calibri" w:cs="Times New Roman"/>
          <w:color w:val="auto"/>
          <w:sz w:val="22"/>
          <w:szCs w:val="22"/>
        </w:rPr>
        <w:t xml:space="preserve">assist </w:t>
      </w:r>
      <w:r w:rsidRPr="00127E2F">
        <w:rPr>
          <w:rFonts w:ascii="Calibri" w:hAnsi="Calibri" w:cs="Times New Roman"/>
          <w:color w:val="auto"/>
          <w:sz w:val="22"/>
          <w:szCs w:val="22"/>
        </w:rPr>
        <w:t>the development of the technical standards.  CME Clearing Europe (CMECE) will be directly affected by the standards as a central counterparty incorporated in the UK and regulated by the FSA.  CME Clearing in the US will be affected because the technical standards will have a bearing on the assessment of the equivalence of third country CCPs</w:t>
      </w:r>
      <w:r w:rsidR="002D418E">
        <w:rPr>
          <w:rFonts w:ascii="Calibri" w:hAnsi="Calibri" w:cs="Times New Roman"/>
          <w:color w:val="auto"/>
          <w:sz w:val="22"/>
          <w:szCs w:val="22"/>
        </w:rPr>
        <w:t xml:space="preserve"> under the provisions of EMIR</w:t>
      </w:r>
      <w:r w:rsidRPr="00127E2F">
        <w:rPr>
          <w:rFonts w:ascii="Calibri" w:hAnsi="Calibri" w:cs="Times New Roman"/>
          <w:color w:val="auto"/>
          <w:sz w:val="22"/>
          <w:szCs w:val="22"/>
        </w:rPr>
        <w:t>.  CME Group will be affected as the owner of the two clearing houses.</w:t>
      </w:r>
    </w:p>
    <w:p w:rsidR="00127E2F" w:rsidRPr="00127E2F" w:rsidRDefault="00127E2F" w:rsidP="00127E2F">
      <w:pPr>
        <w:pStyle w:val="Default"/>
        <w:rPr>
          <w:rFonts w:ascii="Calibri" w:hAnsi="Calibri" w:cs="Times New Roman"/>
          <w:color w:val="auto"/>
          <w:sz w:val="22"/>
          <w:szCs w:val="22"/>
        </w:rPr>
      </w:pPr>
    </w:p>
    <w:p w:rsidR="00127E2F" w:rsidRDefault="00127E2F" w:rsidP="00127E2F">
      <w:pPr>
        <w:pStyle w:val="Default"/>
        <w:rPr>
          <w:rFonts w:ascii="Calibri" w:hAnsi="Calibri" w:cs="Times New Roman"/>
          <w:color w:val="auto"/>
          <w:sz w:val="22"/>
          <w:szCs w:val="22"/>
        </w:rPr>
      </w:pPr>
      <w:r w:rsidRPr="00127E2F">
        <w:rPr>
          <w:rFonts w:ascii="Calibri" w:hAnsi="Calibri" w:cs="Times New Roman"/>
          <w:color w:val="auto"/>
          <w:sz w:val="22"/>
          <w:szCs w:val="22"/>
        </w:rPr>
        <w:t>As a member of EACH, CMECE has also contributed to input from that association.</w:t>
      </w:r>
    </w:p>
    <w:p w:rsidR="002D418E" w:rsidRPr="00127E2F" w:rsidRDefault="002D418E" w:rsidP="00127E2F">
      <w:pPr>
        <w:pStyle w:val="Default"/>
        <w:rPr>
          <w:rFonts w:ascii="Calibri" w:hAnsi="Calibri" w:cs="Times New Roman"/>
          <w:color w:val="auto"/>
          <w:sz w:val="22"/>
          <w:szCs w:val="22"/>
        </w:rPr>
      </w:pPr>
    </w:p>
    <w:p w:rsidR="00127E2F" w:rsidRDefault="00127E2F" w:rsidP="00127E2F">
      <w:pPr>
        <w:pStyle w:val="Default"/>
        <w:rPr>
          <w:rFonts w:ascii="Calibri" w:hAnsi="Calibri" w:cs="Times New Roman"/>
          <w:i/>
          <w:color w:val="auto"/>
          <w:sz w:val="22"/>
          <w:szCs w:val="22"/>
        </w:rPr>
      </w:pPr>
      <w:r w:rsidRPr="002D418E">
        <w:rPr>
          <w:rFonts w:ascii="Calibri" w:hAnsi="Calibri" w:cs="Times New Roman"/>
          <w:i/>
          <w:color w:val="auto"/>
          <w:sz w:val="22"/>
          <w:szCs w:val="22"/>
        </w:rPr>
        <w:t>General comment</w:t>
      </w:r>
    </w:p>
    <w:p w:rsidR="00767F1A" w:rsidRDefault="00767F1A" w:rsidP="00127E2F">
      <w:pPr>
        <w:pStyle w:val="Default"/>
        <w:rPr>
          <w:rFonts w:ascii="Calibri" w:hAnsi="Calibri" w:cs="Times New Roman"/>
          <w:i/>
          <w:color w:val="auto"/>
          <w:sz w:val="22"/>
          <w:szCs w:val="22"/>
        </w:rPr>
      </w:pPr>
    </w:p>
    <w:p w:rsidR="00767F1A" w:rsidRPr="00767F1A" w:rsidRDefault="00767F1A" w:rsidP="00127E2F">
      <w:pPr>
        <w:pStyle w:val="Default"/>
        <w:rPr>
          <w:rFonts w:ascii="Calibri" w:hAnsi="Calibri" w:cs="Times New Roman"/>
          <w:color w:val="auto"/>
          <w:sz w:val="22"/>
          <w:szCs w:val="22"/>
        </w:rPr>
      </w:pPr>
      <w:r w:rsidRPr="00767F1A">
        <w:rPr>
          <w:rFonts w:ascii="Calibri" w:hAnsi="Calibri" w:cs="Times New Roman"/>
          <w:color w:val="auto"/>
          <w:sz w:val="22"/>
          <w:szCs w:val="22"/>
        </w:rPr>
        <w:t>The introductory text explaining the choices that ESMA has taken in response to feedback on its initial</w:t>
      </w:r>
      <w:r>
        <w:rPr>
          <w:rFonts w:ascii="Calibri" w:hAnsi="Calibri" w:cs="Times New Roman"/>
          <w:color w:val="auto"/>
          <w:sz w:val="22"/>
          <w:szCs w:val="22"/>
        </w:rPr>
        <w:t xml:space="preserve"> thinking refers to the technical standards having to offer more granularity than the CPSS-IOSCO standards</w:t>
      </w:r>
      <w:r w:rsidR="009E092A">
        <w:rPr>
          <w:rFonts w:ascii="Calibri" w:hAnsi="Calibri" w:cs="Times New Roman"/>
          <w:color w:val="auto"/>
          <w:sz w:val="22"/>
          <w:szCs w:val="22"/>
        </w:rPr>
        <w:t>,</w:t>
      </w:r>
      <w:r>
        <w:rPr>
          <w:rFonts w:ascii="Calibri" w:hAnsi="Calibri" w:cs="Times New Roman"/>
          <w:color w:val="auto"/>
          <w:sz w:val="22"/>
          <w:szCs w:val="22"/>
        </w:rPr>
        <w:t xml:space="preserve"> in order to “…effect global compatibility and permit EU CCPs to compete on a global basis”.  Our reservation about the proposed standards in several </w:t>
      </w:r>
      <w:r w:rsidR="009E092A">
        <w:rPr>
          <w:rFonts w:ascii="Calibri" w:hAnsi="Calibri" w:cs="Times New Roman"/>
          <w:color w:val="auto"/>
          <w:sz w:val="22"/>
          <w:szCs w:val="22"/>
        </w:rPr>
        <w:t>respects</w:t>
      </w:r>
      <w:r>
        <w:rPr>
          <w:rFonts w:ascii="Calibri" w:hAnsi="Calibri" w:cs="Times New Roman"/>
          <w:color w:val="auto"/>
          <w:sz w:val="22"/>
          <w:szCs w:val="22"/>
        </w:rPr>
        <w:t xml:space="preserve"> is that they demonstrably do not bring about global compatibility</w:t>
      </w:r>
      <w:r w:rsidR="008F2DAF">
        <w:rPr>
          <w:rFonts w:ascii="Calibri" w:hAnsi="Calibri" w:cs="Times New Roman"/>
          <w:color w:val="auto"/>
          <w:sz w:val="22"/>
          <w:szCs w:val="22"/>
        </w:rPr>
        <w:t>,</w:t>
      </w:r>
      <w:r>
        <w:rPr>
          <w:rFonts w:ascii="Calibri" w:hAnsi="Calibri" w:cs="Times New Roman"/>
          <w:color w:val="auto"/>
          <w:sz w:val="22"/>
          <w:szCs w:val="22"/>
        </w:rPr>
        <w:t xml:space="preserve"> because the approach taken differs from </w:t>
      </w:r>
      <w:r w:rsidR="006307A1">
        <w:rPr>
          <w:rFonts w:ascii="Calibri" w:hAnsi="Calibri" w:cs="Times New Roman"/>
          <w:color w:val="auto"/>
          <w:sz w:val="22"/>
          <w:szCs w:val="22"/>
        </w:rPr>
        <w:t>the C</w:t>
      </w:r>
      <w:r w:rsidR="00D7406C">
        <w:rPr>
          <w:rFonts w:ascii="Calibri" w:hAnsi="Calibri" w:cs="Times New Roman"/>
          <w:color w:val="auto"/>
          <w:sz w:val="22"/>
          <w:szCs w:val="22"/>
        </w:rPr>
        <w:t>PSS</w:t>
      </w:r>
      <w:r w:rsidR="006307A1">
        <w:rPr>
          <w:rFonts w:ascii="Calibri" w:hAnsi="Calibri" w:cs="Times New Roman"/>
          <w:color w:val="auto"/>
          <w:sz w:val="22"/>
          <w:szCs w:val="22"/>
        </w:rPr>
        <w:t xml:space="preserve">-IOSCO principles and </w:t>
      </w:r>
      <w:r>
        <w:rPr>
          <w:rFonts w:ascii="Calibri" w:hAnsi="Calibri" w:cs="Times New Roman"/>
          <w:color w:val="auto"/>
          <w:sz w:val="22"/>
          <w:szCs w:val="22"/>
        </w:rPr>
        <w:t xml:space="preserve">that </w:t>
      </w:r>
      <w:r w:rsidR="00D7406C">
        <w:rPr>
          <w:rFonts w:ascii="Calibri" w:hAnsi="Calibri" w:cs="Times New Roman"/>
          <w:color w:val="auto"/>
          <w:sz w:val="22"/>
          <w:szCs w:val="22"/>
        </w:rPr>
        <w:t>taken</w:t>
      </w:r>
      <w:r w:rsidR="009E092A">
        <w:rPr>
          <w:rFonts w:ascii="Calibri" w:hAnsi="Calibri" w:cs="Times New Roman"/>
          <w:color w:val="auto"/>
          <w:sz w:val="22"/>
          <w:szCs w:val="22"/>
        </w:rPr>
        <w:t xml:space="preserve"> </w:t>
      </w:r>
      <w:r w:rsidR="006307A1">
        <w:rPr>
          <w:rFonts w:ascii="Calibri" w:hAnsi="Calibri" w:cs="Times New Roman"/>
          <w:color w:val="auto"/>
          <w:sz w:val="22"/>
          <w:szCs w:val="22"/>
        </w:rPr>
        <w:t>outside the European Union</w:t>
      </w:r>
      <w:r w:rsidR="009E092A">
        <w:rPr>
          <w:rFonts w:ascii="Calibri" w:hAnsi="Calibri" w:cs="Times New Roman"/>
          <w:color w:val="auto"/>
          <w:sz w:val="22"/>
          <w:szCs w:val="22"/>
        </w:rPr>
        <w:t>.  We pursue the notable examples</w:t>
      </w:r>
      <w:r w:rsidR="006307A1">
        <w:rPr>
          <w:rFonts w:ascii="Calibri" w:hAnsi="Calibri" w:cs="Times New Roman"/>
          <w:color w:val="auto"/>
          <w:sz w:val="22"/>
          <w:szCs w:val="22"/>
        </w:rPr>
        <w:t xml:space="preserve"> of that incompatibility</w:t>
      </w:r>
      <w:r w:rsidR="009E092A">
        <w:rPr>
          <w:rFonts w:ascii="Calibri" w:hAnsi="Calibri" w:cs="Times New Roman"/>
          <w:color w:val="auto"/>
          <w:sz w:val="22"/>
          <w:szCs w:val="22"/>
        </w:rPr>
        <w:t xml:space="preserve"> in the detailed comments that follow.</w:t>
      </w:r>
    </w:p>
    <w:p w:rsidR="00127E2F" w:rsidRPr="00127E2F" w:rsidRDefault="00127E2F" w:rsidP="00127E2F">
      <w:pPr>
        <w:pStyle w:val="Default"/>
        <w:rPr>
          <w:rFonts w:ascii="Calibri" w:hAnsi="Calibri" w:cs="Times New Roman"/>
          <w:color w:val="auto"/>
          <w:sz w:val="22"/>
          <w:szCs w:val="22"/>
        </w:rPr>
      </w:pPr>
    </w:p>
    <w:p w:rsidR="00127E2F" w:rsidRDefault="00127E2F" w:rsidP="00127E2F">
      <w:pPr>
        <w:pStyle w:val="Default"/>
        <w:rPr>
          <w:rFonts w:ascii="Calibri" w:hAnsi="Calibri" w:cs="Times New Roman"/>
          <w:i/>
          <w:color w:val="auto"/>
          <w:sz w:val="22"/>
          <w:szCs w:val="22"/>
        </w:rPr>
      </w:pPr>
      <w:r w:rsidRPr="00127E2F">
        <w:rPr>
          <w:rFonts w:ascii="Calibri" w:hAnsi="Calibri" w:cs="Times New Roman"/>
          <w:i/>
          <w:color w:val="auto"/>
          <w:sz w:val="22"/>
          <w:szCs w:val="22"/>
        </w:rPr>
        <w:t xml:space="preserve">Specific comments </w:t>
      </w:r>
    </w:p>
    <w:p w:rsidR="005743E6" w:rsidRDefault="005743E6" w:rsidP="00127E2F">
      <w:pPr>
        <w:pStyle w:val="Default"/>
        <w:rPr>
          <w:rFonts w:ascii="Calibri" w:hAnsi="Calibri" w:cs="Times New Roman"/>
          <w:i/>
          <w:color w:val="auto"/>
          <w:sz w:val="22"/>
          <w:szCs w:val="22"/>
        </w:rPr>
      </w:pPr>
    </w:p>
    <w:p w:rsidR="005743E6" w:rsidRDefault="005743E6" w:rsidP="00127E2F">
      <w:pPr>
        <w:pStyle w:val="Default"/>
        <w:rPr>
          <w:rFonts w:ascii="Calibri" w:hAnsi="Calibri" w:cs="Times New Roman"/>
          <w:i/>
          <w:color w:val="auto"/>
          <w:sz w:val="22"/>
          <w:szCs w:val="22"/>
        </w:rPr>
      </w:pPr>
      <w:r>
        <w:rPr>
          <w:rFonts w:ascii="Calibri" w:hAnsi="Calibri" w:cs="Times New Roman"/>
          <w:i/>
          <w:color w:val="auto"/>
          <w:sz w:val="22"/>
          <w:szCs w:val="22"/>
        </w:rPr>
        <w:t>Indirect clearing arrangements</w:t>
      </w:r>
    </w:p>
    <w:p w:rsidR="005743E6" w:rsidRDefault="005743E6" w:rsidP="00127E2F">
      <w:pPr>
        <w:pStyle w:val="Default"/>
        <w:rPr>
          <w:rFonts w:ascii="Calibri" w:hAnsi="Calibri" w:cs="Times New Roman"/>
          <w:i/>
          <w:color w:val="auto"/>
          <w:sz w:val="22"/>
          <w:szCs w:val="22"/>
        </w:rPr>
      </w:pPr>
    </w:p>
    <w:p w:rsidR="005743E6" w:rsidRPr="005743E6" w:rsidRDefault="005743E6" w:rsidP="00127E2F">
      <w:pPr>
        <w:pStyle w:val="Default"/>
        <w:rPr>
          <w:rFonts w:ascii="Calibri" w:hAnsi="Calibri" w:cs="Times New Roman"/>
          <w:color w:val="auto"/>
          <w:sz w:val="22"/>
          <w:szCs w:val="22"/>
        </w:rPr>
      </w:pPr>
      <w:r>
        <w:rPr>
          <w:rFonts w:ascii="Calibri" w:hAnsi="Calibri" w:cs="Times New Roman"/>
          <w:color w:val="auto"/>
          <w:sz w:val="22"/>
          <w:szCs w:val="22"/>
        </w:rPr>
        <w:t>In the introductory text explaining its choice of proposal concerning margins, ESMA refers</w:t>
      </w:r>
      <w:r w:rsidR="00BC5C77">
        <w:rPr>
          <w:rFonts w:ascii="Calibri" w:hAnsi="Calibri" w:cs="Times New Roman"/>
          <w:color w:val="auto"/>
          <w:sz w:val="22"/>
          <w:szCs w:val="22"/>
        </w:rPr>
        <w:t xml:space="preserve"> to the importance of “…clearing members’ willingness to accept clients”.   That is indeed a very important consideration</w:t>
      </w:r>
      <w:r w:rsidR="00081405">
        <w:rPr>
          <w:rFonts w:ascii="Calibri" w:hAnsi="Calibri" w:cs="Times New Roman"/>
          <w:color w:val="auto"/>
          <w:sz w:val="22"/>
          <w:szCs w:val="22"/>
        </w:rPr>
        <w:t>, not least in relation to indirect clearing arrang</w:t>
      </w:r>
      <w:r w:rsidR="00B30FC2">
        <w:rPr>
          <w:rFonts w:ascii="Calibri" w:hAnsi="Calibri" w:cs="Times New Roman"/>
          <w:color w:val="auto"/>
          <w:sz w:val="22"/>
          <w:szCs w:val="22"/>
        </w:rPr>
        <w:t>e</w:t>
      </w:r>
      <w:r w:rsidR="00081405">
        <w:rPr>
          <w:rFonts w:ascii="Calibri" w:hAnsi="Calibri" w:cs="Times New Roman"/>
          <w:color w:val="auto"/>
          <w:sz w:val="22"/>
          <w:szCs w:val="22"/>
        </w:rPr>
        <w:t>ments</w:t>
      </w:r>
      <w:r w:rsidR="00BC5C77">
        <w:rPr>
          <w:rFonts w:ascii="Calibri" w:hAnsi="Calibri" w:cs="Times New Roman"/>
          <w:color w:val="auto"/>
          <w:sz w:val="22"/>
          <w:szCs w:val="22"/>
        </w:rPr>
        <w:t>.  There seem, however, in the proposed references to indirect clearing arrangements in the consultative paper</w:t>
      </w:r>
      <w:r w:rsidR="00081405">
        <w:rPr>
          <w:rFonts w:ascii="Calibri" w:hAnsi="Calibri" w:cs="Times New Roman"/>
          <w:color w:val="auto"/>
          <w:sz w:val="22"/>
          <w:szCs w:val="22"/>
        </w:rPr>
        <w:t>,</w:t>
      </w:r>
      <w:r w:rsidR="00BC5C77">
        <w:rPr>
          <w:rFonts w:ascii="Calibri" w:hAnsi="Calibri" w:cs="Times New Roman"/>
          <w:color w:val="auto"/>
          <w:sz w:val="22"/>
          <w:szCs w:val="22"/>
        </w:rPr>
        <w:t xml:space="preserve"> to be at least two proposals which would constrain the risk management actions of clearing members to such an extent as to make the provision of indirect clearing arrangements difficult to achieve, thus frustrating the policy intent of EMIR.  Article 2 (2) </w:t>
      </w:r>
      <w:r w:rsidR="00081405">
        <w:rPr>
          <w:rFonts w:ascii="Calibri" w:hAnsi="Calibri" w:cs="Times New Roman"/>
          <w:color w:val="auto"/>
          <w:sz w:val="22"/>
          <w:szCs w:val="22"/>
        </w:rPr>
        <w:t xml:space="preserve">seems to go too far in requiring a clearing member to honour all obligations between its client and the clients of its client, when it is stated that the client shall define those obligations.  Article 4 (6) requires the clearing member to hold and be responsible to the CCP for the financial performance of the positions of clients of its failed client for at least 30 days after attempts to transfer those positions have proved impossible, but no reference </w:t>
      </w:r>
      <w:r w:rsidR="00B30FC2">
        <w:rPr>
          <w:rFonts w:ascii="Calibri" w:hAnsi="Calibri" w:cs="Times New Roman"/>
          <w:color w:val="auto"/>
          <w:sz w:val="22"/>
          <w:szCs w:val="22"/>
        </w:rPr>
        <w:t xml:space="preserve">is made </w:t>
      </w:r>
      <w:r w:rsidR="00081405">
        <w:rPr>
          <w:rFonts w:ascii="Calibri" w:hAnsi="Calibri" w:cs="Times New Roman"/>
          <w:color w:val="auto"/>
          <w:sz w:val="22"/>
          <w:szCs w:val="22"/>
        </w:rPr>
        <w:t xml:space="preserve">to legitimate action by the clearing member to protect its risk during that period. </w:t>
      </w:r>
    </w:p>
    <w:p w:rsidR="00B12F2F" w:rsidRPr="005743E6" w:rsidRDefault="00B12F2F" w:rsidP="00127E2F">
      <w:pPr>
        <w:pStyle w:val="Default"/>
        <w:rPr>
          <w:rFonts w:ascii="Calibri" w:hAnsi="Calibri" w:cs="Times New Roman"/>
          <w:color w:val="auto"/>
          <w:sz w:val="22"/>
          <w:szCs w:val="22"/>
        </w:rPr>
      </w:pPr>
    </w:p>
    <w:p w:rsidR="00B12F2F" w:rsidRDefault="00B12F2F" w:rsidP="00127E2F">
      <w:pPr>
        <w:pStyle w:val="Default"/>
        <w:rPr>
          <w:rFonts w:ascii="Calibri" w:hAnsi="Calibri" w:cs="Times New Roman"/>
          <w:i/>
          <w:color w:val="auto"/>
          <w:sz w:val="22"/>
          <w:szCs w:val="22"/>
        </w:rPr>
      </w:pPr>
      <w:r>
        <w:rPr>
          <w:rFonts w:ascii="Calibri" w:hAnsi="Calibri" w:cs="Times New Roman"/>
          <w:i/>
          <w:color w:val="auto"/>
          <w:sz w:val="22"/>
          <w:szCs w:val="22"/>
        </w:rPr>
        <w:lastRenderedPageBreak/>
        <w:t>Risk mitigation for OTC derivative contracts not cleared by a CCP</w:t>
      </w:r>
    </w:p>
    <w:p w:rsidR="005743E6" w:rsidRDefault="005743E6" w:rsidP="00127E2F">
      <w:pPr>
        <w:pStyle w:val="Default"/>
        <w:rPr>
          <w:rFonts w:ascii="Calibri" w:hAnsi="Calibri" w:cs="Times New Roman"/>
          <w:i/>
          <w:color w:val="auto"/>
          <w:sz w:val="22"/>
          <w:szCs w:val="22"/>
        </w:rPr>
      </w:pPr>
    </w:p>
    <w:p w:rsidR="00B12F2F" w:rsidRPr="00B12F2F" w:rsidRDefault="00B12F2F" w:rsidP="00127E2F">
      <w:pPr>
        <w:pStyle w:val="Default"/>
        <w:rPr>
          <w:rFonts w:ascii="Calibri" w:hAnsi="Calibri" w:cs="Times New Roman"/>
          <w:color w:val="auto"/>
          <w:sz w:val="22"/>
          <w:szCs w:val="22"/>
        </w:rPr>
      </w:pPr>
      <w:r w:rsidRPr="00B12F2F">
        <w:rPr>
          <w:rFonts w:ascii="Calibri" w:hAnsi="Calibri" w:cs="Times New Roman"/>
          <w:color w:val="auto"/>
          <w:sz w:val="22"/>
          <w:szCs w:val="22"/>
        </w:rPr>
        <w:t>Our concerns in this area are that the overall risk management of un</w:t>
      </w:r>
      <w:r w:rsidR="008F2DAF">
        <w:rPr>
          <w:rFonts w:ascii="Calibri" w:hAnsi="Calibri" w:cs="Times New Roman"/>
          <w:color w:val="auto"/>
          <w:sz w:val="22"/>
          <w:szCs w:val="22"/>
        </w:rPr>
        <w:t>-</w:t>
      </w:r>
      <w:r w:rsidRPr="00B12F2F">
        <w:rPr>
          <w:rFonts w:ascii="Calibri" w:hAnsi="Calibri" w:cs="Times New Roman"/>
          <w:color w:val="auto"/>
          <w:sz w:val="22"/>
          <w:szCs w:val="22"/>
        </w:rPr>
        <w:t>cleared OTC derivatives</w:t>
      </w:r>
      <w:r w:rsidR="008F2DAF">
        <w:rPr>
          <w:rFonts w:ascii="Calibri" w:hAnsi="Calibri" w:cs="Times New Roman"/>
          <w:color w:val="auto"/>
          <w:sz w:val="22"/>
          <w:szCs w:val="22"/>
        </w:rPr>
        <w:t xml:space="preserve"> should be</w:t>
      </w:r>
      <w:r w:rsidRPr="00B12F2F">
        <w:rPr>
          <w:rFonts w:ascii="Calibri" w:hAnsi="Calibri" w:cs="Times New Roman"/>
          <w:color w:val="auto"/>
          <w:sz w:val="22"/>
          <w:szCs w:val="22"/>
        </w:rPr>
        <w:t xml:space="preserve"> sufficiently robust</w:t>
      </w:r>
      <w:r w:rsidR="008F2DAF">
        <w:rPr>
          <w:rFonts w:ascii="Calibri" w:hAnsi="Calibri" w:cs="Times New Roman"/>
          <w:color w:val="auto"/>
          <w:sz w:val="22"/>
          <w:szCs w:val="22"/>
        </w:rPr>
        <w:t>,</w:t>
      </w:r>
      <w:r w:rsidRPr="00B12F2F">
        <w:rPr>
          <w:rFonts w:ascii="Calibri" w:hAnsi="Calibri" w:cs="Times New Roman"/>
          <w:color w:val="auto"/>
          <w:sz w:val="22"/>
          <w:szCs w:val="22"/>
        </w:rPr>
        <w:t xml:space="preserve"> so as not to de-stabilise central counterparty arrangements</w:t>
      </w:r>
      <w:r>
        <w:rPr>
          <w:rFonts w:ascii="Calibri" w:hAnsi="Calibri" w:cs="Times New Roman"/>
          <w:color w:val="auto"/>
          <w:sz w:val="22"/>
          <w:szCs w:val="22"/>
        </w:rPr>
        <w:t>, and that those overall risk management standards</w:t>
      </w:r>
      <w:r w:rsidR="00D7406C">
        <w:rPr>
          <w:rFonts w:ascii="Calibri" w:hAnsi="Calibri" w:cs="Times New Roman"/>
          <w:color w:val="auto"/>
          <w:sz w:val="22"/>
          <w:szCs w:val="22"/>
        </w:rPr>
        <w:t>,</w:t>
      </w:r>
      <w:r>
        <w:rPr>
          <w:rFonts w:ascii="Calibri" w:hAnsi="Calibri" w:cs="Times New Roman"/>
          <w:color w:val="auto"/>
          <w:sz w:val="22"/>
          <w:szCs w:val="22"/>
        </w:rPr>
        <w:t xml:space="preserve"> and notably the associated regulatory capital required to support un</w:t>
      </w:r>
      <w:r w:rsidR="008F2DAF">
        <w:rPr>
          <w:rFonts w:ascii="Calibri" w:hAnsi="Calibri" w:cs="Times New Roman"/>
          <w:color w:val="auto"/>
          <w:sz w:val="22"/>
          <w:szCs w:val="22"/>
        </w:rPr>
        <w:t>-</w:t>
      </w:r>
      <w:r>
        <w:rPr>
          <w:rFonts w:ascii="Calibri" w:hAnsi="Calibri" w:cs="Times New Roman"/>
          <w:color w:val="auto"/>
          <w:sz w:val="22"/>
          <w:szCs w:val="22"/>
        </w:rPr>
        <w:t>cleared positions</w:t>
      </w:r>
      <w:r w:rsidR="00D7406C">
        <w:rPr>
          <w:rFonts w:ascii="Calibri" w:hAnsi="Calibri" w:cs="Times New Roman"/>
          <w:color w:val="auto"/>
          <w:sz w:val="22"/>
          <w:szCs w:val="22"/>
        </w:rPr>
        <w:t>,</w:t>
      </w:r>
      <w:r>
        <w:rPr>
          <w:rFonts w:ascii="Calibri" w:hAnsi="Calibri" w:cs="Times New Roman"/>
          <w:color w:val="auto"/>
          <w:sz w:val="22"/>
          <w:szCs w:val="22"/>
        </w:rPr>
        <w:t xml:space="preserve"> should be proportionately stricter</w:t>
      </w:r>
      <w:r w:rsidR="008F2DAF">
        <w:rPr>
          <w:rFonts w:ascii="Calibri" w:hAnsi="Calibri" w:cs="Times New Roman"/>
          <w:color w:val="auto"/>
          <w:sz w:val="22"/>
          <w:szCs w:val="22"/>
        </w:rPr>
        <w:t>,</w:t>
      </w:r>
      <w:r>
        <w:rPr>
          <w:rFonts w:ascii="Calibri" w:hAnsi="Calibri" w:cs="Times New Roman"/>
          <w:color w:val="auto"/>
          <w:sz w:val="22"/>
          <w:szCs w:val="22"/>
        </w:rPr>
        <w:t xml:space="preserve"> so as not to undermine the logic of mandating the central clearing of standardised OTC d</w:t>
      </w:r>
      <w:r w:rsidR="008F2DAF">
        <w:rPr>
          <w:rFonts w:ascii="Calibri" w:hAnsi="Calibri" w:cs="Times New Roman"/>
          <w:color w:val="auto"/>
          <w:sz w:val="22"/>
          <w:szCs w:val="22"/>
        </w:rPr>
        <w:t xml:space="preserve">erivatives.  The core proposals of relevance are not contained in the </w:t>
      </w:r>
      <w:r w:rsidR="006307A1">
        <w:rPr>
          <w:rFonts w:ascii="Calibri" w:hAnsi="Calibri" w:cs="Times New Roman"/>
          <w:color w:val="auto"/>
          <w:sz w:val="22"/>
          <w:szCs w:val="22"/>
        </w:rPr>
        <w:t>consultative paper</w:t>
      </w:r>
      <w:r w:rsidR="008F2DAF">
        <w:rPr>
          <w:rFonts w:ascii="Calibri" w:hAnsi="Calibri" w:cs="Times New Roman"/>
          <w:color w:val="auto"/>
          <w:sz w:val="22"/>
          <w:szCs w:val="22"/>
        </w:rPr>
        <w:t xml:space="preserve"> but we nonetheless flag our over-arching concerns in this area.</w:t>
      </w:r>
    </w:p>
    <w:p w:rsidR="00127E2F" w:rsidRPr="00127E2F" w:rsidRDefault="00127E2F" w:rsidP="00127E2F">
      <w:pPr>
        <w:pStyle w:val="Default"/>
        <w:rPr>
          <w:rFonts w:ascii="Calibri" w:hAnsi="Calibri" w:cs="Times New Roman"/>
          <w:color w:val="auto"/>
          <w:sz w:val="22"/>
          <w:szCs w:val="22"/>
        </w:rPr>
      </w:pPr>
    </w:p>
    <w:p w:rsidR="009E092A" w:rsidRPr="008371AC" w:rsidRDefault="009E092A" w:rsidP="00127E2F">
      <w:pPr>
        <w:pStyle w:val="Default"/>
        <w:rPr>
          <w:rFonts w:ascii="Calibri" w:hAnsi="Calibri" w:cs="Times New Roman"/>
          <w:i/>
          <w:color w:val="auto"/>
          <w:sz w:val="22"/>
          <w:szCs w:val="22"/>
        </w:rPr>
      </w:pPr>
      <w:r w:rsidRPr="008371AC">
        <w:rPr>
          <w:rFonts w:ascii="Calibri" w:hAnsi="Calibri" w:cs="Times New Roman"/>
          <w:i/>
          <w:color w:val="auto"/>
          <w:sz w:val="22"/>
          <w:szCs w:val="22"/>
        </w:rPr>
        <w:t>Regulatory colleges</w:t>
      </w:r>
    </w:p>
    <w:p w:rsidR="009E092A" w:rsidRDefault="009E092A" w:rsidP="00127E2F">
      <w:pPr>
        <w:pStyle w:val="Default"/>
        <w:rPr>
          <w:rFonts w:ascii="Calibri" w:hAnsi="Calibri" w:cs="Times New Roman"/>
          <w:color w:val="auto"/>
          <w:sz w:val="22"/>
          <w:szCs w:val="22"/>
        </w:rPr>
      </w:pPr>
    </w:p>
    <w:p w:rsidR="00127E2F" w:rsidRDefault="009E092A" w:rsidP="00127E2F">
      <w:pPr>
        <w:pStyle w:val="Default"/>
        <w:rPr>
          <w:rFonts w:ascii="Calibri" w:hAnsi="Calibri" w:cs="Times New Roman"/>
          <w:color w:val="auto"/>
          <w:sz w:val="22"/>
          <w:szCs w:val="22"/>
        </w:rPr>
      </w:pPr>
      <w:r>
        <w:rPr>
          <w:rFonts w:ascii="Calibri" w:hAnsi="Calibri" w:cs="Times New Roman"/>
          <w:color w:val="auto"/>
          <w:sz w:val="22"/>
          <w:szCs w:val="22"/>
        </w:rPr>
        <w:t xml:space="preserve">Regulatory colleges with the composition envisaged in EMIR and the technical standards represent a significant departure from the typical regulatory oversight arrangements for CCPs in the EU.  For that reason, we believe that the colleges’ governance arrangements should be fully transparent and clear.  Article 3 (3) </w:t>
      </w:r>
      <w:r w:rsidRPr="004C0606">
        <w:rPr>
          <w:rFonts w:ascii="Calibri" w:hAnsi="Calibri" w:cs="Times New Roman"/>
          <w:color w:val="auto"/>
          <w:sz w:val="22"/>
          <w:szCs w:val="22"/>
        </w:rPr>
        <w:t>CG</w:t>
      </w:r>
      <w:r>
        <w:rPr>
          <w:rFonts w:ascii="Calibri" w:hAnsi="Calibri" w:cs="Times New Roman"/>
          <w:color w:val="auto"/>
          <w:sz w:val="22"/>
          <w:szCs w:val="22"/>
        </w:rPr>
        <w:t xml:space="preserve"> does not, in our opinion, measure up to that standard.  It refers to the refusal of a college member to sign the written agreement governing the establishment and functioning of the college.  But it does n</w:t>
      </w:r>
      <w:r w:rsidR="008371AC">
        <w:rPr>
          <w:rFonts w:ascii="Calibri" w:hAnsi="Calibri" w:cs="Times New Roman"/>
          <w:color w:val="auto"/>
          <w:sz w:val="22"/>
          <w:szCs w:val="22"/>
        </w:rPr>
        <w:t>ot make clear whether any such “refusenik” will remain a member of the college.  In our opinion a “refusenik” should not be a college member</w:t>
      </w:r>
      <w:r w:rsidR="006307A1">
        <w:rPr>
          <w:rFonts w:ascii="Calibri" w:hAnsi="Calibri" w:cs="Times New Roman"/>
          <w:color w:val="auto"/>
          <w:sz w:val="22"/>
          <w:szCs w:val="22"/>
        </w:rPr>
        <w:t>,</w:t>
      </w:r>
      <w:r w:rsidR="008371AC">
        <w:rPr>
          <w:rFonts w:ascii="Calibri" w:hAnsi="Calibri" w:cs="Times New Roman"/>
          <w:color w:val="auto"/>
          <w:sz w:val="22"/>
          <w:szCs w:val="22"/>
        </w:rPr>
        <w:t xml:space="preserve"> as its presence </w:t>
      </w:r>
      <w:r w:rsidR="008F2DAF">
        <w:rPr>
          <w:rFonts w:ascii="Calibri" w:hAnsi="Calibri" w:cs="Times New Roman"/>
          <w:color w:val="auto"/>
          <w:sz w:val="22"/>
          <w:szCs w:val="22"/>
        </w:rPr>
        <w:t>c</w:t>
      </w:r>
      <w:r w:rsidR="008371AC">
        <w:rPr>
          <w:rFonts w:ascii="Calibri" w:hAnsi="Calibri" w:cs="Times New Roman"/>
          <w:color w:val="auto"/>
          <w:sz w:val="22"/>
          <w:szCs w:val="22"/>
        </w:rPr>
        <w:t xml:space="preserve">ould disrupt the </w:t>
      </w:r>
      <w:r w:rsidR="006307A1">
        <w:rPr>
          <w:rFonts w:ascii="Calibri" w:hAnsi="Calibri" w:cs="Times New Roman"/>
          <w:color w:val="auto"/>
          <w:sz w:val="22"/>
          <w:szCs w:val="22"/>
        </w:rPr>
        <w:t xml:space="preserve">effective </w:t>
      </w:r>
      <w:r w:rsidR="008371AC">
        <w:rPr>
          <w:rFonts w:ascii="Calibri" w:hAnsi="Calibri" w:cs="Times New Roman"/>
          <w:color w:val="auto"/>
          <w:sz w:val="22"/>
          <w:szCs w:val="22"/>
        </w:rPr>
        <w:t xml:space="preserve">operation of that college.  The logic of our position is reinforced by Article 8 (5) CG.  That clause refers to the need to postpone decision items until such time as a college quorum is assured.  As the “refusenik” has rejected the written documentation of the “constitution” of the college, its retention in the college would </w:t>
      </w:r>
      <w:r w:rsidR="006307A1">
        <w:rPr>
          <w:rFonts w:ascii="Calibri" w:hAnsi="Calibri" w:cs="Times New Roman"/>
          <w:color w:val="auto"/>
          <w:sz w:val="22"/>
          <w:szCs w:val="22"/>
        </w:rPr>
        <w:t xml:space="preserve">reasonably </w:t>
      </w:r>
      <w:r w:rsidR="008371AC">
        <w:rPr>
          <w:rFonts w:ascii="Calibri" w:hAnsi="Calibri" w:cs="Times New Roman"/>
          <w:color w:val="auto"/>
          <w:sz w:val="22"/>
          <w:szCs w:val="22"/>
        </w:rPr>
        <w:t xml:space="preserve">be thought likely to make the achievement of a quorum more difficult.  </w:t>
      </w:r>
    </w:p>
    <w:p w:rsidR="008371AC" w:rsidRDefault="008371AC" w:rsidP="00127E2F">
      <w:pPr>
        <w:pStyle w:val="Default"/>
        <w:rPr>
          <w:rFonts w:ascii="Calibri" w:hAnsi="Calibri" w:cs="Times New Roman"/>
          <w:color w:val="auto"/>
          <w:sz w:val="22"/>
          <w:szCs w:val="22"/>
        </w:rPr>
      </w:pPr>
    </w:p>
    <w:p w:rsidR="008371AC" w:rsidRDefault="008371AC" w:rsidP="00127E2F">
      <w:pPr>
        <w:pStyle w:val="Default"/>
        <w:rPr>
          <w:rFonts w:ascii="Calibri" w:hAnsi="Calibri" w:cs="Times New Roman"/>
          <w:i/>
          <w:color w:val="auto"/>
          <w:sz w:val="22"/>
          <w:szCs w:val="22"/>
        </w:rPr>
      </w:pPr>
      <w:r w:rsidRPr="008371AC">
        <w:rPr>
          <w:rFonts w:ascii="Calibri" w:hAnsi="Calibri" w:cs="Times New Roman"/>
          <w:i/>
          <w:color w:val="auto"/>
          <w:sz w:val="22"/>
          <w:szCs w:val="22"/>
        </w:rPr>
        <w:t>Governance and organisational requirements</w:t>
      </w:r>
    </w:p>
    <w:p w:rsidR="008371AC" w:rsidRDefault="008371AC" w:rsidP="00127E2F">
      <w:pPr>
        <w:pStyle w:val="Default"/>
        <w:rPr>
          <w:rFonts w:ascii="Calibri" w:hAnsi="Calibri" w:cs="Times New Roman"/>
          <w:i/>
          <w:color w:val="auto"/>
          <w:sz w:val="22"/>
          <w:szCs w:val="22"/>
        </w:rPr>
      </w:pPr>
    </w:p>
    <w:p w:rsidR="008371AC" w:rsidRDefault="008371AC" w:rsidP="00127E2F">
      <w:pPr>
        <w:pStyle w:val="Default"/>
        <w:rPr>
          <w:rFonts w:ascii="Calibri" w:hAnsi="Calibri" w:cs="Times New Roman"/>
          <w:color w:val="auto"/>
          <w:sz w:val="22"/>
          <w:szCs w:val="22"/>
        </w:rPr>
      </w:pPr>
      <w:r w:rsidRPr="008371AC">
        <w:rPr>
          <w:rFonts w:ascii="Calibri" w:hAnsi="Calibri" w:cs="Times New Roman"/>
          <w:color w:val="auto"/>
          <w:sz w:val="22"/>
          <w:szCs w:val="22"/>
        </w:rPr>
        <w:t>Article 2</w:t>
      </w:r>
      <w:r w:rsidR="008F2DAF">
        <w:rPr>
          <w:rFonts w:ascii="Calibri" w:hAnsi="Calibri" w:cs="Times New Roman"/>
          <w:color w:val="auto"/>
          <w:sz w:val="22"/>
          <w:szCs w:val="22"/>
        </w:rPr>
        <w:t>,</w:t>
      </w:r>
      <w:r w:rsidRPr="008371AC">
        <w:rPr>
          <w:rFonts w:ascii="Calibri" w:hAnsi="Calibri" w:cs="Times New Roman"/>
          <w:color w:val="auto"/>
          <w:sz w:val="22"/>
          <w:szCs w:val="22"/>
        </w:rPr>
        <w:t xml:space="preserve"> headed risk management and internal control mechanisms</w:t>
      </w:r>
      <w:r w:rsidR="008F2DAF">
        <w:rPr>
          <w:rFonts w:ascii="Calibri" w:hAnsi="Calibri" w:cs="Times New Roman"/>
          <w:color w:val="auto"/>
          <w:sz w:val="22"/>
          <w:szCs w:val="22"/>
        </w:rPr>
        <w:t>,</w:t>
      </w:r>
      <w:r>
        <w:rPr>
          <w:rFonts w:ascii="Calibri" w:hAnsi="Calibri" w:cs="Times New Roman"/>
          <w:color w:val="auto"/>
          <w:sz w:val="22"/>
          <w:szCs w:val="22"/>
        </w:rPr>
        <w:t xml:space="preserve"> contains in clauses </w:t>
      </w:r>
      <w:r w:rsidR="00545B38">
        <w:rPr>
          <w:rFonts w:ascii="Calibri" w:hAnsi="Calibri" w:cs="Times New Roman"/>
          <w:color w:val="auto"/>
          <w:sz w:val="22"/>
          <w:szCs w:val="22"/>
        </w:rPr>
        <w:t xml:space="preserve">2(7) and 2(8) notification and reporting requirements concerning haircuts on collateral and concentration limits, respectively.  </w:t>
      </w:r>
      <w:r w:rsidR="00407910">
        <w:rPr>
          <w:rFonts w:ascii="Calibri" w:hAnsi="Calibri" w:cs="Times New Roman"/>
          <w:color w:val="auto"/>
          <w:sz w:val="22"/>
          <w:szCs w:val="22"/>
        </w:rPr>
        <w:t>Taken as a whole the proposed technical standards include</w:t>
      </w:r>
      <w:r w:rsidR="00455272">
        <w:rPr>
          <w:rFonts w:ascii="Calibri" w:hAnsi="Calibri" w:cs="Times New Roman"/>
          <w:color w:val="auto"/>
          <w:sz w:val="22"/>
          <w:szCs w:val="22"/>
        </w:rPr>
        <w:t xml:space="preserve"> a very large number of notification and reporting requirements</w:t>
      </w:r>
      <w:r w:rsidR="00D7406C">
        <w:rPr>
          <w:rFonts w:ascii="Calibri" w:hAnsi="Calibri" w:cs="Times New Roman"/>
          <w:color w:val="auto"/>
          <w:sz w:val="22"/>
          <w:szCs w:val="22"/>
        </w:rPr>
        <w:t xml:space="preserve"> for CCPs</w:t>
      </w:r>
      <w:r w:rsidR="00455272">
        <w:rPr>
          <w:rFonts w:ascii="Calibri" w:hAnsi="Calibri" w:cs="Times New Roman"/>
          <w:color w:val="auto"/>
          <w:sz w:val="22"/>
          <w:szCs w:val="22"/>
        </w:rPr>
        <w:t xml:space="preserve">, to regulators, clearing members, end-clients, and in some cases the public.  By no means all the proposals are novel, insofar as notification </w:t>
      </w:r>
      <w:r w:rsidR="00407910">
        <w:rPr>
          <w:rFonts w:ascii="Calibri" w:hAnsi="Calibri" w:cs="Times New Roman"/>
          <w:color w:val="auto"/>
          <w:sz w:val="22"/>
          <w:szCs w:val="22"/>
        </w:rPr>
        <w:t>or</w:t>
      </w:r>
      <w:r w:rsidR="00455272">
        <w:rPr>
          <w:rFonts w:ascii="Calibri" w:hAnsi="Calibri" w:cs="Times New Roman"/>
          <w:color w:val="auto"/>
          <w:sz w:val="22"/>
          <w:szCs w:val="22"/>
        </w:rPr>
        <w:t xml:space="preserve"> reporting already occurs, but in the context of what will certainly be a considerable increase in such requirements driven by regulation rather than CCP practice, it is preferable that the </w:t>
      </w:r>
      <w:r w:rsidR="00407910">
        <w:rPr>
          <w:rFonts w:ascii="Calibri" w:hAnsi="Calibri" w:cs="Times New Roman"/>
          <w:color w:val="auto"/>
          <w:sz w:val="22"/>
          <w:szCs w:val="22"/>
        </w:rPr>
        <w:t xml:space="preserve">regulatory-driven </w:t>
      </w:r>
      <w:r w:rsidR="00455272">
        <w:rPr>
          <w:rFonts w:ascii="Calibri" w:hAnsi="Calibri" w:cs="Times New Roman"/>
          <w:color w:val="auto"/>
          <w:sz w:val="22"/>
          <w:szCs w:val="22"/>
        </w:rPr>
        <w:t xml:space="preserve">requirements are presented </w:t>
      </w:r>
      <w:r w:rsidR="00407910">
        <w:rPr>
          <w:rFonts w:ascii="Calibri" w:hAnsi="Calibri" w:cs="Times New Roman"/>
          <w:color w:val="auto"/>
          <w:sz w:val="22"/>
          <w:szCs w:val="22"/>
        </w:rPr>
        <w:t xml:space="preserve">by ESMA </w:t>
      </w:r>
      <w:r w:rsidR="00455272">
        <w:rPr>
          <w:rFonts w:ascii="Calibri" w:hAnsi="Calibri" w:cs="Times New Roman"/>
          <w:color w:val="auto"/>
          <w:sz w:val="22"/>
          <w:szCs w:val="22"/>
        </w:rPr>
        <w:t>in consolidated rather than scattered form.  The location of the requirements for collateral haircuts and concentration limits in a section dealing with</w:t>
      </w:r>
      <w:r w:rsidR="00D9711F">
        <w:rPr>
          <w:rFonts w:ascii="Calibri" w:hAnsi="Calibri" w:cs="Times New Roman"/>
          <w:color w:val="auto"/>
          <w:sz w:val="22"/>
          <w:szCs w:val="22"/>
        </w:rPr>
        <w:t xml:space="preserve"> very different governance and organisation</w:t>
      </w:r>
      <w:r w:rsidR="00D7406C">
        <w:rPr>
          <w:rFonts w:ascii="Calibri" w:hAnsi="Calibri" w:cs="Times New Roman"/>
          <w:color w:val="auto"/>
          <w:sz w:val="22"/>
          <w:szCs w:val="22"/>
        </w:rPr>
        <w:t>al</w:t>
      </w:r>
      <w:r w:rsidR="00D9711F">
        <w:rPr>
          <w:rFonts w:ascii="Calibri" w:hAnsi="Calibri" w:cs="Times New Roman"/>
          <w:color w:val="auto"/>
          <w:sz w:val="22"/>
          <w:szCs w:val="22"/>
        </w:rPr>
        <w:t xml:space="preserve"> issues illustrates the need for consolidation.  </w:t>
      </w:r>
      <w:r w:rsidR="00545B38">
        <w:rPr>
          <w:rFonts w:ascii="Calibri" w:hAnsi="Calibri" w:cs="Times New Roman"/>
          <w:color w:val="auto"/>
          <w:sz w:val="22"/>
          <w:szCs w:val="22"/>
        </w:rPr>
        <w:t xml:space="preserve">We </w:t>
      </w:r>
      <w:r w:rsidR="00D9711F">
        <w:rPr>
          <w:rFonts w:ascii="Calibri" w:hAnsi="Calibri" w:cs="Times New Roman"/>
          <w:color w:val="auto"/>
          <w:sz w:val="22"/>
          <w:szCs w:val="22"/>
        </w:rPr>
        <w:t xml:space="preserve">would also note </w:t>
      </w:r>
      <w:r w:rsidR="00545B38">
        <w:rPr>
          <w:rFonts w:ascii="Calibri" w:hAnsi="Calibri" w:cs="Times New Roman"/>
          <w:color w:val="auto"/>
          <w:sz w:val="22"/>
          <w:szCs w:val="22"/>
        </w:rPr>
        <w:t>that the references in 2(8) seem to duplicat</w:t>
      </w:r>
      <w:r w:rsidR="008F2DAF">
        <w:rPr>
          <w:rFonts w:ascii="Calibri" w:hAnsi="Calibri" w:cs="Times New Roman"/>
          <w:color w:val="auto"/>
          <w:sz w:val="22"/>
          <w:szCs w:val="22"/>
        </w:rPr>
        <w:t>e</w:t>
      </w:r>
      <w:r w:rsidR="00545B38">
        <w:rPr>
          <w:rFonts w:ascii="Calibri" w:hAnsi="Calibri" w:cs="Times New Roman"/>
          <w:color w:val="auto"/>
          <w:sz w:val="22"/>
          <w:szCs w:val="22"/>
        </w:rPr>
        <w:t xml:space="preserve"> those in Article 4(7)</w:t>
      </w:r>
      <w:r w:rsidR="008F2DAF">
        <w:rPr>
          <w:rFonts w:ascii="Calibri" w:hAnsi="Calibri" w:cs="Times New Roman"/>
          <w:color w:val="auto"/>
          <w:sz w:val="22"/>
          <w:szCs w:val="22"/>
        </w:rPr>
        <w:t>,</w:t>
      </w:r>
      <w:r w:rsidR="00545B38">
        <w:rPr>
          <w:rFonts w:ascii="Calibri" w:hAnsi="Calibri" w:cs="Times New Roman"/>
          <w:color w:val="auto"/>
          <w:sz w:val="22"/>
          <w:szCs w:val="22"/>
        </w:rPr>
        <w:t xml:space="preserve"> concentration limits</w:t>
      </w:r>
      <w:r w:rsidR="00D9711F">
        <w:rPr>
          <w:rFonts w:ascii="Calibri" w:hAnsi="Calibri" w:cs="Times New Roman"/>
          <w:color w:val="auto"/>
          <w:sz w:val="22"/>
          <w:szCs w:val="22"/>
        </w:rPr>
        <w:t>.</w:t>
      </w:r>
    </w:p>
    <w:p w:rsidR="00545B38" w:rsidRDefault="00545B38" w:rsidP="00127E2F">
      <w:pPr>
        <w:pStyle w:val="Default"/>
        <w:rPr>
          <w:rFonts w:ascii="Calibri" w:hAnsi="Calibri" w:cs="Times New Roman"/>
          <w:color w:val="auto"/>
          <w:sz w:val="22"/>
          <w:szCs w:val="22"/>
        </w:rPr>
      </w:pPr>
    </w:p>
    <w:p w:rsidR="00545B38" w:rsidRDefault="00545B38" w:rsidP="00127E2F">
      <w:pPr>
        <w:pStyle w:val="Default"/>
        <w:rPr>
          <w:rFonts w:ascii="Calibri" w:hAnsi="Calibri" w:cs="Times New Roman"/>
          <w:i/>
          <w:color w:val="auto"/>
          <w:sz w:val="22"/>
          <w:szCs w:val="22"/>
        </w:rPr>
      </w:pPr>
      <w:r w:rsidRPr="00545B38">
        <w:rPr>
          <w:rFonts w:ascii="Calibri" w:hAnsi="Calibri" w:cs="Times New Roman"/>
          <w:i/>
          <w:color w:val="auto"/>
          <w:sz w:val="22"/>
          <w:szCs w:val="22"/>
        </w:rPr>
        <w:t>Reporting lines for risk officer and internal auditor</w:t>
      </w:r>
    </w:p>
    <w:p w:rsidR="00545B38" w:rsidRDefault="00545B38" w:rsidP="00127E2F">
      <w:pPr>
        <w:pStyle w:val="Default"/>
        <w:rPr>
          <w:rFonts w:ascii="Calibri" w:hAnsi="Calibri" w:cs="Times New Roman"/>
          <w:i/>
          <w:color w:val="auto"/>
          <w:sz w:val="22"/>
          <w:szCs w:val="22"/>
        </w:rPr>
      </w:pPr>
    </w:p>
    <w:p w:rsidR="00545B38" w:rsidRDefault="00545B38" w:rsidP="00127E2F">
      <w:pPr>
        <w:pStyle w:val="Default"/>
        <w:rPr>
          <w:rFonts w:ascii="Calibri" w:hAnsi="Calibri" w:cs="Times New Roman"/>
          <w:color w:val="auto"/>
          <w:sz w:val="22"/>
          <w:szCs w:val="22"/>
        </w:rPr>
      </w:pPr>
      <w:r w:rsidRPr="00545B38">
        <w:rPr>
          <w:rFonts w:ascii="Calibri" w:hAnsi="Calibri" w:cs="Times New Roman"/>
          <w:color w:val="auto"/>
          <w:sz w:val="22"/>
          <w:szCs w:val="22"/>
        </w:rPr>
        <w:t>Article 4 (6) ORG refers to the chief risk officer reporting to the board through</w:t>
      </w:r>
      <w:r>
        <w:rPr>
          <w:rFonts w:ascii="Calibri" w:hAnsi="Calibri" w:cs="Times New Roman"/>
          <w:color w:val="auto"/>
          <w:sz w:val="22"/>
          <w:szCs w:val="22"/>
        </w:rPr>
        <w:t xml:space="preserve"> one of its independent members and </w:t>
      </w:r>
      <w:r w:rsidR="006307A1">
        <w:rPr>
          <w:rFonts w:ascii="Calibri" w:hAnsi="Calibri" w:cs="Times New Roman"/>
          <w:color w:val="auto"/>
          <w:sz w:val="22"/>
          <w:szCs w:val="22"/>
        </w:rPr>
        <w:t xml:space="preserve">we </w:t>
      </w:r>
      <w:r>
        <w:rPr>
          <w:rFonts w:ascii="Calibri" w:hAnsi="Calibri" w:cs="Times New Roman"/>
          <w:color w:val="auto"/>
          <w:sz w:val="22"/>
          <w:szCs w:val="22"/>
        </w:rPr>
        <w:t xml:space="preserve">presume that that </w:t>
      </w:r>
      <w:r w:rsidR="006307A1">
        <w:rPr>
          <w:rFonts w:ascii="Calibri" w:hAnsi="Calibri" w:cs="Times New Roman"/>
          <w:color w:val="auto"/>
          <w:sz w:val="22"/>
          <w:szCs w:val="22"/>
        </w:rPr>
        <w:t xml:space="preserve">proposed </w:t>
      </w:r>
      <w:r>
        <w:rPr>
          <w:rFonts w:ascii="Calibri" w:hAnsi="Calibri" w:cs="Times New Roman"/>
          <w:color w:val="auto"/>
          <w:sz w:val="22"/>
          <w:szCs w:val="22"/>
        </w:rPr>
        <w:t>reporting line reflects the reference in the explanatory text to ESMA’s receipt of “…an interesting suggestion…to have an additional reporting line from the chief risk officer to an independent member of the board”.  Such a reporting line is logical insofar as the chair of the risk committee must, under EMIR, be an independent board director</w:t>
      </w:r>
      <w:r w:rsidR="005160CE">
        <w:rPr>
          <w:rFonts w:ascii="Calibri" w:hAnsi="Calibri" w:cs="Times New Roman"/>
          <w:color w:val="auto"/>
          <w:sz w:val="22"/>
          <w:szCs w:val="22"/>
        </w:rPr>
        <w:t xml:space="preserve">, but we do </w:t>
      </w:r>
      <w:r w:rsidR="006307A1">
        <w:rPr>
          <w:rFonts w:ascii="Calibri" w:hAnsi="Calibri" w:cs="Times New Roman"/>
          <w:color w:val="auto"/>
          <w:sz w:val="22"/>
          <w:szCs w:val="22"/>
        </w:rPr>
        <w:t xml:space="preserve">not </w:t>
      </w:r>
      <w:r w:rsidR="005160CE">
        <w:rPr>
          <w:rFonts w:ascii="Calibri" w:hAnsi="Calibri" w:cs="Times New Roman"/>
          <w:color w:val="auto"/>
          <w:sz w:val="22"/>
          <w:szCs w:val="22"/>
        </w:rPr>
        <w:t xml:space="preserve">believe that the reporting line to the board should be exclusively through the chair of the risk committee: that may not be practicable in certain circumstances.  The latter point is a minor one, however, and our principal comment is that the logic of the reporting line from the chief risk officer to the independent director chair of the risk committee should also operate in respect of internal audit and the chair of the </w:t>
      </w:r>
      <w:r w:rsidR="005160CE">
        <w:rPr>
          <w:rFonts w:ascii="Calibri" w:hAnsi="Calibri" w:cs="Times New Roman"/>
          <w:color w:val="auto"/>
          <w:sz w:val="22"/>
          <w:szCs w:val="22"/>
        </w:rPr>
        <w:lastRenderedPageBreak/>
        <w:t xml:space="preserve">audit committee.  </w:t>
      </w:r>
      <w:r w:rsidR="006307A1">
        <w:rPr>
          <w:rFonts w:ascii="Calibri" w:hAnsi="Calibri" w:cs="Times New Roman"/>
          <w:color w:val="auto"/>
          <w:sz w:val="22"/>
          <w:szCs w:val="22"/>
        </w:rPr>
        <w:t>For reasons not made explicit in the introductory section of the consultative paper, t</w:t>
      </w:r>
      <w:r w:rsidR="005160CE">
        <w:rPr>
          <w:rFonts w:ascii="Calibri" w:hAnsi="Calibri" w:cs="Times New Roman"/>
          <w:color w:val="auto"/>
          <w:sz w:val="22"/>
          <w:szCs w:val="22"/>
        </w:rPr>
        <w:t>he current text ignores best practice standards in relation to audit comm</w:t>
      </w:r>
      <w:r w:rsidR="0033507C">
        <w:rPr>
          <w:rFonts w:ascii="Calibri" w:hAnsi="Calibri" w:cs="Times New Roman"/>
          <w:color w:val="auto"/>
          <w:sz w:val="22"/>
          <w:szCs w:val="22"/>
        </w:rPr>
        <w:t>ittees, at solo or group level.  More than that, it</w:t>
      </w:r>
      <w:r w:rsidR="005160CE">
        <w:rPr>
          <w:rFonts w:ascii="Calibri" w:hAnsi="Calibri" w:cs="Times New Roman"/>
          <w:color w:val="auto"/>
          <w:sz w:val="22"/>
          <w:szCs w:val="22"/>
        </w:rPr>
        <w:t xml:space="preserve"> seems to rule out</w:t>
      </w:r>
      <w:r w:rsidR="00C01EBE">
        <w:rPr>
          <w:rFonts w:ascii="Calibri" w:hAnsi="Calibri" w:cs="Times New Roman"/>
          <w:color w:val="auto"/>
          <w:sz w:val="22"/>
          <w:szCs w:val="22"/>
        </w:rPr>
        <w:t xml:space="preserve"> their existence</w:t>
      </w:r>
      <w:r w:rsidR="005160CE">
        <w:rPr>
          <w:rFonts w:ascii="Calibri" w:hAnsi="Calibri" w:cs="Times New Roman"/>
          <w:color w:val="auto"/>
          <w:sz w:val="22"/>
          <w:szCs w:val="22"/>
        </w:rPr>
        <w:t xml:space="preserve"> in its reference to internal audit reporting directly to the board.  A preferable text would </w:t>
      </w:r>
      <w:r w:rsidR="004C0606">
        <w:rPr>
          <w:rFonts w:ascii="Calibri" w:hAnsi="Calibri" w:cs="Times New Roman"/>
          <w:color w:val="auto"/>
          <w:sz w:val="22"/>
          <w:szCs w:val="22"/>
        </w:rPr>
        <w:t>read:</w:t>
      </w:r>
      <w:r w:rsidR="005160CE">
        <w:rPr>
          <w:rFonts w:ascii="Calibri" w:hAnsi="Calibri" w:cs="Times New Roman"/>
          <w:color w:val="auto"/>
          <w:sz w:val="22"/>
          <w:szCs w:val="22"/>
        </w:rPr>
        <w:t xml:space="preserve"> “</w:t>
      </w:r>
      <w:r w:rsidR="00C01EBE">
        <w:rPr>
          <w:rFonts w:ascii="Calibri" w:hAnsi="Calibri" w:cs="Times New Roman"/>
          <w:color w:val="auto"/>
          <w:sz w:val="22"/>
          <w:szCs w:val="22"/>
        </w:rPr>
        <w:t xml:space="preserve">Internal audit should report to the </w:t>
      </w:r>
      <w:r w:rsidR="00C2075D">
        <w:rPr>
          <w:rFonts w:ascii="Calibri" w:hAnsi="Calibri" w:cs="Times New Roman"/>
          <w:color w:val="auto"/>
          <w:sz w:val="22"/>
          <w:szCs w:val="22"/>
        </w:rPr>
        <w:t>b</w:t>
      </w:r>
      <w:r w:rsidR="00C01EBE">
        <w:rPr>
          <w:rFonts w:ascii="Calibri" w:hAnsi="Calibri" w:cs="Times New Roman"/>
          <w:color w:val="auto"/>
          <w:sz w:val="22"/>
          <w:szCs w:val="22"/>
        </w:rPr>
        <w:t xml:space="preserve">oard through the chair of </w:t>
      </w:r>
      <w:r w:rsidR="0033507C">
        <w:rPr>
          <w:rFonts w:ascii="Calibri" w:hAnsi="Calibri" w:cs="Times New Roman"/>
          <w:color w:val="auto"/>
          <w:sz w:val="22"/>
          <w:szCs w:val="22"/>
        </w:rPr>
        <w:t xml:space="preserve">the CCP’s </w:t>
      </w:r>
      <w:r w:rsidR="00C01EBE">
        <w:rPr>
          <w:rFonts w:ascii="Calibri" w:hAnsi="Calibri" w:cs="Times New Roman"/>
          <w:color w:val="auto"/>
          <w:sz w:val="22"/>
          <w:szCs w:val="22"/>
        </w:rPr>
        <w:t xml:space="preserve">audit committee </w:t>
      </w:r>
      <w:r w:rsidR="0033507C">
        <w:rPr>
          <w:rFonts w:ascii="Calibri" w:hAnsi="Calibri" w:cs="Times New Roman"/>
          <w:color w:val="auto"/>
          <w:sz w:val="22"/>
          <w:szCs w:val="22"/>
        </w:rPr>
        <w:t xml:space="preserve">or the chair of the audit committee of the group to which it belongs, </w:t>
      </w:r>
      <w:r w:rsidR="00C01EBE">
        <w:rPr>
          <w:rFonts w:ascii="Calibri" w:hAnsi="Calibri" w:cs="Times New Roman"/>
          <w:color w:val="auto"/>
          <w:sz w:val="22"/>
          <w:szCs w:val="22"/>
        </w:rPr>
        <w:t>if the</w:t>
      </w:r>
      <w:r w:rsidR="0033507C">
        <w:rPr>
          <w:rFonts w:ascii="Calibri" w:hAnsi="Calibri" w:cs="Times New Roman"/>
          <w:color w:val="auto"/>
          <w:sz w:val="22"/>
          <w:szCs w:val="22"/>
        </w:rPr>
        <w:t xml:space="preserve">re is such a </w:t>
      </w:r>
      <w:r w:rsidR="00C01EBE">
        <w:rPr>
          <w:rFonts w:ascii="Calibri" w:hAnsi="Calibri" w:cs="Times New Roman"/>
          <w:color w:val="auto"/>
          <w:sz w:val="22"/>
          <w:szCs w:val="22"/>
        </w:rPr>
        <w:t>committee”.</w:t>
      </w:r>
    </w:p>
    <w:p w:rsidR="0033507C" w:rsidRDefault="0033507C" w:rsidP="00127E2F">
      <w:pPr>
        <w:pStyle w:val="Default"/>
        <w:rPr>
          <w:rFonts w:ascii="Calibri" w:hAnsi="Calibri" w:cs="Times New Roman"/>
          <w:color w:val="auto"/>
          <w:sz w:val="22"/>
          <w:szCs w:val="22"/>
        </w:rPr>
      </w:pPr>
    </w:p>
    <w:p w:rsidR="0033507C" w:rsidRPr="0033507C" w:rsidRDefault="004C0606" w:rsidP="00127E2F">
      <w:pPr>
        <w:pStyle w:val="Default"/>
        <w:rPr>
          <w:rFonts w:ascii="Calibri" w:hAnsi="Calibri" w:cs="Times New Roman"/>
          <w:i/>
          <w:color w:val="auto"/>
          <w:sz w:val="22"/>
          <w:szCs w:val="22"/>
        </w:rPr>
      </w:pPr>
      <w:r w:rsidRPr="0033507C">
        <w:rPr>
          <w:rFonts w:ascii="Calibri" w:hAnsi="Calibri" w:cs="Times New Roman"/>
          <w:i/>
          <w:color w:val="auto"/>
          <w:sz w:val="22"/>
          <w:szCs w:val="22"/>
        </w:rPr>
        <w:t>Margins</w:t>
      </w:r>
      <w:r>
        <w:rPr>
          <w:rFonts w:ascii="Calibri" w:hAnsi="Calibri" w:cs="Times New Roman"/>
          <w:i/>
          <w:color w:val="auto"/>
          <w:sz w:val="22"/>
          <w:szCs w:val="22"/>
        </w:rPr>
        <w:t>:</w:t>
      </w:r>
      <w:r w:rsidR="009D52C8">
        <w:rPr>
          <w:rFonts w:ascii="Calibri" w:hAnsi="Calibri" w:cs="Times New Roman"/>
          <w:i/>
          <w:color w:val="auto"/>
          <w:sz w:val="22"/>
          <w:szCs w:val="22"/>
        </w:rPr>
        <w:t xml:space="preserve"> percentage confidence intervals and time horizons for the liquidation period</w:t>
      </w:r>
    </w:p>
    <w:p w:rsidR="0033507C" w:rsidRDefault="0033507C" w:rsidP="00127E2F">
      <w:pPr>
        <w:pStyle w:val="Default"/>
        <w:rPr>
          <w:rFonts w:ascii="Calibri" w:hAnsi="Calibri" w:cs="Times New Roman"/>
          <w:color w:val="auto"/>
          <w:sz w:val="22"/>
          <w:szCs w:val="22"/>
        </w:rPr>
      </w:pPr>
    </w:p>
    <w:p w:rsidR="0033507C" w:rsidRDefault="0033507C" w:rsidP="00127E2F">
      <w:pPr>
        <w:pStyle w:val="Default"/>
        <w:rPr>
          <w:rFonts w:ascii="Calibri" w:hAnsi="Calibri" w:cs="Times New Roman"/>
          <w:color w:val="auto"/>
          <w:sz w:val="22"/>
          <w:szCs w:val="22"/>
        </w:rPr>
      </w:pPr>
      <w:r>
        <w:rPr>
          <w:rFonts w:ascii="Calibri" w:hAnsi="Calibri" w:cs="Times New Roman"/>
          <w:color w:val="auto"/>
          <w:sz w:val="22"/>
          <w:szCs w:val="22"/>
        </w:rPr>
        <w:t>The introductory text explains that the proposals, which we would classify as likely to increase initial margin requirements</w:t>
      </w:r>
      <w:r w:rsidR="004C0606" w:rsidRPr="004C0606">
        <w:rPr>
          <w:rFonts w:ascii="Calibri" w:hAnsi="Calibri" w:cs="Times New Roman"/>
          <w:color w:val="auto"/>
          <w:sz w:val="22"/>
          <w:szCs w:val="22"/>
        </w:rPr>
        <w:t xml:space="preserve"> </w:t>
      </w:r>
      <w:r w:rsidR="004C0606">
        <w:rPr>
          <w:rFonts w:ascii="Calibri" w:hAnsi="Calibri" w:cs="Times New Roman"/>
          <w:color w:val="auto"/>
          <w:sz w:val="22"/>
          <w:szCs w:val="22"/>
        </w:rPr>
        <w:t>from current levels</w:t>
      </w:r>
      <w:r>
        <w:rPr>
          <w:rFonts w:ascii="Calibri" w:hAnsi="Calibri" w:cs="Times New Roman"/>
          <w:color w:val="auto"/>
          <w:sz w:val="22"/>
          <w:szCs w:val="22"/>
        </w:rPr>
        <w:t>, in some cases quite appreciably</w:t>
      </w:r>
      <w:r w:rsidR="006F5836">
        <w:rPr>
          <w:rFonts w:ascii="Calibri" w:hAnsi="Calibri" w:cs="Times New Roman"/>
          <w:color w:val="auto"/>
          <w:sz w:val="22"/>
          <w:szCs w:val="22"/>
        </w:rPr>
        <w:t>, are in essence driven by the regulatory desire to increase margins to limit pro-cyclicality, supported by banks’ (dealers’) views favouring greater coverage of tail risk</w:t>
      </w:r>
      <w:r w:rsidR="00407910">
        <w:rPr>
          <w:rFonts w:ascii="Calibri" w:hAnsi="Calibri" w:cs="Times New Roman"/>
          <w:color w:val="auto"/>
          <w:sz w:val="22"/>
          <w:szCs w:val="22"/>
        </w:rPr>
        <w:t xml:space="preserve"> through</w:t>
      </w:r>
      <w:r w:rsidR="006F5836">
        <w:rPr>
          <w:rFonts w:ascii="Calibri" w:hAnsi="Calibri" w:cs="Times New Roman"/>
          <w:color w:val="auto"/>
          <w:sz w:val="22"/>
          <w:szCs w:val="22"/>
        </w:rPr>
        <w:t xml:space="preserve"> margins (adjustment of the margin/default fund boundary).</w:t>
      </w:r>
    </w:p>
    <w:p w:rsidR="006F5836" w:rsidRDefault="006F5836" w:rsidP="00127E2F">
      <w:pPr>
        <w:pStyle w:val="Default"/>
        <w:rPr>
          <w:rFonts w:ascii="Calibri" w:hAnsi="Calibri" w:cs="Times New Roman"/>
          <w:color w:val="auto"/>
          <w:sz w:val="22"/>
          <w:szCs w:val="22"/>
        </w:rPr>
      </w:pPr>
    </w:p>
    <w:p w:rsidR="00032D25" w:rsidRDefault="006F5836" w:rsidP="00127E2F">
      <w:pPr>
        <w:pStyle w:val="Default"/>
        <w:rPr>
          <w:rFonts w:ascii="Calibri" w:hAnsi="Calibri" w:cs="Times New Roman"/>
          <w:color w:val="auto"/>
          <w:sz w:val="22"/>
          <w:szCs w:val="22"/>
        </w:rPr>
      </w:pPr>
      <w:r>
        <w:rPr>
          <w:rFonts w:ascii="Calibri" w:hAnsi="Calibri" w:cs="Times New Roman"/>
          <w:color w:val="auto"/>
          <w:sz w:val="22"/>
          <w:szCs w:val="22"/>
        </w:rPr>
        <w:t>The result is proposals that establish differential minimum margining rules for</w:t>
      </w:r>
      <w:r w:rsidR="00455272">
        <w:rPr>
          <w:rFonts w:ascii="Calibri" w:hAnsi="Calibri" w:cs="Times New Roman"/>
          <w:color w:val="auto"/>
          <w:sz w:val="22"/>
          <w:szCs w:val="22"/>
        </w:rPr>
        <w:t xml:space="preserve"> cleared OTC derivatives, on the one hand, and </w:t>
      </w:r>
      <w:r w:rsidR="00736FD0">
        <w:rPr>
          <w:rFonts w:ascii="Calibri" w:hAnsi="Calibri" w:cs="Times New Roman"/>
          <w:color w:val="auto"/>
          <w:sz w:val="22"/>
          <w:szCs w:val="22"/>
        </w:rPr>
        <w:t xml:space="preserve">for </w:t>
      </w:r>
      <w:r w:rsidR="00455272">
        <w:rPr>
          <w:rFonts w:ascii="Calibri" w:hAnsi="Calibri" w:cs="Times New Roman"/>
          <w:color w:val="auto"/>
          <w:sz w:val="22"/>
          <w:szCs w:val="22"/>
        </w:rPr>
        <w:t>other cleared contracts, on the other.</w:t>
      </w:r>
      <w:r w:rsidR="00D9711F">
        <w:rPr>
          <w:rFonts w:ascii="Calibri" w:hAnsi="Calibri" w:cs="Times New Roman"/>
          <w:color w:val="auto"/>
          <w:sz w:val="22"/>
          <w:szCs w:val="22"/>
        </w:rPr>
        <w:t xml:space="preserve"> The reasoning is general, being in essence that OTC derivatives share a number of characteristics that warrant more conservatism in risk management than ‘listed’ products, and that the CPSS-IOSCO principles make that case.</w:t>
      </w:r>
      <w:r w:rsidR="00032D25">
        <w:rPr>
          <w:rFonts w:ascii="Calibri" w:hAnsi="Calibri" w:cs="Times New Roman"/>
          <w:color w:val="auto"/>
          <w:sz w:val="22"/>
          <w:szCs w:val="22"/>
        </w:rPr>
        <w:t xml:space="preserve"> Building on the minimum rules, ESMA then proposes that higher standards should be </w:t>
      </w:r>
      <w:r w:rsidR="00B60226">
        <w:rPr>
          <w:rFonts w:ascii="Calibri" w:hAnsi="Calibri" w:cs="Times New Roman"/>
          <w:color w:val="auto"/>
          <w:sz w:val="22"/>
          <w:szCs w:val="22"/>
        </w:rPr>
        <w:t>applied on the basis of risk assessment.</w:t>
      </w:r>
    </w:p>
    <w:p w:rsidR="00032D25" w:rsidRDefault="00032D25" w:rsidP="00127E2F">
      <w:pPr>
        <w:pStyle w:val="Default"/>
        <w:rPr>
          <w:rFonts w:ascii="Calibri" w:hAnsi="Calibri" w:cs="Times New Roman"/>
          <w:color w:val="auto"/>
          <w:sz w:val="22"/>
          <w:szCs w:val="22"/>
        </w:rPr>
      </w:pPr>
    </w:p>
    <w:p w:rsidR="00BB6119" w:rsidRDefault="00032D25" w:rsidP="00127E2F">
      <w:pPr>
        <w:pStyle w:val="Default"/>
        <w:rPr>
          <w:rFonts w:ascii="Calibri" w:hAnsi="Calibri" w:cs="Times New Roman"/>
          <w:color w:val="auto"/>
          <w:sz w:val="22"/>
          <w:szCs w:val="22"/>
        </w:rPr>
      </w:pPr>
      <w:r>
        <w:rPr>
          <w:rFonts w:ascii="Calibri" w:hAnsi="Calibri" w:cs="Times New Roman"/>
          <w:color w:val="auto"/>
          <w:sz w:val="22"/>
          <w:szCs w:val="22"/>
        </w:rPr>
        <w:t xml:space="preserve">For reasons advanced in our input to ESMA’s initial discussion document, we </w:t>
      </w:r>
      <w:r w:rsidR="001D655A">
        <w:rPr>
          <w:rFonts w:ascii="Calibri" w:hAnsi="Calibri" w:cs="Times New Roman"/>
          <w:color w:val="auto"/>
          <w:sz w:val="22"/>
          <w:szCs w:val="22"/>
        </w:rPr>
        <w:t>believe that appropriate margins should be viewed on a case</w:t>
      </w:r>
      <w:r w:rsidR="00725E3A">
        <w:rPr>
          <w:rFonts w:ascii="Calibri" w:hAnsi="Calibri" w:cs="Times New Roman"/>
          <w:color w:val="auto"/>
          <w:sz w:val="22"/>
          <w:szCs w:val="22"/>
        </w:rPr>
        <w:t>-</w:t>
      </w:r>
      <w:r w:rsidR="001D655A">
        <w:rPr>
          <w:rFonts w:ascii="Calibri" w:hAnsi="Calibri" w:cs="Times New Roman"/>
          <w:color w:val="auto"/>
          <w:sz w:val="22"/>
          <w:szCs w:val="22"/>
        </w:rPr>
        <w:t>by</w:t>
      </w:r>
      <w:r w:rsidR="00725E3A">
        <w:rPr>
          <w:rFonts w:ascii="Calibri" w:hAnsi="Calibri" w:cs="Times New Roman"/>
          <w:color w:val="auto"/>
          <w:sz w:val="22"/>
          <w:szCs w:val="22"/>
        </w:rPr>
        <w:t>-</w:t>
      </w:r>
      <w:r w:rsidR="001D655A">
        <w:rPr>
          <w:rFonts w:ascii="Calibri" w:hAnsi="Calibri" w:cs="Times New Roman"/>
          <w:color w:val="auto"/>
          <w:sz w:val="22"/>
          <w:szCs w:val="22"/>
        </w:rPr>
        <w:t xml:space="preserve">case basis, with liquidity and market depth as the principal determinants, and that broad-brush rules can be inappropriate.  </w:t>
      </w:r>
      <w:r w:rsidR="00D7406C">
        <w:rPr>
          <w:rFonts w:ascii="Calibri" w:hAnsi="Calibri" w:cs="Times New Roman"/>
          <w:color w:val="auto"/>
          <w:sz w:val="22"/>
          <w:szCs w:val="22"/>
        </w:rPr>
        <w:t xml:space="preserve">Reduced </w:t>
      </w:r>
      <w:r w:rsidR="00BB6119">
        <w:rPr>
          <w:rFonts w:ascii="Calibri" w:hAnsi="Calibri" w:cs="Times New Roman"/>
          <w:color w:val="auto"/>
          <w:sz w:val="22"/>
          <w:szCs w:val="22"/>
        </w:rPr>
        <w:t>liquidity is mentioned in the introductory explanation as a negative aspect of the proposals, “</w:t>
      </w:r>
      <w:r w:rsidR="008E4BBE">
        <w:rPr>
          <w:rFonts w:ascii="Calibri" w:hAnsi="Calibri" w:cs="Times New Roman"/>
          <w:color w:val="auto"/>
          <w:sz w:val="22"/>
          <w:szCs w:val="22"/>
        </w:rPr>
        <w:t xml:space="preserve">…too high margins as a consequence of the higher confidence interval might </w:t>
      </w:r>
      <w:r w:rsidR="00BB6119">
        <w:rPr>
          <w:rFonts w:ascii="Calibri" w:hAnsi="Calibri" w:cs="Times New Roman"/>
          <w:color w:val="auto"/>
          <w:sz w:val="22"/>
          <w:szCs w:val="22"/>
        </w:rPr>
        <w:t xml:space="preserve">disincentivise trading in particular products, thus reducing their liquidity” (p.30). This risk does not seem to have received adequate recognition, not least in relation to default management, where illiquidity can undermine established protections. </w:t>
      </w:r>
    </w:p>
    <w:p w:rsidR="00BB6119" w:rsidRDefault="00BB6119" w:rsidP="00127E2F">
      <w:pPr>
        <w:pStyle w:val="Default"/>
        <w:rPr>
          <w:rFonts w:ascii="Calibri" w:hAnsi="Calibri" w:cs="Times New Roman"/>
          <w:color w:val="auto"/>
          <w:sz w:val="22"/>
          <w:szCs w:val="22"/>
        </w:rPr>
      </w:pPr>
    </w:p>
    <w:p w:rsidR="00EB40E9" w:rsidRDefault="002D286D" w:rsidP="00127E2F">
      <w:pPr>
        <w:pStyle w:val="Default"/>
        <w:rPr>
          <w:rFonts w:ascii="Calibri" w:hAnsi="Calibri" w:cs="Times New Roman"/>
          <w:color w:val="auto"/>
          <w:sz w:val="22"/>
          <w:szCs w:val="22"/>
        </w:rPr>
      </w:pPr>
      <w:r>
        <w:rPr>
          <w:rFonts w:ascii="Calibri" w:hAnsi="Calibri" w:cs="Times New Roman"/>
          <w:color w:val="auto"/>
          <w:sz w:val="22"/>
          <w:szCs w:val="22"/>
        </w:rPr>
        <w:t xml:space="preserve">We do not regard a simplistic distinction between OTC derivatives and other cleared products as appropriate.  </w:t>
      </w:r>
      <w:r w:rsidR="001D655A">
        <w:rPr>
          <w:rFonts w:ascii="Calibri" w:hAnsi="Calibri" w:cs="Times New Roman"/>
          <w:color w:val="auto"/>
          <w:sz w:val="22"/>
          <w:szCs w:val="22"/>
        </w:rPr>
        <w:t xml:space="preserve">To be concrete in respect of our reservations, we regard the proposals in terms of percentage coverage and liquidation time horizons as appropriate for IRS and CDS, and the liquidation periods in the proposals of course resemble a typical </w:t>
      </w:r>
      <w:r w:rsidR="00B60226">
        <w:rPr>
          <w:rFonts w:ascii="Calibri" w:hAnsi="Calibri" w:cs="Times New Roman"/>
          <w:color w:val="auto"/>
          <w:sz w:val="22"/>
          <w:szCs w:val="22"/>
        </w:rPr>
        <w:t>‘</w:t>
      </w:r>
      <w:r w:rsidR="001D655A">
        <w:rPr>
          <w:rFonts w:ascii="Calibri" w:hAnsi="Calibri" w:cs="Times New Roman"/>
          <w:color w:val="auto"/>
          <w:sz w:val="22"/>
          <w:szCs w:val="22"/>
        </w:rPr>
        <w:t>time to complet</w:t>
      </w:r>
      <w:r w:rsidR="00B60226">
        <w:rPr>
          <w:rFonts w:ascii="Calibri" w:hAnsi="Calibri" w:cs="Times New Roman"/>
          <w:color w:val="auto"/>
          <w:sz w:val="22"/>
          <w:szCs w:val="22"/>
        </w:rPr>
        <w:t>ion</w:t>
      </w:r>
      <w:r w:rsidR="001D655A">
        <w:rPr>
          <w:rFonts w:ascii="Calibri" w:hAnsi="Calibri" w:cs="Times New Roman"/>
          <w:color w:val="auto"/>
          <w:sz w:val="22"/>
          <w:szCs w:val="22"/>
        </w:rPr>
        <w:t xml:space="preserve"> of auction schedule</w:t>
      </w:r>
      <w:r w:rsidR="00B60226">
        <w:rPr>
          <w:rFonts w:ascii="Calibri" w:hAnsi="Calibri" w:cs="Times New Roman"/>
          <w:color w:val="auto"/>
          <w:sz w:val="22"/>
          <w:szCs w:val="22"/>
        </w:rPr>
        <w:t>’</w:t>
      </w:r>
      <w:r w:rsidR="001D655A">
        <w:rPr>
          <w:rFonts w:ascii="Calibri" w:hAnsi="Calibri" w:cs="Times New Roman"/>
          <w:color w:val="auto"/>
          <w:sz w:val="22"/>
          <w:szCs w:val="22"/>
        </w:rPr>
        <w:t xml:space="preserve"> for those asset classes.</w:t>
      </w:r>
      <w:r w:rsidR="00E7052A">
        <w:rPr>
          <w:rFonts w:ascii="Calibri" w:hAnsi="Calibri" w:cs="Times New Roman"/>
          <w:color w:val="auto"/>
          <w:sz w:val="22"/>
          <w:szCs w:val="22"/>
        </w:rPr>
        <w:t xml:space="preserve">  We do </w:t>
      </w:r>
      <w:r w:rsidR="00627DF2">
        <w:rPr>
          <w:rFonts w:ascii="Calibri" w:hAnsi="Calibri" w:cs="Times New Roman"/>
          <w:color w:val="auto"/>
          <w:sz w:val="22"/>
          <w:szCs w:val="22"/>
        </w:rPr>
        <w:t xml:space="preserve">not </w:t>
      </w:r>
      <w:r w:rsidR="00E7052A">
        <w:rPr>
          <w:rFonts w:ascii="Calibri" w:hAnsi="Calibri" w:cs="Times New Roman"/>
          <w:color w:val="auto"/>
          <w:sz w:val="22"/>
          <w:szCs w:val="22"/>
        </w:rPr>
        <w:t xml:space="preserve">regard them as appropriate for those OTC commodity derivatives that have a longer record of clearing, including client clearing, and which are closely twinned with exchange-traded derivatives. </w:t>
      </w:r>
      <w:r w:rsidR="00B60226">
        <w:rPr>
          <w:rFonts w:ascii="Calibri" w:hAnsi="Calibri" w:cs="Times New Roman"/>
          <w:color w:val="auto"/>
          <w:sz w:val="22"/>
          <w:szCs w:val="22"/>
        </w:rPr>
        <w:t xml:space="preserve"> The adverse impact of </w:t>
      </w:r>
      <w:r w:rsidR="00627DF2">
        <w:rPr>
          <w:rFonts w:ascii="Calibri" w:hAnsi="Calibri" w:cs="Times New Roman"/>
          <w:color w:val="auto"/>
          <w:sz w:val="22"/>
          <w:szCs w:val="22"/>
        </w:rPr>
        <w:t xml:space="preserve">the </w:t>
      </w:r>
      <w:r w:rsidR="00B60226">
        <w:rPr>
          <w:rFonts w:ascii="Calibri" w:hAnsi="Calibri" w:cs="Times New Roman"/>
          <w:color w:val="auto"/>
          <w:sz w:val="22"/>
          <w:szCs w:val="22"/>
        </w:rPr>
        <w:t>higher margins</w:t>
      </w:r>
      <w:r w:rsidR="00E7052A">
        <w:rPr>
          <w:rFonts w:ascii="Calibri" w:hAnsi="Calibri" w:cs="Times New Roman"/>
          <w:color w:val="auto"/>
          <w:sz w:val="22"/>
          <w:szCs w:val="22"/>
        </w:rPr>
        <w:t xml:space="preserve"> </w:t>
      </w:r>
      <w:r w:rsidR="00627DF2">
        <w:rPr>
          <w:rFonts w:ascii="Calibri" w:hAnsi="Calibri" w:cs="Times New Roman"/>
          <w:color w:val="auto"/>
          <w:sz w:val="22"/>
          <w:szCs w:val="22"/>
        </w:rPr>
        <w:t xml:space="preserve">on liquidity </w:t>
      </w:r>
      <w:r w:rsidR="00407910">
        <w:rPr>
          <w:rFonts w:ascii="Calibri" w:hAnsi="Calibri" w:cs="Times New Roman"/>
          <w:color w:val="auto"/>
          <w:sz w:val="22"/>
          <w:szCs w:val="22"/>
        </w:rPr>
        <w:t>referred to above</w:t>
      </w:r>
      <w:r w:rsidR="00627DF2">
        <w:rPr>
          <w:rFonts w:ascii="Calibri" w:hAnsi="Calibri" w:cs="Times New Roman"/>
          <w:color w:val="auto"/>
          <w:sz w:val="22"/>
          <w:szCs w:val="22"/>
        </w:rPr>
        <w:t xml:space="preserve"> could be particularly pronounced in respect of cleared OTC commodity derivatives.  We consider that</w:t>
      </w:r>
      <w:r w:rsidR="00E7052A">
        <w:rPr>
          <w:rFonts w:ascii="Calibri" w:hAnsi="Calibri" w:cs="Times New Roman"/>
          <w:color w:val="auto"/>
          <w:sz w:val="22"/>
          <w:szCs w:val="22"/>
        </w:rPr>
        <w:t xml:space="preserve"> the proposed ‘other financial instruments’ minimum rules, which are also those indicated in the CPSS-IOSCO principles, are more appropriate</w:t>
      </w:r>
      <w:r w:rsidR="00725E3A">
        <w:rPr>
          <w:rFonts w:ascii="Calibri" w:hAnsi="Calibri" w:cs="Times New Roman"/>
          <w:color w:val="auto"/>
          <w:sz w:val="22"/>
          <w:szCs w:val="22"/>
        </w:rPr>
        <w:t xml:space="preserve"> to those OTC commodity derivatives</w:t>
      </w:r>
      <w:r w:rsidR="00E7052A">
        <w:rPr>
          <w:rFonts w:ascii="Calibri" w:hAnsi="Calibri" w:cs="Times New Roman"/>
          <w:color w:val="auto"/>
          <w:sz w:val="22"/>
          <w:szCs w:val="22"/>
        </w:rPr>
        <w:t>, combined with a rule stipulating that additional margin requirements (add-ons) should be</w:t>
      </w:r>
      <w:r w:rsidR="00725E3A">
        <w:rPr>
          <w:rFonts w:ascii="Calibri" w:hAnsi="Calibri" w:cs="Times New Roman"/>
          <w:color w:val="auto"/>
          <w:sz w:val="22"/>
          <w:szCs w:val="22"/>
        </w:rPr>
        <w:t xml:space="preserve"> used to reflect differences in liquidity and market depth. </w:t>
      </w:r>
      <w:r>
        <w:rPr>
          <w:rFonts w:ascii="Calibri" w:hAnsi="Calibri" w:cs="Times New Roman"/>
          <w:color w:val="auto"/>
          <w:sz w:val="22"/>
          <w:szCs w:val="22"/>
        </w:rPr>
        <w:t xml:space="preserve"> </w:t>
      </w:r>
    </w:p>
    <w:p w:rsidR="00EB40E9" w:rsidRDefault="00EB40E9" w:rsidP="00127E2F">
      <w:pPr>
        <w:pStyle w:val="Default"/>
        <w:rPr>
          <w:rFonts w:ascii="Calibri" w:hAnsi="Calibri" w:cs="Times New Roman"/>
          <w:color w:val="auto"/>
          <w:sz w:val="22"/>
          <w:szCs w:val="22"/>
        </w:rPr>
      </w:pPr>
    </w:p>
    <w:p w:rsidR="00300718" w:rsidRPr="00B44766" w:rsidRDefault="00C06DDE" w:rsidP="00B44766">
      <w:pPr>
        <w:pStyle w:val="Default"/>
        <w:rPr>
          <w:rFonts w:ascii="Calibri" w:hAnsi="Calibri"/>
          <w:sz w:val="22"/>
          <w:szCs w:val="22"/>
        </w:rPr>
      </w:pPr>
      <w:r w:rsidRPr="00B44766">
        <w:rPr>
          <w:rFonts w:ascii="Calibri" w:hAnsi="Calibri" w:cs="Times New Roman"/>
          <w:color w:val="auto"/>
          <w:sz w:val="22"/>
          <w:szCs w:val="22"/>
        </w:rPr>
        <w:t>CME believe that the minimum confidence interval for all products should be 99% rather than 99.5%. The rationale for this being:</w:t>
      </w:r>
    </w:p>
    <w:p w:rsidR="00300718" w:rsidRPr="00B44766" w:rsidRDefault="00C06DDE" w:rsidP="00B44766">
      <w:pPr>
        <w:pStyle w:val="CommentText"/>
        <w:numPr>
          <w:ilvl w:val="0"/>
          <w:numId w:val="4"/>
        </w:numPr>
        <w:rPr>
          <w:rFonts w:asciiTheme="minorHAnsi" w:hAnsiTheme="minorHAnsi" w:cstheme="minorHAnsi"/>
          <w:sz w:val="22"/>
        </w:rPr>
      </w:pPr>
      <w:r w:rsidRPr="00B44766">
        <w:rPr>
          <w:rFonts w:asciiTheme="minorHAnsi" w:hAnsiTheme="minorHAnsi" w:cstheme="minorHAnsi"/>
          <w:sz w:val="22"/>
        </w:rPr>
        <w:t xml:space="preserve">every CCP should design an overall solution that covers extreme historical events and “extreme yet plausible” theoretical events; however, when it comes to striking the balance between margins and the </w:t>
      </w:r>
      <w:r w:rsidR="004C0606">
        <w:rPr>
          <w:rFonts w:asciiTheme="minorHAnsi" w:hAnsiTheme="minorHAnsi" w:cstheme="minorHAnsi"/>
          <w:sz w:val="22"/>
        </w:rPr>
        <w:t>default</w:t>
      </w:r>
      <w:r w:rsidRPr="00B44766">
        <w:rPr>
          <w:rFonts w:asciiTheme="minorHAnsi" w:hAnsiTheme="minorHAnsi" w:cstheme="minorHAnsi"/>
          <w:sz w:val="22"/>
        </w:rPr>
        <w:t xml:space="preserve"> </w:t>
      </w:r>
      <w:r w:rsidR="004C0606">
        <w:rPr>
          <w:rFonts w:asciiTheme="minorHAnsi" w:hAnsiTheme="minorHAnsi" w:cstheme="minorHAnsi"/>
          <w:sz w:val="22"/>
        </w:rPr>
        <w:t>f</w:t>
      </w:r>
      <w:r w:rsidRPr="00B44766">
        <w:rPr>
          <w:rFonts w:asciiTheme="minorHAnsi" w:hAnsiTheme="minorHAnsi" w:cstheme="minorHAnsi"/>
          <w:sz w:val="22"/>
        </w:rPr>
        <w:t>und, the choice of a 99.5% confidence interval</w:t>
      </w:r>
      <w:r w:rsidR="004C0606">
        <w:rPr>
          <w:rFonts w:asciiTheme="minorHAnsi" w:hAnsiTheme="minorHAnsi" w:cstheme="minorHAnsi"/>
          <w:sz w:val="22"/>
        </w:rPr>
        <w:t>, rather than 99%,</w:t>
      </w:r>
      <w:r w:rsidRPr="00B44766">
        <w:rPr>
          <w:rFonts w:asciiTheme="minorHAnsi" w:hAnsiTheme="minorHAnsi" w:cstheme="minorHAnsi"/>
          <w:sz w:val="22"/>
        </w:rPr>
        <w:t xml:space="preserve"> means </w:t>
      </w:r>
      <w:r w:rsidRPr="00B44766">
        <w:rPr>
          <w:rFonts w:asciiTheme="minorHAnsi" w:hAnsiTheme="minorHAnsi" w:cstheme="minorHAnsi"/>
          <w:sz w:val="22"/>
        </w:rPr>
        <w:lastRenderedPageBreak/>
        <w:t xml:space="preserve">that margins are larger and </w:t>
      </w:r>
      <w:r w:rsidR="004C0606">
        <w:rPr>
          <w:rFonts w:asciiTheme="minorHAnsi" w:hAnsiTheme="minorHAnsi" w:cstheme="minorHAnsi"/>
          <w:sz w:val="22"/>
        </w:rPr>
        <w:t>default fund</w:t>
      </w:r>
      <w:r w:rsidRPr="00B44766">
        <w:rPr>
          <w:rFonts w:asciiTheme="minorHAnsi" w:hAnsiTheme="minorHAnsi" w:cstheme="minorHAnsi"/>
          <w:sz w:val="22"/>
        </w:rPr>
        <w:t xml:space="preserve"> contributions are lower, which could lead to an inefficient use of Clearing Members’ liquidity and may be detrimental to the market. </w:t>
      </w:r>
    </w:p>
    <w:p w:rsidR="00EB40E9" w:rsidRPr="00B44766" w:rsidRDefault="00EB40E9" w:rsidP="00EB40E9">
      <w:pPr>
        <w:pStyle w:val="CommentText"/>
        <w:rPr>
          <w:rFonts w:asciiTheme="minorHAnsi" w:hAnsiTheme="minorHAnsi" w:cstheme="minorHAnsi"/>
          <w:sz w:val="22"/>
        </w:rPr>
      </w:pPr>
    </w:p>
    <w:p w:rsidR="00300718" w:rsidRPr="00B44766" w:rsidRDefault="00C06DDE" w:rsidP="00B44766">
      <w:pPr>
        <w:pStyle w:val="CommentText"/>
        <w:numPr>
          <w:ilvl w:val="0"/>
          <w:numId w:val="4"/>
        </w:numPr>
        <w:rPr>
          <w:rFonts w:asciiTheme="minorHAnsi" w:hAnsiTheme="minorHAnsi" w:cstheme="minorHAnsi"/>
          <w:sz w:val="22"/>
        </w:rPr>
      </w:pPr>
      <w:r w:rsidRPr="00B44766">
        <w:rPr>
          <w:rFonts w:asciiTheme="minorHAnsi" w:hAnsiTheme="minorHAnsi" w:cstheme="minorHAnsi"/>
          <w:sz w:val="22"/>
        </w:rPr>
        <w:t xml:space="preserve">Inconsistency with US regulations which prescribe a minimum </w:t>
      </w:r>
      <w:r w:rsidR="004C0606">
        <w:rPr>
          <w:rFonts w:asciiTheme="minorHAnsi" w:hAnsiTheme="minorHAnsi" w:cstheme="minorHAnsi"/>
          <w:sz w:val="22"/>
        </w:rPr>
        <w:t xml:space="preserve">of </w:t>
      </w:r>
      <w:r w:rsidRPr="00B44766">
        <w:rPr>
          <w:rFonts w:asciiTheme="minorHAnsi" w:hAnsiTheme="minorHAnsi" w:cstheme="minorHAnsi"/>
          <w:sz w:val="22"/>
        </w:rPr>
        <w:t>99%</w:t>
      </w:r>
      <w:r w:rsidR="004C0606">
        <w:rPr>
          <w:rFonts w:asciiTheme="minorHAnsi" w:hAnsiTheme="minorHAnsi" w:cstheme="minorHAnsi"/>
          <w:sz w:val="22"/>
        </w:rPr>
        <w:t xml:space="preserve"> for all products</w:t>
      </w:r>
      <w:r w:rsidR="00252C6F">
        <w:rPr>
          <w:rFonts w:asciiTheme="minorHAnsi" w:hAnsiTheme="minorHAnsi" w:cstheme="minorHAnsi"/>
          <w:sz w:val="22"/>
        </w:rPr>
        <w:t>, which could lead to a loss of business from Europe to the US as Clearing Members take advantage of lower margin requirements, and therefore greater capital efficiencies, in the US.</w:t>
      </w:r>
    </w:p>
    <w:p w:rsidR="00EB40E9" w:rsidRPr="00B44766" w:rsidRDefault="00EB40E9" w:rsidP="00127E2F">
      <w:pPr>
        <w:pStyle w:val="Default"/>
        <w:rPr>
          <w:rFonts w:asciiTheme="minorHAnsi" w:hAnsiTheme="minorHAnsi" w:cstheme="minorHAnsi"/>
          <w:color w:val="auto"/>
          <w:szCs w:val="22"/>
        </w:rPr>
      </w:pPr>
    </w:p>
    <w:p w:rsidR="006F5836" w:rsidRDefault="00057967" w:rsidP="00127E2F">
      <w:pPr>
        <w:pStyle w:val="Default"/>
        <w:rPr>
          <w:rFonts w:ascii="Calibri" w:hAnsi="Calibri" w:cs="Times New Roman"/>
          <w:color w:val="auto"/>
          <w:sz w:val="22"/>
          <w:szCs w:val="22"/>
        </w:rPr>
      </w:pPr>
      <w:r>
        <w:rPr>
          <w:rFonts w:ascii="Calibri" w:hAnsi="Calibri" w:cs="Times New Roman"/>
          <w:color w:val="auto"/>
          <w:sz w:val="22"/>
          <w:szCs w:val="22"/>
        </w:rPr>
        <w:t>Regarding the liquidation period, w</w:t>
      </w:r>
      <w:r w:rsidR="00252C6F">
        <w:rPr>
          <w:rFonts w:ascii="Calibri" w:hAnsi="Calibri" w:cs="Times New Roman"/>
          <w:color w:val="auto"/>
          <w:sz w:val="22"/>
          <w:szCs w:val="22"/>
        </w:rPr>
        <w:t>e propose</w:t>
      </w:r>
      <w:r w:rsidR="004C0606">
        <w:rPr>
          <w:rFonts w:ascii="Calibri" w:hAnsi="Calibri" w:cs="Times New Roman"/>
          <w:color w:val="auto"/>
          <w:sz w:val="22"/>
          <w:szCs w:val="22"/>
        </w:rPr>
        <w:t>:</w:t>
      </w:r>
    </w:p>
    <w:p w:rsidR="00725E3A" w:rsidRDefault="00725E3A" w:rsidP="00127E2F">
      <w:pPr>
        <w:pStyle w:val="Default"/>
        <w:rPr>
          <w:rFonts w:ascii="Calibri" w:hAnsi="Calibri" w:cs="Times New Roman"/>
          <w:color w:val="auto"/>
          <w:sz w:val="22"/>
          <w:szCs w:val="22"/>
        </w:rPr>
      </w:pPr>
    </w:p>
    <w:p w:rsidR="00725E3A" w:rsidRDefault="00725E3A" w:rsidP="00725E3A">
      <w:pPr>
        <w:pStyle w:val="Default"/>
        <w:numPr>
          <w:ilvl w:val="0"/>
          <w:numId w:val="2"/>
        </w:numPr>
        <w:rPr>
          <w:rFonts w:ascii="Calibri" w:hAnsi="Calibri" w:cs="Times New Roman"/>
          <w:color w:val="auto"/>
          <w:sz w:val="22"/>
          <w:szCs w:val="22"/>
        </w:rPr>
      </w:pPr>
      <w:r>
        <w:rPr>
          <w:rFonts w:ascii="Calibri" w:hAnsi="Calibri" w:cs="Times New Roman"/>
          <w:color w:val="auto"/>
          <w:sz w:val="22"/>
          <w:szCs w:val="22"/>
        </w:rPr>
        <w:t>OTC derivatives with</w:t>
      </w:r>
      <w:r w:rsidR="00057967">
        <w:rPr>
          <w:rFonts w:ascii="Calibri" w:hAnsi="Calibri" w:cs="Times New Roman"/>
          <w:color w:val="auto"/>
          <w:sz w:val="22"/>
          <w:szCs w:val="22"/>
        </w:rPr>
        <w:t xml:space="preserve"> a</w:t>
      </w:r>
      <w:r>
        <w:rPr>
          <w:rFonts w:ascii="Calibri" w:hAnsi="Calibri" w:cs="Times New Roman"/>
          <w:color w:val="auto"/>
          <w:sz w:val="22"/>
          <w:szCs w:val="22"/>
        </w:rPr>
        <w:t xml:space="preserve"> formal default management auction</w:t>
      </w:r>
      <w:r w:rsidR="00057967">
        <w:rPr>
          <w:rFonts w:ascii="Calibri" w:hAnsi="Calibri" w:cs="Times New Roman"/>
          <w:color w:val="auto"/>
          <w:sz w:val="22"/>
          <w:szCs w:val="22"/>
        </w:rPr>
        <w:t>:</w:t>
      </w:r>
      <w:r>
        <w:rPr>
          <w:rFonts w:ascii="Calibri" w:hAnsi="Calibri" w:cs="Times New Roman"/>
          <w:color w:val="auto"/>
          <w:sz w:val="22"/>
          <w:szCs w:val="22"/>
        </w:rPr>
        <w:t xml:space="preserve"> 99% </w:t>
      </w:r>
      <w:r w:rsidR="00057967">
        <w:rPr>
          <w:rFonts w:ascii="Calibri" w:hAnsi="Calibri" w:cs="Times New Roman"/>
          <w:color w:val="auto"/>
          <w:sz w:val="22"/>
          <w:szCs w:val="22"/>
        </w:rPr>
        <w:t>confidence interval with a</w:t>
      </w:r>
      <w:r>
        <w:rPr>
          <w:rFonts w:ascii="Calibri" w:hAnsi="Calibri" w:cs="Times New Roman"/>
          <w:color w:val="auto"/>
          <w:sz w:val="22"/>
          <w:szCs w:val="22"/>
        </w:rPr>
        <w:t xml:space="preserve"> 5-day liquidation</w:t>
      </w:r>
      <w:r w:rsidR="00EB40E9">
        <w:rPr>
          <w:rFonts w:ascii="Calibri" w:hAnsi="Calibri" w:cs="Times New Roman"/>
          <w:color w:val="auto"/>
          <w:sz w:val="22"/>
          <w:szCs w:val="22"/>
        </w:rPr>
        <w:t xml:space="preserve"> period</w:t>
      </w:r>
      <w:r w:rsidR="00C423F8">
        <w:rPr>
          <w:rFonts w:ascii="Calibri" w:hAnsi="Calibri" w:cs="Times New Roman"/>
          <w:color w:val="auto"/>
          <w:sz w:val="22"/>
          <w:szCs w:val="22"/>
        </w:rPr>
        <w:t xml:space="preserve">. This time period is a conservative estimate of the time required to hedge or liquidate a book of OTC derivatives in developed markets. Products eligible for clearing need to satisfy this liquidity test. </w:t>
      </w:r>
    </w:p>
    <w:p w:rsidR="00725E3A" w:rsidRDefault="00725E3A" w:rsidP="00725E3A">
      <w:pPr>
        <w:pStyle w:val="Default"/>
        <w:numPr>
          <w:ilvl w:val="0"/>
          <w:numId w:val="2"/>
        </w:numPr>
        <w:rPr>
          <w:rFonts w:ascii="Calibri" w:hAnsi="Calibri" w:cs="Times New Roman"/>
          <w:color w:val="auto"/>
          <w:sz w:val="22"/>
          <w:szCs w:val="22"/>
        </w:rPr>
      </w:pPr>
      <w:r>
        <w:rPr>
          <w:rFonts w:ascii="Calibri" w:hAnsi="Calibri" w:cs="Times New Roman"/>
          <w:color w:val="auto"/>
          <w:sz w:val="22"/>
          <w:szCs w:val="22"/>
        </w:rPr>
        <w:t>All other cleared products</w:t>
      </w:r>
      <w:r w:rsidR="00057967">
        <w:rPr>
          <w:rFonts w:ascii="Calibri" w:hAnsi="Calibri" w:cs="Times New Roman"/>
          <w:color w:val="auto"/>
          <w:sz w:val="22"/>
          <w:szCs w:val="22"/>
        </w:rPr>
        <w:t>:</w:t>
      </w:r>
      <w:r>
        <w:rPr>
          <w:rFonts w:ascii="Calibri" w:hAnsi="Calibri" w:cs="Times New Roman"/>
          <w:color w:val="auto"/>
          <w:sz w:val="22"/>
          <w:szCs w:val="22"/>
        </w:rPr>
        <w:t xml:space="preserve"> 99% </w:t>
      </w:r>
      <w:r w:rsidR="00057967">
        <w:rPr>
          <w:rFonts w:ascii="Calibri" w:hAnsi="Calibri" w:cs="Times New Roman"/>
          <w:color w:val="auto"/>
          <w:sz w:val="22"/>
          <w:szCs w:val="22"/>
        </w:rPr>
        <w:t>confidence interval with a</w:t>
      </w:r>
      <w:r w:rsidR="00EB40E9">
        <w:rPr>
          <w:rFonts w:ascii="Calibri" w:hAnsi="Calibri" w:cs="Times New Roman"/>
          <w:color w:val="auto"/>
          <w:sz w:val="22"/>
          <w:szCs w:val="22"/>
        </w:rPr>
        <w:t xml:space="preserve"> </w:t>
      </w:r>
      <w:r>
        <w:rPr>
          <w:rFonts w:ascii="Calibri" w:hAnsi="Calibri" w:cs="Times New Roman"/>
          <w:color w:val="auto"/>
          <w:sz w:val="22"/>
          <w:szCs w:val="22"/>
        </w:rPr>
        <w:t>1-day</w:t>
      </w:r>
      <w:r w:rsidR="00EB40E9">
        <w:rPr>
          <w:rFonts w:ascii="Calibri" w:hAnsi="Calibri" w:cs="Times New Roman"/>
          <w:color w:val="auto"/>
          <w:sz w:val="22"/>
          <w:szCs w:val="22"/>
        </w:rPr>
        <w:t xml:space="preserve"> liquidation period</w:t>
      </w:r>
      <w:r w:rsidR="00057967">
        <w:rPr>
          <w:rFonts w:ascii="Calibri" w:hAnsi="Calibri" w:cs="Times New Roman"/>
          <w:color w:val="auto"/>
          <w:sz w:val="22"/>
          <w:szCs w:val="22"/>
        </w:rPr>
        <w:t>,</w:t>
      </w:r>
      <w:r w:rsidR="00EB40E9">
        <w:rPr>
          <w:rFonts w:ascii="Calibri" w:hAnsi="Calibri" w:cs="Times New Roman"/>
          <w:color w:val="auto"/>
          <w:sz w:val="22"/>
          <w:szCs w:val="22"/>
        </w:rPr>
        <w:t xml:space="preserve"> with liquidity add-ons as appropriate</w:t>
      </w:r>
      <w:r w:rsidR="00057967">
        <w:rPr>
          <w:rFonts w:ascii="Calibri" w:hAnsi="Calibri" w:cs="Times New Roman"/>
          <w:color w:val="auto"/>
          <w:sz w:val="22"/>
          <w:szCs w:val="22"/>
        </w:rPr>
        <w:t>, to be determined in conjunction with the Risk Committee.</w:t>
      </w:r>
    </w:p>
    <w:p w:rsidR="009D52C8" w:rsidRDefault="009D52C8" w:rsidP="00127E2F">
      <w:pPr>
        <w:pStyle w:val="Default"/>
        <w:rPr>
          <w:rFonts w:ascii="Calibri" w:hAnsi="Calibri" w:cs="Times New Roman"/>
          <w:color w:val="auto"/>
          <w:sz w:val="22"/>
          <w:szCs w:val="22"/>
        </w:rPr>
      </w:pPr>
    </w:p>
    <w:p w:rsidR="00455272" w:rsidRDefault="004C0606" w:rsidP="00127E2F">
      <w:pPr>
        <w:pStyle w:val="Default"/>
        <w:rPr>
          <w:rFonts w:ascii="Calibri" w:hAnsi="Calibri" w:cs="Times New Roman"/>
          <w:i/>
          <w:color w:val="auto"/>
          <w:sz w:val="22"/>
          <w:szCs w:val="22"/>
        </w:rPr>
      </w:pPr>
      <w:r w:rsidRPr="00736FD0">
        <w:rPr>
          <w:rFonts w:ascii="Calibri" w:hAnsi="Calibri" w:cs="Times New Roman"/>
          <w:i/>
          <w:color w:val="auto"/>
          <w:sz w:val="22"/>
          <w:szCs w:val="22"/>
        </w:rPr>
        <w:t>Margining:</w:t>
      </w:r>
      <w:r w:rsidR="00736FD0" w:rsidRPr="00736FD0">
        <w:rPr>
          <w:rFonts w:ascii="Calibri" w:hAnsi="Calibri" w:cs="Times New Roman"/>
          <w:i/>
          <w:color w:val="auto"/>
          <w:sz w:val="22"/>
          <w:szCs w:val="22"/>
        </w:rPr>
        <w:t xml:space="preserve"> time horizon </w:t>
      </w:r>
      <w:r w:rsidR="00736FD0">
        <w:rPr>
          <w:rFonts w:ascii="Calibri" w:hAnsi="Calibri" w:cs="Times New Roman"/>
          <w:i/>
          <w:color w:val="auto"/>
          <w:sz w:val="22"/>
          <w:szCs w:val="22"/>
        </w:rPr>
        <w:t xml:space="preserve">(look-back period) </w:t>
      </w:r>
      <w:r w:rsidR="00736FD0" w:rsidRPr="00736FD0">
        <w:rPr>
          <w:rFonts w:ascii="Calibri" w:hAnsi="Calibri" w:cs="Times New Roman"/>
          <w:i/>
          <w:color w:val="auto"/>
          <w:sz w:val="22"/>
          <w:szCs w:val="22"/>
        </w:rPr>
        <w:t>for the calculation of historical volatility</w:t>
      </w:r>
    </w:p>
    <w:p w:rsidR="00736FD0" w:rsidRDefault="00736FD0" w:rsidP="00127E2F">
      <w:pPr>
        <w:pStyle w:val="Default"/>
        <w:rPr>
          <w:rFonts w:ascii="Calibri" w:hAnsi="Calibri" w:cs="Times New Roman"/>
          <w:i/>
          <w:color w:val="auto"/>
          <w:sz w:val="22"/>
          <w:szCs w:val="22"/>
        </w:rPr>
      </w:pPr>
    </w:p>
    <w:p w:rsidR="00393F20" w:rsidRDefault="00736FD0" w:rsidP="00127E2F">
      <w:pPr>
        <w:pStyle w:val="Default"/>
        <w:rPr>
          <w:rFonts w:ascii="Calibri" w:hAnsi="Calibri" w:cs="Times New Roman"/>
          <w:color w:val="auto"/>
          <w:sz w:val="22"/>
          <w:szCs w:val="22"/>
        </w:rPr>
      </w:pPr>
      <w:r w:rsidRPr="00736FD0">
        <w:rPr>
          <w:rFonts w:ascii="Calibri" w:hAnsi="Calibri" w:cs="Times New Roman"/>
          <w:color w:val="auto"/>
          <w:sz w:val="22"/>
          <w:szCs w:val="22"/>
        </w:rPr>
        <w:t xml:space="preserve">The </w:t>
      </w:r>
      <w:r w:rsidR="00C061AA">
        <w:rPr>
          <w:rFonts w:ascii="Calibri" w:hAnsi="Calibri" w:cs="Times New Roman"/>
          <w:color w:val="auto"/>
          <w:sz w:val="22"/>
          <w:szCs w:val="22"/>
        </w:rPr>
        <w:t>proposal is a hybrid or compromise approach</w:t>
      </w:r>
      <w:r w:rsidR="00D17705">
        <w:rPr>
          <w:rFonts w:ascii="Calibri" w:hAnsi="Calibri" w:cs="Times New Roman"/>
          <w:color w:val="auto"/>
          <w:sz w:val="22"/>
          <w:szCs w:val="22"/>
        </w:rPr>
        <w:t>, which in the ‘most stressed market conditions’ reference period moves a key margin parameter towards a permanent stress-testing or default fund calibration parameter</w:t>
      </w:r>
      <w:r w:rsidR="002E5F1D">
        <w:rPr>
          <w:rFonts w:ascii="Calibri" w:hAnsi="Calibri" w:cs="Times New Roman"/>
          <w:color w:val="auto"/>
          <w:sz w:val="22"/>
          <w:szCs w:val="22"/>
        </w:rPr>
        <w:t xml:space="preserve">, </w:t>
      </w:r>
      <w:r w:rsidR="00D17705">
        <w:rPr>
          <w:rFonts w:ascii="Calibri" w:hAnsi="Calibri" w:cs="Times New Roman"/>
          <w:color w:val="auto"/>
          <w:sz w:val="22"/>
          <w:szCs w:val="22"/>
        </w:rPr>
        <w:t xml:space="preserve">but moderates that parameter with the ‘current volatility’ reference period, at least as long as current volatility is not at new historic highs. </w:t>
      </w:r>
      <w:r w:rsidR="009D1E29">
        <w:rPr>
          <w:rFonts w:ascii="Calibri" w:hAnsi="Calibri" w:cs="Times New Roman"/>
          <w:color w:val="auto"/>
          <w:sz w:val="22"/>
          <w:szCs w:val="22"/>
        </w:rPr>
        <w:t>This would seem certain to achieve the intended regulatory result, higher initial margins</w:t>
      </w:r>
      <w:r w:rsidR="00BB6119">
        <w:rPr>
          <w:rFonts w:ascii="Calibri" w:hAnsi="Calibri" w:cs="Times New Roman"/>
          <w:color w:val="auto"/>
          <w:sz w:val="22"/>
          <w:szCs w:val="22"/>
        </w:rPr>
        <w:t>,</w:t>
      </w:r>
      <w:r w:rsidR="00643CD7">
        <w:rPr>
          <w:rFonts w:ascii="Calibri" w:hAnsi="Calibri" w:cs="Times New Roman"/>
          <w:color w:val="auto"/>
          <w:sz w:val="22"/>
          <w:szCs w:val="22"/>
        </w:rPr>
        <w:t xml:space="preserve"> but in a way which must be classified as arbitrary. </w:t>
      </w:r>
      <w:r w:rsidR="00BB6119">
        <w:rPr>
          <w:rFonts w:ascii="Calibri" w:hAnsi="Calibri" w:cs="Times New Roman"/>
          <w:color w:val="auto"/>
          <w:sz w:val="22"/>
          <w:szCs w:val="22"/>
        </w:rPr>
        <w:t xml:space="preserve"> It seems to advance margins towards the “extreme but plausible” frontier, which is recognised in the technical standards as the province of the default fund and related stress testing rather than of margins.</w:t>
      </w:r>
      <w:r w:rsidR="002E5F1D">
        <w:rPr>
          <w:rFonts w:ascii="Calibri" w:hAnsi="Calibri" w:cs="Times New Roman"/>
          <w:color w:val="auto"/>
          <w:sz w:val="22"/>
          <w:szCs w:val="22"/>
        </w:rPr>
        <w:t xml:space="preserve">  ESMA states that most stakeholder respondents to its discussion document favoured an approach combining current and past reference periods. We doubt whether a majority would have expressed their support for the mechanical approach proposed, even if they</w:t>
      </w:r>
      <w:r w:rsidR="00785078">
        <w:rPr>
          <w:rFonts w:ascii="Calibri" w:hAnsi="Calibri" w:cs="Times New Roman"/>
          <w:color w:val="auto"/>
          <w:sz w:val="22"/>
          <w:szCs w:val="22"/>
        </w:rPr>
        <w:t xml:space="preserve"> favour both current and past volatility being taken into account.</w:t>
      </w:r>
      <w:r w:rsidR="002E5F1D">
        <w:rPr>
          <w:rFonts w:ascii="Calibri" w:hAnsi="Calibri" w:cs="Times New Roman"/>
          <w:color w:val="auto"/>
          <w:sz w:val="22"/>
          <w:szCs w:val="22"/>
        </w:rPr>
        <w:t xml:space="preserve"> </w:t>
      </w:r>
    </w:p>
    <w:p w:rsidR="00D17705" w:rsidRDefault="00D17705" w:rsidP="00127E2F">
      <w:pPr>
        <w:pStyle w:val="Default"/>
        <w:rPr>
          <w:rFonts w:ascii="Calibri" w:hAnsi="Calibri" w:cs="Times New Roman"/>
          <w:color w:val="auto"/>
          <w:sz w:val="22"/>
          <w:szCs w:val="22"/>
        </w:rPr>
      </w:pPr>
    </w:p>
    <w:p w:rsidR="00D17705" w:rsidRDefault="00D17705" w:rsidP="00127E2F">
      <w:pPr>
        <w:pStyle w:val="Default"/>
        <w:rPr>
          <w:rFonts w:ascii="Calibri" w:hAnsi="Calibri" w:cs="Times New Roman"/>
          <w:color w:val="auto"/>
          <w:sz w:val="22"/>
          <w:szCs w:val="22"/>
        </w:rPr>
      </w:pPr>
      <w:r>
        <w:rPr>
          <w:rFonts w:ascii="Calibri" w:hAnsi="Calibri" w:cs="Times New Roman"/>
          <w:color w:val="auto"/>
          <w:sz w:val="22"/>
          <w:szCs w:val="22"/>
        </w:rPr>
        <w:t xml:space="preserve">We favour bounded discretion for CCP risk managers, in conjunction with risk committees, </w:t>
      </w:r>
      <w:r w:rsidR="009D1E29">
        <w:rPr>
          <w:rFonts w:ascii="Calibri" w:hAnsi="Calibri" w:cs="Times New Roman"/>
          <w:color w:val="auto"/>
          <w:sz w:val="22"/>
          <w:szCs w:val="22"/>
        </w:rPr>
        <w:t xml:space="preserve">in which the relevance of historical moves </w:t>
      </w:r>
      <w:r w:rsidR="00057967">
        <w:rPr>
          <w:rFonts w:ascii="Calibri" w:hAnsi="Calibri" w:cs="Times New Roman"/>
          <w:color w:val="auto"/>
          <w:sz w:val="22"/>
          <w:szCs w:val="22"/>
        </w:rPr>
        <w:t xml:space="preserve">is objectively assessed alongside </w:t>
      </w:r>
      <w:r w:rsidR="009D1E29">
        <w:rPr>
          <w:rFonts w:ascii="Calibri" w:hAnsi="Calibri" w:cs="Times New Roman"/>
          <w:color w:val="auto"/>
          <w:sz w:val="22"/>
          <w:szCs w:val="22"/>
        </w:rPr>
        <w:t xml:space="preserve">more recent </w:t>
      </w:r>
      <w:r w:rsidR="00057967">
        <w:rPr>
          <w:rFonts w:ascii="Calibri" w:hAnsi="Calibri" w:cs="Times New Roman"/>
          <w:color w:val="auto"/>
          <w:sz w:val="22"/>
          <w:szCs w:val="22"/>
        </w:rPr>
        <w:t>history</w:t>
      </w:r>
      <w:r w:rsidR="009D1E29">
        <w:rPr>
          <w:rFonts w:ascii="Calibri" w:hAnsi="Calibri" w:cs="Times New Roman"/>
          <w:color w:val="auto"/>
          <w:sz w:val="22"/>
          <w:szCs w:val="22"/>
        </w:rPr>
        <w:t>, but not looking exclusively at as short a period as six months.</w:t>
      </w:r>
    </w:p>
    <w:p w:rsidR="009D1E29" w:rsidRDefault="009D1E29" w:rsidP="00127E2F">
      <w:pPr>
        <w:pStyle w:val="Default"/>
        <w:rPr>
          <w:rFonts w:ascii="Calibri" w:hAnsi="Calibri" w:cs="Times New Roman"/>
          <w:color w:val="auto"/>
          <w:sz w:val="22"/>
          <w:szCs w:val="22"/>
        </w:rPr>
      </w:pPr>
    </w:p>
    <w:p w:rsidR="000844F7" w:rsidRDefault="000844F7" w:rsidP="000844F7">
      <w:pPr>
        <w:pStyle w:val="Default"/>
        <w:rPr>
          <w:rFonts w:ascii="Calibri" w:hAnsi="Calibri" w:cs="Times New Roman"/>
          <w:color w:val="auto"/>
          <w:sz w:val="22"/>
          <w:szCs w:val="22"/>
        </w:rPr>
      </w:pPr>
      <w:r>
        <w:rPr>
          <w:rFonts w:ascii="Calibri" w:hAnsi="Calibri" w:cs="Times New Roman"/>
          <w:color w:val="auto"/>
          <w:sz w:val="22"/>
          <w:szCs w:val="22"/>
        </w:rPr>
        <w:t>A</w:t>
      </w:r>
      <w:r w:rsidRPr="000844F7">
        <w:rPr>
          <w:rFonts w:ascii="Calibri" w:hAnsi="Calibri" w:cs="Times New Roman"/>
          <w:color w:val="auto"/>
          <w:sz w:val="22"/>
          <w:szCs w:val="22"/>
        </w:rPr>
        <w:t xml:space="preserve"> </w:t>
      </w:r>
      <w:r>
        <w:rPr>
          <w:rFonts w:ascii="Calibri" w:hAnsi="Calibri" w:cs="Times New Roman"/>
          <w:color w:val="auto"/>
          <w:sz w:val="22"/>
          <w:szCs w:val="22"/>
        </w:rPr>
        <w:t>6 month</w:t>
      </w:r>
      <w:r w:rsidRPr="000844F7">
        <w:rPr>
          <w:rFonts w:ascii="Calibri" w:hAnsi="Calibri" w:cs="Times New Roman"/>
          <w:color w:val="auto"/>
          <w:sz w:val="22"/>
          <w:szCs w:val="22"/>
        </w:rPr>
        <w:t xml:space="preserve"> lookback period is insufficient for any reliable and statistically coherent risk measure, especially when the desired confidence interval is high (e.g. 99</w:t>
      </w:r>
      <w:r w:rsidR="00057967">
        <w:rPr>
          <w:rFonts w:ascii="Calibri" w:hAnsi="Calibri" w:cs="Times New Roman"/>
          <w:color w:val="auto"/>
          <w:sz w:val="22"/>
          <w:szCs w:val="22"/>
        </w:rPr>
        <w:t>%</w:t>
      </w:r>
      <w:r w:rsidRPr="000844F7">
        <w:rPr>
          <w:rFonts w:ascii="Calibri" w:hAnsi="Calibri" w:cs="Times New Roman"/>
          <w:color w:val="auto"/>
          <w:sz w:val="22"/>
          <w:szCs w:val="22"/>
        </w:rPr>
        <w:t xml:space="preserve"> or higher). The inclusion of the most volatile period </w:t>
      </w:r>
      <w:r w:rsidR="00C423F8">
        <w:rPr>
          <w:rFonts w:ascii="Calibri" w:hAnsi="Calibri" w:cs="Times New Roman"/>
          <w:color w:val="auto"/>
          <w:sz w:val="22"/>
          <w:szCs w:val="22"/>
        </w:rPr>
        <w:t>raises</w:t>
      </w:r>
      <w:r w:rsidRPr="000844F7">
        <w:rPr>
          <w:rFonts w:ascii="Calibri" w:hAnsi="Calibri" w:cs="Times New Roman"/>
          <w:color w:val="auto"/>
          <w:sz w:val="22"/>
          <w:szCs w:val="22"/>
        </w:rPr>
        <w:t xml:space="preserve"> </w:t>
      </w:r>
      <w:r w:rsidR="00C423F8">
        <w:rPr>
          <w:rFonts w:ascii="Calibri" w:hAnsi="Calibri" w:cs="Times New Roman"/>
          <w:color w:val="auto"/>
          <w:sz w:val="22"/>
          <w:szCs w:val="22"/>
        </w:rPr>
        <w:t>several</w:t>
      </w:r>
      <w:r w:rsidRPr="000844F7">
        <w:rPr>
          <w:rFonts w:ascii="Calibri" w:hAnsi="Calibri" w:cs="Times New Roman"/>
          <w:color w:val="auto"/>
          <w:sz w:val="22"/>
          <w:szCs w:val="22"/>
        </w:rPr>
        <w:t xml:space="preserve"> concerns</w:t>
      </w:r>
      <w:r>
        <w:rPr>
          <w:rFonts w:ascii="Calibri" w:hAnsi="Calibri" w:cs="Times New Roman"/>
          <w:color w:val="auto"/>
          <w:sz w:val="22"/>
          <w:szCs w:val="22"/>
        </w:rPr>
        <w:t>:</w:t>
      </w:r>
    </w:p>
    <w:p w:rsidR="000844F7" w:rsidRPr="00091C49" w:rsidRDefault="00C423F8" w:rsidP="000844F7">
      <w:pPr>
        <w:pStyle w:val="Default"/>
        <w:numPr>
          <w:ilvl w:val="0"/>
          <w:numId w:val="5"/>
        </w:numPr>
        <w:spacing w:before="120"/>
        <w:rPr>
          <w:rFonts w:ascii="Calibri" w:hAnsi="Calibri" w:cs="Times New Roman"/>
          <w:color w:val="auto"/>
          <w:sz w:val="22"/>
          <w:szCs w:val="22"/>
        </w:rPr>
      </w:pPr>
      <w:r>
        <w:rPr>
          <w:rFonts w:ascii="Calibri" w:hAnsi="Calibri" w:cs="Times New Roman"/>
          <w:color w:val="auto"/>
          <w:sz w:val="22"/>
          <w:szCs w:val="22"/>
        </w:rPr>
        <w:t>Historical VaR model</w:t>
      </w:r>
      <w:r w:rsidR="00B44766">
        <w:rPr>
          <w:rFonts w:ascii="Calibri" w:hAnsi="Calibri" w:cs="Times New Roman"/>
          <w:color w:val="auto"/>
          <w:sz w:val="22"/>
          <w:szCs w:val="22"/>
        </w:rPr>
        <w:t>s</w:t>
      </w:r>
      <w:r>
        <w:rPr>
          <w:rFonts w:ascii="Calibri" w:hAnsi="Calibri" w:cs="Times New Roman"/>
          <w:color w:val="auto"/>
          <w:sz w:val="22"/>
          <w:szCs w:val="22"/>
        </w:rPr>
        <w:t xml:space="preserve"> uses historical data in order to forecast potential changes in market parameters over the assumed liquidation period. Effective forecasting relies on sophisticated techniques, which take into account not only the observed volatility </w:t>
      </w:r>
      <w:r w:rsidR="00B44766">
        <w:rPr>
          <w:rFonts w:ascii="Calibri" w:hAnsi="Calibri" w:cs="Times New Roman"/>
          <w:color w:val="auto"/>
          <w:sz w:val="22"/>
          <w:szCs w:val="22"/>
        </w:rPr>
        <w:t>during</w:t>
      </w:r>
      <w:r>
        <w:rPr>
          <w:rFonts w:ascii="Calibri" w:hAnsi="Calibri" w:cs="Times New Roman"/>
          <w:color w:val="auto"/>
          <w:sz w:val="22"/>
          <w:szCs w:val="22"/>
        </w:rPr>
        <w:t xml:space="preserve"> the historical period, but also</w:t>
      </w:r>
      <w:r w:rsidR="00B44766">
        <w:rPr>
          <w:rFonts w:ascii="Calibri" w:hAnsi="Calibri" w:cs="Times New Roman"/>
          <w:color w:val="auto"/>
          <w:sz w:val="22"/>
          <w:szCs w:val="22"/>
        </w:rPr>
        <w:t xml:space="preserve"> the</w:t>
      </w:r>
      <w:r>
        <w:rPr>
          <w:rFonts w:ascii="Calibri" w:hAnsi="Calibri" w:cs="Times New Roman"/>
          <w:color w:val="auto"/>
          <w:sz w:val="22"/>
          <w:szCs w:val="22"/>
        </w:rPr>
        <w:t xml:space="preserve"> current volatility environment. Depending on </w:t>
      </w:r>
      <w:r w:rsidR="00D03791">
        <w:rPr>
          <w:rFonts w:ascii="Calibri" w:hAnsi="Calibri" w:cs="Times New Roman"/>
          <w:color w:val="auto"/>
          <w:sz w:val="22"/>
          <w:szCs w:val="22"/>
        </w:rPr>
        <w:t>portfolio composition, the most extreme scenarios used in VaR calculation</w:t>
      </w:r>
      <w:r w:rsidR="00B44766">
        <w:rPr>
          <w:rFonts w:ascii="Calibri" w:hAnsi="Calibri" w:cs="Times New Roman"/>
          <w:color w:val="auto"/>
          <w:sz w:val="22"/>
          <w:szCs w:val="22"/>
        </w:rPr>
        <w:t>s</w:t>
      </w:r>
      <w:r w:rsidR="00D03791">
        <w:rPr>
          <w:rFonts w:ascii="Calibri" w:hAnsi="Calibri" w:cs="Times New Roman"/>
          <w:color w:val="auto"/>
          <w:sz w:val="22"/>
          <w:szCs w:val="22"/>
        </w:rPr>
        <w:t xml:space="preserve"> are driven not by volatility per se, but rather by changes in the correlation structure between different tenors or other model variables. Therefore, the data from ostensibly the most volatile period</w:t>
      </w:r>
      <w:r>
        <w:rPr>
          <w:rFonts w:ascii="Calibri" w:hAnsi="Calibri" w:cs="Times New Roman"/>
          <w:color w:val="auto"/>
          <w:sz w:val="22"/>
          <w:szCs w:val="22"/>
        </w:rPr>
        <w:t xml:space="preserve"> </w:t>
      </w:r>
      <w:r w:rsidR="00D03791">
        <w:rPr>
          <w:rFonts w:ascii="Calibri" w:hAnsi="Calibri" w:cs="Times New Roman"/>
          <w:color w:val="auto"/>
          <w:sz w:val="22"/>
          <w:szCs w:val="22"/>
        </w:rPr>
        <w:t xml:space="preserve">may neither represent the most risk to the portfolio, nor adequately scale risk </w:t>
      </w:r>
      <w:r w:rsidR="005A5188">
        <w:rPr>
          <w:rFonts w:ascii="Calibri" w:hAnsi="Calibri" w:cs="Times New Roman"/>
          <w:color w:val="auto"/>
          <w:sz w:val="22"/>
          <w:szCs w:val="22"/>
        </w:rPr>
        <w:t>to reflect the</w:t>
      </w:r>
      <w:r w:rsidR="00D03791">
        <w:rPr>
          <w:rFonts w:ascii="Calibri" w:hAnsi="Calibri" w:cs="Times New Roman"/>
          <w:color w:val="auto"/>
          <w:sz w:val="22"/>
          <w:szCs w:val="22"/>
        </w:rPr>
        <w:t xml:space="preserve"> current economic environment. Prescriptive over-reliance on this data may breed </w:t>
      </w:r>
      <w:r w:rsidR="00091C49">
        <w:rPr>
          <w:rFonts w:ascii="Calibri" w:hAnsi="Calibri" w:cs="Times New Roman"/>
          <w:color w:val="auto"/>
          <w:sz w:val="22"/>
          <w:szCs w:val="22"/>
        </w:rPr>
        <w:t xml:space="preserve">a </w:t>
      </w:r>
      <w:r w:rsidR="00D03791">
        <w:rPr>
          <w:rFonts w:ascii="Calibri" w:hAnsi="Calibri" w:cs="Times New Roman"/>
          <w:color w:val="auto"/>
          <w:sz w:val="22"/>
          <w:szCs w:val="22"/>
        </w:rPr>
        <w:t xml:space="preserve">false sense of security and lead to complacency. </w:t>
      </w:r>
      <w:r w:rsidR="00D03791" w:rsidRPr="00091C49">
        <w:rPr>
          <w:rFonts w:ascii="Calibri" w:hAnsi="Calibri" w:cs="Times New Roman"/>
          <w:color w:val="auto"/>
          <w:sz w:val="22"/>
          <w:szCs w:val="22"/>
        </w:rPr>
        <w:t xml:space="preserve">We believe that the most extreme moves should be covered by the </w:t>
      </w:r>
      <w:r w:rsidR="00091C49" w:rsidRPr="00091C49">
        <w:rPr>
          <w:rFonts w:ascii="Calibri" w:hAnsi="Calibri" w:cs="Times New Roman"/>
          <w:color w:val="auto"/>
          <w:sz w:val="22"/>
          <w:szCs w:val="22"/>
        </w:rPr>
        <w:t>default</w:t>
      </w:r>
      <w:r w:rsidR="00D03791" w:rsidRPr="00091C49">
        <w:rPr>
          <w:rFonts w:ascii="Calibri" w:hAnsi="Calibri" w:cs="Times New Roman"/>
          <w:color w:val="auto"/>
          <w:sz w:val="22"/>
          <w:szCs w:val="22"/>
        </w:rPr>
        <w:t xml:space="preserve"> </w:t>
      </w:r>
      <w:r w:rsidR="00091C49" w:rsidRPr="00091C49">
        <w:rPr>
          <w:rFonts w:ascii="Calibri" w:hAnsi="Calibri" w:cs="Times New Roman"/>
          <w:color w:val="auto"/>
          <w:sz w:val="22"/>
          <w:szCs w:val="22"/>
        </w:rPr>
        <w:t>f</w:t>
      </w:r>
      <w:r w:rsidR="00D03791" w:rsidRPr="00091C49">
        <w:rPr>
          <w:rFonts w:ascii="Calibri" w:hAnsi="Calibri" w:cs="Times New Roman"/>
          <w:color w:val="auto"/>
          <w:sz w:val="22"/>
          <w:szCs w:val="22"/>
        </w:rPr>
        <w:t xml:space="preserve">und, </w:t>
      </w:r>
      <w:r w:rsidR="00FE3839" w:rsidRPr="00091C49">
        <w:rPr>
          <w:rFonts w:ascii="Calibri" w:hAnsi="Calibri" w:cs="Times New Roman"/>
          <w:color w:val="auto"/>
          <w:sz w:val="22"/>
          <w:szCs w:val="22"/>
        </w:rPr>
        <w:lastRenderedPageBreak/>
        <w:t xml:space="preserve">the </w:t>
      </w:r>
      <w:r w:rsidR="00D03791" w:rsidRPr="00091C49">
        <w:rPr>
          <w:rFonts w:ascii="Calibri" w:hAnsi="Calibri"/>
          <w:sz w:val="22"/>
          <w:szCs w:val="22"/>
        </w:rPr>
        <w:t xml:space="preserve">calculation </w:t>
      </w:r>
      <w:r w:rsidR="008F39C9">
        <w:rPr>
          <w:rFonts w:ascii="Calibri" w:hAnsi="Calibri"/>
          <w:sz w:val="22"/>
          <w:szCs w:val="22"/>
        </w:rPr>
        <w:t>of</w:t>
      </w:r>
      <w:r w:rsidR="00FE3839" w:rsidRPr="00091C49">
        <w:rPr>
          <w:rFonts w:ascii="Calibri" w:hAnsi="Calibri"/>
          <w:sz w:val="22"/>
          <w:szCs w:val="22"/>
        </w:rPr>
        <w:t xml:space="preserve"> which </w:t>
      </w:r>
      <w:r w:rsidR="00D03791" w:rsidRPr="00091C49">
        <w:rPr>
          <w:rFonts w:ascii="Calibri" w:hAnsi="Calibri"/>
          <w:sz w:val="22"/>
          <w:szCs w:val="22"/>
        </w:rPr>
        <w:t>should cover model risk and data risk. Requiring margin model</w:t>
      </w:r>
      <w:r w:rsidR="00FE3839" w:rsidRPr="00091C49">
        <w:rPr>
          <w:rFonts w:ascii="Calibri" w:hAnsi="Calibri"/>
          <w:sz w:val="22"/>
          <w:szCs w:val="22"/>
        </w:rPr>
        <w:t>s</w:t>
      </w:r>
      <w:r w:rsidR="00D03791" w:rsidRPr="00091C49">
        <w:rPr>
          <w:rFonts w:ascii="Calibri" w:hAnsi="Calibri"/>
          <w:sz w:val="22"/>
          <w:szCs w:val="22"/>
        </w:rPr>
        <w:t xml:space="preserve"> to account for these risk</w:t>
      </w:r>
      <w:r w:rsidR="00FE3839" w:rsidRPr="00091C49">
        <w:rPr>
          <w:rFonts w:ascii="Calibri" w:hAnsi="Calibri"/>
          <w:sz w:val="22"/>
          <w:szCs w:val="22"/>
        </w:rPr>
        <w:t>s</w:t>
      </w:r>
      <w:r w:rsidR="00D03791" w:rsidRPr="00091C49">
        <w:rPr>
          <w:rFonts w:ascii="Calibri" w:hAnsi="Calibri"/>
          <w:sz w:val="22"/>
          <w:szCs w:val="22"/>
        </w:rPr>
        <w:t xml:space="preserve"> is inconsistent and </w:t>
      </w:r>
      <w:r w:rsidR="000844F7" w:rsidRPr="00091C49">
        <w:rPr>
          <w:rFonts w:ascii="Calibri" w:hAnsi="Calibri"/>
          <w:sz w:val="22"/>
          <w:szCs w:val="22"/>
        </w:rPr>
        <w:t xml:space="preserve">could lead to excessive margins and a sub-optimal balance between margins and </w:t>
      </w:r>
      <w:r w:rsidR="00EB624F" w:rsidRPr="00091C49">
        <w:rPr>
          <w:rFonts w:ascii="Calibri" w:hAnsi="Calibri"/>
          <w:sz w:val="22"/>
          <w:szCs w:val="22"/>
        </w:rPr>
        <w:t>default fund</w:t>
      </w:r>
      <w:r w:rsidR="000844F7" w:rsidRPr="00091C49">
        <w:rPr>
          <w:rFonts w:ascii="Calibri" w:hAnsi="Calibri"/>
          <w:sz w:val="22"/>
          <w:szCs w:val="22"/>
        </w:rPr>
        <w:t xml:space="preserve">, thus affecting liquidity; and </w:t>
      </w:r>
      <w:r w:rsidR="00FE3839" w:rsidRPr="00091C49">
        <w:rPr>
          <w:rFonts w:ascii="Calibri" w:hAnsi="Calibri" w:cs="Times New Roman"/>
          <w:color w:val="auto"/>
          <w:sz w:val="22"/>
          <w:szCs w:val="22"/>
        </w:rPr>
        <w:t>f</w:t>
      </w:r>
      <w:r w:rsidR="000844F7" w:rsidRPr="00091C49">
        <w:rPr>
          <w:rFonts w:ascii="Calibri" w:hAnsi="Calibri" w:cs="Times New Roman"/>
          <w:color w:val="auto"/>
          <w:sz w:val="22"/>
          <w:szCs w:val="22"/>
        </w:rPr>
        <w:t xml:space="preserve">or OTC products where margining is </w:t>
      </w:r>
      <w:r w:rsidR="00EB624F" w:rsidRPr="00091C49">
        <w:rPr>
          <w:rFonts w:ascii="Calibri" w:hAnsi="Calibri" w:cs="Times New Roman"/>
          <w:color w:val="auto"/>
          <w:sz w:val="22"/>
          <w:szCs w:val="22"/>
        </w:rPr>
        <w:t>performed</w:t>
      </w:r>
      <w:r w:rsidR="000844F7" w:rsidRPr="00091C49">
        <w:rPr>
          <w:rFonts w:ascii="Calibri" w:hAnsi="Calibri" w:cs="Times New Roman"/>
          <w:color w:val="auto"/>
          <w:sz w:val="22"/>
          <w:szCs w:val="22"/>
        </w:rPr>
        <w:t xml:space="preserve"> typically on a portfolio level using a historical VaR model it’s likely that different products’ extreme 6-month windows </w:t>
      </w:r>
      <w:r w:rsidR="008F39C9">
        <w:rPr>
          <w:rFonts w:ascii="Calibri" w:hAnsi="Calibri" w:cs="Times New Roman"/>
          <w:color w:val="auto"/>
          <w:sz w:val="22"/>
          <w:szCs w:val="22"/>
        </w:rPr>
        <w:t>occurred</w:t>
      </w:r>
      <w:r w:rsidR="000844F7" w:rsidRPr="00091C49">
        <w:rPr>
          <w:rFonts w:ascii="Calibri" w:hAnsi="Calibri" w:cs="Times New Roman"/>
          <w:color w:val="auto"/>
          <w:sz w:val="22"/>
          <w:szCs w:val="22"/>
        </w:rPr>
        <w:t xml:space="preserve"> at different times</w:t>
      </w:r>
      <w:r w:rsidR="00D03791" w:rsidRPr="00091C49">
        <w:rPr>
          <w:rFonts w:ascii="Calibri" w:hAnsi="Calibri" w:cs="Times New Roman"/>
          <w:color w:val="auto"/>
          <w:sz w:val="22"/>
          <w:szCs w:val="22"/>
        </w:rPr>
        <w:t>.</w:t>
      </w:r>
      <w:r w:rsidR="00D03791" w:rsidRPr="00091C49" w:rsidDel="00D03791">
        <w:rPr>
          <w:rFonts w:ascii="Calibri" w:hAnsi="Calibri" w:cs="Times New Roman"/>
          <w:color w:val="auto"/>
          <w:sz w:val="22"/>
          <w:szCs w:val="22"/>
        </w:rPr>
        <w:t xml:space="preserve"> </w:t>
      </w:r>
      <w:r w:rsidR="00250917" w:rsidRPr="00091C49">
        <w:rPr>
          <w:rFonts w:ascii="Calibri" w:hAnsi="Calibri"/>
          <w:sz w:val="22"/>
          <w:szCs w:val="22"/>
        </w:rPr>
        <w:t xml:space="preserve"> Therefore, </w:t>
      </w:r>
      <w:r w:rsidR="008F39C9">
        <w:rPr>
          <w:rFonts w:ascii="Calibri" w:hAnsi="Calibri"/>
          <w:sz w:val="22"/>
          <w:szCs w:val="22"/>
        </w:rPr>
        <w:t xml:space="preserve">as </w:t>
      </w:r>
      <w:r w:rsidR="00250917" w:rsidRPr="00091C49">
        <w:rPr>
          <w:rFonts w:ascii="Calibri" w:hAnsi="Calibri"/>
          <w:sz w:val="22"/>
          <w:szCs w:val="22"/>
        </w:rPr>
        <w:t>volatility of the correlation structure has</w:t>
      </w:r>
      <w:r w:rsidR="008F39C9">
        <w:rPr>
          <w:rFonts w:ascii="Calibri" w:hAnsi="Calibri"/>
          <w:sz w:val="22"/>
          <w:szCs w:val="22"/>
        </w:rPr>
        <w:t xml:space="preserve"> a</w:t>
      </w:r>
      <w:r w:rsidR="00250917" w:rsidRPr="00091C49">
        <w:rPr>
          <w:rFonts w:ascii="Calibri" w:hAnsi="Calibri"/>
          <w:sz w:val="22"/>
          <w:szCs w:val="22"/>
        </w:rPr>
        <w:t xml:space="preserve"> ve</w:t>
      </w:r>
      <w:r w:rsidR="008F39C9">
        <w:rPr>
          <w:rFonts w:ascii="Calibri" w:hAnsi="Calibri"/>
          <w:sz w:val="22"/>
          <w:szCs w:val="22"/>
        </w:rPr>
        <w:t xml:space="preserve">ry strong effect on margins, </w:t>
      </w:r>
      <w:r w:rsidR="00250917" w:rsidRPr="00091C49">
        <w:rPr>
          <w:rFonts w:ascii="Calibri" w:hAnsi="Calibri"/>
          <w:sz w:val="22"/>
          <w:szCs w:val="22"/>
        </w:rPr>
        <w:t>using different historical periods for different products breaks model consistency.</w:t>
      </w:r>
    </w:p>
    <w:p w:rsidR="00E5470C" w:rsidRDefault="000844F7" w:rsidP="00091C49">
      <w:pPr>
        <w:pStyle w:val="Default"/>
        <w:numPr>
          <w:ilvl w:val="0"/>
          <w:numId w:val="5"/>
        </w:numPr>
        <w:spacing w:before="120"/>
        <w:rPr>
          <w:rFonts w:ascii="Calibri" w:hAnsi="Calibri" w:cs="Times New Roman"/>
          <w:color w:val="auto"/>
          <w:sz w:val="22"/>
          <w:szCs w:val="22"/>
        </w:rPr>
      </w:pPr>
      <w:r w:rsidRPr="00D03791">
        <w:rPr>
          <w:rFonts w:ascii="Calibri" w:hAnsi="Calibri" w:cs="Times New Roman"/>
          <w:color w:val="auto"/>
          <w:sz w:val="22"/>
          <w:szCs w:val="22"/>
        </w:rPr>
        <w:t>Rather than prescribing a lookback period, clearing houses should be encouraged to deploy floors in their margining algorithms and include a product or portfolio specific liquidation premium,</w:t>
      </w:r>
      <w:r w:rsidRPr="000844F7">
        <w:rPr>
          <w:rFonts w:ascii="Calibri" w:hAnsi="Calibri" w:cs="Times New Roman"/>
          <w:color w:val="auto"/>
          <w:sz w:val="22"/>
          <w:szCs w:val="22"/>
        </w:rPr>
        <w:t xml:space="preserve"> to ensure adequate defaulter-paid safeguards during periods of default.</w:t>
      </w:r>
      <w:r w:rsidR="00E5470C" w:rsidRPr="00E5470C">
        <w:t xml:space="preserve"> </w:t>
      </w:r>
      <w:r w:rsidR="00E5470C" w:rsidRPr="00E5470C">
        <w:rPr>
          <w:rFonts w:ascii="Calibri" w:hAnsi="Calibri" w:cs="Times New Roman"/>
          <w:color w:val="auto"/>
          <w:sz w:val="22"/>
          <w:szCs w:val="22"/>
        </w:rPr>
        <w:t xml:space="preserve">We propose that CCPs should </w:t>
      </w:r>
      <w:r w:rsidR="00E5470C">
        <w:rPr>
          <w:rFonts w:ascii="Calibri" w:hAnsi="Calibri" w:cs="Times New Roman"/>
          <w:color w:val="auto"/>
          <w:sz w:val="22"/>
          <w:szCs w:val="22"/>
        </w:rPr>
        <w:t xml:space="preserve">also </w:t>
      </w:r>
      <w:r w:rsidR="00E5470C" w:rsidRPr="00E5470C">
        <w:rPr>
          <w:rFonts w:ascii="Calibri" w:hAnsi="Calibri" w:cs="Times New Roman"/>
          <w:color w:val="auto"/>
          <w:sz w:val="22"/>
          <w:szCs w:val="22"/>
        </w:rPr>
        <w:t>be encouraged to choose a lookback period for margining that meets two criteria</w:t>
      </w:r>
      <w:r w:rsidR="00E5470C">
        <w:rPr>
          <w:rFonts w:ascii="Calibri" w:hAnsi="Calibri" w:cs="Times New Roman"/>
          <w:color w:val="auto"/>
          <w:sz w:val="22"/>
          <w:szCs w:val="22"/>
        </w:rPr>
        <w:t>:</w:t>
      </w:r>
      <w:r w:rsidR="00E5470C" w:rsidRPr="00E5470C">
        <w:rPr>
          <w:rFonts w:ascii="Calibri" w:hAnsi="Calibri" w:cs="Times New Roman"/>
          <w:color w:val="auto"/>
          <w:sz w:val="22"/>
          <w:szCs w:val="22"/>
        </w:rPr>
        <w:t xml:space="preserve"> </w:t>
      </w:r>
    </w:p>
    <w:p w:rsidR="00300718" w:rsidRDefault="00E5470C" w:rsidP="00091C49">
      <w:pPr>
        <w:pStyle w:val="Default"/>
        <w:numPr>
          <w:ilvl w:val="0"/>
          <w:numId w:val="8"/>
        </w:numPr>
        <w:spacing w:before="120"/>
        <w:rPr>
          <w:rFonts w:ascii="Calibri" w:hAnsi="Calibri" w:cs="Times New Roman"/>
          <w:color w:val="auto"/>
          <w:sz w:val="22"/>
          <w:szCs w:val="22"/>
        </w:rPr>
      </w:pPr>
      <w:r>
        <w:rPr>
          <w:rFonts w:ascii="Calibri" w:hAnsi="Calibri" w:cs="Times New Roman"/>
          <w:color w:val="auto"/>
          <w:sz w:val="22"/>
          <w:szCs w:val="22"/>
        </w:rPr>
        <w:t>the lookback period a</w:t>
      </w:r>
      <w:r w:rsidRPr="00E5470C">
        <w:rPr>
          <w:rFonts w:ascii="Calibri" w:hAnsi="Calibri" w:cs="Times New Roman"/>
          <w:color w:val="auto"/>
          <w:sz w:val="22"/>
          <w:szCs w:val="22"/>
        </w:rPr>
        <w:t xml:space="preserve">dequately covers </w:t>
      </w:r>
      <w:r w:rsidR="00EB624F">
        <w:rPr>
          <w:rFonts w:ascii="Calibri" w:hAnsi="Calibri" w:cs="Times New Roman"/>
          <w:color w:val="auto"/>
          <w:sz w:val="22"/>
          <w:szCs w:val="22"/>
        </w:rPr>
        <w:t>a period</w:t>
      </w:r>
      <w:r w:rsidRPr="00E5470C">
        <w:rPr>
          <w:rFonts w:ascii="Calibri" w:hAnsi="Calibri" w:cs="Times New Roman"/>
          <w:color w:val="auto"/>
          <w:sz w:val="22"/>
          <w:szCs w:val="22"/>
        </w:rPr>
        <w:t xml:space="preserve"> equivalent </w:t>
      </w:r>
      <w:r w:rsidR="00EB624F">
        <w:rPr>
          <w:rFonts w:ascii="Calibri" w:hAnsi="Calibri" w:cs="Times New Roman"/>
          <w:color w:val="auto"/>
          <w:sz w:val="22"/>
          <w:szCs w:val="22"/>
        </w:rPr>
        <w:t xml:space="preserve">to that </w:t>
      </w:r>
      <w:r w:rsidRPr="00E5470C">
        <w:rPr>
          <w:rFonts w:ascii="Calibri" w:hAnsi="Calibri" w:cs="Times New Roman"/>
          <w:color w:val="auto"/>
          <w:sz w:val="22"/>
          <w:szCs w:val="22"/>
        </w:rPr>
        <w:t>of a full business cycle</w:t>
      </w:r>
      <w:r>
        <w:rPr>
          <w:rFonts w:ascii="Calibri" w:hAnsi="Calibri" w:cs="Times New Roman"/>
          <w:color w:val="auto"/>
          <w:sz w:val="22"/>
          <w:szCs w:val="22"/>
        </w:rPr>
        <w:t xml:space="preserve"> for </w:t>
      </w:r>
      <w:r w:rsidR="00EB624F">
        <w:rPr>
          <w:rFonts w:ascii="Calibri" w:hAnsi="Calibri" w:cs="Times New Roman"/>
          <w:color w:val="auto"/>
          <w:sz w:val="22"/>
          <w:szCs w:val="22"/>
        </w:rPr>
        <w:t>that particular</w:t>
      </w:r>
      <w:r>
        <w:rPr>
          <w:rFonts w:ascii="Calibri" w:hAnsi="Calibri" w:cs="Times New Roman"/>
          <w:color w:val="auto"/>
          <w:sz w:val="22"/>
          <w:szCs w:val="22"/>
        </w:rPr>
        <w:t xml:space="preserve"> market</w:t>
      </w:r>
      <w:r w:rsidRPr="00E5470C">
        <w:rPr>
          <w:rFonts w:ascii="Calibri" w:hAnsi="Calibri" w:cs="Times New Roman"/>
          <w:color w:val="auto"/>
          <w:sz w:val="22"/>
          <w:szCs w:val="22"/>
        </w:rPr>
        <w:t>;</w:t>
      </w:r>
      <w:r>
        <w:rPr>
          <w:rFonts w:ascii="Calibri" w:hAnsi="Calibri" w:cs="Times New Roman"/>
          <w:color w:val="auto"/>
          <w:sz w:val="22"/>
          <w:szCs w:val="22"/>
        </w:rPr>
        <w:t xml:space="preserve"> and</w:t>
      </w:r>
    </w:p>
    <w:p w:rsidR="00300718" w:rsidRDefault="008F39C9" w:rsidP="00091C49">
      <w:pPr>
        <w:pStyle w:val="Default"/>
        <w:numPr>
          <w:ilvl w:val="0"/>
          <w:numId w:val="8"/>
        </w:numPr>
        <w:rPr>
          <w:rFonts w:ascii="Calibri" w:hAnsi="Calibri" w:cs="Times New Roman"/>
          <w:color w:val="auto"/>
          <w:sz w:val="22"/>
          <w:szCs w:val="22"/>
        </w:rPr>
      </w:pPr>
      <w:r>
        <w:rPr>
          <w:rFonts w:ascii="Calibri" w:hAnsi="Calibri" w:cs="Times New Roman"/>
          <w:color w:val="auto"/>
          <w:sz w:val="22"/>
          <w:szCs w:val="22"/>
        </w:rPr>
        <w:t>p</w:t>
      </w:r>
      <w:r w:rsidR="00E5470C" w:rsidRPr="00E5470C">
        <w:rPr>
          <w:rFonts w:ascii="Calibri" w:hAnsi="Calibri" w:cs="Times New Roman"/>
          <w:color w:val="auto"/>
          <w:sz w:val="22"/>
          <w:szCs w:val="22"/>
        </w:rPr>
        <w:t>rovide</w:t>
      </w:r>
      <w:r w:rsidR="00E5470C">
        <w:rPr>
          <w:rFonts w:ascii="Calibri" w:hAnsi="Calibri" w:cs="Times New Roman"/>
          <w:color w:val="auto"/>
          <w:sz w:val="22"/>
          <w:szCs w:val="22"/>
        </w:rPr>
        <w:t>s</w:t>
      </w:r>
      <w:r w:rsidR="00E5470C" w:rsidRPr="00E5470C">
        <w:rPr>
          <w:rFonts w:ascii="Calibri" w:hAnsi="Calibri" w:cs="Times New Roman"/>
          <w:color w:val="auto"/>
          <w:sz w:val="22"/>
          <w:szCs w:val="22"/>
        </w:rPr>
        <w:t xml:space="preserve"> enough data points for a statistically robust and stable estimate</w:t>
      </w:r>
      <w:r w:rsidR="00EB624F">
        <w:rPr>
          <w:rFonts w:ascii="Calibri" w:hAnsi="Calibri" w:cs="Times New Roman"/>
          <w:color w:val="auto"/>
          <w:sz w:val="22"/>
          <w:szCs w:val="22"/>
        </w:rPr>
        <w:t xml:space="preserve"> given the desired confidence level</w:t>
      </w:r>
      <w:r w:rsidR="00E5470C" w:rsidRPr="00E5470C">
        <w:rPr>
          <w:rFonts w:ascii="Calibri" w:hAnsi="Calibri" w:cs="Times New Roman"/>
          <w:color w:val="auto"/>
          <w:sz w:val="22"/>
          <w:szCs w:val="22"/>
        </w:rPr>
        <w:t xml:space="preserve">. </w:t>
      </w:r>
    </w:p>
    <w:p w:rsidR="00E5470C" w:rsidRDefault="00E5470C" w:rsidP="000844F7">
      <w:pPr>
        <w:pStyle w:val="Default"/>
        <w:rPr>
          <w:rFonts w:ascii="Calibri" w:hAnsi="Calibri" w:cs="Times New Roman"/>
          <w:color w:val="auto"/>
          <w:sz w:val="22"/>
          <w:szCs w:val="22"/>
        </w:rPr>
      </w:pPr>
    </w:p>
    <w:p w:rsidR="000844F7" w:rsidRDefault="00E5470C" w:rsidP="000844F7">
      <w:pPr>
        <w:pStyle w:val="Default"/>
        <w:rPr>
          <w:rFonts w:ascii="Calibri" w:hAnsi="Calibri" w:cs="Times New Roman"/>
          <w:color w:val="auto"/>
          <w:sz w:val="22"/>
          <w:szCs w:val="22"/>
        </w:rPr>
      </w:pPr>
      <w:r w:rsidRPr="00E5470C">
        <w:rPr>
          <w:rFonts w:ascii="Calibri" w:hAnsi="Calibri" w:cs="Times New Roman"/>
          <w:color w:val="auto"/>
          <w:sz w:val="22"/>
          <w:szCs w:val="22"/>
        </w:rPr>
        <w:t xml:space="preserve">The decision whether to include periods of extreme stress in margining should be predicated on the liquidity profile of the </w:t>
      </w:r>
      <w:r>
        <w:rPr>
          <w:rFonts w:ascii="Calibri" w:hAnsi="Calibri" w:cs="Times New Roman"/>
          <w:color w:val="auto"/>
          <w:sz w:val="22"/>
          <w:szCs w:val="22"/>
        </w:rPr>
        <w:t xml:space="preserve">individual markets or </w:t>
      </w:r>
      <w:r w:rsidRPr="00E5470C">
        <w:rPr>
          <w:rFonts w:ascii="Calibri" w:hAnsi="Calibri" w:cs="Times New Roman"/>
          <w:color w:val="auto"/>
          <w:sz w:val="22"/>
          <w:szCs w:val="22"/>
        </w:rPr>
        <w:t>product</w:t>
      </w:r>
      <w:r>
        <w:rPr>
          <w:rFonts w:ascii="Calibri" w:hAnsi="Calibri" w:cs="Times New Roman"/>
          <w:color w:val="auto"/>
          <w:sz w:val="22"/>
          <w:szCs w:val="22"/>
        </w:rPr>
        <w:t>s</w:t>
      </w:r>
      <w:r w:rsidRPr="00E5470C">
        <w:rPr>
          <w:rFonts w:ascii="Calibri" w:hAnsi="Calibri" w:cs="Times New Roman"/>
          <w:color w:val="auto"/>
          <w:sz w:val="22"/>
          <w:szCs w:val="22"/>
        </w:rPr>
        <w:t>, and CCP Risk Committees should be used to make that determination.</w:t>
      </w:r>
    </w:p>
    <w:p w:rsidR="00E83329" w:rsidRDefault="00E83329" w:rsidP="00127E2F">
      <w:pPr>
        <w:pStyle w:val="Default"/>
        <w:rPr>
          <w:rFonts w:ascii="Calibri" w:hAnsi="Calibri" w:cs="Times New Roman"/>
          <w:color w:val="auto"/>
          <w:sz w:val="22"/>
          <w:szCs w:val="22"/>
        </w:rPr>
      </w:pPr>
    </w:p>
    <w:p w:rsidR="004C0606" w:rsidRDefault="00E83329" w:rsidP="00127E2F">
      <w:pPr>
        <w:pStyle w:val="Default"/>
        <w:rPr>
          <w:rFonts w:ascii="Calibri" w:hAnsi="Calibri" w:cs="Times New Roman"/>
          <w:color w:val="auto"/>
          <w:sz w:val="22"/>
          <w:szCs w:val="22"/>
        </w:rPr>
      </w:pPr>
      <w:r>
        <w:rPr>
          <w:rFonts w:ascii="Calibri" w:hAnsi="Calibri" w:cs="Times New Roman"/>
          <w:color w:val="auto"/>
          <w:sz w:val="22"/>
          <w:szCs w:val="22"/>
        </w:rPr>
        <w:t xml:space="preserve">A particular objection to the proposal is that volatility regimes may fundamentally shift, making historical moves that are not scaled inappropriate.  </w:t>
      </w:r>
      <w:r w:rsidR="00FE3839">
        <w:rPr>
          <w:rFonts w:ascii="Calibri" w:hAnsi="Calibri" w:cs="Times New Roman"/>
          <w:color w:val="auto"/>
          <w:sz w:val="22"/>
          <w:szCs w:val="22"/>
        </w:rPr>
        <w:t xml:space="preserve">However, </w:t>
      </w:r>
      <w:r>
        <w:rPr>
          <w:rFonts w:ascii="Calibri" w:hAnsi="Calibri" w:cs="Times New Roman"/>
          <w:color w:val="auto"/>
          <w:sz w:val="22"/>
          <w:szCs w:val="22"/>
        </w:rPr>
        <w:t>the proposal in Article 2(2) refers to the un</w:t>
      </w:r>
      <w:r w:rsidR="0008190F">
        <w:rPr>
          <w:rFonts w:ascii="Calibri" w:hAnsi="Calibri" w:cs="Times New Roman"/>
          <w:color w:val="auto"/>
          <w:sz w:val="22"/>
          <w:szCs w:val="22"/>
        </w:rPr>
        <w:t>-</w:t>
      </w:r>
      <w:r>
        <w:rPr>
          <w:rFonts w:ascii="Calibri" w:hAnsi="Calibri" w:cs="Times New Roman"/>
          <w:color w:val="auto"/>
          <w:sz w:val="22"/>
          <w:szCs w:val="22"/>
        </w:rPr>
        <w:t>scaled</w:t>
      </w:r>
      <w:r w:rsidR="00785078">
        <w:rPr>
          <w:rFonts w:ascii="Calibri" w:hAnsi="Calibri" w:cs="Times New Roman"/>
          <w:color w:val="auto"/>
          <w:sz w:val="22"/>
          <w:szCs w:val="22"/>
        </w:rPr>
        <w:t>,</w:t>
      </w:r>
      <w:r>
        <w:rPr>
          <w:rFonts w:ascii="Calibri" w:hAnsi="Calibri" w:cs="Times New Roman"/>
          <w:color w:val="auto"/>
          <w:sz w:val="22"/>
          <w:szCs w:val="22"/>
        </w:rPr>
        <w:t xml:space="preserve"> most stressful reference period as an absolute floo</w:t>
      </w:r>
      <w:r w:rsidR="0008190F">
        <w:rPr>
          <w:rFonts w:ascii="Calibri" w:hAnsi="Calibri" w:cs="Times New Roman"/>
          <w:color w:val="auto"/>
          <w:sz w:val="22"/>
          <w:szCs w:val="22"/>
        </w:rPr>
        <w:t>r, and the reference to assessment of margin models in 2(3) does not appear sufficiently flexible.</w:t>
      </w:r>
    </w:p>
    <w:p w:rsidR="001274A1" w:rsidRDefault="001274A1" w:rsidP="00127E2F">
      <w:pPr>
        <w:pStyle w:val="Default"/>
        <w:rPr>
          <w:rFonts w:ascii="Calibri" w:hAnsi="Calibri" w:cs="Times New Roman"/>
          <w:color w:val="auto"/>
          <w:sz w:val="22"/>
          <w:szCs w:val="22"/>
        </w:rPr>
      </w:pPr>
    </w:p>
    <w:p w:rsidR="008E4BBE" w:rsidRPr="00091C49" w:rsidRDefault="00C06DDE" w:rsidP="00127E2F">
      <w:pPr>
        <w:pStyle w:val="Default"/>
        <w:rPr>
          <w:rFonts w:ascii="Calibri" w:hAnsi="Calibri" w:cs="Times New Roman"/>
          <w:color w:val="auto"/>
          <w:sz w:val="22"/>
          <w:szCs w:val="22"/>
        </w:rPr>
      </w:pPr>
      <w:r w:rsidRPr="00091C49">
        <w:rPr>
          <w:rFonts w:ascii="Calibri" w:hAnsi="Calibri" w:cs="Times New Roman"/>
          <w:color w:val="auto"/>
          <w:sz w:val="22"/>
          <w:szCs w:val="22"/>
        </w:rPr>
        <w:t>It is not clear if/how the propos</w:t>
      </w:r>
      <w:r w:rsidR="00091C49">
        <w:rPr>
          <w:rFonts w:ascii="Calibri" w:hAnsi="Calibri" w:cs="Times New Roman"/>
          <w:color w:val="auto"/>
          <w:sz w:val="22"/>
          <w:szCs w:val="22"/>
        </w:rPr>
        <w:t xml:space="preserve">als recommend scaling data </w:t>
      </w:r>
      <w:r w:rsidRPr="00091C49">
        <w:rPr>
          <w:rFonts w:ascii="Calibri" w:hAnsi="Calibri" w:cs="Times New Roman"/>
          <w:color w:val="auto"/>
          <w:sz w:val="22"/>
          <w:szCs w:val="22"/>
        </w:rPr>
        <w:t>when</w:t>
      </w:r>
      <w:r w:rsidR="008F39C9">
        <w:rPr>
          <w:rFonts w:ascii="Calibri" w:hAnsi="Calibri" w:cs="Times New Roman"/>
          <w:color w:val="auto"/>
          <w:sz w:val="22"/>
          <w:szCs w:val="22"/>
        </w:rPr>
        <w:t xml:space="preserve"> the</w:t>
      </w:r>
      <w:r w:rsidRPr="00091C49">
        <w:rPr>
          <w:rFonts w:ascii="Calibri" w:hAnsi="Calibri" w:cs="Times New Roman"/>
          <w:color w:val="auto"/>
          <w:sz w:val="22"/>
          <w:szCs w:val="22"/>
        </w:rPr>
        <w:t xml:space="preserve"> volatility regime shift</w:t>
      </w:r>
      <w:r w:rsidR="008F39C9">
        <w:rPr>
          <w:rFonts w:ascii="Calibri" w:hAnsi="Calibri" w:cs="Times New Roman"/>
          <w:color w:val="auto"/>
          <w:sz w:val="22"/>
          <w:szCs w:val="22"/>
        </w:rPr>
        <w:t>s</w:t>
      </w:r>
      <w:r w:rsidRPr="00091C49">
        <w:rPr>
          <w:rFonts w:ascii="Calibri" w:hAnsi="Calibri" w:cs="Times New Roman"/>
          <w:color w:val="auto"/>
          <w:sz w:val="22"/>
          <w:szCs w:val="22"/>
        </w:rPr>
        <w:t xml:space="preserve">. Most margining models (historical simulation or otherwise) employed by CCPs, differ in terms of how historical absolute returns are scaled to current volatility in the market. By stipulating a short and statistically unstable lookback period it could lead to CCPs scaling returns in ways that are economically and statistically incoherent, </w:t>
      </w:r>
      <w:r w:rsidR="00EB624F">
        <w:rPr>
          <w:rFonts w:ascii="Calibri" w:hAnsi="Calibri" w:cs="Times New Roman"/>
          <w:color w:val="auto"/>
          <w:sz w:val="22"/>
          <w:szCs w:val="22"/>
        </w:rPr>
        <w:t xml:space="preserve">solely </w:t>
      </w:r>
      <w:r w:rsidRPr="00091C49">
        <w:rPr>
          <w:rFonts w:ascii="Calibri" w:hAnsi="Calibri" w:cs="Times New Roman"/>
          <w:color w:val="auto"/>
          <w:sz w:val="22"/>
          <w:szCs w:val="22"/>
        </w:rPr>
        <w:t>in order to reduce margins. This defeats the whole purpose of including stressful periods in margin calculations. Our strong suggestion is therefore to allow the choice of longer lookback</w:t>
      </w:r>
      <w:r w:rsidR="008F39C9">
        <w:rPr>
          <w:rFonts w:ascii="Calibri" w:hAnsi="Calibri" w:cs="Times New Roman"/>
          <w:color w:val="auto"/>
          <w:sz w:val="22"/>
          <w:szCs w:val="22"/>
        </w:rPr>
        <w:t xml:space="preserve"> periods</w:t>
      </w:r>
      <w:r w:rsidRPr="00091C49">
        <w:rPr>
          <w:rFonts w:ascii="Calibri" w:hAnsi="Calibri" w:cs="Times New Roman"/>
          <w:color w:val="auto"/>
          <w:sz w:val="22"/>
          <w:szCs w:val="22"/>
        </w:rPr>
        <w:t xml:space="preserve"> based </w:t>
      </w:r>
      <w:r w:rsidR="00EB624F">
        <w:rPr>
          <w:rFonts w:ascii="Calibri" w:hAnsi="Calibri" w:cs="Times New Roman"/>
          <w:color w:val="auto"/>
          <w:sz w:val="22"/>
          <w:szCs w:val="22"/>
        </w:rPr>
        <w:t>on the suggestions above</w:t>
      </w:r>
      <w:r w:rsidRPr="00091C49">
        <w:rPr>
          <w:rFonts w:ascii="Calibri" w:hAnsi="Calibri" w:cs="Times New Roman"/>
          <w:color w:val="auto"/>
          <w:sz w:val="22"/>
          <w:szCs w:val="22"/>
        </w:rPr>
        <w:t xml:space="preserve"> and als</w:t>
      </w:r>
      <w:r>
        <w:rPr>
          <w:rFonts w:ascii="Calibri" w:hAnsi="Calibri" w:cs="Times New Roman"/>
          <w:color w:val="auto"/>
          <w:sz w:val="22"/>
          <w:szCs w:val="22"/>
        </w:rPr>
        <w:t>o leverag</w:t>
      </w:r>
      <w:r w:rsidR="00EB624F">
        <w:rPr>
          <w:rFonts w:ascii="Calibri" w:hAnsi="Calibri" w:cs="Times New Roman"/>
          <w:color w:val="auto"/>
          <w:sz w:val="22"/>
          <w:szCs w:val="22"/>
        </w:rPr>
        <w:t>ing</w:t>
      </w:r>
      <w:r w:rsidRPr="00091C49">
        <w:rPr>
          <w:rFonts w:ascii="Calibri" w:hAnsi="Calibri" w:cs="Times New Roman"/>
          <w:color w:val="auto"/>
          <w:sz w:val="22"/>
          <w:szCs w:val="22"/>
        </w:rPr>
        <w:t xml:space="preserve"> the Risk Committee to approve the appropriate</w:t>
      </w:r>
      <w:r w:rsidR="00EB624F">
        <w:rPr>
          <w:rFonts w:ascii="Calibri" w:hAnsi="Calibri" w:cs="Times New Roman"/>
          <w:color w:val="auto"/>
          <w:sz w:val="22"/>
          <w:szCs w:val="22"/>
        </w:rPr>
        <w:t xml:space="preserve"> lookback period and</w:t>
      </w:r>
      <w:r w:rsidRPr="00091C49">
        <w:rPr>
          <w:rFonts w:ascii="Calibri" w:hAnsi="Calibri" w:cs="Times New Roman"/>
          <w:color w:val="auto"/>
          <w:sz w:val="22"/>
          <w:szCs w:val="22"/>
        </w:rPr>
        <w:t xml:space="preserve"> scaling methodology for each asset class.</w:t>
      </w:r>
    </w:p>
    <w:p w:rsidR="008E4BBE" w:rsidRDefault="008E4BBE" w:rsidP="00127E2F">
      <w:pPr>
        <w:pStyle w:val="Default"/>
        <w:rPr>
          <w:rFonts w:ascii="Calibri" w:hAnsi="Calibri" w:cs="Times New Roman"/>
          <w:i/>
          <w:color w:val="auto"/>
          <w:sz w:val="22"/>
          <w:szCs w:val="22"/>
        </w:rPr>
      </w:pPr>
    </w:p>
    <w:p w:rsidR="00C422A5" w:rsidRPr="00C422A5" w:rsidRDefault="00C422A5" w:rsidP="00127E2F">
      <w:pPr>
        <w:pStyle w:val="Default"/>
        <w:rPr>
          <w:rFonts w:ascii="Calibri" w:hAnsi="Calibri" w:cs="Times New Roman"/>
          <w:i/>
          <w:color w:val="auto"/>
          <w:sz w:val="22"/>
          <w:szCs w:val="22"/>
        </w:rPr>
      </w:pPr>
      <w:r w:rsidRPr="00C422A5">
        <w:rPr>
          <w:rFonts w:ascii="Calibri" w:hAnsi="Calibri" w:cs="Times New Roman"/>
          <w:i/>
          <w:color w:val="auto"/>
          <w:sz w:val="22"/>
          <w:szCs w:val="22"/>
        </w:rPr>
        <w:t>Portfolio margining</w:t>
      </w:r>
    </w:p>
    <w:p w:rsidR="009D1E29" w:rsidRDefault="009D1E29" w:rsidP="00127E2F">
      <w:pPr>
        <w:pStyle w:val="Default"/>
        <w:rPr>
          <w:rFonts w:ascii="Calibri" w:hAnsi="Calibri" w:cs="Times New Roman"/>
          <w:i/>
          <w:color w:val="auto"/>
          <w:sz w:val="22"/>
          <w:szCs w:val="22"/>
        </w:rPr>
      </w:pPr>
    </w:p>
    <w:p w:rsidR="00C422A5" w:rsidRDefault="00C422A5" w:rsidP="00127E2F">
      <w:pPr>
        <w:pStyle w:val="Default"/>
        <w:rPr>
          <w:rFonts w:ascii="Calibri" w:hAnsi="Calibri" w:cs="Times New Roman"/>
          <w:color w:val="auto"/>
          <w:sz w:val="22"/>
          <w:szCs w:val="22"/>
        </w:rPr>
      </w:pPr>
      <w:r w:rsidRPr="00620481">
        <w:rPr>
          <w:rFonts w:ascii="Calibri" w:hAnsi="Calibri" w:cs="Times New Roman"/>
          <w:color w:val="auto"/>
          <w:sz w:val="22"/>
          <w:szCs w:val="22"/>
        </w:rPr>
        <w:t>The introductory explanation</w:t>
      </w:r>
      <w:r w:rsidR="00620481" w:rsidRPr="00620481">
        <w:rPr>
          <w:rFonts w:ascii="Calibri" w:hAnsi="Calibri" w:cs="Times New Roman"/>
          <w:color w:val="auto"/>
          <w:sz w:val="22"/>
          <w:szCs w:val="22"/>
        </w:rPr>
        <w:t xml:space="preserve"> notes that ESMA’s proposal drew on an analysis of “…current practices among European CCPs”.  </w:t>
      </w:r>
      <w:r w:rsidR="00620481">
        <w:rPr>
          <w:rFonts w:ascii="Calibri" w:hAnsi="Calibri" w:cs="Times New Roman"/>
          <w:color w:val="auto"/>
          <w:sz w:val="22"/>
          <w:szCs w:val="22"/>
        </w:rPr>
        <w:t xml:space="preserve">On the basis of the </w:t>
      </w:r>
      <w:r w:rsidR="0008190F">
        <w:rPr>
          <w:rFonts w:ascii="Calibri" w:hAnsi="Calibri" w:cs="Times New Roman"/>
          <w:color w:val="auto"/>
          <w:sz w:val="22"/>
          <w:szCs w:val="22"/>
        </w:rPr>
        <w:t xml:space="preserve">proposal, </w:t>
      </w:r>
      <w:r w:rsidR="00620481">
        <w:rPr>
          <w:rFonts w:ascii="Calibri" w:hAnsi="Calibri" w:cs="Times New Roman"/>
          <w:color w:val="auto"/>
          <w:sz w:val="22"/>
          <w:szCs w:val="22"/>
        </w:rPr>
        <w:t>we would conclude that the analysis was based on a sample of those using parametric initial margin models, unless the intention, which is not obvious from the drafting</w:t>
      </w:r>
      <w:r w:rsidR="0008190F">
        <w:rPr>
          <w:rFonts w:ascii="Calibri" w:hAnsi="Calibri" w:cs="Times New Roman"/>
          <w:color w:val="auto"/>
          <w:sz w:val="22"/>
          <w:szCs w:val="22"/>
        </w:rPr>
        <w:t>,</w:t>
      </w:r>
      <w:r w:rsidR="00620481">
        <w:rPr>
          <w:rFonts w:ascii="Calibri" w:hAnsi="Calibri" w:cs="Times New Roman"/>
          <w:color w:val="auto"/>
          <w:sz w:val="22"/>
          <w:szCs w:val="22"/>
        </w:rPr>
        <w:t xml:space="preserve"> is that it is not intended to apply to non-parametric models</w:t>
      </w:r>
      <w:r w:rsidR="00E83329">
        <w:rPr>
          <w:rFonts w:ascii="Calibri" w:hAnsi="Calibri" w:cs="Times New Roman"/>
          <w:color w:val="auto"/>
          <w:sz w:val="22"/>
          <w:szCs w:val="22"/>
        </w:rPr>
        <w:t>.</w:t>
      </w:r>
    </w:p>
    <w:p w:rsidR="00E83329" w:rsidRDefault="00E83329" w:rsidP="00127E2F">
      <w:pPr>
        <w:pStyle w:val="Default"/>
        <w:rPr>
          <w:rFonts w:ascii="Calibri" w:hAnsi="Calibri" w:cs="Times New Roman"/>
          <w:color w:val="auto"/>
          <w:sz w:val="22"/>
          <w:szCs w:val="22"/>
        </w:rPr>
      </w:pPr>
    </w:p>
    <w:p w:rsidR="00E83329" w:rsidRDefault="00E83329" w:rsidP="00127E2F">
      <w:pPr>
        <w:pStyle w:val="Default"/>
        <w:rPr>
          <w:rFonts w:ascii="Calibri" w:hAnsi="Calibri" w:cs="Times New Roman"/>
          <w:color w:val="auto"/>
          <w:sz w:val="22"/>
          <w:szCs w:val="22"/>
        </w:rPr>
      </w:pPr>
      <w:r>
        <w:rPr>
          <w:rFonts w:ascii="Calibri" w:hAnsi="Calibri" w:cs="Times New Roman"/>
          <w:color w:val="auto"/>
          <w:sz w:val="22"/>
          <w:szCs w:val="22"/>
        </w:rPr>
        <w:t>We cannot see how the proposal could be expected to apply to historical value-at-risk models, which are increasing in usage, and which do not use a</w:t>
      </w:r>
      <w:r w:rsidR="0044094A">
        <w:rPr>
          <w:rFonts w:ascii="Calibri" w:hAnsi="Calibri" w:cs="Times New Roman"/>
          <w:color w:val="auto"/>
          <w:sz w:val="22"/>
          <w:szCs w:val="22"/>
        </w:rPr>
        <w:t>n explicit</w:t>
      </w:r>
      <w:r>
        <w:rPr>
          <w:rFonts w:ascii="Calibri" w:hAnsi="Calibri" w:cs="Times New Roman"/>
          <w:color w:val="auto"/>
          <w:sz w:val="22"/>
          <w:szCs w:val="22"/>
        </w:rPr>
        <w:t xml:space="preserve"> correlation approach.</w:t>
      </w:r>
      <w:r w:rsidR="0008190F">
        <w:rPr>
          <w:rFonts w:ascii="Calibri" w:hAnsi="Calibri" w:cs="Times New Roman"/>
          <w:color w:val="auto"/>
          <w:sz w:val="22"/>
          <w:szCs w:val="22"/>
        </w:rPr>
        <w:t xml:space="preserve">  Our view is that th</w:t>
      </w:r>
      <w:r w:rsidR="002E742A">
        <w:rPr>
          <w:rFonts w:ascii="Calibri" w:hAnsi="Calibri" w:cs="Times New Roman"/>
          <w:color w:val="auto"/>
          <w:sz w:val="22"/>
          <w:szCs w:val="22"/>
        </w:rPr>
        <w:t xml:space="preserve">e approach of those models and potentially of other more statistical approaches to margin should be treated separately. </w:t>
      </w:r>
      <w:r w:rsidR="00D005A9">
        <w:rPr>
          <w:rFonts w:ascii="Calibri" w:hAnsi="Calibri" w:cs="Times New Roman"/>
          <w:color w:val="auto"/>
          <w:sz w:val="22"/>
          <w:szCs w:val="22"/>
        </w:rPr>
        <w:t xml:space="preserve"> Insofar as such models produce portfolio-level margin requirements, as do all margin models in fact, but without building up that portfolio requirement from the level of individual </w:t>
      </w:r>
      <w:r w:rsidR="00D005A9">
        <w:rPr>
          <w:rFonts w:ascii="Calibri" w:hAnsi="Calibri" w:cs="Times New Roman"/>
          <w:color w:val="auto"/>
          <w:sz w:val="22"/>
          <w:szCs w:val="22"/>
        </w:rPr>
        <w:lastRenderedPageBreak/>
        <w:t xml:space="preserve">products or instruments in the way that parametric models do, separate treatment would remove some of the ambiguities in the current text.  For example, in Article 1 (1) MAR, the reference to the calculation of initial margins for each financial instrument “…that is margined </w:t>
      </w:r>
      <w:r w:rsidR="00D005A9" w:rsidRPr="00D005A9">
        <w:rPr>
          <w:rFonts w:ascii="Calibri" w:hAnsi="Calibri" w:cs="Times New Roman"/>
          <w:i/>
          <w:color w:val="auto"/>
          <w:sz w:val="22"/>
          <w:szCs w:val="22"/>
        </w:rPr>
        <w:t>on a product basis</w:t>
      </w:r>
      <w:r w:rsidR="00D005A9">
        <w:rPr>
          <w:rFonts w:ascii="Calibri" w:hAnsi="Calibri" w:cs="Times New Roman"/>
          <w:color w:val="auto"/>
          <w:sz w:val="22"/>
          <w:szCs w:val="22"/>
        </w:rPr>
        <w:t>”</w:t>
      </w:r>
      <w:r w:rsidR="002E5F1D">
        <w:rPr>
          <w:rFonts w:ascii="Calibri" w:hAnsi="Calibri" w:cs="Times New Roman"/>
          <w:color w:val="auto"/>
          <w:sz w:val="22"/>
          <w:szCs w:val="22"/>
        </w:rPr>
        <w:t>,</w:t>
      </w:r>
      <w:r w:rsidR="00D005A9">
        <w:rPr>
          <w:rFonts w:ascii="Calibri" w:hAnsi="Calibri" w:cs="Times New Roman"/>
          <w:color w:val="auto"/>
          <w:sz w:val="22"/>
          <w:szCs w:val="22"/>
        </w:rPr>
        <w:t xml:space="preserve"> and in Article 9(3) SBT the reference to “If a CCP collects margin at a portfolio</w:t>
      </w:r>
      <w:r w:rsidR="00D005A9" w:rsidRPr="00D005A9">
        <w:rPr>
          <w:rFonts w:ascii="Calibri" w:hAnsi="Calibri" w:cs="Times New Roman"/>
          <w:color w:val="auto"/>
          <w:sz w:val="22"/>
          <w:szCs w:val="22"/>
        </w:rPr>
        <w:t>, as opposed to</w:t>
      </w:r>
      <w:r w:rsidR="00D005A9">
        <w:rPr>
          <w:rFonts w:ascii="Calibri" w:hAnsi="Calibri" w:cs="Times New Roman"/>
          <w:color w:val="auto"/>
          <w:sz w:val="22"/>
          <w:szCs w:val="22"/>
        </w:rPr>
        <w:t xml:space="preserve"> product level, it…”.</w:t>
      </w:r>
      <w:r w:rsidR="002E742A">
        <w:rPr>
          <w:rFonts w:ascii="Calibri" w:hAnsi="Calibri" w:cs="Times New Roman"/>
          <w:color w:val="auto"/>
          <w:sz w:val="22"/>
          <w:szCs w:val="22"/>
        </w:rPr>
        <w:t xml:space="preserve"> </w:t>
      </w:r>
      <w:r w:rsidR="0008190F">
        <w:rPr>
          <w:rFonts w:ascii="Calibri" w:hAnsi="Calibri" w:cs="Times New Roman"/>
          <w:color w:val="auto"/>
          <w:sz w:val="22"/>
          <w:szCs w:val="22"/>
        </w:rPr>
        <w:t xml:space="preserve"> </w:t>
      </w:r>
    </w:p>
    <w:p w:rsidR="00D005A9" w:rsidRDefault="00D005A9" w:rsidP="00127E2F">
      <w:pPr>
        <w:pStyle w:val="Default"/>
        <w:rPr>
          <w:rFonts w:ascii="Calibri" w:hAnsi="Calibri" w:cs="Times New Roman"/>
          <w:color w:val="auto"/>
          <w:sz w:val="22"/>
          <w:szCs w:val="22"/>
        </w:rPr>
      </w:pPr>
    </w:p>
    <w:p w:rsidR="00E5470C" w:rsidRDefault="00E5470C" w:rsidP="00E5470C">
      <w:pPr>
        <w:pStyle w:val="Default"/>
        <w:rPr>
          <w:rFonts w:ascii="Calibri" w:hAnsi="Calibri" w:cs="Times New Roman"/>
          <w:color w:val="auto"/>
          <w:sz w:val="22"/>
          <w:szCs w:val="22"/>
        </w:rPr>
      </w:pPr>
      <w:r>
        <w:rPr>
          <w:rFonts w:ascii="Calibri" w:hAnsi="Calibri" w:cs="Times New Roman"/>
          <w:color w:val="auto"/>
          <w:sz w:val="22"/>
          <w:szCs w:val="22"/>
        </w:rPr>
        <w:t>M</w:t>
      </w:r>
      <w:r w:rsidRPr="00E5470C">
        <w:rPr>
          <w:rFonts w:ascii="Calibri" w:hAnsi="Calibri" w:cs="Times New Roman"/>
          <w:color w:val="auto"/>
          <w:sz w:val="22"/>
          <w:szCs w:val="22"/>
        </w:rPr>
        <w:t xml:space="preserve">easuring correlations along </w:t>
      </w:r>
      <w:r>
        <w:rPr>
          <w:rFonts w:ascii="Calibri" w:hAnsi="Calibri" w:cs="Times New Roman"/>
          <w:color w:val="auto"/>
          <w:sz w:val="22"/>
          <w:szCs w:val="22"/>
        </w:rPr>
        <w:t>the</w:t>
      </w:r>
      <w:r w:rsidRPr="00E5470C">
        <w:rPr>
          <w:rFonts w:ascii="Calibri" w:hAnsi="Calibri" w:cs="Times New Roman"/>
          <w:color w:val="auto"/>
          <w:sz w:val="22"/>
          <w:szCs w:val="22"/>
        </w:rPr>
        <w:t xml:space="preserve"> lines</w:t>
      </w:r>
      <w:r>
        <w:rPr>
          <w:rFonts w:ascii="Calibri" w:hAnsi="Calibri" w:cs="Times New Roman"/>
          <w:color w:val="auto"/>
          <w:sz w:val="22"/>
          <w:szCs w:val="22"/>
        </w:rPr>
        <w:t xml:space="preserve"> suggested in the text</w:t>
      </w:r>
      <w:r w:rsidRPr="00E5470C">
        <w:rPr>
          <w:rFonts w:ascii="Calibri" w:hAnsi="Calibri" w:cs="Times New Roman"/>
          <w:color w:val="auto"/>
          <w:sz w:val="22"/>
          <w:szCs w:val="22"/>
        </w:rPr>
        <w:t xml:space="preserve"> do</w:t>
      </w:r>
      <w:r>
        <w:rPr>
          <w:rFonts w:ascii="Calibri" w:hAnsi="Calibri" w:cs="Times New Roman"/>
          <w:color w:val="auto"/>
          <w:sz w:val="22"/>
          <w:szCs w:val="22"/>
        </w:rPr>
        <w:t>es</w:t>
      </w:r>
      <w:r w:rsidRPr="00E5470C">
        <w:rPr>
          <w:rFonts w:ascii="Calibri" w:hAnsi="Calibri" w:cs="Times New Roman"/>
          <w:color w:val="auto"/>
          <w:sz w:val="22"/>
          <w:szCs w:val="22"/>
        </w:rPr>
        <w:t xml:space="preserve">n’t make sense for a majority of OTC products and several ETD products. For example, a typical IRS curve has 15-20 tenors and across 15 currencies we run into measuring thousands of correlation points, making this prescription impossible to implement. </w:t>
      </w:r>
      <w:r w:rsidR="00FE3839">
        <w:rPr>
          <w:rFonts w:ascii="Calibri" w:hAnsi="Calibri" w:cs="Times New Roman"/>
          <w:color w:val="auto"/>
          <w:sz w:val="22"/>
          <w:szCs w:val="22"/>
        </w:rPr>
        <w:t>A s</w:t>
      </w:r>
      <w:r w:rsidRPr="00E5470C">
        <w:rPr>
          <w:rFonts w:ascii="Calibri" w:hAnsi="Calibri" w:cs="Times New Roman"/>
          <w:color w:val="auto"/>
          <w:sz w:val="22"/>
          <w:szCs w:val="22"/>
        </w:rPr>
        <w:t xml:space="preserve">imilar argument holds for  CDS </w:t>
      </w:r>
      <w:r w:rsidR="00091C49" w:rsidRPr="00E5470C">
        <w:rPr>
          <w:rFonts w:ascii="Calibri" w:hAnsi="Calibri" w:cs="Times New Roman"/>
          <w:color w:val="auto"/>
          <w:sz w:val="22"/>
          <w:szCs w:val="22"/>
        </w:rPr>
        <w:t>indi</w:t>
      </w:r>
      <w:r w:rsidR="00091C49">
        <w:rPr>
          <w:rFonts w:ascii="Calibri" w:hAnsi="Calibri" w:cs="Times New Roman"/>
          <w:color w:val="auto"/>
          <w:sz w:val="22"/>
          <w:szCs w:val="22"/>
        </w:rPr>
        <w:t>ces</w:t>
      </w:r>
      <w:r w:rsidR="00FE3839" w:rsidRPr="00E5470C">
        <w:rPr>
          <w:rFonts w:ascii="Calibri" w:hAnsi="Calibri" w:cs="Times New Roman"/>
          <w:color w:val="auto"/>
          <w:sz w:val="22"/>
          <w:szCs w:val="22"/>
        </w:rPr>
        <w:t xml:space="preserve"> </w:t>
      </w:r>
      <w:r w:rsidRPr="00E5470C">
        <w:rPr>
          <w:rFonts w:ascii="Calibri" w:hAnsi="Calibri" w:cs="Times New Roman"/>
          <w:color w:val="auto"/>
          <w:sz w:val="22"/>
          <w:szCs w:val="22"/>
        </w:rPr>
        <w:t xml:space="preserve">and </w:t>
      </w:r>
      <w:r w:rsidR="00FE3839">
        <w:rPr>
          <w:rFonts w:ascii="Calibri" w:hAnsi="Calibri" w:cs="Times New Roman"/>
          <w:color w:val="auto"/>
          <w:sz w:val="22"/>
          <w:szCs w:val="22"/>
        </w:rPr>
        <w:t>a number of</w:t>
      </w:r>
      <w:r w:rsidRPr="00E5470C">
        <w:rPr>
          <w:rFonts w:ascii="Calibri" w:hAnsi="Calibri" w:cs="Times New Roman"/>
          <w:color w:val="auto"/>
          <w:sz w:val="22"/>
          <w:szCs w:val="22"/>
        </w:rPr>
        <w:t xml:space="preserve"> energy products. Even with single-dimension products where </w:t>
      </w:r>
      <w:r w:rsidR="00091C49">
        <w:rPr>
          <w:rFonts w:ascii="Calibri" w:hAnsi="Calibri" w:cs="Times New Roman"/>
          <w:color w:val="auto"/>
          <w:sz w:val="22"/>
          <w:szCs w:val="22"/>
        </w:rPr>
        <w:t xml:space="preserve">a </w:t>
      </w:r>
      <w:r w:rsidRPr="00E5470C">
        <w:rPr>
          <w:rFonts w:ascii="Calibri" w:hAnsi="Calibri" w:cs="Times New Roman"/>
          <w:color w:val="auto"/>
          <w:sz w:val="22"/>
          <w:szCs w:val="22"/>
        </w:rPr>
        <w:t xml:space="preserve">correlation measure is possible, the overall correlation benefits are portfolio dependent. </w:t>
      </w:r>
    </w:p>
    <w:p w:rsidR="00E5470C" w:rsidRPr="00E5470C" w:rsidRDefault="00E5470C" w:rsidP="00E5470C">
      <w:pPr>
        <w:pStyle w:val="Default"/>
        <w:rPr>
          <w:rFonts w:ascii="Calibri" w:hAnsi="Calibri" w:cs="Times New Roman"/>
          <w:color w:val="auto"/>
          <w:sz w:val="22"/>
          <w:szCs w:val="22"/>
        </w:rPr>
      </w:pPr>
    </w:p>
    <w:p w:rsidR="00694A16" w:rsidRDefault="00E5470C" w:rsidP="00E5470C">
      <w:pPr>
        <w:pStyle w:val="Default"/>
        <w:rPr>
          <w:rFonts w:ascii="Calibri" w:hAnsi="Calibri" w:cs="Times New Roman"/>
          <w:color w:val="auto"/>
          <w:sz w:val="22"/>
          <w:szCs w:val="22"/>
        </w:rPr>
      </w:pPr>
      <w:r w:rsidRPr="00E5470C">
        <w:rPr>
          <w:rFonts w:ascii="Calibri" w:hAnsi="Calibri" w:cs="Times New Roman"/>
          <w:color w:val="auto"/>
          <w:sz w:val="22"/>
          <w:szCs w:val="22"/>
        </w:rPr>
        <w:t xml:space="preserve">If the objective of ESMA is to prohibit offering unreliable correlation benefits that could be exposed during periods of stress, </w:t>
      </w:r>
      <w:r>
        <w:rPr>
          <w:rFonts w:ascii="Calibri" w:hAnsi="Calibri" w:cs="Times New Roman"/>
          <w:color w:val="auto"/>
          <w:sz w:val="22"/>
          <w:szCs w:val="22"/>
        </w:rPr>
        <w:t>we recommend that CCPs</w:t>
      </w:r>
      <w:r w:rsidRPr="00E5470C">
        <w:rPr>
          <w:rFonts w:ascii="Calibri" w:hAnsi="Calibri" w:cs="Times New Roman"/>
          <w:color w:val="auto"/>
          <w:sz w:val="22"/>
          <w:szCs w:val="22"/>
        </w:rPr>
        <w:t xml:space="preserve"> </w:t>
      </w:r>
      <w:r>
        <w:rPr>
          <w:rFonts w:ascii="Calibri" w:hAnsi="Calibri" w:cs="Times New Roman"/>
          <w:color w:val="auto"/>
          <w:sz w:val="22"/>
          <w:szCs w:val="22"/>
        </w:rPr>
        <w:t>be encouraged to ensure</w:t>
      </w:r>
      <w:r w:rsidRPr="00E5470C">
        <w:rPr>
          <w:rFonts w:ascii="Calibri" w:hAnsi="Calibri" w:cs="Times New Roman"/>
          <w:color w:val="auto"/>
          <w:sz w:val="22"/>
          <w:szCs w:val="22"/>
        </w:rPr>
        <w:t xml:space="preserve"> that margin models </w:t>
      </w:r>
      <w:r w:rsidR="00452C0D">
        <w:rPr>
          <w:rFonts w:ascii="Calibri" w:hAnsi="Calibri" w:cs="Times New Roman"/>
          <w:color w:val="auto"/>
          <w:sz w:val="22"/>
          <w:szCs w:val="22"/>
        </w:rPr>
        <w:t>are</w:t>
      </w:r>
      <w:r w:rsidRPr="00E5470C">
        <w:rPr>
          <w:rFonts w:ascii="Calibri" w:hAnsi="Calibri" w:cs="Times New Roman"/>
          <w:color w:val="auto"/>
          <w:sz w:val="22"/>
          <w:szCs w:val="22"/>
        </w:rPr>
        <w:t xml:space="preserve"> stress tested for correlation breaks that can jeopardi</w:t>
      </w:r>
      <w:r>
        <w:rPr>
          <w:rFonts w:ascii="Calibri" w:hAnsi="Calibri" w:cs="Times New Roman"/>
          <w:color w:val="auto"/>
          <w:sz w:val="22"/>
          <w:szCs w:val="22"/>
        </w:rPr>
        <w:t xml:space="preserve">se the </w:t>
      </w:r>
      <w:r w:rsidR="00452C0D">
        <w:rPr>
          <w:rFonts w:ascii="Calibri" w:hAnsi="Calibri" w:cs="Times New Roman"/>
          <w:color w:val="auto"/>
          <w:sz w:val="22"/>
          <w:szCs w:val="22"/>
        </w:rPr>
        <w:t>required confidence interval and/or liquidation period</w:t>
      </w:r>
      <w:r w:rsidR="00FE3839">
        <w:rPr>
          <w:rFonts w:ascii="Calibri" w:hAnsi="Calibri" w:cs="Times New Roman"/>
          <w:color w:val="auto"/>
          <w:sz w:val="22"/>
          <w:szCs w:val="22"/>
        </w:rPr>
        <w:t>.</w:t>
      </w:r>
      <w:r w:rsidRPr="00E5470C">
        <w:rPr>
          <w:rFonts w:ascii="Calibri" w:hAnsi="Calibri" w:cs="Times New Roman"/>
          <w:color w:val="auto"/>
          <w:sz w:val="22"/>
          <w:szCs w:val="22"/>
        </w:rPr>
        <w:t xml:space="preserve"> </w:t>
      </w:r>
      <w:r w:rsidR="00FE3839">
        <w:rPr>
          <w:rFonts w:ascii="Calibri" w:hAnsi="Calibri" w:cs="Times New Roman"/>
          <w:color w:val="auto"/>
          <w:sz w:val="22"/>
          <w:szCs w:val="22"/>
        </w:rPr>
        <w:t>S</w:t>
      </w:r>
      <w:r w:rsidRPr="00E5470C">
        <w:rPr>
          <w:rFonts w:ascii="Calibri" w:hAnsi="Calibri" w:cs="Times New Roman"/>
          <w:color w:val="auto"/>
          <w:sz w:val="22"/>
          <w:szCs w:val="22"/>
        </w:rPr>
        <w:t>evere correlation adjustments that happen during tail events should be allowed to be captured in a mutuali</w:t>
      </w:r>
      <w:r>
        <w:rPr>
          <w:rFonts w:ascii="Calibri" w:hAnsi="Calibri" w:cs="Times New Roman"/>
          <w:color w:val="auto"/>
          <w:sz w:val="22"/>
          <w:szCs w:val="22"/>
        </w:rPr>
        <w:t>s</w:t>
      </w:r>
      <w:r w:rsidRPr="00E5470C">
        <w:rPr>
          <w:rFonts w:ascii="Calibri" w:hAnsi="Calibri" w:cs="Times New Roman"/>
          <w:color w:val="auto"/>
          <w:sz w:val="22"/>
          <w:szCs w:val="22"/>
        </w:rPr>
        <w:t>ed poo</w:t>
      </w:r>
      <w:r>
        <w:rPr>
          <w:rFonts w:ascii="Calibri" w:hAnsi="Calibri" w:cs="Times New Roman"/>
          <w:color w:val="auto"/>
          <w:sz w:val="22"/>
          <w:szCs w:val="22"/>
        </w:rPr>
        <w:t xml:space="preserve">l, </w:t>
      </w:r>
      <w:r w:rsidR="00452C0D">
        <w:rPr>
          <w:rFonts w:ascii="Calibri" w:hAnsi="Calibri" w:cs="Times New Roman"/>
          <w:color w:val="auto"/>
          <w:sz w:val="22"/>
          <w:szCs w:val="22"/>
        </w:rPr>
        <w:t>such as the</w:t>
      </w:r>
      <w:r>
        <w:rPr>
          <w:rFonts w:ascii="Calibri" w:hAnsi="Calibri" w:cs="Times New Roman"/>
          <w:color w:val="auto"/>
          <w:sz w:val="22"/>
          <w:szCs w:val="22"/>
        </w:rPr>
        <w:t xml:space="preserve"> default fund, which is</w:t>
      </w:r>
      <w:r w:rsidRPr="00E5470C">
        <w:rPr>
          <w:rFonts w:ascii="Calibri" w:hAnsi="Calibri" w:cs="Times New Roman"/>
          <w:color w:val="auto"/>
          <w:sz w:val="22"/>
          <w:szCs w:val="22"/>
        </w:rPr>
        <w:t xml:space="preserve"> more efficient for tail risk. For product combinations where liquidity is questionable and correlations seem unstable, CCPs should be encouraged to incorporate correlation break scenarios in margins, as opposed to having a very high requirement for all products. The threshold of liquidity and correlation credits should be </w:t>
      </w:r>
      <w:r w:rsidR="00452C0D">
        <w:rPr>
          <w:rFonts w:ascii="Calibri" w:hAnsi="Calibri" w:cs="Times New Roman"/>
          <w:color w:val="auto"/>
          <w:sz w:val="22"/>
          <w:szCs w:val="22"/>
        </w:rPr>
        <w:t>determined</w:t>
      </w:r>
      <w:r w:rsidRPr="00E5470C">
        <w:rPr>
          <w:rFonts w:ascii="Calibri" w:hAnsi="Calibri" w:cs="Times New Roman"/>
          <w:color w:val="auto"/>
          <w:sz w:val="22"/>
          <w:szCs w:val="22"/>
        </w:rPr>
        <w:t xml:space="preserve"> by the Risk Committee and validated by independent validators.</w:t>
      </w:r>
    </w:p>
    <w:p w:rsidR="00E5470C" w:rsidRDefault="00E5470C" w:rsidP="00127E2F">
      <w:pPr>
        <w:pStyle w:val="Default"/>
        <w:rPr>
          <w:rFonts w:ascii="Calibri" w:hAnsi="Calibri" w:cs="Times New Roman"/>
          <w:color w:val="auto"/>
          <w:sz w:val="22"/>
          <w:szCs w:val="22"/>
        </w:rPr>
      </w:pPr>
    </w:p>
    <w:p w:rsidR="00785078" w:rsidRDefault="00785078" w:rsidP="00127E2F">
      <w:pPr>
        <w:pStyle w:val="Default"/>
        <w:rPr>
          <w:rFonts w:ascii="Calibri" w:hAnsi="Calibri" w:cs="Times New Roman"/>
          <w:color w:val="auto"/>
          <w:sz w:val="22"/>
          <w:szCs w:val="22"/>
        </w:rPr>
      </w:pPr>
      <w:r>
        <w:rPr>
          <w:rFonts w:ascii="Calibri" w:hAnsi="Calibri" w:cs="Times New Roman"/>
          <w:color w:val="auto"/>
          <w:sz w:val="22"/>
          <w:szCs w:val="22"/>
        </w:rPr>
        <w:t>In relation to parametric margin models, we view the 70% negative price correlation minimum as inappropriate</w:t>
      </w:r>
      <w:r w:rsidR="00BE7DEA">
        <w:rPr>
          <w:rFonts w:ascii="Calibri" w:hAnsi="Calibri" w:cs="Times New Roman"/>
          <w:color w:val="auto"/>
          <w:sz w:val="22"/>
          <w:szCs w:val="22"/>
        </w:rPr>
        <w:t>ly</w:t>
      </w:r>
      <w:r>
        <w:rPr>
          <w:rFonts w:ascii="Calibri" w:hAnsi="Calibri" w:cs="Times New Roman"/>
          <w:color w:val="auto"/>
          <w:sz w:val="22"/>
          <w:szCs w:val="22"/>
        </w:rPr>
        <w:t xml:space="preserve"> </w:t>
      </w:r>
      <w:r w:rsidR="00407910">
        <w:rPr>
          <w:rFonts w:ascii="Calibri" w:hAnsi="Calibri" w:cs="Times New Roman"/>
          <w:color w:val="auto"/>
          <w:sz w:val="22"/>
          <w:szCs w:val="22"/>
        </w:rPr>
        <w:t xml:space="preserve">high </w:t>
      </w:r>
      <w:r>
        <w:rPr>
          <w:rFonts w:ascii="Calibri" w:hAnsi="Calibri" w:cs="Times New Roman"/>
          <w:color w:val="auto"/>
          <w:sz w:val="22"/>
          <w:szCs w:val="22"/>
        </w:rPr>
        <w:t>and believe that the CFTC’s requirement</w:t>
      </w:r>
      <w:r w:rsidR="00E03F91">
        <w:rPr>
          <w:rFonts w:ascii="Calibri" w:hAnsi="Calibri" w:cs="Times New Roman"/>
          <w:color w:val="auto"/>
          <w:sz w:val="22"/>
          <w:szCs w:val="22"/>
        </w:rPr>
        <w:t>,</w:t>
      </w:r>
      <w:r>
        <w:rPr>
          <w:rFonts w:ascii="Calibri" w:hAnsi="Calibri" w:cs="Times New Roman"/>
          <w:color w:val="auto"/>
          <w:sz w:val="22"/>
          <w:szCs w:val="22"/>
        </w:rPr>
        <w:t xml:space="preserve"> that the </w:t>
      </w:r>
      <w:r w:rsidR="00BE7DEA">
        <w:rPr>
          <w:rFonts w:ascii="Calibri" w:hAnsi="Calibri" w:cs="Times New Roman"/>
          <w:color w:val="auto"/>
          <w:sz w:val="22"/>
          <w:szCs w:val="22"/>
        </w:rPr>
        <w:t xml:space="preserve">CCP should demonstrate that the </w:t>
      </w:r>
      <w:r>
        <w:rPr>
          <w:rFonts w:ascii="Calibri" w:hAnsi="Calibri" w:cs="Times New Roman"/>
          <w:color w:val="auto"/>
          <w:sz w:val="22"/>
          <w:szCs w:val="22"/>
        </w:rPr>
        <w:t xml:space="preserve">price relationship </w:t>
      </w:r>
      <w:r w:rsidR="00BE7DEA">
        <w:rPr>
          <w:rFonts w:ascii="Calibri" w:hAnsi="Calibri" w:cs="Times New Roman"/>
          <w:color w:val="auto"/>
          <w:sz w:val="22"/>
          <w:szCs w:val="22"/>
        </w:rPr>
        <w:t>is</w:t>
      </w:r>
      <w:r>
        <w:rPr>
          <w:rFonts w:ascii="Calibri" w:hAnsi="Calibri" w:cs="Times New Roman"/>
          <w:color w:val="auto"/>
          <w:sz w:val="22"/>
          <w:szCs w:val="22"/>
        </w:rPr>
        <w:t xml:space="preserve"> stable and that there </w:t>
      </w:r>
      <w:r w:rsidR="00BE7DEA">
        <w:rPr>
          <w:rFonts w:ascii="Calibri" w:hAnsi="Calibri" w:cs="Times New Roman"/>
          <w:color w:val="auto"/>
          <w:sz w:val="22"/>
          <w:szCs w:val="22"/>
        </w:rPr>
        <w:t>is</w:t>
      </w:r>
      <w:r>
        <w:rPr>
          <w:rFonts w:ascii="Calibri" w:hAnsi="Calibri" w:cs="Times New Roman"/>
          <w:color w:val="auto"/>
          <w:sz w:val="22"/>
          <w:szCs w:val="22"/>
        </w:rPr>
        <w:t xml:space="preserve"> a clear</w:t>
      </w:r>
      <w:r w:rsidR="00BE7DEA">
        <w:rPr>
          <w:rFonts w:ascii="Calibri" w:hAnsi="Calibri" w:cs="Times New Roman"/>
          <w:color w:val="auto"/>
          <w:sz w:val="22"/>
          <w:szCs w:val="22"/>
        </w:rPr>
        <w:t xml:space="preserve"> structural linkage between the products or instruments before granting offsets</w:t>
      </w:r>
      <w:r w:rsidR="00E03F91">
        <w:rPr>
          <w:rFonts w:ascii="Calibri" w:hAnsi="Calibri" w:cs="Times New Roman"/>
          <w:color w:val="auto"/>
          <w:sz w:val="22"/>
          <w:szCs w:val="22"/>
        </w:rPr>
        <w:t>,</w:t>
      </w:r>
      <w:r w:rsidR="00BE7DEA">
        <w:rPr>
          <w:rFonts w:ascii="Calibri" w:hAnsi="Calibri" w:cs="Times New Roman"/>
          <w:color w:val="auto"/>
          <w:sz w:val="22"/>
          <w:szCs w:val="22"/>
        </w:rPr>
        <w:t xml:space="preserve"> is the correct approach.</w:t>
      </w:r>
      <w:r>
        <w:rPr>
          <w:rFonts w:ascii="Calibri" w:hAnsi="Calibri" w:cs="Times New Roman"/>
          <w:color w:val="auto"/>
          <w:sz w:val="22"/>
          <w:szCs w:val="22"/>
        </w:rPr>
        <w:t xml:space="preserve">  </w:t>
      </w:r>
      <w:r w:rsidR="00E03F91">
        <w:rPr>
          <w:rFonts w:ascii="Calibri" w:hAnsi="Calibri" w:cs="Times New Roman"/>
          <w:color w:val="auto"/>
          <w:sz w:val="22"/>
          <w:szCs w:val="22"/>
        </w:rPr>
        <w:t>We note that ESMA proposes to follow the CFTC’s approach in respect to the time-to-maturity of debt instruments (p.39) and recommend the treatment of margin offsets as another area of alignment with the CFTC.</w:t>
      </w:r>
    </w:p>
    <w:p w:rsidR="00BE7DEA" w:rsidRDefault="00BE7DEA" w:rsidP="00127E2F">
      <w:pPr>
        <w:pStyle w:val="Default"/>
        <w:rPr>
          <w:rFonts w:ascii="Calibri" w:hAnsi="Calibri" w:cs="Times New Roman"/>
          <w:color w:val="auto"/>
          <w:sz w:val="22"/>
          <w:szCs w:val="22"/>
        </w:rPr>
      </w:pPr>
    </w:p>
    <w:p w:rsidR="00BE7DEA" w:rsidRDefault="00BE7DEA" w:rsidP="00127E2F">
      <w:pPr>
        <w:pStyle w:val="Default"/>
        <w:rPr>
          <w:rFonts w:ascii="Calibri" w:hAnsi="Calibri" w:cs="Times New Roman"/>
          <w:color w:val="auto"/>
          <w:sz w:val="22"/>
          <w:szCs w:val="22"/>
        </w:rPr>
      </w:pPr>
      <w:r>
        <w:rPr>
          <w:rFonts w:ascii="Calibri" w:hAnsi="Calibri" w:cs="Times New Roman"/>
          <w:color w:val="auto"/>
          <w:sz w:val="22"/>
          <w:szCs w:val="22"/>
        </w:rPr>
        <w:t>The proposal that all financial instruments offset for initial margining calculation should be covered by the same default fund</w:t>
      </w:r>
      <w:r w:rsidR="0061004D">
        <w:rPr>
          <w:rFonts w:ascii="Calibri" w:hAnsi="Calibri" w:cs="Times New Roman"/>
          <w:color w:val="auto"/>
          <w:sz w:val="22"/>
          <w:szCs w:val="22"/>
        </w:rPr>
        <w:t xml:space="preserve"> is </w:t>
      </w:r>
      <w:r w:rsidR="00407910">
        <w:rPr>
          <w:rFonts w:ascii="Calibri" w:hAnsi="Calibri" w:cs="Times New Roman"/>
          <w:color w:val="auto"/>
          <w:sz w:val="22"/>
          <w:szCs w:val="22"/>
        </w:rPr>
        <w:t xml:space="preserve">also </w:t>
      </w:r>
      <w:r w:rsidR="0061004D">
        <w:rPr>
          <w:rFonts w:ascii="Calibri" w:hAnsi="Calibri" w:cs="Times New Roman"/>
          <w:color w:val="auto"/>
          <w:sz w:val="22"/>
          <w:szCs w:val="22"/>
        </w:rPr>
        <w:t>unnecessarily prescriptive.</w:t>
      </w:r>
    </w:p>
    <w:p w:rsidR="0061004D" w:rsidRDefault="0061004D" w:rsidP="00127E2F">
      <w:pPr>
        <w:pStyle w:val="Default"/>
        <w:rPr>
          <w:rFonts w:ascii="Calibri" w:hAnsi="Calibri" w:cs="Times New Roman"/>
          <w:color w:val="auto"/>
          <w:sz w:val="22"/>
          <w:szCs w:val="22"/>
        </w:rPr>
      </w:pPr>
    </w:p>
    <w:p w:rsidR="0061004D" w:rsidRDefault="0061004D" w:rsidP="00127E2F">
      <w:pPr>
        <w:pStyle w:val="Default"/>
        <w:rPr>
          <w:rFonts w:ascii="Calibri" w:hAnsi="Calibri" w:cs="Times New Roman"/>
          <w:i/>
          <w:color w:val="auto"/>
          <w:sz w:val="22"/>
          <w:szCs w:val="22"/>
        </w:rPr>
      </w:pPr>
      <w:r w:rsidRPr="0061004D">
        <w:rPr>
          <w:rFonts w:ascii="Calibri" w:hAnsi="Calibri" w:cs="Times New Roman"/>
          <w:i/>
          <w:color w:val="auto"/>
          <w:sz w:val="22"/>
          <w:szCs w:val="22"/>
        </w:rPr>
        <w:t>CCPs’ contributions to default resources</w:t>
      </w:r>
    </w:p>
    <w:p w:rsidR="0061004D" w:rsidRDefault="0061004D" w:rsidP="00127E2F">
      <w:pPr>
        <w:pStyle w:val="Default"/>
        <w:rPr>
          <w:rFonts w:ascii="Calibri" w:hAnsi="Calibri" w:cs="Times New Roman"/>
          <w:i/>
          <w:color w:val="auto"/>
          <w:sz w:val="22"/>
          <w:szCs w:val="22"/>
        </w:rPr>
      </w:pPr>
    </w:p>
    <w:p w:rsidR="0061004D" w:rsidRDefault="0061004D" w:rsidP="00127E2F">
      <w:pPr>
        <w:pStyle w:val="Default"/>
        <w:rPr>
          <w:rFonts w:ascii="Calibri" w:hAnsi="Calibri" w:cs="Times New Roman"/>
          <w:color w:val="auto"/>
          <w:sz w:val="22"/>
          <w:szCs w:val="22"/>
        </w:rPr>
      </w:pPr>
      <w:r w:rsidRPr="0061004D">
        <w:rPr>
          <w:rFonts w:ascii="Calibri" w:hAnsi="Calibri" w:cs="Times New Roman"/>
          <w:color w:val="auto"/>
          <w:sz w:val="22"/>
          <w:szCs w:val="22"/>
        </w:rPr>
        <w:t xml:space="preserve">We agree that CCPs should contribute to </w:t>
      </w:r>
      <w:r>
        <w:rPr>
          <w:rFonts w:ascii="Calibri" w:hAnsi="Calibri" w:cs="Times New Roman"/>
          <w:color w:val="auto"/>
          <w:sz w:val="22"/>
          <w:szCs w:val="22"/>
        </w:rPr>
        <w:t xml:space="preserve">total </w:t>
      </w:r>
      <w:r w:rsidRPr="0061004D">
        <w:rPr>
          <w:rFonts w:ascii="Calibri" w:hAnsi="Calibri" w:cs="Times New Roman"/>
          <w:color w:val="auto"/>
          <w:sz w:val="22"/>
          <w:szCs w:val="22"/>
        </w:rPr>
        <w:t xml:space="preserve">default </w:t>
      </w:r>
      <w:r>
        <w:rPr>
          <w:rFonts w:ascii="Calibri" w:hAnsi="Calibri" w:cs="Times New Roman"/>
          <w:color w:val="auto"/>
          <w:sz w:val="22"/>
          <w:szCs w:val="22"/>
        </w:rPr>
        <w:t>resources and a</w:t>
      </w:r>
      <w:r w:rsidR="00407910">
        <w:rPr>
          <w:rFonts w:ascii="Calibri" w:hAnsi="Calibri" w:cs="Times New Roman"/>
          <w:color w:val="auto"/>
          <w:sz w:val="22"/>
          <w:szCs w:val="22"/>
        </w:rPr>
        <w:t xml:space="preserve"> size</w:t>
      </w:r>
      <w:r>
        <w:rPr>
          <w:rFonts w:ascii="Calibri" w:hAnsi="Calibri" w:cs="Times New Roman"/>
          <w:color w:val="auto"/>
          <w:sz w:val="22"/>
          <w:szCs w:val="22"/>
        </w:rPr>
        <w:t xml:space="preserve"> linkage to capital is reasonable.  </w:t>
      </w:r>
      <w:r w:rsidR="001F65C4">
        <w:rPr>
          <w:rFonts w:ascii="Calibri" w:hAnsi="Calibri" w:cs="Times New Roman"/>
          <w:color w:val="auto"/>
          <w:sz w:val="22"/>
          <w:szCs w:val="22"/>
        </w:rPr>
        <w:t xml:space="preserve">We cannot, however, see why it is thought necessary to prescribe that the contributions to separate pools of default resources should be proportionately equal.  We believe that </w:t>
      </w:r>
      <w:r w:rsidR="008879A7">
        <w:rPr>
          <w:rFonts w:ascii="Calibri" w:hAnsi="Calibri" w:cs="Times New Roman"/>
          <w:color w:val="auto"/>
          <w:sz w:val="22"/>
          <w:szCs w:val="22"/>
        </w:rPr>
        <w:t>governing</w:t>
      </w:r>
      <w:r w:rsidR="001F65C4">
        <w:rPr>
          <w:rFonts w:ascii="Calibri" w:hAnsi="Calibri" w:cs="Times New Roman"/>
          <w:color w:val="auto"/>
          <w:sz w:val="22"/>
          <w:szCs w:val="22"/>
        </w:rPr>
        <w:t xml:space="preserve"> principles </w:t>
      </w:r>
      <w:r w:rsidR="00407910">
        <w:rPr>
          <w:rFonts w:ascii="Calibri" w:hAnsi="Calibri" w:cs="Times New Roman"/>
          <w:color w:val="auto"/>
          <w:sz w:val="22"/>
          <w:szCs w:val="22"/>
        </w:rPr>
        <w:t>that</w:t>
      </w:r>
      <w:r w:rsidR="001F65C4">
        <w:rPr>
          <w:rFonts w:ascii="Calibri" w:hAnsi="Calibri" w:cs="Times New Roman"/>
          <w:color w:val="auto"/>
          <w:sz w:val="22"/>
          <w:szCs w:val="22"/>
        </w:rPr>
        <w:t xml:space="preserve"> CCP contributions to default funds </w:t>
      </w:r>
      <w:r w:rsidR="00407910">
        <w:rPr>
          <w:rFonts w:ascii="Calibri" w:hAnsi="Calibri" w:cs="Times New Roman"/>
          <w:color w:val="auto"/>
          <w:sz w:val="22"/>
          <w:szCs w:val="22"/>
        </w:rPr>
        <w:t>are</w:t>
      </w:r>
      <w:r w:rsidR="001F65C4">
        <w:rPr>
          <w:rFonts w:ascii="Calibri" w:hAnsi="Calibri" w:cs="Times New Roman"/>
          <w:color w:val="auto"/>
          <w:sz w:val="22"/>
          <w:szCs w:val="22"/>
        </w:rPr>
        <w:t xml:space="preserve"> transparent and reviewed</w:t>
      </w:r>
      <w:r w:rsidRPr="0061004D">
        <w:rPr>
          <w:rFonts w:ascii="Calibri" w:hAnsi="Calibri" w:cs="Times New Roman"/>
          <w:color w:val="auto"/>
          <w:sz w:val="22"/>
          <w:szCs w:val="22"/>
        </w:rPr>
        <w:t xml:space="preserve"> </w:t>
      </w:r>
      <w:r w:rsidR="008879A7">
        <w:rPr>
          <w:rFonts w:ascii="Calibri" w:hAnsi="Calibri" w:cs="Times New Roman"/>
          <w:color w:val="auto"/>
          <w:sz w:val="22"/>
          <w:szCs w:val="22"/>
        </w:rPr>
        <w:t>whenever the size of a default fund changes</w:t>
      </w:r>
      <w:r w:rsidR="00407910">
        <w:rPr>
          <w:rFonts w:ascii="Calibri" w:hAnsi="Calibri" w:cs="Times New Roman"/>
          <w:color w:val="auto"/>
          <w:sz w:val="22"/>
          <w:szCs w:val="22"/>
        </w:rPr>
        <w:t xml:space="preserve"> are sufficient</w:t>
      </w:r>
      <w:r w:rsidR="008879A7">
        <w:rPr>
          <w:rFonts w:ascii="Calibri" w:hAnsi="Calibri" w:cs="Times New Roman"/>
          <w:color w:val="auto"/>
          <w:sz w:val="22"/>
          <w:szCs w:val="22"/>
        </w:rPr>
        <w:t>.</w:t>
      </w:r>
    </w:p>
    <w:p w:rsidR="008879A7" w:rsidRDefault="008879A7" w:rsidP="00127E2F">
      <w:pPr>
        <w:pStyle w:val="Default"/>
        <w:rPr>
          <w:rFonts w:ascii="Calibri" w:hAnsi="Calibri" w:cs="Times New Roman"/>
          <w:color w:val="auto"/>
          <w:sz w:val="22"/>
          <w:szCs w:val="22"/>
        </w:rPr>
      </w:pPr>
    </w:p>
    <w:p w:rsidR="008879A7" w:rsidRDefault="008879A7" w:rsidP="00127E2F">
      <w:pPr>
        <w:pStyle w:val="Default"/>
        <w:rPr>
          <w:rFonts w:ascii="Calibri" w:hAnsi="Calibri" w:cs="Times New Roman"/>
          <w:i/>
          <w:color w:val="auto"/>
          <w:sz w:val="22"/>
          <w:szCs w:val="22"/>
        </w:rPr>
      </w:pPr>
      <w:r w:rsidRPr="008879A7">
        <w:rPr>
          <w:rFonts w:ascii="Calibri" w:hAnsi="Calibri" w:cs="Times New Roman"/>
          <w:i/>
          <w:color w:val="auto"/>
          <w:sz w:val="22"/>
          <w:szCs w:val="22"/>
        </w:rPr>
        <w:t>Collateral</w:t>
      </w:r>
    </w:p>
    <w:p w:rsidR="008879A7" w:rsidRDefault="008879A7" w:rsidP="00127E2F">
      <w:pPr>
        <w:pStyle w:val="Default"/>
        <w:rPr>
          <w:rFonts w:ascii="Calibri" w:hAnsi="Calibri" w:cs="Times New Roman"/>
          <w:i/>
          <w:color w:val="auto"/>
          <w:sz w:val="22"/>
          <w:szCs w:val="22"/>
        </w:rPr>
      </w:pPr>
    </w:p>
    <w:p w:rsidR="008879A7" w:rsidRPr="001C5D48" w:rsidRDefault="004D2E82" w:rsidP="00127E2F">
      <w:pPr>
        <w:pStyle w:val="Default"/>
        <w:rPr>
          <w:rFonts w:ascii="Calibri" w:hAnsi="Calibri" w:cs="Times New Roman"/>
          <w:color w:val="auto"/>
          <w:sz w:val="22"/>
          <w:szCs w:val="22"/>
        </w:rPr>
      </w:pPr>
      <w:r>
        <w:rPr>
          <w:rFonts w:ascii="Calibri" w:hAnsi="Calibri" w:cs="Times New Roman"/>
          <w:color w:val="auto"/>
          <w:sz w:val="22"/>
          <w:szCs w:val="22"/>
        </w:rPr>
        <w:t>The general treatment of acceptable collateral using a criteria-based approach is an appropriate one, including that relating to bank guarantees</w:t>
      </w:r>
      <w:r w:rsidR="00856E7B">
        <w:rPr>
          <w:rFonts w:ascii="Calibri" w:hAnsi="Calibri" w:cs="Times New Roman"/>
          <w:color w:val="auto"/>
          <w:sz w:val="22"/>
          <w:szCs w:val="22"/>
        </w:rPr>
        <w:t xml:space="preserve"> (but see our later comment on bank guarantees under concentration limits)</w:t>
      </w:r>
      <w:r>
        <w:rPr>
          <w:rFonts w:ascii="Calibri" w:hAnsi="Calibri" w:cs="Times New Roman"/>
          <w:color w:val="auto"/>
          <w:sz w:val="22"/>
          <w:szCs w:val="22"/>
        </w:rPr>
        <w:t xml:space="preserve">.  There are, however, two restrictions that seem excessive.  The first is that guarantors must not be providers of </w:t>
      </w:r>
      <w:r w:rsidR="003418AE">
        <w:rPr>
          <w:rFonts w:ascii="Calibri" w:hAnsi="Calibri" w:cs="Times New Roman"/>
          <w:color w:val="auto"/>
          <w:sz w:val="22"/>
          <w:szCs w:val="22"/>
        </w:rPr>
        <w:t>“…</w:t>
      </w:r>
      <w:r>
        <w:rPr>
          <w:rFonts w:ascii="Calibri" w:hAnsi="Calibri" w:cs="Times New Roman"/>
          <w:color w:val="auto"/>
          <w:sz w:val="22"/>
          <w:szCs w:val="22"/>
        </w:rPr>
        <w:t>essential services to CCPs</w:t>
      </w:r>
      <w:r w:rsidR="003418AE">
        <w:rPr>
          <w:rFonts w:ascii="Calibri" w:hAnsi="Calibri" w:cs="Times New Roman"/>
          <w:color w:val="auto"/>
          <w:sz w:val="22"/>
          <w:szCs w:val="22"/>
        </w:rPr>
        <w:t>” ; the second that the guarantees are “…fully</w:t>
      </w:r>
      <w:r>
        <w:rPr>
          <w:rFonts w:ascii="Calibri" w:hAnsi="Calibri" w:cs="Times New Roman"/>
          <w:color w:val="auto"/>
          <w:sz w:val="22"/>
          <w:szCs w:val="22"/>
        </w:rPr>
        <w:t xml:space="preserve"> </w:t>
      </w:r>
      <w:r w:rsidR="003418AE">
        <w:rPr>
          <w:rFonts w:ascii="Calibri" w:hAnsi="Calibri" w:cs="Times New Roman"/>
          <w:color w:val="auto"/>
          <w:sz w:val="22"/>
          <w:szCs w:val="22"/>
        </w:rPr>
        <w:t xml:space="preserve">backed by collateral that satisfies the requirements of sub-paragraph 3(b) and the CCP can demonstrate can be realised on a same-day basis”.  In relation to the first restriction, we would classify </w:t>
      </w:r>
      <w:r w:rsidR="003418AE">
        <w:rPr>
          <w:rFonts w:ascii="Calibri" w:hAnsi="Calibri" w:cs="Times New Roman"/>
          <w:color w:val="auto"/>
          <w:sz w:val="22"/>
          <w:szCs w:val="22"/>
        </w:rPr>
        <w:lastRenderedPageBreak/>
        <w:t>settlement banks as providers of essential services to both clearing members and CCPs</w:t>
      </w:r>
      <w:r w:rsidR="00407910">
        <w:rPr>
          <w:rFonts w:ascii="Calibri" w:hAnsi="Calibri" w:cs="Times New Roman"/>
          <w:color w:val="auto"/>
          <w:sz w:val="22"/>
          <w:szCs w:val="22"/>
        </w:rPr>
        <w:t>.  As</w:t>
      </w:r>
      <w:r w:rsidR="003418AE">
        <w:rPr>
          <w:rFonts w:ascii="Calibri" w:hAnsi="Calibri" w:cs="Times New Roman"/>
          <w:color w:val="auto"/>
          <w:sz w:val="22"/>
          <w:szCs w:val="22"/>
        </w:rPr>
        <w:t xml:space="preserve"> they must meet the issuer criteria of Article 3(c) (ii) </w:t>
      </w:r>
      <w:r w:rsidR="006E1624">
        <w:rPr>
          <w:rFonts w:ascii="Calibri" w:hAnsi="Calibri" w:cs="Times New Roman"/>
          <w:color w:val="auto"/>
          <w:sz w:val="22"/>
          <w:szCs w:val="22"/>
        </w:rPr>
        <w:t xml:space="preserve">and (ix), </w:t>
      </w:r>
      <w:r w:rsidR="003418AE">
        <w:rPr>
          <w:rFonts w:ascii="Calibri" w:hAnsi="Calibri" w:cs="Times New Roman"/>
          <w:color w:val="auto"/>
          <w:sz w:val="22"/>
          <w:szCs w:val="22"/>
        </w:rPr>
        <w:t>and the CCP will have the ability to remove them f</w:t>
      </w:r>
      <w:r w:rsidR="00407910">
        <w:rPr>
          <w:rFonts w:ascii="Calibri" w:hAnsi="Calibri" w:cs="Times New Roman"/>
          <w:color w:val="auto"/>
          <w:sz w:val="22"/>
          <w:szCs w:val="22"/>
        </w:rPr>
        <w:t>rom</w:t>
      </w:r>
      <w:r w:rsidR="003418AE">
        <w:rPr>
          <w:rFonts w:ascii="Calibri" w:hAnsi="Calibri" w:cs="Times New Roman"/>
          <w:color w:val="auto"/>
          <w:sz w:val="22"/>
          <w:szCs w:val="22"/>
        </w:rPr>
        <w:t xml:space="preserve"> the list of eligible guarantors if they fall below the minimum credit standards</w:t>
      </w:r>
      <w:r w:rsidR="006E1624">
        <w:rPr>
          <w:rFonts w:ascii="Calibri" w:hAnsi="Calibri" w:cs="Times New Roman"/>
          <w:color w:val="auto"/>
          <w:sz w:val="22"/>
          <w:szCs w:val="22"/>
        </w:rPr>
        <w:t>,</w:t>
      </w:r>
      <w:r w:rsidR="003418AE">
        <w:rPr>
          <w:rFonts w:ascii="Calibri" w:hAnsi="Calibri" w:cs="Times New Roman"/>
          <w:color w:val="auto"/>
          <w:sz w:val="22"/>
          <w:szCs w:val="22"/>
        </w:rPr>
        <w:t xml:space="preserve"> it seems excessive to disqualify them from an activity that is </w:t>
      </w:r>
      <w:r w:rsidR="00407910">
        <w:rPr>
          <w:rFonts w:ascii="Calibri" w:hAnsi="Calibri" w:cs="Times New Roman"/>
          <w:color w:val="auto"/>
          <w:sz w:val="22"/>
          <w:szCs w:val="22"/>
        </w:rPr>
        <w:t xml:space="preserve">closely </w:t>
      </w:r>
      <w:r w:rsidR="003418AE">
        <w:rPr>
          <w:rFonts w:ascii="Calibri" w:hAnsi="Calibri" w:cs="Times New Roman"/>
          <w:color w:val="auto"/>
          <w:sz w:val="22"/>
          <w:szCs w:val="22"/>
        </w:rPr>
        <w:t>linked to their client relationships.  In relation to the second restriction, the requirement seems to relate to the practices of the bank guarantor rather than the CCP</w:t>
      </w:r>
      <w:r w:rsidR="006E1624">
        <w:rPr>
          <w:rFonts w:ascii="Calibri" w:hAnsi="Calibri" w:cs="Times New Roman"/>
          <w:color w:val="auto"/>
          <w:sz w:val="22"/>
          <w:szCs w:val="22"/>
        </w:rPr>
        <w:t xml:space="preserve">.  Taken literally, the CCP would have to insist that the guarantee was at all times fully collateralised by the client with </w:t>
      </w:r>
      <w:r w:rsidR="00407910">
        <w:rPr>
          <w:rFonts w:ascii="Calibri" w:hAnsi="Calibri" w:cs="Times New Roman"/>
          <w:color w:val="auto"/>
          <w:sz w:val="22"/>
          <w:szCs w:val="22"/>
        </w:rPr>
        <w:t>collateral meeting the eligibility criteria as a financial instrument</w:t>
      </w:r>
      <w:r w:rsidR="006E1624">
        <w:rPr>
          <w:rFonts w:ascii="Calibri" w:hAnsi="Calibri" w:cs="Times New Roman"/>
          <w:color w:val="auto"/>
          <w:sz w:val="22"/>
          <w:szCs w:val="22"/>
        </w:rPr>
        <w:t xml:space="preserve"> (and </w:t>
      </w:r>
      <w:r w:rsidR="00407910">
        <w:rPr>
          <w:rFonts w:ascii="Calibri" w:hAnsi="Calibri" w:cs="Times New Roman"/>
          <w:color w:val="auto"/>
          <w:sz w:val="22"/>
          <w:szCs w:val="22"/>
        </w:rPr>
        <w:t xml:space="preserve">could </w:t>
      </w:r>
      <w:r w:rsidR="006E1624">
        <w:rPr>
          <w:rFonts w:ascii="Calibri" w:hAnsi="Calibri" w:cs="Times New Roman"/>
          <w:color w:val="auto"/>
          <w:sz w:val="22"/>
          <w:szCs w:val="22"/>
        </w:rPr>
        <w:t>not accept the guarantee if cash was used to cover some of the value of the guarantee)</w:t>
      </w:r>
      <w:r w:rsidR="00407910">
        <w:rPr>
          <w:rFonts w:ascii="Calibri" w:hAnsi="Calibri" w:cs="Times New Roman"/>
          <w:color w:val="auto"/>
          <w:sz w:val="22"/>
          <w:szCs w:val="22"/>
        </w:rPr>
        <w:t xml:space="preserve">, </w:t>
      </w:r>
      <w:r w:rsidR="006E1624">
        <w:rPr>
          <w:rFonts w:ascii="Calibri" w:hAnsi="Calibri" w:cs="Times New Roman"/>
          <w:color w:val="auto"/>
          <w:sz w:val="22"/>
          <w:szCs w:val="22"/>
        </w:rPr>
        <w:t xml:space="preserve">and to test at intervals the collateral supporting the guarantee to take a view on its same-day realisability.  We wonder whether the reference to same-day realisability is intended in fact to be a reference to the ability to call for same-day funds under the guarantee itself, a more important characteristic </w:t>
      </w:r>
      <w:r w:rsidR="005246A5">
        <w:rPr>
          <w:rFonts w:ascii="Calibri" w:hAnsi="Calibri" w:cs="Times New Roman"/>
          <w:color w:val="auto"/>
          <w:sz w:val="22"/>
          <w:szCs w:val="22"/>
        </w:rPr>
        <w:t xml:space="preserve">to the CCP </w:t>
      </w:r>
      <w:r w:rsidR="006E1624">
        <w:rPr>
          <w:rFonts w:ascii="Calibri" w:hAnsi="Calibri" w:cs="Times New Roman"/>
          <w:color w:val="auto"/>
          <w:sz w:val="22"/>
          <w:szCs w:val="22"/>
        </w:rPr>
        <w:t>than collateral backing if the guarantee is irrevocable and issued by a sound bank.</w:t>
      </w:r>
    </w:p>
    <w:p w:rsidR="0061004D" w:rsidRPr="001C5D48" w:rsidRDefault="0061004D" w:rsidP="00127E2F">
      <w:pPr>
        <w:pStyle w:val="Default"/>
        <w:rPr>
          <w:rFonts w:ascii="Calibri" w:hAnsi="Calibri" w:cs="Times New Roman"/>
          <w:color w:val="auto"/>
          <w:sz w:val="22"/>
          <w:szCs w:val="22"/>
        </w:rPr>
      </w:pPr>
    </w:p>
    <w:p w:rsidR="0061004D" w:rsidRPr="00856E7B" w:rsidRDefault="00856E7B" w:rsidP="00127E2F">
      <w:pPr>
        <w:pStyle w:val="Default"/>
        <w:rPr>
          <w:rFonts w:ascii="Calibri" w:hAnsi="Calibri" w:cs="Times New Roman"/>
          <w:i/>
          <w:color w:val="auto"/>
          <w:sz w:val="22"/>
          <w:szCs w:val="22"/>
        </w:rPr>
      </w:pPr>
      <w:r w:rsidRPr="00856E7B">
        <w:rPr>
          <w:rFonts w:ascii="Calibri" w:hAnsi="Calibri" w:cs="Times New Roman"/>
          <w:i/>
          <w:color w:val="auto"/>
          <w:sz w:val="22"/>
          <w:szCs w:val="22"/>
        </w:rPr>
        <w:t>Concentration limits</w:t>
      </w:r>
    </w:p>
    <w:p w:rsidR="00856E7B" w:rsidRDefault="00856E7B" w:rsidP="00127E2F">
      <w:pPr>
        <w:pStyle w:val="Default"/>
        <w:rPr>
          <w:rFonts w:ascii="Calibri" w:hAnsi="Calibri" w:cs="Times New Roman"/>
          <w:color w:val="auto"/>
          <w:sz w:val="22"/>
          <w:szCs w:val="22"/>
        </w:rPr>
      </w:pPr>
    </w:p>
    <w:p w:rsidR="002E34B5" w:rsidRDefault="00856E7B" w:rsidP="00D1181C">
      <w:pPr>
        <w:pStyle w:val="Default"/>
        <w:rPr>
          <w:rFonts w:ascii="Calibri" w:hAnsi="Calibri" w:cs="Times New Roman"/>
          <w:color w:val="auto"/>
          <w:sz w:val="22"/>
          <w:szCs w:val="22"/>
        </w:rPr>
      </w:pPr>
      <w:r>
        <w:rPr>
          <w:rFonts w:ascii="Calibri" w:hAnsi="Calibri" w:cs="Times New Roman"/>
          <w:color w:val="auto"/>
          <w:sz w:val="22"/>
          <w:szCs w:val="22"/>
        </w:rPr>
        <w:t>Article 4(3)</w:t>
      </w:r>
      <w:r w:rsidR="004C0606">
        <w:rPr>
          <w:rFonts w:ascii="Calibri" w:hAnsi="Calibri" w:cs="Times New Roman"/>
          <w:color w:val="auto"/>
          <w:sz w:val="22"/>
          <w:szCs w:val="22"/>
        </w:rPr>
        <w:t xml:space="preserve"> </w:t>
      </w:r>
      <w:r>
        <w:rPr>
          <w:rFonts w:ascii="Calibri" w:hAnsi="Calibri" w:cs="Times New Roman"/>
          <w:color w:val="auto"/>
          <w:sz w:val="22"/>
          <w:szCs w:val="22"/>
        </w:rPr>
        <w:t xml:space="preserve">COL refers to a clearing house for whom commercial bank guarantees constitute more than 50% of total collateral being granted exceptional treatment in being able to accept 25% from one entity or group of connected entities.  Given that the article in question refers earlier to the aim of “…avoid[ing] a high credit exposure to an individual issuer”, and given the </w:t>
      </w:r>
      <w:r w:rsidR="00D1181C">
        <w:rPr>
          <w:rFonts w:ascii="Calibri" w:hAnsi="Calibri" w:cs="Times New Roman"/>
          <w:color w:val="auto"/>
          <w:sz w:val="22"/>
          <w:szCs w:val="22"/>
        </w:rPr>
        <w:t xml:space="preserve">stated intention of strengthening CCP risk protections through the technical standards, a concentration of over 50% and an </w:t>
      </w:r>
      <w:r w:rsidR="004C0606">
        <w:rPr>
          <w:rFonts w:ascii="Calibri" w:hAnsi="Calibri" w:cs="Times New Roman"/>
          <w:color w:val="auto"/>
          <w:sz w:val="22"/>
          <w:szCs w:val="22"/>
        </w:rPr>
        <w:t>individual</w:t>
      </w:r>
      <w:r w:rsidR="00D1181C">
        <w:rPr>
          <w:rFonts w:ascii="Calibri" w:hAnsi="Calibri" w:cs="Times New Roman"/>
          <w:color w:val="auto"/>
          <w:sz w:val="22"/>
          <w:szCs w:val="22"/>
        </w:rPr>
        <w:t>/group limit of 25% could be thought to undermine the credibility of the proposals</w:t>
      </w:r>
    </w:p>
    <w:p w:rsidR="005246A5" w:rsidRDefault="005246A5" w:rsidP="00D1181C">
      <w:pPr>
        <w:pStyle w:val="Default"/>
        <w:rPr>
          <w:rFonts w:ascii="Calibri" w:hAnsi="Calibri" w:cs="Times New Roman"/>
          <w:color w:val="auto"/>
          <w:sz w:val="22"/>
          <w:szCs w:val="22"/>
        </w:rPr>
      </w:pPr>
    </w:p>
    <w:p w:rsidR="005246A5" w:rsidRDefault="005246A5" w:rsidP="00D1181C">
      <w:pPr>
        <w:pStyle w:val="Default"/>
        <w:rPr>
          <w:rFonts w:ascii="Calibri" w:hAnsi="Calibri" w:cs="Times New Roman"/>
          <w:i/>
          <w:color w:val="auto"/>
          <w:sz w:val="22"/>
          <w:szCs w:val="22"/>
        </w:rPr>
      </w:pPr>
      <w:r w:rsidRPr="005246A5">
        <w:rPr>
          <w:rFonts w:ascii="Calibri" w:hAnsi="Calibri" w:cs="Times New Roman"/>
          <w:i/>
          <w:color w:val="auto"/>
          <w:sz w:val="22"/>
          <w:szCs w:val="22"/>
        </w:rPr>
        <w:t>Reporting requirements vis-à-vis trade repositories</w:t>
      </w:r>
    </w:p>
    <w:p w:rsidR="005246A5" w:rsidRDefault="005246A5" w:rsidP="00D1181C">
      <w:pPr>
        <w:pStyle w:val="Default"/>
        <w:rPr>
          <w:rFonts w:ascii="Calibri" w:hAnsi="Calibri" w:cs="Times New Roman"/>
          <w:i/>
          <w:color w:val="auto"/>
          <w:sz w:val="22"/>
          <w:szCs w:val="22"/>
        </w:rPr>
      </w:pPr>
    </w:p>
    <w:p w:rsidR="00091C49" w:rsidRDefault="00091C49" w:rsidP="00091C49">
      <w:pPr>
        <w:autoSpaceDE w:val="0"/>
        <w:autoSpaceDN w:val="0"/>
        <w:adjustRightInd w:val="0"/>
        <w:rPr>
          <w:rFonts w:asciiTheme="minorHAnsi" w:hAnsiTheme="minorHAnsi" w:cs="Arial"/>
          <w:bCs/>
          <w:color w:val="000000"/>
          <w:sz w:val="22"/>
          <w:szCs w:val="22"/>
        </w:rPr>
      </w:pPr>
      <w:r w:rsidRPr="000A641A">
        <w:rPr>
          <w:rFonts w:asciiTheme="minorHAnsi" w:hAnsiTheme="minorHAnsi" w:cs="Arial"/>
          <w:bCs/>
          <w:color w:val="000000"/>
          <w:sz w:val="22"/>
          <w:szCs w:val="22"/>
        </w:rPr>
        <w:t>With respect to the area of transaction reporting specifically, CME Group has applied for registration as a swap data repository in the United States with the Commodity Futures Trading Commission (“CFTC”) and has commented extensively on the CFTC’s development of its swap data reporting regime.</w:t>
      </w:r>
    </w:p>
    <w:p w:rsidR="00091C49" w:rsidRPr="000A641A" w:rsidRDefault="00091C49" w:rsidP="00091C49">
      <w:pPr>
        <w:autoSpaceDE w:val="0"/>
        <w:autoSpaceDN w:val="0"/>
        <w:adjustRightInd w:val="0"/>
        <w:rPr>
          <w:rFonts w:asciiTheme="minorHAnsi" w:hAnsiTheme="minorHAnsi" w:cs="Arial"/>
          <w:bCs/>
          <w:color w:val="000000"/>
          <w:sz w:val="22"/>
          <w:szCs w:val="22"/>
        </w:rPr>
      </w:pPr>
    </w:p>
    <w:p w:rsidR="00091C49" w:rsidRDefault="00091C49" w:rsidP="00091C49">
      <w:pPr>
        <w:rPr>
          <w:rFonts w:asciiTheme="minorHAnsi" w:hAnsiTheme="minorHAnsi" w:cs="Arial"/>
          <w:sz w:val="22"/>
          <w:szCs w:val="22"/>
        </w:rPr>
      </w:pPr>
      <w:r w:rsidRPr="000A641A">
        <w:rPr>
          <w:rFonts w:asciiTheme="minorHAnsi" w:hAnsiTheme="minorHAnsi" w:cs="Arial"/>
          <w:sz w:val="22"/>
          <w:szCs w:val="22"/>
        </w:rPr>
        <w:t>CME supports the objective of establishing mandatory data reporting regimes in the derivatives markets.  Market participants should be subject to a system that requires them to make complete and detailed transaction reports regarding derivatives transactions.  Such reports can provide regulatory authorities with a comprehensive audit trail for important regulatory purposes.  In addition, we believe that increased public transparency for derivatives transactions also generally benefits all market participants and is a worthy goal.  However, in our view it is critically important to design any such mandatory reporting system in the most cost effective and efficient manner possible.  Leveraging existing infrastructures where possible rather than building from scratch is prudent and can help manage industry implementation costs.  It can also help assure that the best and most effective regulatory access to data is secured.</w:t>
      </w:r>
    </w:p>
    <w:p w:rsidR="00091C49" w:rsidRDefault="00091C49" w:rsidP="00091C49">
      <w:pPr>
        <w:rPr>
          <w:rFonts w:asciiTheme="minorHAnsi" w:hAnsiTheme="minorHAnsi" w:cs="Arial"/>
          <w:sz w:val="22"/>
          <w:szCs w:val="22"/>
        </w:rPr>
      </w:pPr>
    </w:p>
    <w:p w:rsidR="00091C49" w:rsidRDefault="00091C49" w:rsidP="00091C49">
      <w:pPr>
        <w:rPr>
          <w:rFonts w:asciiTheme="minorHAnsi" w:hAnsiTheme="minorHAnsi" w:cs="Arial"/>
          <w:i/>
          <w:sz w:val="22"/>
          <w:szCs w:val="22"/>
        </w:rPr>
      </w:pPr>
      <w:r>
        <w:rPr>
          <w:rFonts w:asciiTheme="minorHAnsi" w:hAnsiTheme="minorHAnsi" w:cs="Arial"/>
          <w:i/>
          <w:sz w:val="22"/>
          <w:szCs w:val="22"/>
        </w:rPr>
        <w:t>Reporting requirements for cleared transactions</w:t>
      </w:r>
    </w:p>
    <w:p w:rsidR="00091C49" w:rsidRPr="000A641A" w:rsidRDefault="00091C49" w:rsidP="00091C49">
      <w:pPr>
        <w:rPr>
          <w:rFonts w:asciiTheme="minorHAnsi" w:hAnsiTheme="minorHAnsi" w:cs="Arial"/>
          <w:i/>
          <w:sz w:val="22"/>
          <w:szCs w:val="22"/>
        </w:rPr>
      </w:pPr>
    </w:p>
    <w:p w:rsidR="00091C49" w:rsidRDefault="00091C49" w:rsidP="00091C49">
      <w:pPr>
        <w:rPr>
          <w:rFonts w:asciiTheme="minorHAnsi" w:hAnsiTheme="minorHAnsi" w:cs="Arial"/>
          <w:sz w:val="22"/>
          <w:szCs w:val="22"/>
        </w:rPr>
      </w:pPr>
      <w:r w:rsidRPr="000A641A">
        <w:rPr>
          <w:rFonts w:asciiTheme="minorHAnsi" w:hAnsiTheme="minorHAnsi" w:cs="Arial"/>
          <w:sz w:val="22"/>
          <w:szCs w:val="22"/>
        </w:rPr>
        <w:t xml:space="preserve">In the area of cleared trades, the clearinghouse serves as the natural repository of data for the transactions it clears.  Clearinghouses necessarily have already established connections with relevant execution venues and other market participants for cleared trades.  These existing connections can be leveraged for reporting purposes as well.  Requiring entirely redundant reporting channels to non-third party repositories for cleared trades is at best unnecessary and costly and at worst could create unnecessary ambiguity about the true state of a trade or position.  We note that the central counterparty clearing model breaks the originating trade and replaces it with positions between the </w:t>
      </w:r>
      <w:r w:rsidRPr="000A641A">
        <w:rPr>
          <w:rFonts w:asciiTheme="minorHAnsi" w:hAnsiTheme="minorHAnsi" w:cs="Arial"/>
          <w:sz w:val="22"/>
          <w:szCs w:val="22"/>
        </w:rPr>
        <w:lastRenderedPageBreak/>
        <w:t xml:space="preserve">clearinghouse and the original parties.  The post-clearing positions are uniquely maintained by the clearinghouse.  </w:t>
      </w:r>
    </w:p>
    <w:p w:rsidR="00091C49" w:rsidRPr="000A641A" w:rsidRDefault="00091C49" w:rsidP="00091C49">
      <w:pPr>
        <w:rPr>
          <w:rFonts w:asciiTheme="minorHAnsi" w:hAnsiTheme="minorHAnsi" w:cs="Arial"/>
          <w:sz w:val="22"/>
          <w:szCs w:val="22"/>
        </w:rPr>
      </w:pPr>
    </w:p>
    <w:p w:rsidR="00091C49" w:rsidRDefault="00091C49" w:rsidP="00091C49">
      <w:pPr>
        <w:rPr>
          <w:rFonts w:asciiTheme="minorHAnsi" w:hAnsiTheme="minorHAnsi" w:cs="Arial"/>
          <w:sz w:val="22"/>
          <w:szCs w:val="22"/>
        </w:rPr>
      </w:pPr>
      <w:r w:rsidRPr="000A641A">
        <w:rPr>
          <w:rFonts w:asciiTheme="minorHAnsi" w:hAnsiTheme="minorHAnsi" w:cs="Arial"/>
          <w:sz w:val="22"/>
          <w:szCs w:val="22"/>
        </w:rPr>
        <w:t>There are overwhelming operational reasons why it is critical to ensure that clearinghouses act as final repositories for regulatory information regarding cleared trades.  First, calling on clearinghouses to play this role would be the lowest cost and least burdensome path available to implement the regulatory reporting requirements for derivatives transactions.  This is so because each clearinghouse that clears swap transactions already possesses the majority of transaction records that will be required to be maintained.  Any required records that are not currently maintained by a clearinghouse that clears a particular derivatives transaction can easily be reported to such clearinghouse at the time a transaction occurs.  Execution venues that are matching standardized OTC derivatives transactions that will be cleared will necessarily be required to establish connectivity with clearinghouses for the purpose of clearing.  These connections could easily be used to facilitate reporting as well.  Therefore, industry technology build outs for reporting purposes would be as limited as possible</w:t>
      </w:r>
    </w:p>
    <w:p w:rsidR="00091C49" w:rsidRPr="000A641A" w:rsidRDefault="00091C49" w:rsidP="00091C49">
      <w:pPr>
        <w:rPr>
          <w:rFonts w:asciiTheme="minorHAnsi" w:hAnsiTheme="minorHAnsi" w:cs="Arial"/>
          <w:sz w:val="22"/>
          <w:szCs w:val="22"/>
        </w:rPr>
      </w:pPr>
    </w:p>
    <w:p w:rsidR="00091C49" w:rsidRDefault="00091C49" w:rsidP="00091C49">
      <w:pPr>
        <w:rPr>
          <w:rFonts w:asciiTheme="minorHAnsi" w:hAnsiTheme="minorHAnsi" w:cs="Arial"/>
          <w:sz w:val="22"/>
          <w:szCs w:val="22"/>
        </w:rPr>
      </w:pPr>
      <w:r w:rsidRPr="000A641A">
        <w:rPr>
          <w:rFonts w:asciiTheme="minorHAnsi" w:hAnsiTheme="minorHAnsi" w:cs="Arial"/>
          <w:sz w:val="22"/>
          <w:szCs w:val="22"/>
        </w:rPr>
        <w:t xml:space="preserve">Second, any system that would result in the creation of a separate set of trade details housed away from a clearinghouse and at a third party non-clearinghouse repository introduces potential ambiguity about the true state of a position.  When a trade is cleared on a clearinghouse, it is unarguable that such clearinghouse must always be the holder of the “gold copy” of the trade.  This is required because that clearinghouse must margin the position, must calculate open interest, and must interact with the back office systems of its clearing members.  These are the core functions of clearing and cannot be delegated. </w:t>
      </w:r>
    </w:p>
    <w:p w:rsidR="00091C49" w:rsidRDefault="00091C49" w:rsidP="00091C49">
      <w:pPr>
        <w:rPr>
          <w:rFonts w:asciiTheme="minorHAnsi" w:hAnsiTheme="minorHAnsi" w:cs="Arial"/>
          <w:sz w:val="22"/>
          <w:szCs w:val="22"/>
        </w:rPr>
      </w:pPr>
    </w:p>
    <w:p w:rsidR="00091C49" w:rsidRPr="0058666B" w:rsidRDefault="00091C49" w:rsidP="00091C49">
      <w:pPr>
        <w:rPr>
          <w:rFonts w:asciiTheme="minorHAnsi" w:hAnsiTheme="minorHAnsi" w:cs="Arial"/>
          <w:i/>
          <w:sz w:val="22"/>
          <w:szCs w:val="22"/>
        </w:rPr>
      </w:pPr>
      <w:r w:rsidRPr="0058666B">
        <w:rPr>
          <w:rFonts w:asciiTheme="minorHAnsi" w:hAnsiTheme="minorHAnsi" w:cs="Arial"/>
          <w:i/>
          <w:sz w:val="22"/>
          <w:szCs w:val="22"/>
        </w:rPr>
        <w:t>Reporting transactions to 3</w:t>
      </w:r>
      <w:r w:rsidRPr="0058666B">
        <w:rPr>
          <w:rFonts w:asciiTheme="minorHAnsi" w:hAnsiTheme="minorHAnsi" w:cs="Arial"/>
          <w:i/>
          <w:sz w:val="22"/>
          <w:szCs w:val="22"/>
          <w:vertAlign w:val="superscript"/>
        </w:rPr>
        <w:t>rd</w:t>
      </w:r>
      <w:r w:rsidRPr="0058666B">
        <w:rPr>
          <w:rFonts w:asciiTheme="minorHAnsi" w:hAnsiTheme="minorHAnsi" w:cs="Arial"/>
          <w:i/>
          <w:sz w:val="22"/>
          <w:szCs w:val="22"/>
        </w:rPr>
        <w:t xml:space="preserve"> party trade repositories</w:t>
      </w:r>
    </w:p>
    <w:p w:rsidR="00091C49" w:rsidRPr="000A641A" w:rsidRDefault="00091C49" w:rsidP="00091C49">
      <w:pPr>
        <w:rPr>
          <w:rFonts w:asciiTheme="minorHAnsi" w:hAnsiTheme="minorHAnsi" w:cs="Arial"/>
          <w:sz w:val="22"/>
          <w:szCs w:val="22"/>
        </w:rPr>
      </w:pPr>
    </w:p>
    <w:p w:rsidR="00091C49" w:rsidRDefault="00091C49" w:rsidP="00091C49">
      <w:pPr>
        <w:rPr>
          <w:rFonts w:asciiTheme="minorHAnsi" w:hAnsiTheme="minorHAnsi" w:cs="Arial"/>
          <w:sz w:val="22"/>
          <w:szCs w:val="22"/>
        </w:rPr>
      </w:pPr>
      <w:r w:rsidRPr="000A641A">
        <w:rPr>
          <w:rFonts w:asciiTheme="minorHAnsi" w:hAnsiTheme="minorHAnsi" w:cs="Arial"/>
          <w:sz w:val="22"/>
          <w:szCs w:val="22"/>
        </w:rPr>
        <w:t xml:space="preserve">To the extent any clearinghouse would be required to report cleared derivatives trades into a non-clearinghouse repository, and to maintain the state of the trade in the non-clearinghouse repository, the result would essentially be requiring clearinghouses a redundant replication of data processing tasks.  It would involve a time consuming and potentially impossible syncing process nearly every moment the clearinghouse is in operation to establish a usable state of records in the third party repository.  This type of scheme would be highly wasteful and expensive, and even if built, would always result in the third party repository copy of the data only being up to date as of the last “sync” with the clearinghouse.  These costs would come with no apparent regulatory benefit given that regulators could simply access the data needed via the clearinghouse.  </w:t>
      </w:r>
    </w:p>
    <w:p w:rsidR="00091C49" w:rsidRPr="000A641A" w:rsidRDefault="00091C49" w:rsidP="00091C49">
      <w:pPr>
        <w:rPr>
          <w:rFonts w:asciiTheme="minorHAnsi" w:hAnsiTheme="minorHAnsi" w:cs="Arial"/>
          <w:sz w:val="22"/>
          <w:szCs w:val="22"/>
        </w:rPr>
      </w:pPr>
    </w:p>
    <w:p w:rsidR="00091C49" w:rsidRDefault="00091C49" w:rsidP="00091C49">
      <w:pPr>
        <w:rPr>
          <w:rFonts w:asciiTheme="minorHAnsi" w:hAnsiTheme="minorHAnsi" w:cs="Arial"/>
          <w:sz w:val="22"/>
          <w:szCs w:val="22"/>
        </w:rPr>
      </w:pPr>
      <w:r w:rsidRPr="000A641A">
        <w:rPr>
          <w:rFonts w:asciiTheme="minorHAnsi" w:hAnsiTheme="minorHAnsi" w:cs="Arial"/>
          <w:sz w:val="22"/>
          <w:szCs w:val="22"/>
        </w:rPr>
        <w:t>Many jurisdictions have considered the capabilities of existing vendors that currently provide certain services (e.g., confirmation and affirmation services) to the over-the-counter derivatives markets when designing derivatives reporting regimes.  These current OTC repositories currently do not have the capabilities possessed by a clearinghouse as far as cleared markets are concerned.  Substantial work would be required to complete core regulatory warehousing functions for cleared transactions.  These existing vendors generally operate in batch mode and may not have the skills or technology to handle live data and constant streaming of messages and historical state changes of positions.  Building these capabilities in existing vendors could be time consuming and there are likely to be growing pains even when finished.  However, it should be noted that the current positioning of these vendors with market participants is well suited for servicing the uncleared markets and acting as repositories for mandatory reporting of uncleared trades.</w:t>
      </w:r>
      <w:bookmarkStart w:id="0" w:name="OLE_LINK1"/>
      <w:bookmarkStart w:id="1" w:name="OLE_LINK2"/>
    </w:p>
    <w:p w:rsidR="00091C49" w:rsidRDefault="00091C49" w:rsidP="00091C49">
      <w:pPr>
        <w:rPr>
          <w:rFonts w:asciiTheme="minorHAnsi" w:hAnsiTheme="minorHAnsi" w:cs="Arial"/>
          <w:sz w:val="22"/>
          <w:szCs w:val="22"/>
        </w:rPr>
      </w:pPr>
    </w:p>
    <w:p w:rsidR="008F39C9" w:rsidRDefault="008F39C9" w:rsidP="00091C49">
      <w:pPr>
        <w:rPr>
          <w:rFonts w:asciiTheme="minorHAnsi" w:hAnsiTheme="minorHAnsi" w:cs="Arial"/>
          <w:sz w:val="22"/>
          <w:szCs w:val="22"/>
        </w:rPr>
      </w:pPr>
      <w:bookmarkStart w:id="2" w:name="_GoBack"/>
      <w:bookmarkEnd w:id="2"/>
    </w:p>
    <w:p w:rsidR="00091C49" w:rsidRPr="0058666B" w:rsidRDefault="00091C49" w:rsidP="00091C49">
      <w:pPr>
        <w:rPr>
          <w:rFonts w:asciiTheme="minorHAnsi" w:hAnsiTheme="minorHAnsi" w:cs="Arial"/>
          <w:i/>
          <w:sz w:val="22"/>
          <w:szCs w:val="22"/>
        </w:rPr>
      </w:pPr>
      <w:r>
        <w:rPr>
          <w:rFonts w:asciiTheme="minorHAnsi" w:hAnsiTheme="minorHAnsi" w:cs="Arial"/>
          <w:i/>
          <w:sz w:val="22"/>
          <w:szCs w:val="22"/>
        </w:rPr>
        <w:lastRenderedPageBreak/>
        <w:t>Transaction and entity identification</w:t>
      </w:r>
    </w:p>
    <w:p w:rsidR="00091C49" w:rsidRPr="000A641A" w:rsidRDefault="00091C49" w:rsidP="00091C49">
      <w:pPr>
        <w:rPr>
          <w:rFonts w:asciiTheme="minorHAnsi" w:hAnsiTheme="minorHAnsi" w:cs="Arial"/>
          <w:sz w:val="22"/>
          <w:szCs w:val="22"/>
        </w:rPr>
      </w:pPr>
    </w:p>
    <w:p w:rsidR="00091C49" w:rsidRPr="000A641A" w:rsidRDefault="00091C49" w:rsidP="00091C49">
      <w:pPr>
        <w:rPr>
          <w:rFonts w:asciiTheme="minorHAnsi" w:hAnsiTheme="minorHAnsi" w:cs="Arial"/>
          <w:sz w:val="22"/>
          <w:szCs w:val="22"/>
        </w:rPr>
      </w:pPr>
      <w:r w:rsidRPr="000A641A">
        <w:rPr>
          <w:rFonts w:asciiTheme="minorHAnsi" w:hAnsiTheme="minorHAnsi" w:cs="Arial"/>
          <w:sz w:val="22"/>
          <w:szCs w:val="22"/>
        </w:rPr>
        <w:t xml:space="preserve">The development of mandatory derivatives reporting regimes will also certainly require the development of unique transaction and counterparty identifiers, a significant undertaking.  The process for developing these unique identifiers must be coordinated with other regulators to the maximum extent possible.  Given that market participants frequently transact in multiple jurisdictions and therefore are subject to multiple regulatory requirements, it makes sense to strive for compatible identification protocols to avoid the need for developing separate systems.  In addition, to the extent required identification codes are designed to be compatible, regulators would be able to share information more effectively.  In our view, any mandatory reporting requirements should not go into effect unless and until industry wide and internationally coordinated standards for product, swap and counterparty identifiers are firmly in place.   </w:t>
      </w:r>
    </w:p>
    <w:bookmarkEnd w:id="0"/>
    <w:bookmarkEnd w:id="1"/>
    <w:p w:rsidR="00127E2F" w:rsidRDefault="00127E2F" w:rsidP="00127E2F">
      <w:pPr>
        <w:pStyle w:val="Default"/>
        <w:rPr>
          <w:rFonts w:ascii="Calibri" w:hAnsi="Calibri" w:cs="Times New Roman"/>
          <w:color w:val="auto"/>
          <w:sz w:val="22"/>
          <w:szCs w:val="22"/>
        </w:rPr>
      </w:pPr>
    </w:p>
    <w:p w:rsidR="00091C49" w:rsidRPr="00127E2F" w:rsidRDefault="00091C49" w:rsidP="00127E2F">
      <w:pPr>
        <w:pStyle w:val="Default"/>
        <w:rPr>
          <w:rFonts w:ascii="Calibri" w:hAnsi="Calibri" w:cs="Times New Roman"/>
          <w:color w:val="auto"/>
          <w:sz w:val="22"/>
          <w:szCs w:val="22"/>
        </w:rPr>
      </w:pPr>
    </w:p>
    <w:p w:rsidR="002C1024" w:rsidRDefault="002C1024" w:rsidP="002C1024">
      <w:pPr>
        <w:pStyle w:val="Default"/>
        <w:rPr>
          <w:rFonts w:ascii="Calibri" w:hAnsi="Calibri" w:cs="Times New Roman"/>
          <w:color w:val="auto"/>
          <w:sz w:val="22"/>
          <w:szCs w:val="22"/>
        </w:rPr>
      </w:pPr>
      <w:r w:rsidRPr="00127E2F">
        <w:rPr>
          <w:rFonts w:ascii="Calibri" w:hAnsi="Calibri" w:cs="Times New Roman"/>
          <w:color w:val="auto"/>
          <w:sz w:val="22"/>
          <w:szCs w:val="22"/>
        </w:rPr>
        <w:t>We are at the disposal of ESMA if it should wish to pursue any of our comments in more detail.</w:t>
      </w:r>
    </w:p>
    <w:p w:rsidR="002C1024" w:rsidRDefault="002C1024" w:rsidP="002C1024">
      <w:pPr>
        <w:pStyle w:val="Default"/>
        <w:rPr>
          <w:rFonts w:ascii="Calibri" w:hAnsi="Calibri" w:cs="Times New Roman"/>
          <w:color w:val="auto"/>
          <w:sz w:val="22"/>
          <w:szCs w:val="22"/>
        </w:rPr>
      </w:pPr>
    </w:p>
    <w:p w:rsidR="00613C5F" w:rsidRDefault="00613C5F" w:rsidP="002C1024">
      <w:pPr>
        <w:pStyle w:val="Default"/>
        <w:rPr>
          <w:rFonts w:ascii="Calibri" w:hAnsi="Calibri" w:cs="Times New Roman"/>
          <w:color w:val="auto"/>
          <w:sz w:val="22"/>
          <w:szCs w:val="22"/>
        </w:rPr>
      </w:pPr>
    </w:p>
    <w:p w:rsidR="00613C5F" w:rsidRDefault="00613C5F" w:rsidP="002C1024">
      <w:pPr>
        <w:pStyle w:val="Default"/>
        <w:rPr>
          <w:rFonts w:ascii="Calibri" w:hAnsi="Calibri" w:cs="Times New Roman"/>
          <w:color w:val="auto"/>
          <w:sz w:val="22"/>
          <w:szCs w:val="22"/>
        </w:rPr>
      </w:pPr>
    </w:p>
    <w:p w:rsidR="00613C5F" w:rsidRDefault="00613C5F" w:rsidP="002C1024">
      <w:pPr>
        <w:pStyle w:val="Default"/>
        <w:rPr>
          <w:rFonts w:ascii="Calibri" w:hAnsi="Calibri" w:cs="Times New Roman"/>
          <w:color w:val="auto"/>
          <w:sz w:val="22"/>
          <w:szCs w:val="22"/>
        </w:rPr>
      </w:pPr>
    </w:p>
    <w:p w:rsidR="00613C5F" w:rsidRPr="00613C5F" w:rsidRDefault="00613C5F" w:rsidP="002C1024">
      <w:pPr>
        <w:pStyle w:val="Default"/>
        <w:rPr>
          <w:rFonts w:ascii="Calibri" w:hAnsi="Calibri" w:cs="Times New Roman"/>
          <w:color w:val="auto"/>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13C5F" w:rsidTr="00613C5F">
        <w:tc>
          <w:tcPr>
            <w:tcW w:w="4788" w:type="dxa"/>
          </w:tcPr>
          <w:p w:rsidR="00613C5F" w:rsidRPr="00613C5F" w:rsidRDefault="00613C5F" w:rsidP="002C1024">
            <w:pPr>
              <w:pStyle w:val="Default"/>
              <w:rPr>
                <w:rFonts w:ascii="Calibri" w:hAnsi="Calibri" w:cs="Times New Roman"/>
                <w:color w:val="auto"/>
                <w:sz w:val="22"/>
                <w:szCs w:val="22"/>
                <w:u w:val="single"/>
              </w:rPr>
            </w:pPr>
            <w:r>
              <w:rPr>
                <w:rFonts w:ascii="Calibri" w:hAnsi="Calibri" w:cs="Times New Roman"/>
                <w:color w:val="auto"/>
                <w:sz w:val="22"/>
                <w:szCs w:val="22"/>
                <w:u w:val="single"/>
              </w:rPr>
              <w:tab/>
            </w:r>
            <w:r>
              <w:rPr>
                <w:rFonts w:ascii="Calibri" w:hAnsi="Calibri" w:cs="Times New Roman"/>
                <w:color w:val="auto"/>
                <w:sz w:val="22"/>
                <w:szCs w:val="22"/>
                <w:u w:val="single"/>
              </w:rPr>
              <w:tab/>
            </w:r>
            <w:r>
              <w:rPr>
                <w:rFonts w:ascii="Calibri" w:hAnsi="Calibri" w:cs="Times New Roman"/>
                <w:color w:val="auto"/>
                <w:sz w:val="22"/>
                <w:szCs w:val="22"/>
                <w:u w:val="single"/>
              </w:rPr>
              <w:tab/>
            </w:r>
            <w:r>
              <w:rPr>
                <w:rFonts w:ascii="Calibri" w:hAnsi="Calibri" w:cs="Times New Roman"/>
                <w:color w:val="auto"/>
                <w:sz w:val="22"/>
                <w:szCs w:val="22"/>
                <w:u w:val="single"/>
              </w:rPr>
              <w:tab/>
            </w:r>
            <w:r>
              <w:rPr>
                <w:rFonts w:ascii="Calibri" w:hAnsi="Calibri" w:cs="Times New Roman"/>
                <w:color w:val="auto"/>
                <w:sz w:val="22"/>
                <w:szCs w:val="22"/>
                <w:u w:val="single"/>
              </w:rPr>
              <w:tab/>
            </w:r>
          </w:p>
        </w:tc>
        <w:tc>
          <w:tcPr>
            <w:tcW w:w="4788" w:type="dxa"/>
          </w:tcPr>
          <w:p w:rsidR="00613C5F" w:rsidRDefault="00613C5F" w:rsidP="002C1024">
            <w:pPr>
              <w:pStyle w:val="Default"/>
              <w:rPr>
                <w:rFonts w:ascii="Calibri" w:hAnsi="Calibri" w:cs="Times New Roman"/>
                <w:color w:val="auto"/>
                <w:sz w:val="22"/>
                <w:szCs w:val="22"/>
              </w:rPr>
            </w:pPr>
            <w:r>
              <w:rPr>
                <w:rFonts w:ascii="Calibri" w:hAnsi="Calibri" w:cs="Times New Roman"/>
                <w:color w:val="auto"/>
                <w:sz w:val="22"/>
                <w:szCs w:val="22"/>
                <w:u w:val="single"/>
              </w:rPr>
              <w:tab/>
            </w:r>
            <w:r>
              <w:rPr>
                <w:rFonts w:ascii="Calibri" w:hAnsi="Calibri" w:cs="Times New Roman"/>
                <w:color w:val="auto"/>
                <w:sz w:val="22"/>
                <w:szCs w:val="22"/>
                <w:u w:val="single"/>
              </w:rPr>
              <w:tab/>
            </w:r>
            <w:r>
              <w:rPr>
                <w:rFonts w:ascii="Calibri" w:hAnsi="Calibri" w:cs="Times New Roman"/>
                <w:color w:val="auto"/>
                <w:sz w:val="22"/>
                <w:szCs w:val="22"/>
                <w:u w:val="single"/>
              </w:rPr>
              <w:tab/>
            </w:r>
            <w:r>
              <w:rPr>
                <w:rFonts w:ascii="Calibri" w:hAnsi="Calibri" w:cs="Times New Roman"/>
                <w:color w:val="auto"/>
                <w:sz w:val="22"/>
                <w:szCs w:val="22"/>
                <w:u w:val="single"/>
              </w:rPr>
              <w:tab/>
            </w:r>
            <w:r>
              <w:rPr>
                <w:rFonts w:ascii="Calibri" w:hAnsi="Calibri" w:cs="Times New Roman"/>
                <w:color w:val="auto"/>
                <w:sz w:val="22"/>
                <w:szCs w:val="22"/>
                <w:u w:val="single"/>
              </w:rPr>
              <w:tab/>
            </w:r>
          </w:p>
        </w:tc>
      </w:tr>
    </w:tbl>
    <w:p w:rsidR="00613C5F" w:rsidRDefault="00613C5F" w:rsidP="002C1024">
      <w:pPr>
        <w:pStyle w:val="Default"/>
        <w:rPr>
          <w:rFonts w:ascii="Calibri" w:hAnsi="Calibri" w:cs="Times New Roman"/>
          <w:color w:val="auto"/>
          <w:sz w:val="22"/>
          <w:szCs w:val="22"/>
        </w:rPr>
      </w:pPr>
    </w:p>
    <w:p w:rsidR="002C1024" w:rsidRDefault="002C1024" w:rsidP="002C1024">
      <w:pPr>
        <w:pStyle w:val="Default"/>
        <w:rPr>
          <w:rFonts w:ascii="Calibri" w:hAnsi="Calibri" w:cs="Times New Roman"/>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13C5F" w:rsidTr="00613C5F">
        <w:tc>
          <w:tcPr>
            <w:tcW w:w="4788" w:type="dxa"/>
          </w:tcPr>
          <w:p w:rsidR="00613C5F" w:rsidRDefault="00613C5F" w:rsidP="00613C5F">
            <w:pPr>
              <w:pStyle w:val="Default"/>
              <w:rPr>
                <w:rFonts w:ascii="Calibri" w:hAnsi="Calibri" w:cs="Times New Roman"/>
                <w:color w:val="auto"/>
                <w:sz w:val="22"/>
                <w:szCs w:val="22"/>
              </w:rPr>
            </w:pPr>
            <w:r>
              <w:rPr>
                <w:rFonts w:ascii="Calibri" w:hAnsi="Calibri" w:cs="Times New Roman"/>
                <w:color w:val="auto"/>
                <w:sz w:val="22"/>
                <w:szCs w:val="22"/>
              </w:rPr>
              <w:t>Andrew Lamb</w:t>
            </w:r>
          </w:p>
          <w:p w:rsidR="00613C5F" w:rsidRDefault="00613C5F" w:rsidP="00613C5F">
            <w:pPr>
              <w:pStyle w:val="Default"/>
              <w:rPr>
                <w:rFonts w:ascii="Calibri" w:hAnsi="Calibri" w:cs="Times New Roman"/>
                <w:color w:val="auto"/>
                <w:sz w:val="22"/>
                <w:szCs w:val="22"/>
              </w:rPr>
            </w:pPr>
            <w:r>
              <w:rPr>
                <w:rFonts w:ascii="Calibri" w:hAnsi="Calibri" w:cs="Times New Roman"/>
                <w:color w:val="auto"/>
                <w:sz w:val="22"/>
                <w:szCs w:val="22"/>
              </w:rPr>
              <w:t>CEO</w:t>
            </w:r>
          </w:p>
          <w:p w:rsidR="00613C5F" w:rsidRDefault="00613C5F" w:rsidP="00613C5F">
            <w:pPr>
              <w:pStyle w:val="Default"/>
              <w:rPr>
                <w:rFonts w:ascii="Calibri" w:hAnsi="Calibri" w:cs="Times New Roman"/>
                <w:color w:val="auto"/>
                <w:sz w:val="22"/>
                <w:szCs w:val="22"/>
              </w:rPr>
            </w:pPr>
            <w:r>
              <w:rPr>
                <w:rFonts w:ascii="Calibri" w:hAnsi="Calibri" w:cs="Times New Roman"/>
                <w:color w:val="auto"/>
                <w:sz w:val="22"/>
                <w:szCs w:val="22"/>
              </w:rPr>
              <w:t>CME Clearing Europe</w:t>
            </w:r>
          </w:p>
        </w:tc>
        <w:tc>
          <w:tcPr>
            <w:tcW w:w="4788" w:type="dxa"/>
          </w:tcPr>
          <w:p w:rsidR="00613C5F" w:rsidRDefault="00613C5F" w:rsidP="00613C5F">
            <w:pPr>
              <w:pStyle w:val="Default"/>
              <w:rPr>
                <w:rFonts w:ascii="Calibri" w:hAnsi="Calibri" w:cs="Times New Roman"/>
                <w:color w:val="auto"/>
                <w:sz w:val="22"/>
                <w:szCs w:val="22"/>
              </w:rPr>
            </w:pPr>
            <w:r>
              <w:rPr>
                <w:rFonts w:ascii="Calibri" w:hAnsi="Calibri" w:cs="Times New Roman"/>
                <w:color w:val="auto"/>
                <w:sz w:val="22"/>
                <w:szCs w:val="22"/>
              </w:rPr>
              <w:t>Kim Taylor</w:t>
            </w:r>
          </w:p>
          <w:p w:rsidR="00613C5F" w:rsidRDefault="00613C5F" w:rsidP="00613C5F">
            <w:pPr>
              <w:pStyle w:val="Default"/>
              <w:rPr>
                <w:rFonts w:ascii="Calibri" w:hAnsi="Calibri" w:cs="Times New Roman"/>
                <w:color w:val="auto"/>
                <w:sz w:val="22"/>
                <w:szCs w:val="22"/>
              </w:rPr>
            </w:pPr>
            <w:r>
              <w:rPr>
                <w:rFonts w:ascii="Calibri" w:hAnsi="Calibri" w:cs="Times New Roman"/>
                <w:color w:val="auto"/>
                <w:sz w:val="22"/>
                <w:szCs w:val="22"/>
              </w:rPr>
              <w:t>President</w:t>
            </w:r>
          </w:p>
          <w:p w:rsidR="00613C5F" w:rsidRDefault="00613C5F" w:rsidP="00613C5F">
            <w:pPr>
              <w:pStyle w:val="Default"/>
              <w:rPr>
                <w:rFonts w:ascii="Calibri" w:hAnsi="Calibri" w:cs="Times New Roman"/>
                <w:color w:val="auto"/>
                <w:sz w:val="22"/>
                <w:szCs w:val="22"/>
              </w:rPr>
            </w:pPr>
            <w:r>
              <w:rPr>
                <w:rFonts w:ascii="Calibri" w:hAnsi="Calibri" w:cs="Times New Roman"/>
                <w:color w:val="auto"/>
                <w:sz w:val="22"/>
                <w:szCs w:val="22"/>
              </w:rPr>
              <w:t>CME Clearing</w:t>
            </w:r>
          </w:p>
        </w:tc>
      </w:tr>
    </w:tbl>
    <w:p w:rsidR="002C1024" w:rsidRDefault="002C1024" w:rsidP="002C1024">
      <w:pPr>
        <w:pStyle w:val="Default"/>
        <w:rPr>
          <w:rFonts w:ascii="Calibri" w:hAnsi="Calibri" w:cs="Times New Roman"/>
          <w:color w:val="auto"/>
          <w:sz w:val="22"/>
          <w:szCs w:val="22"/>
        </w:rPr>
      </w:pPr>
    </w:p>
    <w:sectPr w:rsidR="002C1024" w:rsidSect="002E453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48B" w:rsidRDefault="00D4548B">
      <w:r>
        <w:separator/>
      </w:r>
    </w:p>
  </w:endnote>
  <w:endnote w:type="continuationSeparator" w:id="0">
    <w:p w:rsidR="00D4548B" w:rsidRDefault="00D4548B">
      <w:r>
        <w:continuationSeparator/>
      </w:r>
    </w:p>
  </w:endnote>
  <w:endnote w:type="continuationNotice" w:id="1">
    <w:p w:rsidR="00D4548B" w:rsidRDefault="00D45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49" w:rsidRPr="00F24E40" w:rsidRDefault="00091C49">
    <w:pPr>
      <w:pStyle w:val="Footer"/>
      <w:rPr>
        <w:color w:val="0070C0"/>
        <w:sz w:val="20"/>
        <w:szCs w:val="20"/>
      </w:rPr>
    </w:pPr>
    <w:r w:rsidRPr="00F24E40">
      <w:rPr>
        <w:color w:val="0070C0"/>
        <w:sz w:val="20"/>
        <w:szCs w:val="20"/>
      </w:rPr>
      <w:t>CME Group, One New Change, Fourth Floor, London, EC4M 9AF T: +44 (0)20 3379 3700 F: +44 (0)20 3379 3888</w:t>
    </w:r>
  </w:p>
  <w:p w:rsidR="00091C49" w:rsidRDefault="00091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48B" w:rsidRDefault="00D4548B">
      <w:r>
        <w:separator/>
      </w:r>
    </w:p>
  </w:footnote>
  <w:footnote w:type="continuationSeparator" w:id="0">
    <w:p w:rsidR="00D4548B" w:rsidRDefault="00D4548B">
      <w:r>
        <w:continuationSeparator/>
      </w:r>
    </w:p>
  </w:footnote>
  <w:footnote w:type="continuationNotice" w:id="1">
    <w:p w:rsidR="00D4548B" w:rsidRDefault="00D454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49" w:rsidRDefault="00091C49">
    <w:pPr>
      <w:pStyle w:val="Header"/>
      <w:jc w:val="right"/>
    </w:pPr>
    <w:r>
      <w:fldChar w:fldCharType="begin"/>
    </w:r>
    <w:r>
      <w:instrText xml:space="preserve"> PAGE   \* MERGEFORMAT </w:instrText>
    </w:r>
    <w:r>
      <w:fldChar w:fldCharType="separate"/>
    </w:r>
    <w:r w:rsidR="008F39C9">
      <w:rPr>
        <w:noProof/>
      </w:rPr>
      <w:t>9</w:t>
    </w:r>
    <w:r>
      <w:rPr>
        <w:noProof/>
      </w:rPr>
      <w:fldChar w:fldCharType="end"/>
    </w:r>
  </w:p>
  <w:p w:rsidR="00091C49" w:rsidRDefault="00091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F7B0D"/>
    <w:multiLevelType w:val="hybridMultilevel"/>
    <w:tmpl w:val="F872D2E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B0932DB"/>
    <w:multiLevelType w:val="hybridMultilevel"/>
    <w:tmpl w:val="0942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5F5AD1"/>
    <w:multiLevelType w:val="hybridMultilevel"/>
    <w:tmpl w:val="13980864"/>
    <w:lvl w:ilvl="0" w:tplc="1B8C13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8156E4"/>
    <w:multiLevelType w:val="hybridMultilevel"/>
    <w:tmpl w:val="79AC2E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3A7685A"/>
    <w:multiLevelType w:val="hybridMultilevel"/>
    <w:tmpl w:val="BA200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DAD7CF0"/>
    <w:multiLevelType w:val="hybridMultilevel"/>
    <w:tmpl w:val="DEC497BC"/>
    <w:lvl w:ilvl="0" w:tplc="BB66C130">
      <w:start w:val="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7608AC"/>
    <w:multiLevelType w:val="hybridMultilevel"/>
    <w:tmpl w:val="5FB04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6F02C8E"/>
    <w:multiLevelType w:val="hybridMultilevel"/>
    <w:tmpl w:val="F8E65000"/>
    <w:lvl w:ilvl="0" w:tplc="A00443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 w:val="0084732"/>
    <w:docVar w:name="DocRef" w:val="DB:4447375.2"/>
    <w:docVar w:name="MatterNum" w:val="0000003"/>
  </w:docVars>
  <w:rsids>
    <w:rsidRoot w:val="006B7C0D"/>
    <w:rsid w:val="00000092"/>
    <w:rsid w:val="0001547F"/>
    <w:rsid w:val="00032D25"/>
    <w:rsid w:val="0003486F"/>
    <w:rsid w:val="00035A7C"/>
    <w:rsid w:val="00057967"/>
    <w:rsid w:val="00081405"/>
    <w:rsid w:val="0008190F"/>
    <w:rsid w:val="000844F7"/>
    <w:rsid w:val="00091C49"/>
    <w:rsid w:val="000A5A15"/>
    <w:rsid w:val="000C0522"/>
    <w:rsid w:val="000E768D"/>
    <w:rsid w:val="001274A1"/>
    <w:rsid w:val="00127E2F"/>
    <w:rsid w:val="00132304"/>
    <w:rsid w:val="00157BB5"/>
    <w:rsid w:val="00180C32"/>
    <w:rsid w:val="001C5D48"/>
    <w:rsid w:val="001D655A"/>
    <w:rsid w:val="001F5399"/>
    <w:rsid w:val="001F65C4"/>
    <w:rsid w:val="00250917"/>
    <w:rsid w:val="00252C6F"/>
    <w:rsid w:val="00283DF1"/>
    <w:rsid w:val="002906EA"/>
    <w:rsid w:val="002C1024"/>
    <w:rsid w:val="002D286D"/>
    <w:rsid w:val="002D418E"/>
    <w:rsid w:val="002E34B5"/>
    <w:rsid w:val="002E4533"/>
    <w:rsid w:val="002E5F1D"/>
    <w:rsid w:val="002E742A"/>
    <w:rsid w:val="002F646D"/>
    <w:rsid w:val="00300718"/>
    <w:rsid w:val="00304003"/>
    <w:rsid w:val="003272F4"/>
    <w:rsid w:val="0033507C"/>
    <w:rsid w:val="003418AE"/>
    <w:rsid w:val="0036438E"/>
    <w:rsid w:val="0037448B"/>
    <w:rsid w:val="00393F20"/>
    <w:rsid w:val="00407910"/>
    <w:rsid w:val="00407F95"/>
    <w:rsid w:val="00414E10"/>
    <w:rsid w:val="004227E8"/>
    <w:rsid w:val="00433C15"/>
    <w:rsid w:val="0044094A"/>
    <w:rsid w:val="00452C0D"/>
    <w:rsid w:val="00455272"/>
    <w:rsid w:val="00456FF7"/>
    <w:rsid w:val="004A544C"/>
    <w:rsid w:val="004A5B4F"/>
    <w:rsid w:val="004C0606"/>
    <w:rsid w:val="004D28D0"/>
    <w:rsid w:val="004D2E82"/>
    <w:rsid w:val="004D3F1D"/>
    <w:rsid w:val="004D6CED"/>
    <w:rsid w:val="004E16AC"/>
    <w:rsid w:val="004E4882"/>
    <w:rsid w:val="005160CE"/>
    <w:rsid w:val="005246A5"/>
    <w:rsid w:val="005356AB"/>
    <w:rsid w:val="00545B38"/>
    <w:rsid w:val="00571815"/>
    <w:rsid w:val="0057372F"/>
    <w:rsid w:val="005743E6"/>
    <w:rsid w:val="005833C5"/>
    <w:rsid w:val="005844D7"/>
    <w:rsid w:val="005A5188"/>
    <w:rsid w:val="005B32F0"/>
    <w:rsid w:val="005E0EC4"/>
    <w:rsid w:val="005F07B1"/>
    <w:rsid w:val="00600D06"/>
    <w:rsid w:val="0061004D"/>
    <w:rsid w:val="00613C5F"/>
    <w:rsid w:val="00620481"/>
    <w:rsid w:val="00627DF2"/>
    <w:rsid w:val="006307A1"/>
    <w:rsid w:val="00631D75"/>
    <w:rsid w:val="00643CD7"/>
    <w:rsid w:val="00660C86"/>
    <w:rsid w:val="00691939"/>
    <w:rsid w:val="00694A16"/>
    <w:rsid w:val="006A5E55"/>
    <w:rsid w:val="006B7C0D"/>
    <w:rsid w:val="006D0CB3"/>
    <w:rsid w:val="006E0DB5"/>
    <w:rsid w:val="006E1624"/>
    <w:rsid w:val="006E7053"/>
    <w:rsid w:val="006F5267"/>
    <w:rsid w:val="006F5836"/>
    <w:rsid w:val="00725E3A"/>
    <w:rsid w:val="00727AB6"/>
    <w:rsid w:val="00736FD0"/>
    <w:rsid w:val="007424D6"/>
    <w:rsid w:val="00746589"/>
    <w:rsid w:val="00767F1A"/>
    <w:rsid w:val="00785078"/>
    <w:rsid w:val="0079128F"/>
    <w:rsid w:val="007B3DCD"/>
    <w:rsid w:val="007C07C6"/>
    <w:rsid w:val="008371AC"/>
    <w:rsid w:val="008373E4"/>
    <w:rsid w:val="00856E7B"/>
    <w:rsid w:val="00862ECB"/>
    <w:rsid w:val="008879A7"/>
    <w:rsid w:val="00893E98"/>
    <w:rsid w:val="008D27FC"/>
    <w:rsid w:val="008D3800"/>
    <w:rsid w:val="008E0F6F"/>
    <w:rsid w:val="008E4BBE"/>
    <w:rsid w:val="008E78D4"/>
    <w:rsid w:val="008F2DAF"/>
    <w:rsid w:val="008F39C9"/>
    <w:rsid w:val="0091313D"/>
    <w:rsid w:val="009240D5"/>
    <w:rsid w:val="0098366D"/>
    <w:rsid w:val="009D1E29"/>
    <w:rsid w:val="009D52C8"/>
    <w:rsid w:val="009E092A"/>
    <w:rsid w:val="009E6DFE"/>
    <w:rsid w:val="009F4300"/>
    <w:rsid w:val="00A42728"/>
    <w:rsid w:val="00A45FF4"/>
    <w:rsid w:val="00A6799B"/>
    <w:rsid w:val="00A95CA0"/>
    <w:rsid w:val="00AA5645"/>
    <w:rsid w:val="00AF198C"/>
    <w:rsid w:val="00B03FFD"/>
    <w:rsid w:val="00B12F2F"/>
    <w:rsid w:val="00B231F7"/>
    <w:rsid w:val="00B30FC2"/>
    <w:rsid w:val="00B33FE4"/>
    <w:rsid w:val="00B34D63"/>
    <w:rsid w:val="00B358C6"/>
    <w:rsid w:val="00B44766"/>
    <w:rsid w:val="00B51C36"/>
    <w:rsid w:val="00B60226"/>
    <w:rsid w:val="00B62715"/>
    <w:rsid w:val="00B674EF"/>
    <w:rsid w:val="00B9454D"/>
    <w:rsid w:val="00B97F67"/>
    <w:rsid w:val="00BB6119"/>
    <w:rsid w:val="00BC0C56"/>
    <w:rsid w:val="00BC5C77"/>
    <w:rsid w:val="00BE697D"/>
    <w:rsid w:val="00BE7DEA"/>
    <w:rsid w:val="00C00B86"/>
    <w:rsid w:val="00C01EBE"/>
    <w:rsid w:val="00C061AA"/>
    <w:rsid w:val="00C06DDE"/>
    <w:rsid w:val="00C2075D"/>
    <w:rsid w:val="00C20818"/>
    <w:rsid w:val="00C422A5"/>
    <w:rsid w:val="00C423F8"/>
    <w:rsid w:val="00C82F79"/>
    <w:rsid w:val="00C9616C"/>
    <w:rsid w:val="00CD2582"/>
    <w:rsid w:val="00CD7C41"/>
    <w:rsid w:val="00CE58BE"/>
    <w:rsid w:val="00D005A9"/>
    <w:rsid w:val="00D03791"/>
    <w:rsid w:val="00D1181C"/>
    <w:rsid w:val="00D17705"/>
    <w:rsid w:val="00D4548B"/>
    <w:rsid w:val="00D71159"/>
    <w:rsid w:val="00D7406C"/>
    <w:rsid w:val="00D9711F"/>
    <w:rsid w:val="00DA14D0"/>
    <w:rsid w:val="00DB35A0"/>
    <w:rsid w:val="00DC7AF3"/>
    <w:rsid w:val="00E03970"/>
    <w:rsid w:val="00E03F91"/>
    <w:rsid w:val="00E06AC1"/>
    <w:rsid w:val="00E11A0C"/>
    <w:rsid w:val="00E401C3"/>
    <w:rsid w:val="00E433FB"/>
    <w:rsid w:val="00E5470C"/>
    <w:rsid w:val="00E61AF4"/>
    <w:rsid w:val="00E7052A"/>
    <w:rsid w:val="00E763E9"/>
    <w:rsid w:val="00E83329"/>
    <w:rsid w:val="00E91C1C"/>
    <w:rsid w:val="00E92ED2"/>
    <w:rsid w:val="00EA159E"/>
    <w:rsid w:val="00EB40E9"/>
    <w:rsid w:val="00EB624F"/>
    <w:rsid w:val="00ED2E83"/>
    <w:rsid w:val="00EF19E1"/>
    <w:rsid w:val="00F02068"/>
    <w:rsid w:val="00F24E40"/>
    <w:rsid w:val="00F32252"/>
    <w:rsid w:val="00F33B3E"/>
    <w:rsid w:val="00F371EE"/>
    <w:rsid w:val="00F71178"/>
    <w:rsid w:val="00FC4218"/>
    <w:rsid w:val="00FE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0D"/>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6B7C0D"/>
    <w:rPr>
      <w:rFonts w:ascii="Consolas" w:hAnsi="Consolas" w:cs="Consolas"/>
      <w:sz w:val="21"/>
      <w:szCs w:val="21"/>
    </w:rPr>
  </w:style>
  <w:style w:type="character" w:customStyle="1" w:styleId="PlainTextChar">
    <w:name w:val="Plain Text Char"/>
    <w:basedOn w:val="DefaultParagraphFont"/>
    <w:link w:val="PlainText"/>
    <w:semiHidden/>
    <w:locked/>
    <w:rsid w:val="006B7C0D"/>
    <w:rPr>
      <w:rFonts w:ascii="Consolas" w:hAnsi="Consolas" w:cs="Consolas"/>
      <w:sz w:val="21"/>
      <w:szCs w:val="21"/>
    </w:rPr>
  </w:style>
  <w:style w:type="paragraph" w:styleId="BalloonText">
    <w:name w:val="Balloon Text"/>
    <w:basedOn w:val="Normal"/>
    <w:link w:val="BalloonTextChar"/>
    <w:semiHidden/>
    <w:rsid w:val="006B7C0D"/>
    <w:rPr>
      <w:rFonts w:ascii="Tahoma" w:hAnsi="Tahoma" w:cs="Tahoma"/>
      <w:sz w:val="16"/>
      <w:szCs w:val="16"/>
    </w:rPr>
  </w:style>
  <w:style w:type="character" w:customStyle="1" w:styleId="BalloonTextChar">
    <w:name w:val="Balloon Text Char"/>
    <w:basedOn w:val="DefaultParagraphFont"/>
    <w:link w:val="BalloonText"/>
    <w:semiHidden/>
    <w:locked/>
    <w:rsid w:val="006B7C0D"/>
    <w:rPr>
      <w:rFonts w:ascii="Tahoma" w:hAnsi="Tahoma" w:cs="Tahoma"/>
      <w:sz w:val="16"/>
      <w:szCs w:val="16"/>
    </w:rPr>
  </w:style>
  <w:style w:type="character" w:styleId="Hyperlink">
    <w:name w:val="Hyperlink"/>
    <w:basedOn w:val="DefaultParagraphFont"/>
    <w:rsid w:val="00A6799B"/>
    <w:rPr>
      <w:rFonts w:cs="Times New Roman"/>
      <w:color w:val="0000FF"/>
      <w:u w:val="single"/>
    </w:rPr>
  </w:style>
  <w:style w:type="paragraph" w:styleId="Header">
    <w:name w:val="header"/>
    <w:basedOn w:val="Normal"/>
    <w:link w:val="HeaderChar"/>
    <w:uiPriority w:val="99"/>
    <w:rsid w:val="00660C86"/>
    <w:pPr>
      <w:tabs>
        <w:tab w:val="center" w:pos="4153"/>
        <w:tab w:val="right" w:pos="8306"/>
      </w:tabs>
    </w:pPr>
  </w:style>
  <w:style w:type="paragraph" w:styleId="Footer">
    <w:name w:val="footer"/>
    <w:basedOn w:val="Normal"/>
    <w:link w:val="FooterChar"/>
    <w:uiPriority w:val="99"/>
    <w:rsid w:val="00660C86"/>
    <w:pPr>
      <w:tabs>
        <w:tab w:val="center" w:pos="4153"/>
        <w:tab w:val="right" w:pos="8306"/>
      </w:tabs>
    </w:pPr>
  </w:style>
  <w:style w:type="character" w:customStyle="1" w:styleId="FooterChar">
    <w:name w:val="Footer Char"/>
    <w:basedOn w:val="DefaultParagraphFont"/>
    <w:link w:val="Footer"/>
    <w:uiPriority w:val="99"/>
    <w:rsid w:val="00F24E40"/>
    <w:rPr>
      <w:rFonts w:ascii="Times New Roman" w:eastAsia="Times New Roman" w:hAnsi="Times New Roman" w:cs="Times New Roman"/>
      <w:sz w:val="24"/>
      <w:szCs w:val="24"/>
      <w:lang w:val="en-US" w:eastAsia="en-US"/>
    </w:rPr>
  </w:style>
  <w:style w:type="paragraph" w:customStyle="1" w:styleId="Default">
    <w:name w:val="Default"/>
    <w:rsid w:val="00127E2F"/>
    <w:pPr>
      <w:autoSpaceDE w:val="0"/>
      <w:autoSpaceDN w:val="0"/>
      <w:adjustRightInd w:val="0"/>
    </w:pPr>
    <w:rPr>
      <w:rFonts w:ascii="Georgia" w:hAnsi="Georgia" w:cs="Georgia"/>
      <w:color w:val="000000"/>
      <w:sz w:val="24"/>
      <w:szCs w:val="24"/>
      <w:lang w:eastAsia="en-US"/>
    </w:rPr>
  </w:style>
  <w:style w:type="character" w:customStyle="1" w:styleId="HeaderChar">
    <w:name w:val="Header Char"/>
    <w:basedOn w:val="DefaultParagraphFont"/>
    <w:link w:val="Header"/>
    <w:uiPriority w:val="99"/>
    <w:rsid w:val="00127E2F"/>
    <w:rPr>
      <w:rFonts w:ascii="Times New Roman" w:eastAsia="Times New Roman" w:hAnsi="Times New Roman" w:cs="Times New Roman"/>
      <w:sz w:val="24"/>
      <w:szCs w:val="24"/>
      <w:lang w:val="en-US" w:eastAsia="en-US"/>
    </w:rPr>
  </w:style>
  <w:style w:type="table" w:styleId="TableGrid">
    <w:name w:val="Table Grid"/>
    <w:basedOn w:val="TableNormal"/>
    <w:locked/>
    <w:rsid w:val="00613C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3272F4"/>
    <w:rPr>
      <w:sz w:val="16"/>
      <w:szCs w:val="16"/>
    </w:rPr>
  </w:style>
  <w:style w:type="paragraph" w:styleId="CommentText">
    <w:name w:val="annotation text"/>
    <w:basedOn w:val="Normal"/>
    <w:link w:val="CommentTextChar"/>
    <w:rsid w:val="003272F4"/>
    <w:rPr>
      <w:sz w:val="20"/>
      <w:szCs w:val="20"/>
    </w:rPr>
  </w:style>
  <w:style w:type="character" w:customStyle="1" w:styleId="CommentTextChar">
    <w:name w:val="Comment Text Char"/>
    <w:basedOn w:val="DefaultParagraphFont"/>
    <w:link w:val="CommentText"/>
    <w:rsid w:val="003272F4"/>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rsid w:val="003272F4"/>
    <w:rPr>
      <w:b/>
      <w:bCs/>
    </w:rPr>
  </w:style>
  <w:style w:type="character" w:customStyle="1" w:styleId="CommentSubjectChar">
    <w:name w:val="Comment Subject Char"/>
    <w:basedOn w:val="CommentTextChar"/>
    <w:link w:val="CommentSubject"/>
    <w:rsid w:val="003272F4"/>
    <w:rPr>
      <w:rFonts w:ascii="Times New Roman" w:eastAsia="Times New Roman" w:hAnsi="Times New Roman" w:cs="Times New Roman"/>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0D"/>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6B7C0D"/>
    <w:rPr>
      <w:rFonts w:ascii="Consolas" w:hAnsi="Consolas" w:cs="Consolas"/>
      <w:sz w:val="21"/>
      <w:szCs w:val="21"/>
    </w:rPr>
  </w:style>
  <w:style w:type="character" w:customStyle="1" w:styleId="PlainTextChar">
    <w:name w:val="Plain Text Char"/>
    <w:basedOn w:val="DefaultParagraphFont"/>
    <w:link w:val="PlainText"/>
    <w:semiHidden/>
    <w:locked/>
    <w:rsid w:val="006B7C0D"/>
    <w:rPr>
      <w:rFonts w:ascii="Consolas" w:hAnsi="Consolas" w:cs="Consolas"/>
      <w:sz w:val="21"/>
      <w:szCs w:val="21"/>
    </w:rPr>
  </w:style>
  <w:style w:type="paragraph" w:styleId="BalloonText">
    <w:name w:val="Balloon Text"/>
    <w:basedOn w:val="Normal"/>
    <w:link w:val="BalloonTextChar"/>
    <w:semiHidden/>
    <w:rsid w:val="006B7C0D"/>
    <w:rPr>
      <w:rFonts w:ascii="Tahoma" w:hAnsi="Tahoma" w:cs="Tahoma"/>
      <w:sz w:val="16"/>
      <w:szCs w:val="16"/>
    </w:rPr>
  </w:style>
  <w:style w:type="character" w:customStyle="1" w:styleId="BalloonTextChar">
    <w:name w:val="Balloon Text Char"/>
    <w:basedOn w:val="DefaultParagraphFont"/>
    <w:link w:val="BalloonText"/>
    <w:semiHidden/>
    <w:locked/>
    <w:rsid w:val="006B7C0D"/>
    <w:rPr>
      <w:rFonts w:ascii="Tahoma" w:hAnsi="Tahoma" w:cs="Tahoma"/>
      <w:sz w:val="16"/>
      <w:szCs w:val="16"/>
    </w:rPr>
  </w:style>
  <w:style w:type="character" w:styleId="Hyperlink">
    <w:name w:val="Hyperlink"/>
    <w:basedOn w:val="DefaultParagraphFont"/>
    <w:rsid w:val="00A6799B"/>
    <w:rPr>
      <w:rFonts w:cs="Times New Roman"/>
      <w:color w:val="0000FF"/>
      <w:u w:val="single"/>
    </w:rPr>
  </w:style>
  <w:style w:type="paragraph" w:styleId="Header">
    <w:name w:val="header"/>
    <w:basedOn w:val="Normal"/>
    <w:link w:val="HeaderChar"/>
    <w:uiPriority w:val="99"/>
    <w:rsid w:val="00660C86"/>
    <w:pPr>
      <w:tabs>
        <w:tab w:val="center" w:pos="4153"/>
        <w:tab w:val="right" w:pos="8306"/>
      </w:tabs>
    </w:pPr>
  </w:style>
  <w:style w:type="paragraph" w:styleId="Footer">
    <w:name w:val="footer"/>
    <w:basedOn w:val="Normal"/>
    <w:link w:val="FooterChar"/>
    <w:uiPriority w:val="99"/>
    <w:rsid w:val="00660C86"/>
    <w:pPr>
      <w:tabs>
        <w:tab w:val="center" w:pos="4153"/>
        <w:tab w:val="right" w:pos="8306"/>
      </w:tabs>
    </w:pPr>
  </w:style>
  <w:style w:type="character" w:customStyle="1" w:styleId="FooterChar">
    <w:name w:val="Footer Char"/>
    <w:basedOn w:val="DefaultParagraphFont"/>
    <w:link w:val="Footer"/>
    <w:uiPriority w:val="99"/>
    <w:rsid w:val="00F24E40"/>
    <w:rPr>
      <w:rFonts w:ascii="Times New Roman" w:eastAsia="Times New Roman" w:hAnsi="Times New Roman" w:cs="Times New Roman"/>
      <w:sz w:val="24"/>
      <w:szCs w:val="24"/>
      <w:lang w:val="en-US" w:eastAsia="en-US"/>
    </w:rPr>
  </w:style>
  <w:style w:type="paragraph" w:customStyle="1" w:styleId="Default">
    <w:name w:val="Default"/>
    <w:rsid w:val="00127E2F"/>
    <w:pPr>
      <w:autoSpaceDE w:val="0"/>
      <w:autoSpaceDN w:val="0"/>
      <w:adjustRightInd w:val="0"/>
    </w:pPr>
    <w:rPr>
      <w:rFonts w:ascii="Georgia" w:hAnsi="Georgia" w:cs="Georgia"/>
      <w:color w:val="000000"/>
      <w:sz w:val="24"/>
      <w:szCs w:val="24"/>
      <w:lang w:eastAsia="en-US"/>
    </w:rPr>
  </w:style>
  <w:style w:type="character" w:customStyle="1" w:styleId="HeaderChar">
    <w:name w:val="Header Char"/>
    <w:basedOn w:val="DefaultParagraphFont"/>
    <w:link w:val="Header"/>
    <w:uiPriority w:val="99"/>
    <w:rsid w:val="00127E2F"/>
    <w:rPr>
      <w:rFonts w:ascii="Times New Roman" w:eastAsia="Times New Roman" w:hAnsi="Times New Roman" w:cs="Times New Roman"/>
      <w:sz w:val="24"/>
      <w:szCs w:val="24"/>
      <w:lang w:val="en-US" w:eastAsia="en-US"/>
    </w:rPr>
  </w:style>
  <w:style w:type="table" w:styleId="TableGrid">
    <w:name w:val="Table Grid"/>
    <w:basedOn w:val="TableNormal"/>
    <w:locked/>
    <w:rsid w:val="00613C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3272F4"/>
    <w:rPr>
      <w:sz w:val="16"/>
      <w:szCs w:val="16"/>
    </w:rPr>
  </w:style>
  <w:style w:type="paragraph" w:styleId="CommentText">
    <w:name w:val="annotation text"/>
    <w:basedOn w:val="Normal"/>
    <w:link w:val="CommentTextChar"/>
    <w:rsid w:val="003272F4"/>
    <w:rPr>
      <w:sz w:val="20"/>
      <w:szCs w:val="20"/>
    </w:rPr>
  </w:style>
  <w:style w:type="character" w:customStyle="1" w:styleId="CommentTextChar">
    <w:name w:val="Comment Text Char"/>
    <w:basedOn w:val="DefaultParagraphFont"/>
    <w:link w:val="CommentText"/>
    <w:rsid w:val="003272F4"/>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rsid w:val="003272F4"/>
    <w:rPr>
      <w:b/>
      <w:bCs/>
    </w:rPr>
  </w:style>
  <w:style w:type="character" w:customStyle="1" w:styleId="CommentSubjectChar">
    <w:name w:val="Comment Subject Char"/>
    <w:basedOn w:val="CommentTextChar"/>
    <w:link w:val="CommentSubject"/>
    <w:rsid w:val="003272F4"/>
    <w:rPr>
      <w:rFonts w:ascii="Times New Roman" w:eastAsia="Times New Roman" w:hAnsi="Times New Roman"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59DA6-CD67-4BDC-A9CD-C24D3B45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4480</Words>
  <Characters>25542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CME Group Inc.</Company>
  <LinksUpToDate>false</LinksUpToDate>
  <CharactersWithSpaces>29963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Hannah</dc:creator>
  <cp:lastModifiedBy>lhammond</cp:lastModifiedBy>
  <cp:revision>3</cp:revision>
  <cp:lastPrinted>2012-07-26T13:52:00Z</cp:lastPrinted>
  <dcterms:created xsi:type="dcterms:W3CDTF">2012-08-05T14:24:00Z</dcterms:created>
  <dcterms:modified xsi:type="dcterms:W3CDTF">2012-08-05T14:38:00Z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ClientMatter">
    <vt:lpwstr>0084732-0000003</vt:lpwstr>
  </property>
  <property fmtid="{D5CDD505-2E9C-101B-9397-08002B2CF9AE}" pid="3" name="cpCombinedRef">
    <vt:lpwstr>0084732-0000003 DB:4447375.2</vt:lpwstr>
  </property>
  <property fmtid="{D5CDD505-2E9C-101B-9397-08002B2CF9AE}" pid="4" name="cpDocRef">
    <vt:lpwstr>DB:4447375.2</vt:lpwstr>
  </property>
</Properties>
</file>