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even" r:id="rId9"/>
          <w:headerReference w:type="default" r:id="rId10"/>
          <w:footerReference w:type="even" r:id="rId11"/>
          <w:footerReference w:type="default" r:id="rId12"/>
          <w:headerReference w:type="first" r:id="rId13"/>
          <w:foot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5"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6"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ESMA_MAR_CP_TS_ESMA_ANNEX1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7"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leGrid"/>
        <w:tblW w:w="0" w:type="auto"/>
        <w:tblLook w:val="04A0"/>
      </w:tblPr>
      <w:tblGrid>
        <w:gridCol w:w="3510"/>
        <w:gridCol w:w="6118"/>
      </w:tblGrid>
      <w:tr w:rsidR="008627FF" w:rsidTr="008313E5">
        <w:tc>
          <w:tcPr>
            <w:tcW w:w="3510" w:type="dxa"/>
          </w:tcPr>
          <w:p w:rsidR="008627FF" w:rsidRDefault="008627FF" w:rsidP="008313E5">
            <w:r>
              <w:t>Are you representing an association?</w:t>
            </w:r>
          </w:p>
        </w:tc>
        <w:tc>
          <w:tcPr>
            <w:tcW w:w="6118" w:type="dxa"/>
          </w:tcPr>
          <w:p w:rsidR="008627FF" w:rsidRDefault="00962A43" w:rsidP="008313E5">
            <w:sdt>
              <w:sdtPr>
                <w:alias w:val="Association"/>
                <w:tag w:val="Association"/>
                <w:id w:val="-1769143793"/>
                <w:placeholder>
                  <w:docPart w:val="6128E631859144A8B774ACA138C88107"/>
                </w:placeholder>
                <w:comboBox>
                  <w:listItem w:displayText="Yes" w:value="Yes"/>
                  <w:listItem w:displayText="No" w:value="No"/>
                </w:comboBox>
              </w:sdtPr>
              <w:sdtContent>
                <w:permStart w:id="0" w:edGrp="everyone"/>
                <w:r w:rsidR="00017F3C">
                  <w:t>No</w:t>
                </w:r>
                <w:permEnd w:id="0"/>
              </w:sdtContent>
            </w:sdt>
          </w:p>
        </w:tc>
      </w:tr>
      <w:tr w:rsidR="008627FF" w:rsidTr="008313E5">
        <w:tc>
          <w:tcPr>
            <w:tcW w:w="3510" w:type="dxa"/>
          </w:tcPr>
          <w:p w:rsidR="008627FF" w:rsidRDefault="008627FF" w:rsidP="008313E5">
            <w:r>
              <w:t>Activity:</w:t>
            </w:r>
          </w:p>
        </w:tc>
        <w:tc>
          <w:tcPr>
            <w:tcW w:w="6118" w:type="dxa"/>
          </w:tcPr>
          <w:p w:rsidR="008627FF" w:rsidRDefault="00962A43" w:rsidP="008313E5">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 w:edGrp="everyone"/>
                <w:r w:rsidR="00017F3C">
                  <w:t>Audit/Legal/Individual</w:t>
                </w:r>
                <w:permEnd w:id="1"/>
              </w:sdtContent>
            </w:sdt>
          </w:p>
        </w:tc>
      </w:tr>
      <w:tr w:rsidR="008627FF" w:rsidTr="008313E5">
        <w:tc>
          <w:tcPr>
            <w:tcW w:w="3510" w:type="dxa"/>
          </w:tcPr>
          <w:p w:rsidR="008627FF" w:rsidRDefault="008627FF" w:rsidP="008313E5">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 w:edGrp="everyone" w:displacedByCustomXml="prev"/>
            <w:tc>
              <w:tcPr>
                <w:tcW w:w="6118" w:type="dxa"/>
              </w:tcPr>
              <w:p w:rsidR="008627FF" w:rsidRDefault="00017F3C" w:rsidP="008313E5">
                <w:r>
                  <w:t>Germany</w:t>
                </w:r>
              </w:p>
            </w:tc>
            <w:permEnd w:id="2" w:displacedByCustomXml="next"/>
          </w:sdtContent>
        </w:sdt>
      </w:tr>
    </w:tbl>
    <w:p w:rsidR="008627FF" w:rsidRDefault="008627FF" w:rsidP="008627FF">
      <w:pPr>
        <w:pStyle w:val="Heading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bookmarkStart w:id="4" w:name="_GoBack"/>
      <w:bookmarkEnd w:id="4"/>
    </w:p>
    <w:p w:rsidR="008627FF" w:rsidRPr="00513956" w:rsidRDefault="008627FF" w:rsidP="008627FF">
      <w:r w:rsidRPr="00513956">
        <w:t>&lt;</w:t>
      </w:r>
      <w:r w:rsidRPr="00D74C9D">
        <w:t xml:space="preserve"> </w:t>
      </w:r>
      <w:r>
        <w:t>ESMA_COMMENT</w:t>
      </w:r>
      <w:r w:rsidRPr="00513956">
        <w:t>_MAR_TA_1&gt;</w:t>
      </w:r>
    </w:p>
    <w:p w:rsidR="00054704" w:rsidRDefault="00054704" w:rsidP="008627FF">
      <w:permStart w:id="3" w:edGrp="everyone"/>
    </w:p>
    <w:p w:rsidR="00017F3C" w:rsidRDefault="00017F3C" w:rsidP="008627FF">
      <w:r>
        <w:t>Clifford Chance is a leading internat</w:t>
      </w:r>
      <w:r w:rsidR="00B52DBF">
        <w:t>ional law firm with 36 offices in 2</w:t>
      </w:r>
      <w:r>
        <w:t xml:space="preserve">6 different countries worldwide. In Europe, we advise a multitude of principally corporate clients including leading financial institutions. </w:t>
      </w:r>
    </w:p>
    <w:p w:rsidR="00017F3C" w:rsidRDefault="00017F3C" w:rsidP="008627FF"/>
    <w:p w:rsidR="00017F3C" w:rsidRDefault="00017F3C" w:rsidP="008627FF">
      <w:r>
        <w:t xml:space="preserve">This response particularly references practices in Germany and Austria. </w:t>
      </w:r>
    </w:p>
    <w:permEnd w:id="3"/>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054704" w:rsidRDefault="007F760E" w:rsidP="00DC6F13">
      <w:permStart w:id="4" w:edGrp="everyone"/>
      <w:r>
        <w:t xml:space="preserve">We generally agree with the approach set out for volume limitations. We do not see a necessity to reinstate the 50% volume limit in case of extreme low liquidity. </w:t>
      </w:r>
      <w:proofErr w:type="gramStart"/>
      <w:r>
        <w:t xml:space="preserve">With regard to Article 4 </w:t>
      </w:r>
      <w:r w:rsidR="00DC6F13">
        <w:t>para.</w:t>
      </w:r>
      <w:proofErr w:type="gramEnd"/>
      <w:r w:rsidR="00DC6F13">
        <w:t xml:space="preserve"> 2 </w:t>
      </w:r>
      <w:r>
        <w:t>of the Draft regul</w:t>
      </w:r>
      <w:r>
        <w:t>a</w:t>
      </w:r>
      <w:r>
        <w:t>tory standards</w:t>
      </w:r>
      <w:r w:rsidR="00DC6F13">
        <w:t xml:space="preserve"> related to </w:t>
      </w:r>
      <w:r w:rsidR="00DC6F13" w:rsidRPr="00AF2A97">
        <w:rPr>
          <w:i/>
          <w:iCs/>
        </w:rPr>
        <w:t>i</w:t>
      </w:r>
      <w:r w:rsidR="00AF2A97" w:rsidRPr="00AF2A97">
        <w:rPr>
          <w:i/>
          <w:iCs/>
        </w:rPr>
        <w:t>nter alia</w:t>
      </w:r>
      <w:r w:rsidR="00DC6F13">
        <w:t xml:space="preserve"> buy-back programmes, we would like to add the remark that the term "i</w:t>
      </w:r>
      <w:r w:rsidR="00DC6F13">
        <w:t>n</w:t>
      </w:r>
      <w:r w:rsidR="00DC6F13">
        <w:t>cluding" in this context is slightly misleading</w:t>
      </w:r>
      <w:r>
        <w:t>.</w:t>
      </w:r>
      <w:r w:rsidR="00DC6F13">
        <w:t xml:space="preserve"> Therefore, it should be clarified whether the term refers to the price range mentioned in the first part of the sentence or the trading venue mentioned in the second part.</w:t>
      </w:r>
    </w:p>
    <w:permEnd w:id="4"/>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054704" w:rsidRDefault="00017F3C" w:rsidP="00C8677B">
      <w:permStart w:id="5" w:edGrp="everyone"/>
      <w:r>
        <w:t>We generally agree with the approach set out for stabilisation measures</w:t>
      </w:r>
      <w:r w:rsidR="008A3B1D">
        <w:t>. The proposed approach</w:t>
      </w:r>
      <w:r>
        <w:t xml:space="preserve"> princ</w:t>
      </w:r>
      <w:r>
        <w:t>i</w:t>
      </w:r>
      <w:r>
        <w:t xml:space="preserve">pally preserves the system established under Regulation 2273/2003 and </w:t>
      </w:r>
      <w:r w:rsidR="00DD7410">
        <w:t>is well accepted by the</w:t>
      </w:r>
      <w:r>
        <w:t xml:space="preserve"> market </w:t>
      </w:r>
      <w:r w:rsidR="00DD7410">
        <w:t xml:space="preserve">and in line with </w:t>
      </w:r>
      <w:r>
        <w:t>inte</w:t>
      </w:r>
      <w:r>
        <w:t>r</w:t>
      </w:r>
      <w:r>
        <w:t>na</w:t>
      </w:r>
      <w:r w:rsidR="00DD7410">
        <w:t>tional market practice.</w:t>
      </w:r>
    </w:p>
    <w:p w:rsidR="00017F3C" w:rsidRDefault="00017F3C" w:rsidP="00C8677B"/>
    <w:p w:rsidR="00017F3C" w:rsidRDefault="00DD7410" w:rsidP="00C8677B">
      <w:r>
        <w:t>We recommend</w:t>
      </w:r>
      <w:r w:rsidR="00017F3C">
        <w:t xml:space="preserve"> </w:t>
      </w:r>
      <w:r w:rsidR="008A3B1D">
        <w:t>specifying</w:t>
      </w:r>
      <w:r w:rsidR="00017F3C">
        <w:t xml:space="preserve"> that in case of an initial offer of shares or equivalent equity securities, the time period for stabilisation starts at the time when </w:t>
      </w:r>
      <w:r>
        <w:t>the first</w:t>
      </w:r>
      <w:r w:rsidR="00017F3C">
        <w:t xml:space="preserve"> part</w:t>
      </w:r>
      <w:r>
        <w:t xml:space="preserve"> of such securities start to</w:t>
      </w:r>
      <w:r w:rsidR="00017F3C">
        <w:t xml:space="preserve"> trade. We have been </w:t>
      </w:r>
      <w:r>
        <w:t>involved in</w:t>
      </w:r>
      <w:r w:rsidR="00017F3C">
        <w:t xml:space="preserve"> initial public offerings in which, for structural reasons, existing shares were listed and started trading before newly issued shares offered within the same offe</w:t>
      </w:r>
      <w:r>
        <w:t>ring</w:t>
      </w:r>
      <w:r w:rsidR="00017F3C">
        <w:t xml:space="preserve">. </w:t>
      </w:r>
      <w:r>
        <w:t>It should be clear that t</w:t>
      </w:r>
      <w:r w:rsidR="00017F3C">
        <w:t>he stabilisation period start</w:t>
      </w:r>
      <w:r>
        <w:t>s</w:t>
      </w:r>
      <w:r w:rsidR="00017F3C">
        <w:t xml:space="preserve"> beginning</w:t>
      </w:r>
      <w:r>
        <w:t xml:space="preserve"> on</w:t>
      </w:r>
      <w:r w:rsidR="00017F3C">
        <w:t xml:space="preserve"> the first day of trading of any</w:t>
      </w:r>
      <w:r>
        <w:t xml:space="preserve"> of the</w:t>
      </w:r>
      <w:r w:rsidR="00017F3C">
        <w:t xml:space="preserve"> shares offered in the initial offer.</w:t>
      </w:r>
    </w:p>
    <w:p w:rsidR="00183267" w:rsidRDefault="00183267" w:rsidP="00C8677B"/>
    <w:p w:rsidR="00183267" w:rsidRDefault="00DD7410" w:rsidP="00C8677B">
      <w:r>
        <w:t>W</w:t>
      </w:r>
      <w:r w:rsidR="00183267">
        <w:t xml:space="preserve">e </w:t>
      </w:r>
      <w:r>
        <w:t xml:space="preserve">recommend </w:t>
      </w:r>
      <w:r w:rsidR="008A3B1D">
        <w:t>clarifying</w:t>
      </w:r>
      <w:r w:rsidR="00183267">
        <w:t xml:space="preserve"> whether stabilisation measures </w:t>
      </w:r>
      <w:r>
        <w:t>are</w:t>
      </w:r>
      <w:r w:rsidR="00183267">
        <w:t xml:space="preserve"> appli</w:t>
      </w:r>
      <w:r>
        <w:t>cable to spin-offs</w:t>
      </w:r>
      <w:r w:rsidR="00183267">
        <w:t xml:space="preserve"> via </w:t>
      </w:r>
      <w:r>
        <w:t>a</w:t>
      </w:r>
      <w:r w:rsidR="00183267">
        <w:t xml:space="preserve"> stock exchange that do not involve </w:t>
      </w:r>
      <w:r>
        <w:t>the standard approach of selling shares to outside investors</w:t>
      </w:r>
      <w:r w:rsidR="00183267">
        <w:t xml:space="preserve">. </w:t>
      </w:r>
      <w:r>
        <w:t xml:space="preserve">German and Austrian </w:t>
      </w:r>
      <w:r w:rsidR="00183267">
        <w:t xml:space="preserve">transactions included the spin-off of Osram </w:t>
      </w:r>
      <w:r>
        <w:t xml:space="preserve">Licht </w:t>
      </w:r>
      <w:r w:rsidR="00183267">
        <w:t>AG from Siemens AG</w:t>
      </w:r>
      <w:r>
        <w:t xml:space="preserve"> and</w:t>
      </w:r>
      <w:r w:rsidR="00183267">
        <w:t xml:space="preserve"> the spin-off of Buwog AG from Immofinanz AG. In th</w:t>
      </w:r>
      <w:r w:rsidR="001F215E">
        <w:t xml:space="preserve">ese transactions shares of </w:t>
      </w:r>
      <w:r>
        <w:t>a subsidiary</w:t>
      </w:r>
      <w:r w:rsidR="001F215E">
        <w:t xml:space="preserve"> within a larger group </w:t>
      </w:r>
      <w:r>
        <w:t>are</w:t>
      </w:r>
      <w:r w:rsidR="001F215E">
        <w:t xml:space="preserve"> distributed to the shareholders of the parent </w:t>
      </w:r>
      <w:r w:rsidR="008A3B1D">
        <w:t>of such</w:t>
      </w:r>
      <w:r>
        <w:t xml:space="preserve"> group</w:t>
      </w:r>
      <w:r w:rsidR="001F215E">
        <w:t xml:space="preserve"> and then listed on a stock exchange. </w:t>
      </w:r>
    </w:p>
    <w:p w:rsidR="00017F3C" w:rsidRDefault="00017F3C" w:rsidP="00C8677B"/>
    <w:p w:rsidR="00017F3C" w:rsidRDefault="00DD7410" w:rsidP="00C8677B">
      <w:r>
        <w:t xml:space="preserve">We recommend </w:t>
      </w:r>
      <w:r w:rsidR="008A3B1D">
        <w:t>clarifying</w:t>
      </w:r>
      <w:r w:rsidR="00017F3C">
        <w:t xml:space="preserve"> what "adequately publicly disclo</w:t>
      </w:r>
      <w:r>
        <w:t>se" means for offers which do n</w:t>
      </w:r>
      <w:r w:rsidR="00017F3C">
        <w:t>o</w:t>
      </w:r>
      <w:r>
        <w:t>t</w:t>
      </w:r>
      <w:r w:rsidR="00017F3C">
        <w:t xml:space="preserve"> fall under th</w:t>
      </w:r>
      <w:r>
        <w:t>e scope of</w:t>
      </w:r>
      <w:r w:rsidR="00017F3C">
        <w:t xml:space="preserve"> the prospectus directive. In order to harmonize the approach across different jurisdiction, a clarification of whether stabilisation notices via commonly used information ser</w:t>
      </w:r>
      <w:r>
        <w:t>vices in the</w:t>
      </w:r>
      <w:r w:rsidR="00BC207D">
        <w:t xml:space="preserve"> </w:t>
      </w:r>
      <w:r>
        <w:t>EU</w:t>
      </w:r>
      <w:r w:rsidR="00017F3C">
        <w:t xml:space="preserve"> are ad</w:t>
      </w:r>
      <w:r w:rsidR="00017F3C">
        <w:t>e</w:t>
      </w:r>
      <w:r w:rsidR="00017F3C">
        <w:t>quate disclosure would help</w:t>
      </w:r>
      <w:r>
        <w:t xml:space="preserve"> market</w:t>
      </w:r>
      <w:r w:rsidR="00017F3C">
        <w:t xml:space="preserve"> practice</w:t>
      </w:r>
      <w:r>
        <w:t xml:space="preserve"> to be consistent throughout the various jurisdictions</w:t>
      </w:r>
      <w:r w:rsidR="00017F3C">
        <w:t>.</w:t>
      </w:r>
    </w:p>
    <w:p w:rsidR="00E97F3E" w:rsidRDefault="00E97F3E" w:rsidP="00C8677B"/>
    <w:p w:rsidR="00E97F3E" w:rsidRDefault="00E97F3E" w:rsidP="00C8677B">
      <w:r>
        <w:t>We believe the guidance provided in paragraphs 54 and 55 on refreshing the greenshoe could lead to market confusion about whether sell side activity during the stabilisation period in connection with a greenshoe poses the potential of market abuse. If the potential stabilisation measures including the pote</w:t>
      </w:r>
      <w:r>
        <w:t>n</w:t>
      </w:r>
      <w:r>
        <w:t xml:space="preserve">tial to refresh the greenshoe are adequately disclosed within the </w:t>
      </w:r>
      <w:r w:rsidR="00DD7410">
        <w:t xml:space="preserve">published </w:t>
      </w:r>
      <w:r>
        <w:t>disclosure documents</w:t>
      </w:r>
      <w:r w:rsidR="00DD7410">
        <w:t xml:space="preserve"> for the transaction</w:t>
      </w:r>
      <w:r>
        <w:t xml:space="preserve"> and sell</w:t>
      </w:r>
      <w:r w:rsidR="00DD7410">
        <w:t>ing</w:t>
      </w:r>
      <w:r>
        <w:t xml:space="preserve"> activity of </w:t>
      </w:r>
      <w:r w:rsidR="00DD7410">
        <w:t>securities</w:t>
      </w:r>
      <w:r>
        <w:t xml:space="preserve"> are conducted in a market </w:t>
      </w:r>
      <w:r w:rsidR="00DD7410">
        <w:t>sensitive</w:t>
      </w:r>
      <w:r>
        <w:t xml:space="preserve"> manner, it should clear that a full exercise of the gr</w:t>
      </w:r>
      <w:r w:rsidR="00BC207D">
        <w:t>e</w:t>
      </w:r>
      <w:r>
        <w:t>enshoe option is still covered by the safe harbour set out by the MAR. In Germany, this is market practice and is supported by a long history of legal literature.</w:t>
      </w:r>
    </w:p>
    <w:p w:rsidR="00E97F3E" w:rsidRDefault="00E97F3E" w:rsidP="00C8677B"/>
    <w:p w:rsidR="00E97F3E" w:rsidRDefault="00183267" w:rsidP="00C8677B">
      <w:r>
        <w:t>We welcome the clarification on the definition of block trades in that significant distributions as defined in Article 3(2</w:t>
      </w:r>
      <w:proofErr w:type="gramStart"/>
      <w:r>
        <w:t>)(</w:t>
      </w:r>
      <w:proofErr w:type="gramEnd"/>
      <w:r>
        <w:t>c) of MAR are within the scope of the safe harbour and not considered a block trade. It is market practice that private block trades, that is the placement of larger amounts of shares from one shareholder to another</w:t>
      </w:r>
      <w:r w:rsidR="00DD7410">
        <w:t xml:space="preserve"> in a privately conducted transaction</w:t>
      </w:r>
      <w:r>
        <w:t>, may not be accompanied by stabilisation measures, while secondary offers</w:t>
      </w:r>
      <w:r w:rsidR="00DD7410">
        <w:t xml:space="preserve"> as part of initial offers (even if no newly issued shares are part of such initial offers) may include stabilisation measures.</w:t>
      </w:r>
    </w:p>
    <w:permEnd w:id="5"/>
    <w:p w:rsidR="00C8677B" w:rsidRDefault="00C8677B" w:rsidP="00C8677B">
      <w:r>
        <w:lastRenderedPageBreak/>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C8677B" w:rsidRDefault="00C8677B" w:rsidP="00C8677B">
      <w:permStart w:id="6" w:edGrp="everyone"/>
    </w:p>
    <w:p w:rsidR="00054704" w:rsidRDefault="0039362A" w:rsidP="00054704">
      <w:r>
        <w:t xml:space="preserve">Market sounding has become one of the most critical parts of </w:t>
      </w:r>
      <w:r w:rsidR="00DD7410">
        <w:t xml:space="preserve">German and Austrian </w:t>
      </w:r>
      <w:r>
        <w:t xml:space="preserve">equity capital markets transactions in the last few years and is also a key component of a large number of debt transactions. Article 11(1) of MAR correctly characterises it as communication with potential investors to gauge their interest in a possible transaction and the conditions relating to such a transaction such as size or pricing. As a key commercial instrument for capital market transactions, we believe it is important </w:t>
      </w:r>
      <w:r w:rsidR="00AA254E">
        <w:t xml:space="preserve">to </w:t>
      </w:r>
      <w:r w:rsidR="00DD7410">
        <w:t>broadly protect this instrument and</w:t>
      </w:r>
      <w:r w:rsidR="00AA254E">
        <w:t xml:space="preserve"> not unduly burden issuers and advising banks with formal requirements for</w:t>
      </w:r>
      <w:r w:rsidR="00DD7410">
        <w:t xml:space="preserve"> market sounding. We believe the overarching focus of ESMA in implementing guidance should be to focus on the key issue underlying market sounding regulations, which is </w:t>
      </w:r>
      <w:r w:rsidR="008A3B1D">
        <w:t>whether, and in what way</w:t>
      </w:r>
      <w:r w:rsidR="00AA254E">
        <w:t xml:space="preserve"> inside info</w:t>
      </w:r>
      <w:r w:rsidR="00AA254E">
        <w:t>r</w:t>
      </w:r>
      <w:r w:rsidR="00AA254E">
        <w:t xml:space="preserve">mation is disclosed to a select group of potential investors and how to cleanse such potential investors </w:t>
      </w:r>
      <w:r w:rsidR="00DD7410">
        <w:t>after</w:t>
      </w:r>
      <w:r w:rsidR="00AA254E">
        <w:t xml:space="preserve"> the market sounding.</w:t>
      </w:r>
    </w:p>
    <w:p w:rsidR="00AA254E" w:rsidRDefault="00AA254E" w:rsidP="00054704"/>
    <w:p w:rsidR="008A3B1D" w:rsidRDefault="00DD7410" w:rsidP="00054704">
      <w:r>
        <w:t>In our experience,</w:t>
      </w:r>
      <w:r w:rsidR="00AA254E">
        <w:t xml:space="preserve"> most equity capital market transactions</w:t>
      </w:r>
      <w:r>
        <w:t xml:space="preserve"> in Germany and Austria</w:t>
      </w:r>
      <w:r w:rsidR="00AA254E">
        <w:t xml:space="preserve">, especially initial public offerings, involve non-deal road shows in which information about </w:t>
      </w:r>
      <w:r>
        <w:t>a potential issuer</w:t>
      </w:r>
      <w:r w:rsidR="00AA254E">
        <w:t xml:space="preserve"> is presented to potential investors without mentioning a specific upcoming transaction or details of such </w:t>
      </w:r>
      <w:r>
        <w:t>a planned</w:t>
      </w:r>
      <w:r w:rsidR="00AA254E">
        <w:t xml:space="preserve"> tran</w:t>
      </w:r>
      <w:r w:rsidR="00AA254E">
        <w:t>s</w:t>
      </w:r>
      <w:r w:rsidR="008A3B1D">
        <w:t>action. There are various different situations in which such non-deal road shows may occur:</w:t>
      </w:r>
    </w:p>
    <w:p w:rsidR="008A3B1D" w:rsidRDefault="008A3B1D" w:rsidP="00054704"/>
    <w:p w:rsidR="008A3B1D" w:rsidRDefault="008A3B1D" w:rsidP="00054704">
      <w:r>
        <w:t>a. within the preparation for an initial public offering of a company that is not yet subject to any inside i</w:t>
      </w:r>
      <w:r>
        <w:t>n</w:t>
      </w:r>
      <w:r>
        <w:t xml:space="preserve">formation regime and before any "intention to float" press release, </w:t>
      </w:r>
    </w:p>
    <w:p w:rsidR="008A3B1D" w:rsidRDefault="008A3B1D" w:rsidP="00054704"/>
    <w:p w:rsidR="008A3B1D" w:rsidRDefault="008A3B1D" w:rsidP="00054704">
      <w:r>
        <w:t>b. within the preparation for an initial public offering of a company that has no equity securities listed on a stock exchange but is su</w:t>
      </w:r>
      <w:r>
        <w:t>b</w:t>
      </w:r>
      <w:r>
        <w:t>ject to inside information regulation due to the previous offering and listing of debt securities before an "inte</w:t>
      </w:r>
      <w:r>
        <w:t>n</w:t>
      </w:r>
      <w:r>
        <w:t>tion to float" announcement is published, or</w:t>
      </w:r>
    </w:p>
    <w:p w:rsidR="008A3B1D" w:rsidRDefault="008A3B1D" w:rsidP="00054704"/>
    <w:p w:rsidR="008A3B1D" w:rsidRDefault="008A3B1D" w:rsidP="00054704">
      <w:proofErr w:type="gramStart"/>
      <w:r>
        <w:t>c</w:t>
      </w:r>
      <w:proofErr w:type="gramEnd"/>
      <w:r>
        <w:t xml:space="preserve">. when already publically listed companies </w:t>
      </w:r>
      <w:r w:rsidR="00B52DBF">
        <w:t>consider offering</w:t>
      </w:r>
      <w:r>
        <w:t xml:space="preserve"> newly issued shares within a capital increase, but have not yet announced that such a transaction will take place.</w:t>
      </w:r>
    </w:p>
    <w:p w:rsidR="008A3B1D" w:rsidRDefault="008A3B1D" w:rsidP="00054704"/>
    <w:p w:rsidR="00AA254E" w:rsidRDefault="00AA254E" w:rsidP="00054704">
      <w:r>
        <w:t>We would welcome a statement in ESMA's guidance that such non-deal road shows are not market soun</w:t>
      </w:r>
      <w:r>
        <w:t>d</w:t>
      </w:r>
      <w:r>
        <w:t>ing, but normal co</w:t>
      </w:r>
      <w:r>
        <w:t>m</w:t>
      </w:r>
      <w:r>
        <w:t xml:space="preserve">munications with </w:t>
      </w:r>
      <w:r w:rsidR="00B34F5A">
        <w:t>investors or potential investors</w:t>
      </w:r>
      <w:r>
        <w:t xml:space="preserve"> and therefore are generally exempt from the market sounding fram</w:t>
      </w:r>
      <w:r>
        <w:t>e</w:t>
      </w:r>
      <w:r>
        <w:t>work.</w:t>
      </w:r>
      <w:r w:rsidR="008A3B1D">
        <w:t xml:space="preserve"> </w:t>
      </w:r>
    </w:p>
    <w:p w:rsidR="00B34F5A" w:rsidRDefault="00B34F5A" w:rsidP="00054704"/>
    <w:p w:rsidR="00B34F5A" w:rsidRDefault="00B34F5A" w:rsidP="00054704">
      <w:r>
        <w:t>We have taken note o</w:t>
      </w:r>
      <w:r w:rsidR="00DD7410">
        <w:t>f</w:t>
      </w:r>
      <w:r>
        <w:t xml:space="preserve"> the </w:t>
      </w:r>
      <w:r w:rsidR="008A3B1D">
        <w:t xml:space="preserve">addition to ESMA's guidance in paragraph 82 in relation </w:t>
      </w:r>
      <w:r>
        <w:t>to the number and type of investors a DMP can approach as part of market sounding</w:t>
      </w:r>
      <w:r w:rsidR="008A3B1D">
        <w:t>. We would welcome</w:t>
      </w:r>
      <w:r>
        <w:t xml:space="preserve"> further clarific</w:t>
      </w:r>
      <w:r>
        <w:t>a</w:t>
      </w:r>
      <w:r>
        <w:t xml:space="preserve">tions </w:t>
      </w:r>
      <w:r w:rsidR="008A3B1D">
        <w:t>to</w:t>
      </w:r>
      <w:r>
        <w:t xml:space="preserve"> </w:t>
      </w:r>
      <w:r w:rsidR="00DD7410">
        <w:t xml:space="preserve">resolve </w:t>
      </w:r>
      <w:r>
        <w:t>uncertaint</w:t>
      </w:r>
      <w:r w:rsidR="008A3B1D">
        <w:t>ies. E</w:t>
      </w:r>
      <w:r>
        <w:t>specially in connection with equity transactions, clear guidance on the number of investors that may be approached as part of the market sounding activ</w:t>
      </w:r>
      <w:r>
        <w:t>i</w:t>
      </w:r>
      <w:r>
        <w:t xml:space="preserve">ties and the type of investors </w:t>
      </w:r>
      <w:r w:rsidR="008A3B1D">
        <w:t xml:space="preserve">that may be approached </w:t>
      </w:r>
      <w:r>
        <w:t xml:space="preserve">would be </w:t>
      </w:r>
      <w:r w:rsidR="00FD6F6F">
        <w:t>beneficial to establish clear rules for market practice</w:t>
      </w:r>
      <w:r>
        <w:t xml:space="preserve">. In </w:t>
      </w:r>
      <w:r w:rsidR="00DD7410">
        <w:t>Ge</w:t>
      </w:r>
      <w:r w:rsidR="00DD7410">
        <w:t>r</w:t>
      </w:r>
      <w:r w:rsidR="00DD7410">
        <w:t>man</w:t>
      </w:r>
      <w:r>
        <w:t xml:space="preserve"> transactions the ma</w:t>
      </w:r>
      <w:r>
        <w:t>r</w:t>
      </w:r>
      <w:r>
        <w:t xml:space="preserve">ket sounding activities prior to a planned </w:t>
      </w:r>
      <w:r w:rsidR="00DD7410">
        <w:t>initial public offering</w:t>
      </w:r>
      <w:r>
        <w:t xml:space="preserve"> have become an integral part of </w:t>
      </w:r>
      <w:r w:rsidR="00DD7410">
        <w:t xml:space="preserve">the overall </w:t>
      </w:r>
      <w:r>
        <w:t>marketing activities</w:t>
      </w:r>
      <w:r w:rsidR="00FD6F6F">
        <w:t>, but the number of investors approached for pre-sounding can differ su</w:t>
      </w:r>
      <w:r w:rsidR="00FD6F6F">
        <w:t>b</w:t>
      </w:r>
      <w:r w:rsidR="00FD6F6F">
        <w:t>stantially</w:t>
      </w:r>
      <w:r>
        <w:t xml:space="preserve">. </w:t>
      </w:r>
      <w:r w:rsidR="008A3B1D">
        <w:t>We note that, for instance, in the U.S. securities laws practice, there is guidance on how many potential investors may be approached in order to avoid pre-sounding activities to be deemed going b</w:t>
      </w:r>
      <w:r w:rsidR="008A3B1D">
        <w:t>e</w:t>
      </w:r>
      <w:r w:rsidR="008A3B1D">
        <w:t xml:space="preserve">yond the sounding of potential investors. </w:t>
      </w:r>
    </w:p>
    <w:p w:rsidR="00054704" w:rsidRDefault="00054704" w:rsidP="00C8677B"/>
    <w:permEnd w:id="6"/>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lastRenderedPageBreak/>
        <w:t>&lt;</w:t>
      </w:r>
      <w:r w:rsidR="00CB6CDD">
        <w:t>ESMA_QUESTION_MAR_TS_</w:t>
      </w:r>
      <w:r>
        <w:t>4&gt;</w:t>
      </w:r>
    </w:p>
    <w:p w:rsidR="00B34F5A" w:rsidRDefault="00B34F5A" w:rsidP="00054704">
      <w:permStart w:id="7" w:edGrp="everyone"/>
    </w:p>
    <w:p w:rsidR="00054704" w:rsidRPr="00B34F5A" w:rsidRDefault="00B34F5A" w:rsidP="00054704">
      <w:r w:rsidRPr="00B34F5A">
        <w:t>We generally agree with the re</w:t>
      </w:r>
      <w:r>
        <w:t xml:space="preserve">vised proposal for standard templates for market sounding scripts. We suggest that in iv.a. </w:t>
      </w:r>
      <w:proofErr w:type="gramStart"/>
      <w:r>
        <w:t>the</w:t>
      </w:r>
      <w:proofErr w:type="gramEnd"/>
      <w:r>
        <w:t xml:space="preserve"> statement is clarified in order to say that "parts or all" of the information may be inside information and that the potential investor will have to make its own assessment on whether di</w:t>
      </w:r>
      <w:r>
        <w:t>s</w:t>
      </w:r>
      <w:r>
        <w:t xml:space="preserve">closed information is inside information. We further believe </w:t>
      </w:r>
      <w:proofErr w:type="gramStart"/>
      <w:r>
        <w:t>iv</w:t>
      </w:r>
      <w:proofErr w:type="gramEnd"/>
      <w:r>
        <w:t xml:space="preserve">. </w:t>
      </w:r>
      <w:proofErr w:type="gramStart"/>
      <w:r>
        <w:t>c</w:t>
      </w:r>
      <w:proofErr w:type="gramEnd"/>
      <w:r>
        <w:t xml:space="preserve">. should also include the information that changing market conditions could lead to the abandonment of the planned transaction and that in such a case the inside information received from the DMP may not be cleansed through public disclosure of such information. </w:t>
      </w:r>
    </w:p>
    <w:permEnd w:id="7"/>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054704" w:rsidRPr="00B34F5A" w:rsidRDefault="00B34F5A" w:rsidP="00054704">
      <w:permStart w:id="8" w:edGrp="everyone"/>
      <w:r w:rsidRPr="00B34F5A">
        <w:t xml:space="preserve">We agree with the revised </w:t>
      </w:r>
      <w:r>
        <w:t xml:space="preserve">and more flexible sounding list approach. We would suggest to </w:t>
      </w:r>
      <w:r w:rsidR="00DD7410">
        <w:t>replace</w:t>
      </w:r>
      <w:r>
        <w:t xml:space="preserve"> the word "employees" with "persons" in paragraph 96 as people sounded may not be employees of a</w:t>
      </w:r>
      <w:r w:rsidR="00DD7410">
        <w:t xml:space="preserve"> potential</w:t>
      </w:r>
      <w:r>
        <w:t xml:space="preserve"> inve</w:t>
      </w:r>
      <w:r>
        <w:t>s</w:t>
      </w:r>
      <w:r>
        <w:t>tor, but have a different relationship</w:t>
      </w:r>
      <w:r w:rsidR="00DD7410">
        <w:t xml:space="preserve"> to such potential investor</w:t>
      </w:r>
      <w:r>
        <w:t xml:space="preserve">, </w:t>
      </w:r>
      <w:r w:rsidR="00DD7410">
        <w:t>for instance a</w:t>
      </w:r>
      <w:r>
        <w:t xml:space="preserve"> contractual or ownership</w:t>
      </w:r>
      <w:r w:rsidR="00DD7410">
        <w:t xml:space="preserve"> relationship</w:t>
      </w:r>
      <w:r>
        <w:t>.</w:t>
      </w:r>
    </w:p>
    <w:permEnd w:id="8"/>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054704" w:rsidRPr="00B34F5A" w:rsidRDefault="00B34F5A" w:rsidP="00054704">
      <w:permStart w:id="9" w:edGrp="everyone"/>
      <w:r w:rsidRPr="00B34F5A">
        <w:t>We agree with the re</w:t>
      </w:r>
      <w:r>
        <w:t>vised requirement.</w:t>
      </w:r>
    </w:p>
    <w:permEnd w:id="9"/>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054704" w:rsidRDefault="00B34F5A" w:rsidP="00054704">
      <w:permStart w:id="10" w:edGrp="everyone"/>
      <w:r>
        <w:t xml:space="preserve">We believe the guidance on recording requirements for face-to-face meetings should be further clarified. The guidance should make clear what a "sufficient written record" of such meeting </w:t>
      </w:r>
      <w:r w:rsidR="00DD7410">
        <w:t>constitutes</w:t>
      </w:r>
      <w:r>
        <w:t>. In partic</w:t>
      </w:r>
      <w:r>
        <w:t>u</w:t>
      </w:r>
      <w:r>
        <w:t xml:space="preserve">lar, </w:t>
      </w:r>
      <w:r w:rsidR="00DD7410">
        <w:t xml:space="preserve">it </w:t>
      </w:r>
      <w:r>
        <w:t>should</w:t>
      </w:r>
      <w:r w:rsidR="00DD7410">
        <w:t xml:space="preserve"> be clarified if</w:t>
      </w:r>
      <w:r>
        <w:t xml:space="preserve"> protocols </w:t>
      </w:r>
      <w:r w:rsidR="00DD7410">
        <w:t xml:space="preserve">of meetings </w:t>
      </w:r>
      <w:r>
        <w:t xml:space="preserve">require more details than stating </w:t>
      </w:r>
      <w:r w:rsidR="00DD7410">
        <w:t>that</w:t>
      </w:r>
      <w:r>
        <w:t xml:space="preserve"> pre-sounding materials</w:t>
      </w:r>
      <w:r w:rsidR="00DD7410">
        <w:t xml:space="preserve"> (e.g. slides)</w:t>
      </w:r>
      <w:r>
        <w:t xml:space="preserve"> were presented and questions asked</w:t>
      </w:r>
      <w:r w:rsidR="00DD7410">
        <w:t xml:space="preserve"> by the potential investor, the investment bank and the issuer's representatives. The requirement to create a detailed</w:t>
      </w:r>
      <w:r>
        <w:t xml:space="preserve"> line</w:t>
      </w:r>
      <w:r w:rsidR="00DD7410">
        <w:t>-</w:t>
      </w:r>
      <w:r>
        <w:t>by</w:t>
      </w:r>
      <w:r w:rsidR="00DD7410">
        <w:t>-</w:t>
      </w:r>
      <w:r>
        <w:t xml:space="preserve">line record of </w:t>
      </w:r>
      <w:r w:rsidR="00DD7410">
        <w:t>every face-to-face meeting</w:t>
      </w:r>
      <w:r>
        <w:t xml:space="preserve"> conversation</w:t>
      </w:r>
      <w:r w:rsidR="00DD7410">
        <w:t xml:space="preserve"> may </w:t>
      </w:r>
      <w:r w:rsidR="00FD6F6F">
        <w:t xml:space="preserve">be </w:t>
      </w:r>
      <w:r w:rsidR="00DD7410">
        <w:t>too burdensome</w:t>
      </w:r>
      <w:r>
        <w:t xml:space="preserve">. </w:t>
      </w:r>
      <w:r w:rsidR="00DD7410">
        <w:t>W</w:t>
      </w:r>
      <w:r>
        <w:t xml:space="preserve">e believe </w:t>
      </w:r>
      <w:r w:rsidR="00DD7410">
        <w:t>a</w:t>
      </w:r>
      <w:r>
        <w:t xml:space="preserve"> practical approach </w:t>
      </w:r>
      <w:r w:rsidR="00FD6F6F">
        <w:t>c</w:t>
      </w:r>
      <w:r>
        <w:t xml:space="preserve">ould </w:t>
      </w:r>
      <w:r w:rsidR="00DD7410">
        <w:t xml:space="preserve">be to ask for face-to-face meetings </w:t>
      </w:r>
      <w:proofErr w:type="gramStart"/>
      <w:r>
        <w:t>be</w:t>
      </w:r>
      <w:proofErr w:type="gramEnd"/>
      <w:r w:rsidR="00DD7410">
        <w:t xml:space="preserve"> recorded</w:t>
      </w:r>
      <w:r w:rsidR="00FD6F6F">
        <w:t>, in all cases,</w:t>
      </w:r>
      <w:r w:rsidR="00DD7410">
        <w:t xml:space="preserve"> via</w:t>
      </w:r>
      <w:r>
        <w:t xml:space="preserve"> audio recording</w:t>
      </w:r>
      <w:r w:rsidR="00FD6F6F">
        <w:t xml:space="preserve"> in line with the established market practice for phone pre-sounding conversations, potentially supported by brief</w:t>
      </w:r>
      <w:r w:rsidR="00DD7410">
        <w:t xml:space="preserve"> </w:t>
      </w:r>
      <w:r w:rsidR="00FD6F6F">
        <w:t xml:space="preserve">meeting </w:t>
      </w:r>
      <w:r w:rsidR="00DD7410">
        <w:t xml:space="preserve">protocols. The current guidance </w:t>
      </w:r>
      <w:r w:rsidR="00FD6F6F">
        <w:t>could result in</w:t>
      </w:r>
      <w:r w:rsidR="00DD7410">
        <w:t xml:space="preserve"> various different approaches of recording face-to-face meetings develo</w:t>
      </w:r>
      <w:r w:rsidR="00DD7410">
        <w:t>p</w:t>
      </w:r>
      <w:r w:rsidR="00FD6F6F">
        <w:t>ing</w:t>
      </w:r>
      <w:r w:rsidR="00DD7410">
        <w:t xml:space="preserve"> which </w:t>
      </w:r>
      <w:r w:rsidR="00FD6F6F">
        <w:t xml:space="preserve">we believe may not </w:t>
      </w:r>
      <w:r w:rsidR="00DD7410">
        <w:t xml:space="preserve">be helpful for issuers and advising investment banks </w:t>
      </w:r>
      <w:proofErr w:type="gramStart"/>
      <w:r w:rsidR="00DD7410">
        <w:t>nor</w:t>
      </w:r>
      <w:proofErr w:type="gramEnd"/>
      <w:r w:rsidR="00DD7410">
        <w:t xml:space="preserve"> </w:t>
      </w:r>
      <w:r w:rsidR="00FD6F6F">
        <w:t>for</w:t>
      </w:r>
      <w:r w:rsidR="00DD7410">
        <w:t xml:space="preserve"> regul</w:t>
      </w:r>
      <w:r w:rsidR="00DD7410">
        <w:t>a</w:t>
      </w:r>
      <w:r w:rsidR="00DD7410">
        <w:t>tors.</w:t>
      </w:r>
    </w:p>
    <w:permEnd w:id="10"/>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054704" w:rsidRPr="00B34F5A" w:rsidRDefault="00B34F5A" w:rsidP="00054704">
      <w:permStart w:id="11" w:edGrp="everyone"/>
      <w:r w:rsidRPr="00B34F5A">
        <w:t xml:space="preserve">We agree with the approach, </w:t>
      </w:r>
      <w:r>
        <w:t xml:space="preserve">however note that in preparing </w:t>
      </w:r>
      <w:r w:rsidR="00DD7410">
        <w:t xml:space="preserve">market </w:t>
      </w:r>
      <w:r>
        <w:t>sounding materials that include inside information, the involvement of key people</w:t>
      </w:r>
      <w:r w:rsidR="00DD7410">
        <w:t xml:space="preserve"> at the issuer and advising investment banks</w:t>
      </w:r>
      <w:r>
        <w:t xml:space="preserve"> and their suppor</w:t>
      </w:r>
      <w:r>
        <w:t>t</w:t>
      </w:r>
      <w:r>
        <w:t xml:space="preserve">ing staff is required. The general rule of limiting access to inside information is </w:t>
      </w:r>
      <w:r w:rsidR="00DD7410">
        <w:t xml:space="preserve">already well </w:t>
      </w:r>
      <w:r>
        <w:t>understood in the market, but should not result in internal processes being more burdensome than necessary.</w:t>
      </w:r>
      <w:r w:rsidR="00DD7410">
        <w:t xml:space="preserve"> We also not</w:t>
      </w:r>
      <w:r w:rsidR="00FD6F6F">
        <w:t>e that working groups for</w:t>
      </w:r>
      <w:r w:rsidR="00DD7410">
        <w:t xml:space="preserve"> equity and equity-linked debt transactions are sometimes large and would recommend ESMA to draw the distinction that some transactions</w:t>
      </w:r>
      <w:r w:rsidR="00FD6F6F">
        <w:t>, in order for them to be effectively managed and carried out,</w:t>
      </w:r>
      <w:r w:rsidR="00DD7410">
        <w:t xml:space="preserve"> require the involvement of a large number of people with access to inside info</w:t>
      </w:r>
      <w:r w:rsidR="00DD7410">
        <w:t>r</w:t>
      </w:r>
      <w:r w:rsidR="00DD7410">
        <w:t>mation.</w:t>
      </w:r>
    </w:p>
    <w:permEnd w:id="11"/>
    <w:p w:rsidR="00C8677B" w:rsidRDefault="00C8677B" w:rsidP="00C8677B">
      <w:r>
        <w:t>&lt;</w:t>
      </w:r>
      <w:r w:rsidR="00CB6CDD">
        <w:t>ESMA_QUESTION_MAR_TS_</w:t>
      </w:r>
      <w:r>
        <w:t>8&gt;</w:t>
      </w:r>
    </w:p>
    <w:p w:rsidR="00C8677B" w:rsidRDefault="00C8677B" w:rsidP="00C8677B">
      <w:r>
        <w:lastRenderedPageBreak/>
        <w:br w:type="page"/>
      </w:r>
    </w:p>
    <w:p w:rsidR="00C8677B" w:rsidRPr="004C4871" w:rsidRDefault="00C8677B" w:rsidP="00C8677B">
      <w:pPr>
        <w:pStyle w:val="Heading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Default="00C8677B" w:rsidP="00C8677B">
      <w:permStart w:id="12" w:edGrp="everyone"/>
      <w:r>
        <w:t>TYPE YOUR TEXT HERE</w:t>
      </w:r>
    </w:p>
    <w:permEnd w:id="12"/>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Default="00C8677B" w:rsidP="00C8677B">
      <w:permStart w:id="13" w:edGrp="everyone"/>
      <w:r>
        <w:t>TYPE YOUR TEXT HERE</w:t>
      </w:r>
    </w:p>
    <w:permEnd w:id="13"/>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C8677B" w:rsidRDefault="00C8677B" w:rsidP="00C8677B">
      <w:permStart w:id="14" w:edGrp="everyone"/>
      <w:r>
        <w:t>TYPE YOUR TEXT HERE</w:t>
      </w:r>
    </w:p>
    <w:permEnd w:id="14"/>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8677B" w:rsidRDefault="00C8677B" w:rsidP="00C8677B">
      <w:permStart w:id="15" w:edGrp="everyone"/>
      <w:r>
        <w:t>TYPE YOUR TEXT HERE</w:t>
      </w:r>
    </w:p>
    <w:permEnd w:id="15"/>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C8677B" w:rsidRDefault="00C8677B" w:rsidP="00C8677B">
      <w:permStart w:id="16" w:edGrp="everyone"/>
      <w:r>
        <w:t>TYPE YOUR TEXT HERE</w:t>
      </w:r>
    </w:p>
    <w:permEnd w:id="16"/>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C8677B" w:rsidRDefault="00C8677B" w:rsidP="00C8677B">
      <w:permStart w:id="17" w:edGrp="everyone"/>
      <w:r>
        <w:t>TYPE YOUR TEXT HERE</w:t>
      </w:r>
    </w:p>
    <w:permEnd w:id="17"/>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C8677B" w:rsidRDefault="00C8677B" w:rsidP="00C8677B">
      <w:permStart w:id="18" w:edGrp="everyone"/>
      <w:r>
        <w:t>TYPE YOUR TEXT HERE</w:t>
      </w:r>
    </w:p>
    <w:permEnd w:id="18"/>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C8677B" w:rsidRDefault="00C8677B" w:rsidP="00C8677B">
      <w:permStart w:id="19" w:edGrp="everyone"/>
      <w:r>
        <w:t>TYPE YOUR TEXT HERE</w:t>
      </w:r>
    </w:p>
    <w:permEnd w:id="19"/>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054704" w:rsidRDefault="00DC6F13" w:rsidP="00C8677B">
      <w:permStart w:id="20" w:edGrp="everyone"/>
      <w:r>
        <w:t>We agree with the proposal regarding the channel for the disclosure of inside information. The established system(s) seem to work.</w:t>
      </w:r>
    </w:p>
    <w:permEnd w:id="20"/>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21" w:edGrp="everyone"/>
      <w:r>
        <w:t>TYPE YOUR TEXT HERE</w:t>
      </w:r>
    </w:p>
    <w:permEnd w:id="21"/>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50166B" w:rsidRDefault="00C8677B" w:rsidP="001D32B0">
      <w:permStart w:id="22" w:edGrp="everyone"/>
      <w:r>
        <w:t>TYPE YOUR TEXT HERE</w:t>
      </w:r>
    </w:p>
    <w:permEnd w:id="22"/>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8E42EB" w:rsidRDefault="00FD6F6F" w:rsidP="00054704">
      <w:permStart w:id="23" w:edGrp="everyone"/>
      <w:r>
        <w:t>We have worked on</w:t>
      </w:r>
      <w:r w:rsidR="0050166B">
        <w:t xml:space="preserve"> German and Austrian </w:t>
      </w:r>
      <w:r>
        <w:t>equity capital markets transactions in which the</w:t>
      </w:r>
      <w:r w:rsidR="0050166B">
        <w:t xml:space="preserve"> cleansing of inside i</w:t>
      </w:r>
      <w:r w:rsidR="0050166B">
        <w:t>n</w:t>
      </w:r>
      <w:r w:rsidR="0050166B">
        <w:t>formation provided to analysts within analyst presentation</w:t>
      </w:r>
      <w:r w:rsidR="00DD7410">
        <w:t>s</w:t>
      </w:r>
      <w:r w:rsidR="0050166B">
        <w:t xml:space="preserve"> and </w:t>
      </w:r>
      <w:r w:rsidR="00DD7410">
        <w:t>to potential investors as part</w:t>
      </w:r>
      <w:r w:rsidR="0050166B">
        <w:t xml:space="preserve"> of market sounding presenta</w:t>
      </w:r>
      <w:r>
        <w:t>tions, has been conducted by publishing</w:t>
      </w:r>
      <w:r w:rsidR="0050166B">
        <w:t xml:space="preserve"> </w:t>
      </w:r>
      <w:r>
        <w:t>such information (usually prepared in form of slides)</w:t>
      </w:r>
      <w:r w:rsidR="0050166B">
        <w:t xml:space="preserve"> on the </w:t>
      </w:r>
      <w:r>
        <w:t>issuer</w:t>
      </w:r>
      <w:r w:rsidR="0050166B">
        <w:t>'s website at the same time the transaction is announced to the ma</w:t>
      </w:r>
      <w:r w:rsidR="0050166B">
        <w:t>r</w:t>
      </w:r>
      <w:r w:rsidR="0050166B">
        <w:t xml:space="preserve">ket </w:t>
      </w:r>
      <w:r w:rsidR="00DD7410">
        <w:t>via a</w:t>
      </w:r>
      <w:r w:rsidR="0050166B">
        <w:t xml:space="preserve"> so-called "intention to float" announcement. </w:t>
      </w:r>
      <w:r>
        <w:t xml:space="preserve">In paragraph 251, </w:t>
      </w:r>
      <w:r w:rsidR="0050166B">
        <w:t>ESMA specifies that the publication of inside information on the website of the issuer is not enough to effectively inform the ma</w:t>
      </w:r>
      <w:r w:rsidR="0050166B">
        <w:t>r</w:t>
      </w:r>
      <w:r w:rsidR="0050166B">
        <w:t xml:space="preserve">ket </w:t>
      </w:r>
      <w:r w:rsidR="00DD7410">
        <w:t xml:space="preserve">in a </w:t>
      </w:r>
      <w:r w:rsidR="0050166B">
        <w:t>non-discriminator</w:t>
      </w:r>
      <w:r w:rsidR="00DD7410">
        <w:t>y way</w:t>
      </w:r>
      <w:r>
        <w:t xml:space="preserve"> about such inside information</w:t>
      </w:r>
      <w:r w:rsidR="0050166B">
        <w:t xml:space="preserve">. Guidance on whether the market practice to refer to extensive materials posted on the </w:t>
      </w:r>
      <w:r>
        <w:t>issuer's website in an ad-hoc</w:t>
      </w:r>
      <w:r w:rsidR="0050166B">
        <w:t xml:space="preserve"> announcement provided to the media</w:t>
      </w:r>
      <w:r>
        <w:t xml:space="preserve"> to sufficiently disseminate to the market</w:t>
      </w:r>
      <w:r w:rsidR="0050166B">
        <w:t xml:space="preserve"> </w:t>
      </w:r>
      <w:r w:rsidR="008E42EB">
        <w:t>is sufficient would be we</w:t>
      </w:r>
      <w:r w:rsidR="008E42EB">
        <w:t>l</w:t>
      </w:r>
      <w:r w:rsidR="008E42EB">
        <w:t>come.</w:t>
      </w:r>
    </w:p>
    <w:p w:rsidR="008E42EB" w:rsidRDefault="008E42EB" w:rsidP="00054704"/>
    <w:p w:rsidR="0050166B" w:rsidRDefault="00DC6F13" w:rsidP="00054704">
      <w:r>
        <w:t xml:space="preserve">Apart from that, the established </w:t>
      </w:r>
      <w:r w:rsidR="001D32B0">
        <w:t>system seems to be practicable.</w:t>
      </w:r>
    </w:p>
    <w:permEnd w:id="23"/>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054704" w:rsidRPr="008E42EB" w:rsidRDefault="001D32B0" w:rsidP="001D32B0">
      <w:permStart w:id="24" w:edGrp="everyone"/>
      <w:r>
        <w:t>TYPE YOUR TEXT HERE</w:t>
      </w:r>
    </w:p>
    <w:permEnd w:id="24"/>
    <w:p w:rsidR="00C8677B" w:rsidRDefault="00C8677B" w:rsidP="00C8677B">
      <w:r>
        <w:t>&lt;</w:t>
      </w:r>
      <w:r w:rsidR="00CB6CDD">
        <w:t>ESMA_QUESTION_MAR_TS_</w:t>
      </w:r>
      <w:r>
        <w:t>21&gt;</w:t>
      </w:r>
    </w:p>
    <w:p w:rsidR="00C8677B" w:rsidRDefault="00C8677B" w:rsidP="00C8677B">
      <w:r>
        <w:lastRenderedPageBreak/>
        <w:br w:type="page"/>
      </w:r>
    </w:p>
    <w:p w:rsidR="00C8677B" w:rsidRDefault="00C8677B" w:rsidP="00C8677B">
      <w:pPr>
        <w:pStyle w:val="Heading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054704" w:rsidRPr="001D32B0" w:rsidRDefault="001D32B0" w:rsidP="00945194">
      <w:permStart w:id="25" w:edGrp="everyone"/>
      <w:r w:rsidRPr="001D32B0">
        <w:t xml:space="preserve">No, we do not agree in full with ESMA's proposal regarding the elements </w:t>
      </w:r>
      <w:r>
        <w:t xml:space="preserve">to be included in the insider lists. </w:t>
      </w:r>
      <w:r w:rsidR="000D1A4A">
        <w:t xml:space="preserve">No private data should have to be included. </w:t>
      </w:r>
      <w:r w:rsidR="00945194">
        <w:t>ESMA correctly states that the data to be provided should enable competent authorities to investigate in case of potential breaches of insider rules. Hence, o</w:t>
      </w:r>
      <w:r>
        <w:t>nly such data should have to be included in the insider lists which allow an unequivocal identification of the ind</w:t>
      </w:r>
      <w:r>
        <w:t>i</w:t>
      </w:r>
      <w:r>
        <w:t>vidual. The data to serve this purpose would only include</w:t>
      </w:r>
      <w:r w:rsidR="001F41AA">
        <w:t xml:space="preserve"> the</w:t>
      </w:r>
      <w:r>
        <w:t xml:space="preserve"> name, date of birth, work address, but no private data.</w:t>
      </w:r>
      <w:r w:rsidR="001F41AA">
        <w:t xml:space="preserve"> As </w:t>
      </w:r>
      <w:r>
        <w:t>national supervisory authorit</w:t>
      </w:r>
      <w:r w:rsidR="001F41AA">
        <w:t>ies</w:t>
      </w:r>
      <w:r>
        <w:t xml:space="preserve"> would be empowered to request further d</w:t>
      </w:r>
      <w:r w:rsidR="000949F7">
        <w:t>ata</w:t>
      </w:r>
      <w:r w:rsidR="001F41AA">
        <w:t xml:space="preserve"> if an invest</w:t>
      </w:r>
      <w:r w:rsidR="001F41AA">
        <w:t>i</w:t>
      </w:r>
      <w:r w:rsidR="001F41AA">
        <w:t>gation was opened, t</w:t>
      </w:r>
      <w:r w:rsidR="000949F7">
        <w:t>here is no need to disclose these data upfront</w:t>
      </w:r>
      <w:r>
        <w:t>.</w:t>
      </w:r>
      <w:r w:rsidR="000949F7">
        <w:t xml:space="preserve"> In addition, an insider list is a </w:t>
      </w:r>
      <w:r w:rsidR="001F41AA">
        <w:t xml:space="preserve">work-related </w:t>
      </w:r>
      <w:r w:rsidR="000949F7">
        <w:t>document which should therefore only contain work-related data.</w:t>
      </w:r>
    </w:p>
    <w:permEnd w:id="25"/>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054704" w:rsidRPr="00B53B98" w:rsidRDefault="00945194" w:rsidP="00945194">
      <w:permStart w:id="26" w:edGrp="everyone"/>
      <w:r>
        <w:t>We agree with ESMA that there should be flexibility for issuers on how to draw up their insider lists. However, w</w:t>
      </w:r>
      <w:r w:rsidR="00B53B98" w:rsidRPr="00B53B98">
        <w:t xml:space="preserve">e do not agree in full with the two approaches presented regarding the format of insider lists. </w:t>
      </w:r>
      <w:r w:rsidR="00905916">
        <w:t>The proposition made in paragraphs 302 and</w:t>
      </w:r>
      <w:r w:rsidR="00135FEB">
        <w:t xml:space="preserve"> 303 is not fully appropriate.</w:t>
      </w:r>
      <w:r>
        <w:t xml:space="preserve"> It does not cover explicitly how issuers should handle persons who are potential insiders due to their function within the issuer's organis</w:t>
      </w:r>
      <w:r>
        <w:t>a</w:t>
      </w:r>
      <w:r>
        <w:t>tion and whom issuers usually list as (potential) insiders, without being able to ind</w:t>
      </w:r>
      <w:r>
        <w:t>i</w:t>
      </w:r>
      <w:r>
        <w:t>cate a specific moment when the person became an insider or a specific topic which constitutes the inside information.</w:t>
      </w:r>
      <w:r w:rsidR="00135FEB">
        <w:t xml:space="preserve"> The fo</w:t>
      </w:r>
      <w:r w:rsidR="00135FEB">
        <w:t>l</w:t>
      </w:r>
      <w:r w:rsidR="00135FEB">
        <w:t xml:space="preserve">lowing distinction should be made: </w:t>
      </w:r>
      <w:r>
        <w:t>A</w:t>
      </w:r>
      <w:r w:rsidR="00135FEB">
        <w:t xml:space="preserve"> General Insider List shall list the persons who are inclined to hold inside information</w:t>
      </w:r>
      <w:r w:rsidR="00AF4618">
        <w:t xml:space="preserve"> due to their position etc.</w:t>
      </w:r>
      <w:r>
        <w:t>,</w:t>
      </w:r>
      <w:r w:rsidR="00135FEB">
        <w:t xml:space="preserve"> </w:t>
      </w:r>
      <w:r>
        <w:t>a</w:t>
      </w:r>
      <w:r w:rsidR="00135FEB">
        <w:t xml:space="preserve"> Deal-specific list should list the persons holding inside information due to a specific project. It should be clarified that issuers may mai</w:t>
      </w:r>
      <w:r w:rsidR="00135FEB">
        <w:t>n</w:t>
      </w:r>
      <w:r w:rsidR="00135FEB">
        <w:t>tain</w:t>
      </w:r>
      <w:r>
        <w:t xml:space="preserve"> such</w:t>
      </w:r>
      <w:r w:rsidR="00135FEB">
        <w:t xml:space="preserve"> a General Insider List </w:t>
      </w:r>
      <w:r w:rsidR="00AF4618">
        <w:t>containing</w:t>
      </w:r>
      <w:r w:rsidR="007B5E10">
        <w:t xml:space="preserve"> only the</w:t>
      </w:r>
      <w:r w:rsidR="00AF4618">
        <w:t xml:space="preserve"> data of the</w:t>
      </w:r>
      <w:r w:rsidR="007B5E10">
        <w:t xml:space="preserve"> persons inclined to hold inside information due to their pos</w:t>
      </w:r>
      <w:r w:rsidR="007B5E10">
        <w:t>i</w:t>
      </w:r>
      <w:r w:rsidR="007B5E10">
        <w:t>tion</w:t>
      </w:r>
      <w:r w:rsidR="00AF4618">
        <w:t xml:space="preserve"> as well as a Deal-specific list</w:t>
      </w:r>
      <w:r w:rsidR="007B5E10">
        <w:t xml:space="preserve">. </w:t>
      </w:r>
      <w:r>
        <w:t xml:space="preserve">Issuers should also be able to establish one combined list. </w:t>
      </w:r>
      <w:r w:rsidR="00135FEB">
        <w:t>Template 1 and Template 2 should as well be revised accordingly.</w:t>
      </w:r>
    </w:p>
    <w:permEnd w:id="26"/>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054704" w:rsidRPr="00D001DC" w:rsidRDefault="00D001DC" w:rsidP="00054704">
      <w:permStart w:id="27" w:edGrp="everyone"/>
      <w:r>
        <w:t>We do not have further comments on t</w:t>
      </w:r>
      <w:r w:rsidRPr="00D001DC">
        <w:t>he</w:t>
      </w:r>
      <w:r>
        <w:t xml:space="preserve"> proposed method of aggregation. The proposal seems to be appropriate</w:t>
      </w:r>
      <w:r w:rsidRPr="00D001DC">
        <w:t>.</w:t>
      </w:r>
    </w:p>
    <w:permEnd w:id="27"/>
    <w:p w:rsidR="00C8677B" w:rsidRDefault="00C8677B" w:rsidP="00C8677B">
      <w:r>
        <w:t>&lt;</w:t>
      </w:r>
      <w:r w:rsidR="00CB6CDD">
        <w:t>ESMA_QUESTION_MAR_TS_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054704" w:rsidRDefault="00646255" w:rsidP="00B125A1">
      <w:permStart w:id="28" w:edGrp="everyone"/>
      <w:r w:rsidRPr="00646255">
        <w:t xml:space="preserve">We would recommend </w:t>
      </w:r>
      <w:r w:rsidR="00905916" w:rsidRPr="00646255">
        <w:t>limiting</w:t>
      </w:r>
      <w:r w:rsidRPr="00646255">
        <w:t xml:space="preserve"> the personal data to be included</w:t>
      </w:r>
      <w:r>
        <w:t xml:space="preserve"> in the notification</w:t>
      </w:r>
      <w:r w:rsidRPr="00646255">
        <w:t>.</w:t>
      </w:r>
      <w:r>
        <w:t xml:space="preserve"> </w:t>
      </w:r>
      <w:r w:rsidR="00B125A1">
        <w:t>Either</w:t>
      </w:r>
      <w:r>
        <w:t xml:space="preserve"> the personal phone number or email address should have to be provided</w:t>
      </w:r>
      <w:r w:rsidR="00494BC6">
        <w:t xml:space="preserve"> and </w:t>
      </w:r>
      <w:r w:rsidR="00BC0739">
        <w:t>not both</w:t>
      </w:r>
      <w:r w:rsidR="00494BC6">
        <w:t xml:space="preserve"> details</w:t>
      </w:r>
      <w:r>
        <w:t>.</w:t>
      </w:r>
    </w:p>
    <w:p w:rsidR="00565558" w:rsidRDefault="00565558" w:rsidP="00B125A1"/>
    <w:p w:rsidR="00646255" w:rsidRPr="00646255" w:rsidRDefault="00BC7450" w:rsidP="0060596F">
      <w:r>
        <w:t xml:space="preserve">We would </w:t>
      </w:r>
      <w:r w:rsidR="00565558">
        <w:t xml:space="preserve">also </w:t>
      </w:r>
      <w:r>
        <w:t xml:space="preserve">like to point out the editorial mistake in Article 19 of </w:t>
      </w:r>
      <w:r w:rsidR="00905916">
        <w:t>MAR</w:t>
      </w:r>
      <w:r>
        <w:t xml:space="preserve">, as para. 1 sentence 2 and para. 3 </w:t>
      </w:r>
      <w:proofErr w:type="gramStart"/>
      <w:r>
        <w:t>sentence</w:t>
      </w:r>
      <w:proofErr w:type="gramEnd"/>
      <w:r>
        <w:t xml:space="preserve"> 1 both contain the same deadline for notifications (promptly and </w:t>
      </w:r>
      <w:r w:rsidRPr="00BC7450">
        <w:t>no later than three business days after the date of the transaction</w:t>
      </w:r>
      <w:r>
        <w:t>). ESMA should clarify that no sanctions shall be imposed on issuers who fail to make public the information</w:t>
      </w:r>
      <w:r w:rsidR="00BC207D">
        <w:t xml:space="preserve"> only</w:t>
      </w:r>
      <w:r>
        <w:t xml:space="preserve"> due to the fact that the </w:t>
      </w:r>
      <w:r w:rsidR="0060596F">
        <w:t>p</w:t>
      </w:r>
      <w:r w:rsidR="0060596F" w:rsidRPr="00BC7450">
        <w:t xml:space="preserve">ersons </w:t>
      </w:r>
      <w:r w:rsidR="0060596F">
        <w:t>me</w:t>
      </w:r>
      <w:r w:rsidR="0060596F">
        <w:t>n</w:t>
      </w:r>
      <w:r w:rsidR="0060596F">
        <w:t xml:space="preserve">tioned in para. 1 only transmitted the information to the issuer </w:t>
      </w:r>
      <w:r>
        <w:t>on the last day of the deadline.</w:t>
      </w:r>
    </w:p>
    <w:permEnd w:id="28"/>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C8677B" w:rsidRDefault="00C8677B" w:rsidP="00C8677B">
      <w:permStart w:id="29" w:edGrp="everyone"/>
      <w:r>
        <w:t>TYPE YOUR TEXT HERE</w:t>
      </w:r>
    </w:p>
    <w:permEnd w:id="29"/>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C8677B" w:rsidRDefault="00C8677B" w:rsidP="00C8677B">
      <w:permStart w:id="30" w:edGrp="everyone"/>
      <w:r>
        <w:t>TYPE YOUR TEXT HERE</w:t>
      </w:r>
    </w:p>
    <w:permEnd w:id="30"/>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31" w:edGrp="everyone"/>
      <w:r>
        <w:t>TYPE YOUR TEXT HERE</w:t>
      </w:r>
    </w:p>
    <w:permEnd w:id="31"/>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32" w:edGrp="everyone"/>
      <w:r>
        <w:t>TYPE YOUR TEXT HERE</w:t>
      </w:r>
    </w:p>
    <w:permEnd w:id="32"/>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C8677B" w:rsidRDefault="00C8677B" w:rsidP="00C8677B">
      <w:permStart w:id="33" w:edGrp="everyone"/>
      <w:r>
        <w:t>TYPE YOUR TEXT HERE</w:t>
      </w:r>
    </w:p>
    <w:permEnd w:id="33"/>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8677B" w:rsidRDefault="00C8677B" w:rsidP="00C8677B">
      <w:permStart w:id="34" w:edGrp="everyone"/>
      <w:r>
        <w:t>TYPE YOUR TEXT HERE</w:t>
      </w:r>
    </w:p>
    <w:permEnd w:id="34"/>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lastRenderedPageBreak/>
        <w:t>&lt;</w:t>
      </w:r>
      <w:r w:rsidR="00CB6CDD">
        <w:t>ESMA_QUESTION_MAR_TS_</w:t>
      </w:r>
      <w:r>
        <w:t>32&gt;</w:t>
      </w:r>
    </w:p>
    <w:p w:rsidR="00C8677B" w:rsidRDefault="00C8677B" w:rsidP="00C8677B">
      <w:permStart w:id="35" w:edGrp="everyone"/>
      <w:r>
        <w:t>TYPE YOUR TEXT HERE</w:t>
      </w:r>
    </w:p>
    <w:permEnd w:id="35"/>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C8677B" w:rsidRDefault="00C8677B" w:rsidP="00C8677B">
      <w:permStart w:id="36" w:edGrp="everyone"/>
      <w:r>
        <w:t>TYPE YOUR TEXT HERE</w:t>
      </w:r>
    </w:p>
    <w:permEnd w:id="36"/>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C8677B" w:rsidRDefault="00C8677B" w:rsidP="00C8677B">
      <w:permStart w:id="37" w:edGrp="everyone"/>
      <w:r>
        <w:t>TYPE YOUR TEXT HERE</w:t>
      </w:r>
    </w:p>
    <w:permEnd w:id="37"/>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38" w:edGrp="everyone"/>
      <w:r>
        <w:t>TYPE YOUR TEXT HERE</w:t>
      </w:r>
    </w:p>
    <w:permEnd w:id="38"/>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8"/>
      <w:headerReference w:type="first" r:id="rId19"/>
      <w:footerReference w:type="first" r:id="rId20"/>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E68" w:rsidRDefault="00DD5E68">
      <w:r>
        <w:separator/>
      </w:r>
    </w:p>
    <w:p w:rsidR="00DD5E68" w:rsidRDefault="00DD5E68"/>
  </w:endnote>
  <w:endnote w:type="continuationSeparator" w:id="0">
    <w:p w:rsidR="00DD5E68" w:rsidRDefault="00DD5E68">
      <w:r>
        <w:continuationSeparator/>
      </w:r>
    </w:p>
    <w:p w:rsidR="00DD5E68" w:rsidRDefault="00DD5E68"/>
  </w:endnote>
  <w:endnote w:type="continuationNotice" w:id="1">
    <w:p w:rsidR="00DD5E68" w:rsidRDefault="00DD5E6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宋体">
    <w:altName w:val="Arial Unicode MS"/>
    <w:panose1 w:val="00000000000000000000"/>
    <w:charset w:val="00"/>
    <w:family w:val="roman"/>
    <w:notTrueType/>
    <w:pitch w:val="default"/>
    <w:sig w:usb0="00000000" w:usb1="00430000" w:usb2="006E0065" w:usb3="00750074" w:csb0="00790072" w:csb1="0047002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3E" w:rsidRDefault="00E91A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962A43" w:rsidP="002C5B2D">
          <w:pPr>
            <w:pStyle w:val="00aPagenumber"/>
          </w:pPr>
          <w:r>
            <w:fldChar w:fldCharType="begin"/>
          </w:r>
          <w:r w:rsidR="00811EDA">
            <w:instrText xml:space="preserve"> PAGE </w:instrText>
          </w:r>
          <w:r>
            <w:fldChar w:fldCharType="separate"/>
          </w:r>
          <w:r w:rsidR="00B52DBF">
            <w:rPr>
              <w:noProof/>
            </w:rPr>
            <w:t>7</w:t>
          </w:r>
          <w:r>
            <w:rPr>
              <w:noProof/>
            </w:rPr>
            <w:fldChar w:fldCharType="end"/>
          </w:r>
        </w:p>
      </w:tc>
    </w:tr>
  </w:tbl>
  <w:p w:rsidR="00811EDA" w:rsidRDefault="00811E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3E" w:rsidRDefault="00E91A3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E68" w:rsidRDefault="00DD5E68">
      <w:r>
        <w:separator/>
      </w:r>
    </w:p>
    <w:p w:rsidR="00DD5E68" w:rsidRDefault="00DD5E68"/>
  </w:footnote>
  <w:footnote w:type="continuationSeparator" w:id="0">
    <w:p w:rsidR="00DD5E68" w:rsidRDefault="00DD5E68">
      <w:r>
        <w:continuationSeparator/>
      </w:r>
    </w:p>
    <w:p w:rsidR="00DD5E68" w:rsidRDefault="00DD5E68"/>
  </w:footnote>
  <w:footnote w:type="continuationNotice" w:id="1">
    <w:p w:rsidR="00DD5E68" w:rsidRDefault="00DD5E6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3E" w:rsidRDefault="00E91A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CC3A94">
    <w:pPr>
      <w:pStyle w:val="Header"/>
    </w:pPr>
    <w:r>
      <w:rPr>
        <w:noProof/>
        <w:lang w:val="de-DE" w:eastAsia="zh-CN" w:bidi="th-TH"/>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00962A43" w:rsidRPr="00962A43">
      <w:rPr>
        <w:noProof/>
        <w:lang w:eastAsia="en-GB"/>
      </w:rPr>
      <w:pict>
        <v:line id="Line 16" o:spid="_x0000_s4098"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CC3A94" w:rsidP="00013CCE">
    <w:pPr>
      <w:pStyle w:val="Header"/>
      <w:jc w:val="right"/>
    </w:pPr>
    <w:r>
      <w:rPr>
        <w:noProof/>
        <w:lang w:val="de-DE" w:eastAsia="zh-CN" w:bidi="th-TH"/>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de-DE" w:eastAsia="zh-CN" w:bidi="th-TH"/>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rsidR="00811EDA">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962A43">
    <w:pPr>
      <w:pStyle w:val="Header"/>
    </w:pPr>
    <w:r w:rsidRPr="00962A43">
      <w:rPr>
        <w:noProof/>
        <w:lang w:eastAsia="en-GB"/>
      </w:rPr>
      <w:pict>
        <v:line id="Straight Connector 138" o:spid="_x0000_s4097"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CC3A94">
      <w:rPr>
        <w:noProof/>
        <w:lang w:val="de-DE" w:eastAsia="zh-CN" w:bidi="th-TH"/>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4">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2"/>
  </w:num>
  <w:num w:numId="5">
    <w:abstractNumId w:val="3"/>
  </w:num>
  <w:num w:numId="6">
    <w:abstractNumId w:val="24"/>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9"/>
  </w:num>
  <w:num w:numId="15">
    <w:abstractNumId w:val="21"/>
  </w:num>
  <w:num w:numId="16">
    <w:abstractNumId w:val="10"/>
  </w:num>
  <w:num w:numId="17">
    <w:abstractNumId w:val="1"/>
  </w:num>
  <w:num w:numId="18">
    <w:abstractNumId w:val="14"/>
  </w:num>
  <w:num w:numId="19">
    <w:abstractNumId w:val="15"/>
  </w:num>
  <w:num w:numId="20">
    <w:abstractNumId w:val="17"/>
  </w:num>
  <w:num w:numId="21">
    <w:abstractNumId w:val="25"/>
  </w:num>
  <w:num w:numId="22">
    <w:abstractNumId w:val="32"/>
  </w:num>
  <w:num w:numId="23">
    <w:abstractNumId w:val="23"/>
  </w:num>
  <w:num w:numId="24">
    <w:abstractNumId w:val="9"/>
  </w:num>
  <w:num w:numId="25">
    <w:abstractNumId w:val="28"/>
  </w:num>
  <w:num w:numId="26">
    <w:abstractNumId w:val="27"/>
  </w:num>
  <w:num w:numId="27">
    <w:abstractNumId w:val="19"/>
  </w:num>
  <w:num w:numId="28">
    <w:abstractNumId w:val="31"/>
  </w:num>
  <w:num w:numId="29">
    <w:abstractNumId w:val="34"/>
  </w:num>
  <w:num w:numId="30">
    <w:abstractNumId w:val="7"/>
  </w:num>
  <w:num w:numId="31">
    <w:abstractNumId w:val="4"/>
  </w:num>
  <w:num w:numId="32">
    <w:abstractNumId w:val="20"/>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F01"/>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4099">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0D3A"/>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17F3C"/>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704"/>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0ADB"/>
    <w:rsid w:val="00081CEB"/>
    <w:rsid w:val="00081E60"/>
    <w:rsid w:val="00082D8E"/>
    <w:rsid w:val="00082E31"/>
    <w:rsid w:val="00083AA3"/>
    <w:rsid w:val="00085947"/>
    <w:rsid w:val="000868FE"/>
    <w:rsid w:val="000878D1"/>
    <w:rsid w:val="000921AE"/>
    <w:rsid w:val="000921D7"/>
    <w:rsid w:val="000925FF"/>
    <w:rsid w:val="000932E0"/>
    <w:rsid w:val="000949F7"/>
    <w:rsid w:val="00094C4C"/>
    <w:rsid w:val="00096762"/>
    <w:rsid w:val="000969C8"/>
    <w:rsid w:val="0009752D"/>
    <w:rsid w:val="00097AEE"/>
    <w:rsid w:val="000A014A"/>
    <w:rsid w:val="000A04B6"/>
    <w:rsid w:val="000A0E36"/>
    <w:rsid w:val="000A1BD2"/>
    <w:rsid w:val="000A2127"/>
    <w:rsid w:val="000A358F"/>
    <w:rsid w:val="000A43CC"/>
    <w:rsid w:val="000A647F"/>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1A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5FE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3267"/>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2B0"/>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215E"/>
    <w:rsid w:val="001F41AA"/>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0187"/>
    <w:rsid w:val="00261D56"/>
    <w:rsid w:val="00261FD3"/>
    <w:rsid w:val="00264077"/>
    <w:rsid w:val="00266B9A"/>
    <w:rsid w:val="00270E54"/>
    <w:rsid w:val="00273681"/>
    <w:rsid w:val="002754B5"/>
    <w:rsid w:val="002764C5"/>
    <w:rsid w:val="002772AE"/>
    <w:rsid w:val="00280613"/>
    <w:rsid w:val="002826B0"/>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362A"/>
    <w:rsid w:val="00395E7B"/>
    <w:rsid w:val="00395F4C"/>
    <w:rsid w:val="003A6591"/>
    <w:rsid w:val="003A6E9A"/>
    <w:rsid w:val="003B08C8"/>
    <w:rsid w:val="003B2567"/>
    <w:rsid w:val="003B381A"/>
    <w:rsid w:val="003B4976"/>
    <w:rsid w:val="003B4B3F"/>
    <w:rsid w:val="003B6258"/>
    <w:rsid w:val="003B6EAA"/>
    <w:rsid w:val="003B7A99"/>
    <w:rsid w:val="003C0343"/>
    <w:rsid w:val="003C1C32"/>
    <w:rsid w:val="003C40DA"/>
    <w:rsid w:val="003C42BA"/>
    <w:rsid w:val="003C462F"/>
    <w:rsid w:val="003C4A02"/>
    <w:rsid w:val="003C4F05"/>
    <w:rsid w:val="003C56E2"/>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BC6"/>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66B"/>
    <w:rsid w:val="00501BF5"/>
    <w:rsid w:val="00501D8B"/>
    <w:rsid w:val="00503A3E"/>
    <w:rsid w:val="00503F59"/>
    <w:rsid w:val="005049A7"/>
    <w:rsid w:val="005053B2"/>
    <w:rsid w:val="00506331"/>
    <w:rsid w:val="00507D11"/>
    <w:rsid w:val="00510662"/>
    <w:rsid w:val="0051084B"/>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A22"/>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5558"/>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596F"/>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6FD5"/>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255"/>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E10"/>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7F760E"/>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77D"/>
    <w:rsid w:val="00885E6F"/>
    <w:rsid w:val="008861AC"/>
    <w:rsid w:val="008868E4"/>
    <w:rsid w:val="00886A3A"/>
    <w:rsid w:val="00886A60"/>
    <w:rsid w:val="0088759B"/>
    <w:rsid w:val="008909B4"/>
    <w:rsid w:val="008922E8"/>
    <w:rsid w:val="00893916"/>
    <w:rsid w:val="0089442C"/>
    <w:rsid w:val="00895818"/>
    <w:rsid w:val="008A2585"/>
    <w:rsid w:val="008A2718"/>
    <w:rsid w:val="008A3B1D"/>
    <w:rsid w:val="008A4CF6"/>
    <w:rsid w:val="008A4E42"/>
    <w:rsid w:val="008A51AA"/>
    <w:rsid w:val="008A6A12"/>
    <w:rsid w:val="008B0DC6"/>
    <w:rsid w:val="008B2B9E"/>
    <w:rsid w:val="008B31F5"/>
    <w:rsid w:val="008B4C79"/>
    <w:rsid w:val="008B58B2"/>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42EB"/>
    <w:rsid w:val="008E5625"/>
    <w:rsid w:val="008E5C5B"/>
    <w:rsid w:val="008E6A37"/>
    <w:rsid w:val="008F0354"/>
    <w:rsid w:val="008F085A"/>
    <w:rsid w:val="008F1462"/>
    <w:rsid w:val="008F193C"/>
    <w:rsid w:val="008F2413"/>
    <w:rsid w:val="008F248D"/>
    <w:rsid w:val="008F4B2C"/>
    <w:rsid w:val="008F4C08"/>
    <w:rsid w:val="008F6851"/>
    <w:rsid w:val="008F7BC4"/>
    <w:rsid w:val="00900E7A"/>
    <w:rsid w:val="00903E11"/>
    <w:rsid w:val="00903EBE"/>
    <w:rsid w:val="009041DE"/>
    <w:rsid w:val="00905916"/>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194"/>
    <w:rsid w:val="009452D7"/>
    <w:rsid w:val="00945FD1"/>
    <w:rsid w:val="00946CCC"/>
    <w:rsid w:val="009503E5"/>
    <w:rsid w:val="00950F71"/>
    <w:rsid w:val="00952F2C"/>
    <w:rsid w:val="009532E3"/>
    <w:rsid w:val="00953615"/>
    <w:rsid w:val="00953748"/>
    <w:rsid w:val="00954BAF"/>
    <w:rsid w:val="009560B3"/>
    <w:rsid w:val="0095745E"/>
    <w:rsid w:val="00957CE0"/>
    <w:rsid w:val="0096002E"/>
    <w:rsid w:val="0096039E"/>
    <w:rsid w:val="00962A43"/>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0E6F"/>
    <w:rsid w:val="00AA15DD"/>
    <w:rsid w:val="00AA1C09"/>
    <w:rsid w:val="00AA254E"/>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2A97"/>
    <w:rsid w:val="00AF3C29"/>
    <w:rsid w:val="00AF4401"/>
    <w:rsid w:val="00AF4463"/>
    <w:rsid w:val="00AF4618"/>
    <w:rsid w:val="00AF53CB"/>
    <w:rsid w:val="00AF65C5"/>
    <w:rsid w:val="00B03CE2"/>
    <w:rsid w:val="00B06544"/>
    <w:rsid w:val="00B105F2"/>
    <w:rsid w:val="00B10991"/>
    <w:rsid w:val="00B12128"/>
    <w:rsid w:val="00B125A1"/>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4F5A"/>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DBF"/>
    <w:rsid w:val="00B52FAB"/>
    <w:rsid w:val="00B5319A"/>
    <w:rsid w:val="00B539F9"/>
    <w:rsid w:val="00B53B98"/>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0739"/>
    <w:rsid w:val="00BC1045"/>
    <w:rsid w:val="00BC15B1"/>
    <w:rsid w:val="00BC207D"/>
    <w:rsid w:val="00BC3C06"/>
    <w:rsid w:val="00BC4E8B"/>
    <w:rsid w:val="00BC5622"/>
    <w:rsid w:val="00BC6060"/>
    <w:rsid w:val="00BC745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1D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6F13"/>
    <w:rsid w:val="00DC7822"/>
    <w:rsid w:val="00DC7AF1"/>
    <w:rsid w:val="00DD2D92"/>
    <w:rsid w:val="00DD3026"/>
    <w:rsid w:val="00DD33DC"/>
    <w:rsid w:val="00DD3BB0"/>
    <w:rsid w:val="00DD5E68"/>
    <w:rsid w:val="00DD61F5"/>
    <w:rsid w:val="00DD7410"/>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1A3E"/>
    <w:rsid w:val="00E92A82"/>
    <w:rsid w:val="00E92AA8"/>
    <w:rsid w:val="00E93E39"/>
    <w:rsid w:val="00E94391"/>
    <w:rsid w:val="00E97E2B"/>
    <w:rsid w:val="00E97F3E"/>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FA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099"/>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6F6F"/>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http://www.esma.europa.eu/consultation/Consultation-Paper-Draft-technical-standards-Market-Abuse-Regulation-MA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宋体">
    <w:altName w:val="Arial Unicode MS"/>
    <w:panose1 w:val="00000000000000000000"/>
    <w:charset w:val="00"/>
    <w:family w:val="roman"/>
    <w:notTrueType/>
    <w:pitch w:val="default"/>
    <w:sig w:usb0="00000000" w:usb1="00430000" w:usb2="006E0065" w:usb3="00750074" w:csb0="00790072" w:csb1="0047002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hyphenationZone w:val="425"/>
  <w:characterSpacingControl w:val="doNotCompress"/>
  <w:compat>
    <w:useFELayout/>
  </w:compat>
  <w:rsids>
    <w:rsidRoot w:val="00211EA8"/>
    <w:rsid w:val="000E41F1"/>
    <w:rsid w:val="001820F8"/>
    <w:rsid w:val="00211EA8"/>
    <w:rsid w:val="00424640"/>
    <w:rsid w:val="00964A44"/>
    <w:rsid w:val="00B73894"/>
    <w:rsid w:val="00B920E8"/>
    <w:rsid w:val="00BC2377"/>
    <w:rsid w:val="00CA02FF"/>
    <w:rsid w:val="00D82AE6"/>
    <w:rsid w:val="00DC534D"/>
  </w:rsids>
  <m:mathPr>
    <m:mathFont m:val="Cambria Math"/>
    <m:brkBin m:val="before"/>
    <m:brkBinSub m:val="--"/>
    <m:smallFrac m:val="off"/>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3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F8E90-819C-4989-A037-424710CD721A}">
  <ds:schemaRefs>
    <ds:schemaRef ds:uri="http://schemas.openxmlformats.org/officeDocument/2006/bibliography"/>
  </ds:schemaRefs>
</ds:datastoreItem>
</file>

<file path=customXml/itemProps2.xml><?xml version="1.0" encoding="utf-8"?>
<ds:datastoreItem xmlns:ds="http://schemas.openxmlformats.org/officeDocument/2006/customXml" ds:itemID="{9E9E01E6-1F73-410E-B825-C02EEBBE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3617</Words>
  <Characters>20728</Characters>
  <Application>Microsoft Office Word</Application>
  <DocSecurity>8</DocSecurity>
  <Lines>172</Lines>
  <Paragraphs>48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24297</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921723</cp:lastModifiedBy>
  <cp:revision>3</cp:revision>
  <cp:lastPrinted>2014-10-14T17:38:00Z</cp:lastPrinted>
  <dcterms:created xsi:type="dcterms:W3CDTF">2014-10-14T17:38:00Z</dcterms:created>
  <dcterms:modified xsi:type="dcterms:W3CDTF">2014-10-14T17:49:00Z</dcterms:modified>
</cp:coreProperties>
</file>